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ascii="仿宋_GB2312" w:eastAsia="仿宋_GB2312"/>
          <w:color w:val="auto"/>
          <w:sz w:val="72"/>
          <w:szCs w:val="72"/>
          <w:highlight w:val="none"/>
        </w:rPr>
      </w:pPr>
      <w:bookmarkStart w:id="14" w:name="_GoBack"/>
    </w:p>
    <w:p>
      <w:pPr>
        <w:spacing w:before="156" w:beforeLines="50"/>
        <w:jc w:val="center"/>
        <w:rPr>
          <w:rFonts w:ascii="仿宋_GB2312" w:eastAsia="仿宋_GB2312"/>
          <w:color w:val="auto"/>
          <w:sz w:val="72"/>
          <w:szCs w:val="72"/>
          <w:highlight w:val="none"/>
        </w:rPr>
      </w:pPr>
    </w:p>
    <w:p>
      <w:pPr>
        <w:spacing w:before="156" w:beforeLines="50"/>
        <w:jc w:val="center"/>
        <w:rPr>
          <w:rFonts w:ascii="仿宋_GB2312" w:eastAsia="仿宋_GB2312"/>
          <w:color w:val="auto"/>
          <w:sz w:val="72"/>
          <w:szCs w:val="72"/>
          <w:highlight w:val="none"/>
        </w:rPr>
      </w:pPr>
      <w:r>
        <w:rPr>
          <w:rFonts w:hint="eastAsia" w:ascii="仿宋_GB2312" w:eastAsia="仿宋_GB2312"/>
          <w:color w:val="auto"/>
          <w:sz w:val="72"/>
          <w:szCs w:val="72"/>
          <w:highlight w:val="none"/>
        </w:rPr>
        <w:t>公开招标采购文件</w:t>
      </w:r>
    </w:p>
    <w:p>
      <w:pPr>
        <w:snapToGrid w:val="0"/>
        <w:jc w:val="center"/>
        <w:rPr>
          <w:rFonts w:ascii="仿宋_GB2312" w:eastAsia="仿宋_GB2312"/>
          <w:color w:val="auto"/>
          <w:sz w:val="48"/>
          <w:szCs w:val="48"/>
          <w:highlight w:val="none"/>
        </w:rPr>
      </w:pPr>
    </w:p>
    <w:p>
      <w:pPr>
        <w:snapToGrid w:val="0"/>
        <w:jc w:val="center"/>
        <w:rPr>
          <w:rFonts w:ascii="仿宋_GB2312" w:eastAsia="仿宋_GB2312"/>
          <w:color w:val="auto"/>
          <w:sz w:val="48"/>
          <w:szCs w:val="48"/>
          <w:highlight w:val="none"/>
        </w:rPr>
      </w:pPr>
    </w:p>
    <w:p>
      <w:pPr>
        <w:snapToGrid w:val="0"/>
        <w:jc w:val="center"/>
        <w:rPr>
          <w:rFonts w:ascii="仿宋_GB2312" w:eastAsia="仿宋_GB2312"/>
          <w:color w:val="auto"/>
          <w:sz w:val="48"/>
          <w:szCs w:val="48"/>
          <w:highlight w:val="none"/>
        </w:rPr>
      </w:pPr>
    </w:p>
    <w:p>
      <w:pPr>
        <w:snapToGrid w:val="0"/>
        <w:jc w:val="center"/>
        <w:rPr>
          <w:rFonts w:ascii="仿宋_GB2312" w:eastAsia="仿宋_GB2312"/>
          <w:color w:val="auto"/>
          <w:sz w:val="48"/>
          <w:szCs w:val="48"/>
          <w:highlight w:val="none"/>
        </w:rPr>
      </w:pPr>
    </w:p>
    <w:p>
      <w:pPr>
        <w:snapToGrid w:val="0"/>
        <w:ind w:firstLine="1484" w:firstLineChars="493"/>
        <w:rPr>
          <w:rFonts w:ascii="仿宋_GB2312" w:eastAsia="仿宋_GB2312"/>
          <w:b/>
          <w:bCs/>
          <w:color w:val="auto"/>
          <w:sz w:val="30"/>
          <w:szCs w:val="30"/>
          <w:highlight w:val="none"/>
          <w:lang w:val="en"/>
        </w:rPr>
      </w:pPr>
      <w:r>
        <w:rPr>
          <w:rFonts w:hint="eastAsia" w:ascii="仿宋_GB2312" w:eastAsia="仿宋_GB2312"/>
          <w:b/>
          <w:bCs/>
          <w:color w:val="auto"/>
          <w:sz w:val="30"/>
          <w:szCs w:val="30"/>
          <w:highlight w:val="none"/>
        </w:rPr>
        <w:t>项目编号：GXZC2025-G1-002924-CGZX</w:t>
      </w:r>
    </w:p>
    <w:p>
      <w:pPr>
        <w:snapToGrid w:val="0"/>
        <w:ind w:firstLine="1843"/>
        <w:rPr>
          <w:rFonts w:ascii="仿宋_GB2312" w:eastAsia="仿宋_GB2312"/>
          <w:b/>
          <w:bCs/>
          <w:color w:val="auto"/>
          <w:sz w:val="30"/>
          <w:szCs w:val="30"/>
          <w:highlight w:val="none"/>
        </w:rPr>
      </w:pPr>
    </w:p>
    <w:p>
      <w:pPr>
        <w:snapToGrid w:val="0"/>
        <w:ind w:firstLine="1484" w:firstLineChars="493"/>
        <w:jc w:val="left"/>
        <w:rPr>
          <w:rFonts w:hint="eastAsia" w:ascii="仿宋_GB2312" w:eastAsia="仿宋_GB2312"/>
          <w:b/>
          <w:color w:val="auto"/>
          <w:sz w:val="30"/>
          <w:szCs w:val="72"/>
          <w:highlight w:val="none"/>
        </w:rPr>
      </w:pPr>
      <w:r>
        <w:rPr>
          <w:rFonts w:hint="eastAsia" w:ascii="仿宋_GB2312" w:eastAsia="仿宋_GB2312"/>
          <w:b/>
          <w:color w:val="auto"/>
          <w:sz w:val="30"/>
          <w:szCs w:val="72"/>
          <w:highlight w:val="none"/>
        </w:rPr>
        <w:t>项目名称：广西艺术学院图书馆密集书架及数智影视传媒</w:t>
      </w:r>
    </w:p>
    <w:p>
      <w:pPr>
        <w:snapToGrid w:val="0"/>
        <w:ind w:firstLine="1484" w:firstLineChars="493"/>
        <w:jc w:val="left"/>
        <w:rPr>
          <w:rFonts w:ascii="仿宋_GB2312" w:eastAsia="仿宋_GB2312"/>
          <w:b/>
          <w:color w:val="auto"/>
          <w:sz w:val="30"/>
          <w:szCs w:val="72"/>
          <w:highlight w:val="none"/>
        </w:rPr>
      </w:pPr>
      <w:r>
        <w:rPr>
          <w:rFonts w:hint="eastAsia" w:ascii="仿宋_GB2312" w:eastAsia="仿宋_GB2312"/>
          <w:b/>
          <w:color w:val="auto"/>
          <w:sz w:val="30"/>
          <w:szCs w:val="72"/>
          <w:highlight w:val="none"/>
          <w:lang w:val="en-US" w:eastAsia="zh-CN"/>
        </w:rPr>
        <w:t xml:space="preserve">          </w:t>
      </w:r>
      <w:r>
        <w:rPr>
          <w:rFonts w:hint="eastAsia" w:ascii="仿宋_GB2312" w:eastAsia="仿宋_GB2312"/>
          <w:b/>
          <w:color w:val="auto"/>
          <w:sz w:val="30"/>
          <w:szCs w:val="72"/>
          <w:highlight w:val="none"/>
        </w:rPr>
        <w:t>艺术实验教学中心设备采购</w:t>
      </w:r>
    </w:p>
    <w:p>
      <w:pPr>
        <w:snapToGrid w:val="0"/>
        <w:ind w:firstLine="1843" w:firstLineChars="612"/>
        <w:rPr>
          <w:rFonts w:ascii="仿宋_GB2312" w:eastAsia="仿宋_GB2312"/>
          <w:b/>
          <w:color w:val="auto"/>
          <w:sz w:val="30"/>
          <w:szCs w:val="72"/>
          <w:highlight w:val="none"/>
        </w:rPr>
      </w:pPr>
    </w:p>
    <w:p>
      <w:pPr>
        <w:snapToGrid w:val="0"/>
        <w:ind w:firstLine="1484" w:firstLineChars="493"/>
        <w:rPr>
          <w:rFonts w:ascii="仿宋_GB2312" w:eastAsia="仿宋_GB2312"/>
          <w:b/>
          <w:color w:val="auto"/>
          <w:sz w:val="44"/>
          <w:szCs w:val="44"/>
          <w:highlight w:val="none"/>
          <w:lang w:val="en"/>
        </w:rPr>
      </w:pPr>
      <w:r>
        <w:rPr>
          <w:rFonts w:hint="eastAsia" w:ascii="仿宋_GB2312" w:eastAsia="仿宋_GB2312"/>
          <w:b/>
          <w:color w:val="auto"/>
          <w:sz w:val="30"/>
          <w:szCs w:val="72"/>
          <w:highlight w:val="none"/>
        </w:rPr>
        <w:t>采购单位：</w:t>
      </w:r>
      <w:r>
        <w:rPr>
          <w:rFonts w:ascii="仿宋_GB2312" w:eastAsia="仿宋_GB2312"/>
          <w:b/>
          <w:color w:val="auto"/>
          <w:sz w:val="30"/>
          <w:szCs w:val="72"/>
          <w:highlight w:val="none"/>
          <w:lang w:val="en"/>
        </w:rPr>
        <w:t>广西艺术学院</w:t>
      </w:r>
    </w:p>
    <w:p>
      <w:pPr>
        <w:snapToGrid w:val="0"/>
        <w:ind w:firstLine="2861" w:firstLineChars="950"/>
        <w:rPr>
          <w:rFonts w:ascii="仿宋_GB2312" w:eastAsia="仿宋_GB2312"/>
          <w:b/>
          <w:color w:val="auto"/>
          <w:sz w:val="30"/>
          <w:szCs w:val="72"/>
          <w:highlight w:val="none"/>
        </w:rPr>
      </w:pPr>
    </w:p>
    <w:p>
      <w:pPr>
        <w:ind w:firstLine="2861" w:firstLineChars="950"/>
        <w:rPr>
          <w:rFonts w:ascii="仿宋_GB2312" w:eastAsia="仿宋_GB2312"/>
          <w:b/>
          <w:color w:val="auto"/>
          <w:sz w:val="30"/>
          <w:szCs w:val="72"/>
          <w:highlight w:val="none"/>
        </w:rPr>
      </w:pPr>
    </w:p>
    <w:p>
      <w:pPr>
        <w:ind w:firstLine="2861" w:firstLineChars="950"/>
        <w:rPr>
          <w:rFonts w:ascii="仿宋_GB2312" w:eastAsia="仿宋_GB2312"/>
          <w:b/>
          <w:color w:val="auto"/>
          <w:sz w:val="30"/>
          <w:szCs w:val="72"/>
          <w:highlight w:val="none"/>
        </w:rPr>
      </w:pPr>
    </w:p>
    <w:p>
      <w:pPr>
        <w:rPr>
          <w:rFonts w:ascii="仿宋_GB2312" w:eastAsia="仿宋_GB2312"/>
          <w:b/>
          <w:color w:val="auto"/>
          <w:sz w:val="30"/>
          <w:szCs w:val="72"/>
          <w:highlight w:val="none"/>
        </w:rPr>
      </w:pPr>
    </w:p>
    <w:p>
      <w:pPr>
        <w:rPr>
          <w:rFonts w:ascii="仿宋_GB2312" w:eastAsia="仿宋_GB2312"/>
          <w:b/>
          <w:color w:val="auto"/>
          <w:sz w:val="30"/>
          <w:szCs w:val="72"/>
          <w:highlight w:val="none"/>
        </w:rPr>
      </w:pPr>
    </w:p>
    <w:p>
      <w:pPr>
        <w:rPr>
          <w:rFonts w:ascii="仿宋_GB2312" w:eastAsia="仿宋_GB2312"/>
          <w:b/>
          <w:color w:val="auto"/>
          <w:sz w:val="30"/>
          <w:szCs w:val="72"/>
          <w:highlight w:val="none"/>
        </w:rPr>
      </w:pPr>
    </w:p>
    <w:p>
      <w:pPr>
        <w:snapToGrid w:val="0"/>
        <w:spacing w:before="156" w:beforeLines="50"/>
        <w:jc w:val="center"/>
        <w:rPr>
          <w:rFonts w:ascii="仿宋_GB2312" w:eastAsia="仿宋_GB2312"/>
          <w:b/>
          <w:color w:val="auto"/>
          <w:sz w:val="30"/>
          <w:szCs w:val="72"/>
          <w:highlight w:val="none"/>
        </w:rPr>
      </w:pPr>
      <w:r>
        <w:rPr>
          <w:rFonts w:hint="eastAsia" w:ascii="仿宋_GB2312" w:eastAsia="仿宋_GB2312"/>
          <w:b/>
          <w:color w:val="auto"/>
          <w:sz w:val="30"/>
          <w:szCs w:val="72"/>
          <w:highlight w:val="none"/>
        </w:rPr>
        <w:t>采购代理机构：广西壮族自治区政府采购中心</w:t>
      </w:r>
    </w:p>
    <w:p>
      <w:pPr>
        <w:snapToGrid w:val="0"/>
        <w:spacing w:before="156" w:beforeLines="50"/>
        <w:rPr>
          <w:rFonts w:ascii="仿宋_GB2312" w:eastAsia="仿宋_GB2312"/>
          <w:b/>
          <w:color w:val="auto"/>
          <w:szCs w:val="21"/>
          <w:highlight w:val="none"/>
        </w:rPr>
      </w:pPr>
    </w:p>
    <w:p>
      <w:pPr>
        <w:snapToGrid w:val="0"/>
        <w:spacing w:before="156" w:beforeLines="50"/>
        <w:jc w:val="center"/>
        <w:rPr>
          <w:rFonts w:ascii="仿宋_GB2312" w:eastAsia="仿宋_GB2312"/>
          <w:b/>
          <w:color w:val="auto"/>
          <w:sz w:val="30"/>
          <w:szCs w:val="72"/>
          <w:highlight w:val="none"/>
          <w:lang w:val="en"/>
        </w:rPr>
      </w:pPr>
      <w:r>
        <w:rPr>
          <w:rFonts w:ascii="仿宋_GB2312" w:eastAsia="仿宋_GB2312"/>
          <w:b/>
          <w:color w:val="auto"/>
          <w:sz w:val="30"/>
          <w:szCs w:val="72"/>
          <w:highlight w:val="none"/>
          <w:lang w:val="en"/>
        </w:rPr>
        <w:t>2025年</w:t>
      </w:r>
      <w:r>
        <w:rPr>
          <w:rFonts w:hint="default" w:ascii="仿宋_GB2312" w:eastAsia="仿宋_GB2312"/>
          <w:b/>
          <w:color w:val="auto"/>
          <w:sz w:val="30"/>
          <w:szCs w:val="72"/>
          <w:highlight w:val="none"/>
          <w:lang w:val="en" w:eastAsia="zh-CN"/>
        </w:rPr>
        <w:t>10</w:t>
      </w:r>
      <w:r>
        <w:rPr>
          <w:rFonts w:ascii="仿宋_GB2312" w:eastAsia="仿宋_GB2312"/>
          <w:b/>
          <w:color w:val="auto"/>
          <w:sz w:val="30"/>
          <w:szCs w:val="72"/>
          <w:highlight w:val="none"/>
          <w:lang w:val="en"/>
        </w:rPr>
        <w:t>月</w:t>
      </w:r>
    </w:p>
    <w:p>
      <w:pPr>
        <w:rPr>
          <w:color w:val="auto"/>
          <w:highlight w:val="none"/>
        </w:rPr>
      </w:pPr>
    </w:p>
    <w:p>
      <w:pPr>
        <w:pStyle w:val="52"/>
        <w:ind w:firstLine="0" w:firstLineChars="0"/>
        <w:rPr>
          <w:rFonts w:ascii="隶书" w:eastAsia="隶书"/>
          <w:b/>
          <w:color w:val="auto"/>
          <w:sz w:val="44"/>
          <w:highlight w:val="none"/>
        </w:rPr>
        <w:sectPr>
          <w:headerReference r:id="rId3" w:type="default"/>
          <w:footerReference r:id="rId4" w:type="default"/>
          <w:pgSz w:w="11906" w:h="16838"/>
          <w:pgMar w:top="1247" w:right="1247" w:bottom="1247" w:left="1247" w:header="851" w:footer="992" w:gutter="0"/>
          <w:pgNumType w:fmt="decimal" w:start="1"/>
          <w:cols w:space="720" w:num="1"/>
          <w:docGrid w:type="lines" w:linePitch="312" w:charSpace="0"/>
        </w:sectPr>
      </w:pPr>
    </w:p>
    <w:p>
      <w:pPr>
        <w:pStyle w:val="52"/>
        <w:ind w:firstLine="0" w:firstLineChars="0"/>
        <w:rPr>
          <w:rFonts w:ascii="隶书" w:eastAsia="隶书"/>
          <w:b/>
          <w:color w:val="auto"/>
          <w:sz w:val="44"/>
          <w:highlight w:val="none"/>
        </w:rPr>
      </w:pPr>
    </w:p>
    <w:p>
      <w:pPr>
        <w:pStyle w:val="29"/>
        <w:jc w:val="center"/>
        <w:rPr>
          <w:rFonts w:ascii="隶书" w:eastAsia="隶书"/>
          <w:b/>
          <w:color w:val="auto"/>
          <w:sz w:val="44"/>
          <w:highlight w:val="none"/>
        </w:rPr>
      </w:pPr>
      <w:r>
        <w:rPr>
          <w:rFonts w:hint="eastAsia" w:ascii="隶书" w:eastAsia="隶书"/>
          <w:b/>
          <w:color w:val="auto"/>
          <w:sz w:val="44"/>
          <w:highlight w:val="none"/>
        </w:rPr>
        <w:t>目   录</w:t>
      </w:r>
    </w:p>
    <w:p>
      <w:pPr>
        <w:pStyle w:val="29"/>
        <w:spacing w:before="120" w:after="120" w:line="360" w:lineRule="auto"/>
        <w:jc w:val="center"/>
        <w:rPr>
          <w:rFonts w:ascii="仿宋_GB2312" w:eastAsia="仿宋_GB2312"/>
          <w:b/>
          <w:color w:val="auto"/>
          <w:sz w:val="44"/>
          <w:szCs w:val="44"/>
          <w:highlight w:val="none"/>
        </w:rPr>
      </w:pPr>
    </w:p>
    <w:p>
      <w:pPr>
        <w:spacing w:before="156" w:beforeLines="50" w:line="600" w:lineRule="auto"/>
        <w:ind w:left="360"/>
        <w:rPr>
          <w:rFonts w:ascii="仿宋_GB2312" w:eastAsia="仿宋_GB2312"/>
          <w:b/>
          <w:color w:val="auto"/>
          <w:sz w:val="28"/>
          <w:szCs w:val="28"/>
          <w:highlight w:val="none"/>
        </w:rPr>
      </w:pPr>
      <w:r>
        <w:rPr>
          <w:rFonts w:hint="eastAsia" w:ascii="仿宋_GB2312" w:eastAsia="仿宋_GB2312"/>
          <w:b/>
          <w:color w:val="auto"/>
          <w:sz w:val="28"/>
          <w:szCs w:val="28"/>
          <w:highlight w:val="none"/>
        </w:rPr>
        <w:t>第一章 公开招标公告……………………………………………… 2</w:t>
      </w:r>
    </w:p>
    <w:p>
      <w:pPr>
        <w:spacing w:before="156" w:beforeLines="50" w:line="600" w:lineRule="auto"/>
        <w:ind w:firstLine="359" w:firstLineChars="128"/>
        <w:rPr>
          <w:rFonts w:ascii="仿宋_GB2312" w:eastAsia="仿宋_GB2312"/>
          <w:b/>
          <w:color w:val="auto"/>
          <w:sz w:val="28"/>
          <w:szCs w:val="28"/>
          <w:highlight w:val="none"/>
        </w:rPr>
      </w:pPr>
      <w:r>
        <w:rPr>
          <w:rFonts w:hint="eastAsia" w:ascii="仿宋_GB2312" w:eastAsia="仿宋_GB2312"/>
          <w:b/>
          <w:color w:val="auto"/>
          <w:sz w:val="28"/>
          <w:szCs w:val="28"/>
          <w:highlight w:val="none"/>
        </w:rPr>
        <w:t xml:space="preserve">第二章 招标项目采购需求 …………………………………………6 </w:t>
      </w:r>
    </w:p>
    <w:p>
      <w:pPr>
        <w:spacing w:before="156" w:beforeLines="50" w:line="600" w:lineRule="auto"/>
        <w:ind w:left="360"/>
        <w:rPr>
          <w:rFonts w:hint="default" w:ascii="仿宋_GB2312" w:eastAsia="仿宋_GB2312"/>
          <w:b/>
          <w:color w:val="auto"/>
          <w:sz w:val="28"/>
          <w:szCs w:val="28"/>
          <w:highlight w:val="none"/>
          <w:lang w:val="en-US" w:eastAsia="zh-CN"/>
        </w:rPr>
      </w:pPr>
      <w:r>
        <w:rPr>
          <w:rFonts w:hint="eastAsia" w:ascii="仿宋_GB2312" w:eastAsia="仿宋_GB2312"/>
          <w:b/>
          <w:color w:val="auto"/>
          <w:sz w:val="28"/>
          <w:szCs w:val="28"/>
          <w:highlight w:val="none"/>
        </w:rPr>
        <w:t xml:space="preserve">第三章 投标人须知………………………………………………… </w:t>
      </w:r>
      <w:r>
        <w:rPr>
          <w:rFonts w:hint="eastAsia" w:ascii="仿宋_GB2312" w:eastAsia="仿宋_GB2312"/>
          <w:b/>
          <w:color w:val="auto"/>
          <w:sz w:val="28"/>
          <w:szCs w:val="28"/>
          <w:highlight w:val="none"/>
          <w:lang w:val="en-US" w:eastAsia="zh-CN"/>
        </w:rPr>
        <w:t>27</w:t>
      </w:r>
    </w:p>
    <w:p>
      <w:pPr>
        <w:spacing w:before="156" w:beforeLines="50" w:line="600" w:lineRule="auto"/>
        <w:ind w:left="360"/>
        <w:rPr>
          <w:rFonts w:hint="default" w:ascii="仿宋_GB2312" w:eastAsia="仿宋_GB2312"/>
          <w:b/>
          <w:color w:val="auto"/>
          <w:sz w:val="28"/>
          <w:szCs w:val="28"/>
          <w:highlight w:val="none"/>
          <w:lang w:val="en-US" w:eastAsia="zh-CN"/>
        </w:rPr>
      </w:pPr>
      <w:r>
        <w:rPr>
          <w:rFonts w:hint="eastAsia" w:ascii="仿宋_GB2312" w:eastAsia="仿宋_GB2312"/>
          <w:b/>
          <w:color w:val="auto"/>
          <w:sz w:val="28"/>
          <w:szCs w:val="28"/>
          <w:highlight w:val="none"/>
        </w:rPr>
        <w:t xml:space="preserve">第四章 评标办法及评分标准……………………………………… </w:t>
      </w:r>
      <w:r>
        <w:rPr>
          <w:rFonts w:hint="eastAsia" w:ascii="仿宋_GB2312" w:eastAsia="仿宋_GB2312"/>
          <w:b/>
          <w:color w:val="auto"/>
          <w:sz w:val="28"/>
          <w:szCs w:val="28"/>
          <w:highlight w:val="none"/>
          <w:lang w:val="en-US" w:eastAsia="zh-CN"/>
        </w:rPr>
        <w:t>40</w:t>
      </w:r>
    </w:p>
    <w:p>
      <w:pPr>
        <w:spacing w:before="156" w:beforeLines="50" w:line="600" w:lineRule="auto"/>
        <w:ind w:left="360"/>
        <w:rPr>
          <w:rFonts w:hint="default" w:ascii="仿宋_GB2312" w:eastAsia="仿宋_GB2312"/>
          <w:b/>
          <w:color w:val="auto"/>
          <w:sz w:val="28"/>
          <w:szCs w:val="28"/>
          <w:highlight w:val="none"/>
          <w:lang w:val="en-US" w:eastAsia="zh-CN"/>
        </w:rPr>
      </w:pPr>
      <w:r>
        <w:rPr>
          <w:rFonts w:hint="eastAsia" w:ascii="仿宋_GB2312" w:eastAsia="仿宋_GB2312"/>
          <w:b/>
          <w:color w:val="auto"/>
          <w:sz w:val="28"/>
          <w:szCs w:val="28"/>
          <w:highlight w:val="none"/>
        </w:rPr>
        <w:t xml:space="preserve">第五章 政府采购合同主要条款…………………………………… </w:t>
      </w:r>
      <w:r>
        <w:rPr>
          <w:rFonts w:hint="eastAsia" w:ascii="仿宋_GB2312" w:eastAsia="仿宋_GB2312"/>
          <w:b/>
          <w:color w:val="auto"/>
          <w:sz w:val="28"/>
          <w:szCs w:val="28"/>
          <w:highlight w:val="none"/>
          <w:lang w:val="en-US" w:eastAsia="zh-CN"/>
        </w:rPr>
        <w:t>48</w:t>
      </w:r>
    </w:p>
    <w:p>
      <w:pPr>
        <w:spacing w:before="156" w:beforeLines="50" w:line="600" w:lineRule="auto"/>
        <w:ind w:left="360"/>
        <w:rPr>
          <w:rFonts w:hint="default" w:ascii="仿宋_GB2312" w:eastAsia="仿宋_GB2312"/>
          <w:b/>
          <w:color w:val="auto"/>
          <w:sz w:val="28"/>
          <w:szCs w:val="28"/>
          <w:highlight w:val="none"/>
          <w:lang w:val="en-US" w:eastAsia="zh-CN"/>
        </w:rPr>
      </w:pPr>
      <w:r>
        <w:rPr>
          <w:rFonts w:hint="eastAsia" w:ascii="仿宋_GB2312" w:eastAsia="仿宋_GB2312"/>
          <w:b/>
          <w:color w:val="auto"/>
          <w:sz w:val="28"/>
          <w:szCs w:val="28"/>
          <w:highlight w:val="none"/>
        </w:rPr>
        <w:t xml:space="preserve">第六章 投标文件格式……………………………………………… </w:t>
      </w:r>
      <w:r>
        <w:rPr>
          <w:rFonts w:hint="eastAsia" w:ascii="仿宋_GB2312" w:eastAsia="仿宋_GB2312"/>
          <w:b/>
          <w:color w:val="auto"/>
          <w:sz w:val="28"/>
          <w:szCs w:val="28"/>
          <w:highlight w:val="none"/>
          <w:lang w:val="en-US" w:eastAsia="zh-CN"/>
        </w:rPr>
        <w:t>57</w:t>
      </w:r>
    </w:p>
    <w:p>
      <w:pPr>
        <w:pStyle w:val="228"/>
        <w:widowControl w:val="0"/>
        <w:spacing w:afterLines="0"/>
        <w:ind w:firstLine="883"/>
        <w:jc w:val="center"/>
        <w:rPr>
          <w:rFonts w:ascii="仿宋_GB2312" w:eastAsia="仿宋_GB2312"/>
          <w:b/>
          <w:color w:val="auto"/>
          <w:sz w:val="44"/>
          <w:szCs w:val="44"/>
          <w:highlight w:val="none"/>
        </w:rPr>
      </w:pPr>
    </w:p>
    <w:p>
      <w:pPr>
        <w:pStyle w:val="228"/>
        <w:widowControl w:val="0"/>
        <w:spacing w:afterLines="0"/>
        <w:ind w:firstLine="883"/>
        <w:jc w:val="center"/>
        <w:rPr>
          <w:rFonts w:ascii="仿宋_GB2312" w:eastAsia="仿宋_GB2312"/>
          <w:b/>
          <w:color w:val="auto"/>
          <w:sz w:val="44"/>
          <w:szCs w:val="44"/>
          <w:highlight w:val="none"/>
        </w:rPr>
      </w:pPr>
    </w:p>
    <w:p>
      <w:pPr>
        <w:pStyle w:val="228"/>
        <w:widowControl w:val="0"/>
        <w:spacing w:afterLines="0"/>
        <w:ind w:firstLine="883"/>
        <w:jc w:val="center"/>
        <w:rPr>
          <w:rFonts w:ascii="仿宋_GB2312" w:eastAsia="仿宋_GB2312"/>
          <w:b/>
          <w:color w:val="auto"/>
          <w:sz w:val="44"/>
          <w:szCs w:val="44"/>
          <w:highlight w:val="none"/>
        </w:rPr>
      </w:pPr>
    </w:p>
    <w:p>
      <w:pPr>
        <w:pStyle w:val="228"/>
        <w:widowControl w:val="0"/>
        <w:spacing w:afterLines="0"/>
        <w:ind w:firstLine="883"/>
        <w:jc w:val="center"/>
        <w:rPr>
          <w:rFonts w:ascii="仿宋_GB2312" w:eastAsia="仿宋_GB2312"/>
          <w:b/>
          <w:color w:val="auto"/>
          <w:sz w:val="44"/>
          <w:szCs w:val="44"/>
          <w:highlight w:val="none"/>
        </w:rPr>
      </w:pPr>
    </w:p>
    <w:p>
      <w:pPr>
        <w:jc w:val="center"/>
        <w:rPr>
          <w:rFonts w:ascii="仿宋_GB2312" w:eastAsia="仿宋_GB2312"/>
          <w:b/>
          <w:color w:val="auto"/>
          <w:sz w:val="44"/>
          <w:szCs w:val="44"/>
          <w:highlight w:val="none"/>
        </w:rPr>
      </w:pPr>
      <w:r>
        <w:rPr>
          <w:rFonts w:hint="eastAsia" w:ascii="仿宋_GB2312" w:eastAsia="仿宋_GB2312"/>
          <w:b/>
          <w:color w:val="auto"/>
          <w:sz w:val="44"/>
          <w:szCs w:val="44"/>
          <w:highlight w:val="none"/>
        </w:rPr>
        <w:br w:type="page"/>
      </w:r>
    </w:p>
    <w:p>
      <w:pPr>
        <w:pStyle w:val="228"/>
        <w:widowControl w:val="0"/>
        <w:spacing w:afterLines="0"/>
        <w:ind w:firstLine="883"/>
        <w:jc w:val="center"/>
        <w:rPr>
          <w:rFonts w:ascii="仿宋_GB2312" w:eastAsia="仿宋_GB2312"/>
          <w:b/>
          <w:color w:val="auto"/>
          <w:sz w:val="44"/>
          <w:szCs w:val="44"/>
          <w:highlight w:val="none"/>
        </w:rPr>
      </w:pPr>
    </w:p>
    <w:p>
      <w:pPr>
        <w:pStyle w:val="228"/>
        <w:widowControl w:val="0"/>
        <w:spacing w:afterLines="0"/>
        <w:ind w:firstLine="883"/>
        <w:jc w:val="center"/>
        <w:rPr>
          <w:rFonts w:ascii="仿宋_GB2312" w:eastAsia="仿宋_GB2312"/>
          <w:b/>
          <w:color w:val="auto"/>
          <w:sz w:val="44"/>
          <w:szCs w:val="44"/>
          <w:highlight w:val="none"/>
        </w:rPr>
      </w:pPr>
    </w:p>
    <w:p>
      <w:pPr>
        <w:pStyle w:val="228"/>
        <w:widowControl w:val="0"/>
        <w:spacing w:afterLines="0"/>
        <w:ind w:firstLine="0" w:firstLineChars="0"/>
        <w:rPr>
          <w:rFonts w:ascii="仿宋_GB2312" w:eastAsia="仿宋_GB2312"/>
          <w:b/>
          <w:color w:val="auto"/>
          <w:sz w:val="21"/>
          <w:szCs w:val="21"/>
          <w:highlight w:val="none"/>
        </w:rPr>
      </w:pPr>
    </w:p>
    <w:p>
      <w:pPr>
        <w:pStyle w:val="228"/>
        <w:widowControl w:val="0"/>
        <w:spacing w:afterLines="0"/>
        <w:ind w:firstLine="422"/>
        <w:jc w:val="center"/>
        <w:rPr>
          <w:rFonts w:ascii="仿宋_GB2312" w:eastAsia="仿宋_GB2312"/>
          <w:b/>
          <w:color w:val="auto"/>
          <w:sz w:val="21"/>
          <w:szCs w:val="21"/>
          <w:highlight w:val="none"/>
        </w:rPr>
      </w:pPr>
    </w:p>
    <w:p>
      <w:pPr>
        <w:pStyle w:val="228"/>
        <w:widowControl w:val="0"/>
        <w:spacing w:afterLines="0"/>
        <w:ind w:firstLine="422"/>
        <w:jc w:val="center"/>
        <w:rPr>
          <w:rFonts w:ascii="仿宋_GB2312" w:eastAsia="仿宋_GB2312"/>
          <w:b/>
          <w:color w:val="auto"/>
          <w:sz w:val="21"/>
          <w:szCs w:val="21"/>
          <w:highlight w:val="none"/>
        </w:rPr>
      </w:pPr>
    </w:p>
    <w:p>
      <w:pPr>
        <w:pStyle w:val="228"/>
        <w:widowControl w:val="0"/>
        <w:spacing w:afterLines="0"/>
        <w:ind w:firstLine="422"/>
        <w:jc w:val="center"/>
        <w:rPr>
          <w:rFonts w:ascii="仿宋_GB2312" w:eastAsia="仿宋_GB2312"/>
          <w:b/>
          <w:color w:val="auto"/>
          <w:sz w:val="21"/>
          <w:szCs w:val="21"/>
          <w:highlight w:val="none"/>
        </w:rPr>
      </w:pPr>
    </w:p>
    <w:p>
      <w:pPr>
        <w:pStyle w:val="228"/>
        <w:widowControl w:val="0"/>
        <w:spacing w:afterLines="0"/>
        <w:ind w:firstLine="422"/>
        <w:jc w:val="center"/>
        <w:rPr>
          <w:rFonts w:ascii="仿宋_GB2312" w:eastAsia="仿宋_GB2312"/>
          <w:b/>
          <w:color w:val="auto"/>
          <w:sz w:val="21"/>
          <w:szCs w:val="21"/>
          <w:highlight w:val="none"/>
        </w:rPr>
      </w:pPr>
    </w:p>
    <w:p>
      <w:pPr>
        <w:pStyle w:val="228"/>
        <w:widowControl w:val="0"/>
        <w:spacing w:afterLines="0"/>
        <w:ind w:firstLine="422"/>
        <w:jc w:val="center"/>
        <w:rPr>
          <w:rFonts w:ascii="仿宋_GB2312" w:eastAsia="仿宋_GB2312"/>
          <w:b/>
          <w:color w:val="auto"/>
          <w:sz w:val="21"/>
          <w:szCs w:val="21"/>
          <w:highlight w:val="none"/>
        </w:rPr>
      </w:pPr>
    </w:p>
    <w:p>
      <w:pPr>
        <w:pStyle w:val="228"/>
        <w:widowControl w:val="0"/>
        <w:spacing w:afterLines="0"/>
        <w:ind w:firstLine="0" w:firstLineChars="0"/>
        <w:rPr>
          <w:rFonts w:ascii="仿宋_GB2312" w:eastAsia="仿宋_GB2312"/>
          <w:b/>
          <w:color w:val="auto"/>
          <w:sz w:val="21"/>
          <w:szCs w:val="21"/>
          <w:highlight w:val="none"/>
        </w:rPr>
      </w:pPr>
    </w:p>
    <w:p>
      <w:pPr>
        <w:pStyle w:val="228"/>
        <w:widowControl w:val="0"/>
        <w:spacing w:afterLines="0"/>
        <w:ind w:firstLine="422"/>
        <w:jc w:val="center"/>
        <w:rPr>
          <w:rFonts w:ascii="仿宋_GB2312" w:eastAsia="仿宋_GB2312"/>
          <w:b/>
          <w:color w:val="auto"/>
          <w:sz w:val="21"/>
          <w:szCs w:val="21"/>
          <w:highlight w:val="none"/>
        </w:rPr>
      </w:pPr>
    </w:p>
    <w:p>
      <w:pPr>
        <w:pStyle w:val="228"/>
        <w:widowControl w:val="0"/>
        <w:spacing w:afterLines="0"/>
        <w:ind w:firstLine="422"/>
        <w:jc w:val="center"/>
        <w:rPr>
          <w:rFonts w:ascii="仿宋_GB2312" w:eastAsia="仿宋_GB2312"/>
          <w:b/>
          <w:color w:val="auto"/>
          <w:sz w:val="21"/>
          <w:szCs w:val="21"/>
          <w:highlight w:val="none"/>
        </w:rPr>
      </w:pPr>
    </w:p>
    <w:p>
      <w:pPr>
        <w:pStyle w:val="228"/>
        <w:widowControl w:val="0"/>
        <w:spacing w:afterLines="0"/>
        <w:ind w:firstLine="2182" w:firstLineChars="494"/>
        <w:rPr>
          <w:rFonts w:ascii="黑体" w:eastAsia="黑体"/>
          <w:color w:val="auto"/>
          <w:sz w:val="32"/>
          <w:szCs w:val="32"/>
          <w:highlight w:val="none"/>
        </w:rPr>
      </w:pPr>
      <w:r>
        <w:rPr>
          <w:rFonts w:hint="eastAsia" w:ascii="仿宋_GB2312" w:eastAsia="仿宋_GB2312"/>
          <w:b/>
          <w:color w:val="auto"/>
          <w:sz w:val="44"/>
          <w:szCs w:val="44"/>
          <w:highlight w:val="none"/>
        </w:rPr>
        <w:t>第一章  公开招标公告</w:t>
      </w:r>
    </w:p>
    <w:p>
      <w:pPr>
        <w:pStyle w:val="228"/>
        <w:widowControl w:val="0"/>
        <w:spacing w:afterLines="0"/>
        <w:ind w:firstLine="3840" w:firstLineChars="1200"/>
        <w:rPr>
          <w:b/>
          <w:color w:val="auto"/>
          <w:sz w:val="32"/>
          <w:szCs w:val="32"/>
          <w:highlight w:val="none"/>
        </w:rPr>
      </w:pPr>
      <w:r>
        <w:rPr>
          <w:rFonts w:hint="eastAsia" w:ascii="黑体" w:eastAsia="黑体"/>
          <w:color w:val="auto"/>
          <w:sz w:val="32"/>
          <w:szCs w:val="32"/>
          <w:highlight w:val="none"/>
        </w:rPr>
        <w:br w:type="page"/>
      </w:r>
      <w:r>
        <w:rPr>
          <w:rFonts w:hint="eastAsia"/>
          <w:b/>
          <w:color w:val="auto"/>
          <w:sz w:val="32"/>
          <w:szCs w:val="32"/>
          <w:highlight w:val="none"/>
        </w:rPr>
        <w:t>招标公告</w:t>
      </w:r>
    </w:p>
    <w:p>
      <w:pPr>
        <w:pBdr>
          <w:top w:val="single" w:color="auto" w:sz="4" w:space="1"/>
          <w:left w:val="single" w:color="auto" w:sz="4" w:space="4"/>
          <w:bottom w:val="single" w:color="auto" w:sz="4" w:space="1"/>
          <w:right w:val="single" w:color="auto" w:sz="4" w:space="4"/>
        </w:pBdr>
        <w:adjustRightInd w:val="0"/>
        <w:snapToGrid w:val="0"/>
        <w:spacing w:line="320" w:lineRule="exact"/>
        <w:jc w:val="center"/>
        <w:rPr>
          <w:rFonts w:ascii="宋体" w:hAnsi="宋体"/>
          <w:color w:val="auto"/>
          <w:highlight w:val="none"/>
        </w:rPr>
      </w:pPr>
      <w:r>
        <w:rPr>
          <w:rFonts w:hint="eastAsia" w:ascii="宋体" w:hAnsi="宋体"/>
          <w:color w:val="auto"/>
          <w:highlight w:val="none"/>
        </w:rPr>
        <w:t>项目概况</w:t>
      </w:r>
    </w:p>
    <w:p>
      <w:pPr>
        <w:pBdr>
          <w:top w:val="single" w:color="auto" w:sz="4" w:space="1"/>
          <w:left w:val="single" w:color="auto" w:sz="4" w:space="4"/>
          <w:bottom w:val="single" w:color="auto" w:sz="4" w:space="1"/>
          <w:right w:val="single" w:color="auto" w:sz="4" w:space="4"/>
        </w:pBdr>
        <w:adjustRightInd w:val="0"/>
        <w:snapToGrid w:val="0"/>
        <w:spacing w:line="320" w:lineRule="exact"/>
        <w:ind w:firstLine="420" w:firstLineChars="200"/>
        <w:rPr>
          <w:rFonts w:ascii="宋体" w:hAnsi="宋体"/>
          <w:color w:val="auto"/>
          <w:szCs w:val="21"/>
          <w:highlight w:val="none"/>
        </w:rPr>
      </w:pPr>
      <w:r>
        <w:rPr>
          <w:rFonts w:hint="eastAsia"/>
          <w:color w:val="auto"/>
          <w:highlight w:val="none"/>
          <w:u w:val="single"/>
        </w:rPr>
        <w:t>广西艺术学院图书馆密集书架及数智影视传媒艺术实验教学中心设备采购</w:t>
      </w:r>
      <w:r>
        <w:rPr>
          <w:color w:val="auto"/>
          <w:highlight w:val="none"/>
        </w:rPr>
        <w:t>项目的潜在投标人应在</w:t>
      </w:r>
      <w:r>
        <w:rPr>
          <w:color w:val="auto"/>
          <w:highlight w:val="none"/>
          <w:lang w:val="en"/>
        </w:rPr>
        <w:t>广西政府采购云平台（网址：http://www.gcy.zfcg.gxzf.gov.cn）</w:t>
      </w:r>
      <w:r>
        <w:rPr>
          <w:color w:val="auto"/>
          <w:highlight w:val="none"/>
        </w:rPr>
        <w:t xml:space="preserve">获取招标文件，并于 </w:t>
      </w:r>
      <w:r>
        <w:rPr>
          <w:color w:val="auto"/>
          <w:highlight w:val="none"/>
          <w:lang w:val="en"/>
        </w:rPr>
        <w:t>2025年</w:t>
      </w:r>
      <w:r>
        <w:rPr>
          <w:rFonts w:hint="eastAsia"/>
          <w:color w:val="auto"/>
          <w:highlight w:val="none"/>
          <w:lang w:val="en-US" w:eastAsia="zh-CN"/>
        </w:rPr>
        <w:t>11</w:t>
      </w:r>
      <w:r>
        <w:rPr>
          <w:color w:val="auto"/>
          <w:highlight w:val="none"/>
          <w:lang w:val="en"/>
        </w:rPr>
        <w:t>月</w:t>
      </w:r>
      <w:r>
        <w:rPr>
          <w:rFonts w:hint="eastAsia"/>
          <w:color w:val="auto"/>
          <w:highlight w:val="none"/>
          <w:lang w:val="en-US" w:eastAsia="zh-CN"/>
        </w:rPr>
        <w:t>3</w:t>
      </w:r>
      <w:r>
        <w:rPr>
          <w:color w:val="auto"/>
          <w:highlight w:val="none"/>
          <w:lang w:val="en"/>
        </w:rPr>
        <w:t>日</w:t>
      </w:r>
      <w:r>
        <w:rPr>
          <w:color w:val="auto"/>
          <w:highlight w:val="none"/>
        </w:rPr>
        <w:t xml:space="preserve"> 10:00（北京时间）前递交投标文件。</w:t>
      </w:r>
    </w:p>
    <w:p>
      <w:pPr>
        <w:adjustRightInd w:val="0"/>
        <w:snapToGrid w:val="0"/>
        <w:spacing w:line="340" w:lineRule="exact"/>
        <w:ind w:firstLine="421" w:firstLineChars="200"/>
        <w:rPr>
          <w:b/>
          <w:color w:val="auto"/>
          <w:sz w:val="21"/>
          <w:szCs w:val="21"/>
          <w:highlight w:val="none"/>
        </w:rPr>
      </w:pPr>
      <w:bookmarkStart w:id="0" w:name="_Toc28359086"/>
      <w:bookmarkStart w:id="1" w:name="_Toc28359009"/>
      <w:r>
        <w:rPr>
          <w:rFonts w:hint="eastAsia"/>
          <w:b/>
          <w:color w:val="auto"/>
          <w:sz w:val="21"/>
          <w:szCs w:val="21"/>
          <w:highlight w:val="none"/>
        </w:rPr>
        <w:t>一、项目基本情况</w:t>
      </w:r>
    </w:p>
    <w:p>
      <w:pPr>
        <w:adjustRightInd w:val="0"/>
        <w:snapToGrid w:val="0"/>
        <w:spacing w:line="340" w:lineRule="exact"/>
        <w:ind w:firstLine="420" w:firstLineChars="200"/>
        <w:rPr>
          <w:color w:val="auto"/>
          <w:sz w:val="21"/>
          <w:szCs w:val="21"/>
          <w:highlight w:val="none"/>
        </w:rPr>
      </w:pPr>
      <w:r>
        <w:rPr>
          <w:rFonts w:hint="eastAsia"/>
          <w:color w:val="auto"/>
          <w:sz w:val="21"/>
          <w:szCs w:val="21"/>
          <w:highlight w:val="none"/>
        </w:rPr>
        <w:t>项目编号：GXZC2025-G1-002924-CGZX</w:t>
      </w:r>
    </w:p>
    <w:p>
      <w:pPr>
        <w:snapToGrid w:val="0"/>
        <w:ind w:firstLine="420" w:firstLineChars="200"/>
        <w:jc w:val="left"/>
        <w:rPr>
          <w:color w:val="auto"/>
          <w:sz w:val="21"/>
          <w:szCs w:val="21"/>
          <w:highlight w:val="none"/>
          <w:lang w:val="en"/>
        </w:rPr>
      </w:pPr>
      <w:r>
        <w:rPr>
          <w:rFonts w:hint="eastAsia"/>
          <w:color w:val="auto"/>
          <w:sz w:val="21"/>
          <w:szCs w:val="21"/>
          <w:highlight w:val="none"/>
        </w:rPr>
        <w:t>项目名称：</w:t>
      </w:r>
      <w:r>
        <w:rPr>
          <w:rFonts w:hint="eastAsia" w:ascii="宋体" w:hAnsi="宋体"/>
          <w:color w:val="auto"/>
          <w:sz w:val="21"/>
          <w:szCs w:val="21"/>
          <w:highlight w:val="none"/>
        </w:rPr>
        <w:t>广西艺术学院图书馆密集书架及数智影视传媒艺术实验教学中心设备采购</w:t>
      </w:r>
    </w:p>
    <w:p>
      <w:pPr>
        <w:adjustRightInd w:val="0"/>
        <w:snapToGrid w:val="0"/>
        <w:spacing w:line="340" w:lineRule="exact"/>
        <w:ind w:firstLine="420" w:firstLineChars="200"/>
        <w:rPr>
          <w:color w:val="auto"/>
          <w:sz w:val="21"/>
          <w:szCs w:val="21"/>
          <w:highlight w:val="none"/>
        </w:rPr>
      </w:pPr>
      <w:r>
        <w:rPr>
          <w:rFonts w:hint="eastAsia"/>
          <w:color w:val="auto"/>
          <w:sz w:val="21"/>
          <w:szCs w:val="21"/>
          <w:highlight w:val="none"/>
        </w:rPr>
        <w:t>预算总金额（元）：3005127.00</w:t>
      </w:r>
    </w:p>
    <w:p>
      <w:pPr>
        <w:adjustRightInd w:val="0"/>
        <w:snapToGrid w:val="0"/>
        <w:spacing w:line="340" w:lineRule="exact"/>
        <w:ind w:firstLine="420" w:firstLineChars="200"/>
        <w:rPr>
          <w:color w:val="auto"/>
          <w:sz w:val="21"/>
          <w:szCs w:val="21"/>
          <w:highlight w:val="none"/>
        </w:rPr>
      </w:pPr>
      <w:r>
        <w:rPr>
          <w:rFonts w:hint="eastAsia"/>
          <w:color w:val="auto"/>
          <w:sz w:val="21"/>
          <w:szCs w:val="21"/>
          <w:highlight w:val="none"/>
        </w:rPr>
        <w:t>采购需求：</w:t>
      </w:r>
    </w:p>
    <w:p>
      <w:pPr>
        <w:adjustRightInd w:val="0"/>
        <w:snapToGrid w:val="0"/>
        <w:spacing w:line="340" w:lineRule="exact"/>
        <w:ind w:firstLine="420" w:firstLineChars="200"/>
        <w:rPr>
          <w:color w:val="auto"/>
          <w:sz w:val="21"/>
          <w:szCs w:val="21"/>
          <w:highlight w:val="none"/>
        </w:rPr>
      </w:pPr>
      <w:r>
        <w:rPr>
          <w:rFonts w:hint="eastAsia"/>
          <w:color w:val="auto"/>
          <w:sz w:val="21"/>
          <w:szCs w:val="21"/>
          <w:highlight w:val="none"/>
        </w:rPr>
        <w:t>标项一：</w:t>
      </w:r>
    </w:p>
    <w:p>
      <w:pPr>
        <w:adjustRightInd w:val="0"/>
        <w:snapToGrid w:val="0"/>
        <w:spacing w:line="340" w:lineRule="exact"/>
        <w:ind w:firstLine="420" w:firstLineChars="200"/>
        <w:rPr>
          <w:color w:val="auto"/>
          <w:sz w:val="21"/>
          <w:szCs w:val="21"/>
          <w:highlight w:val="none"/>
        </w:rPr>
      </w:pPr>
      <w:r>
        <w:rPr>
          <w:rFonts w:hint="eastAsia"/>
          <w:color w:val="auto"/>
          <w:sz w:val="21"/>
          <w:szCs w:val="21"/>
          <w:highlight w:val="none"/>
        </w:rPr>
        <w:t>标项名称: 图书馆密集书架</w:t>
      </w:r>
      <w:r>
        <w:rPr>
          <w:rFonts w:hint="eastAsia"/>
          <w:color w:val="auto"/>
          <w:sz w:val="21"/>
          <w:szCs w:val="21"/>
          <w:highlight w:val="none"/>
          <w:lang w:eastAsia="zh-CN"/>
        </w:rPr>
        <w:t>采购</w:t>
      </w:r>
      <w:r>
        <w:rPr>
          <w:rFonts w:hint="eastAsia"/>
          <w:color w:val="auto"/>
          <w:sz w:val="21"/>
          <w:szCs w:val="21"/>
          <w:highlight w:val="none"/>
        </w:rPr>
        <w:t xml:space="preserve">  </w:t>
      </w:r>
    </w:p>
    <w:p>
      <w:pPr>
        <w:adjustRightInd w:val="0"/>
        <w:snapToGrid w:val="0"/>
        <w:spacing w:line="340" w:lineRule="exact"/>
        <w:ind w:firstLine="420" w:firstLineChars="200"/>
        <w:rPr>
          <w:color w:val="auto"/>
          <w:sz w:val="21"/>
          <w:szCs w:val="21"/>
          <w:highlight w:val="none"/>
        </w:rPr>
      </w:pPr>
      <w:r>
        <w:rPr>
          <w:rFonts w:hint="eastAsia"/>
          <w:color w:val="auto"/>
          <w:sz w:val="21"/>
          <w:szCs w:val="21"/>
          <w:highlight w:val="none"/>
        </w:rPr>
        <w:t xml:space="preserve">数量:1 </w:t>
      </w:r>
      <w:r>
        <w:rPr>
          <w:rFonts w:hint="eastAsia"/>
          <w:color w:val="auto"/>
          <w:sz w:val="21"/>
          <w:szCs w:val="21"/>
          <w:highlight w:val="none"/>
        </w:rPr>
        <w:br w:type="textWrapping"/>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color w:val="auto"/>
          <w:sz w:val="21"/>
          <w:szCs w:val="21"/>
          <w:highlight w:val="none"/>
        </w:rPr>
        <w:t xml:space="preserve"> 预算金额（元）:1880000.00</w:t>
      </w:r>
    </w:p>
    <w:p>
      <w:pPr>
        <w:widowControl/>
        <w:spacing w:line="264" w:lineRule="auto"/>
        <w:jc w:val="left"/>
        <w:textAlignment w:val="center"/>
        <w:rPr>
          <w:color w:val="auto"/>
          <w:sz w:val="21"/>
          <w:szCs w:val="21"/>
          <w:highlight w:val="none"/>
        </w:rPr>
      </w:pPr>
      <w:r>
        <w:rPr>
          <w:rFonts w:hint="eastAsia"/>
          <w:color w:val="auto"/>
          <w:sz w:val="21"/>
          <w:szCs w:val="21"/>
          <w:highlight w:val="none"/>
          <w:lang w:val="en-US" w:eastAsia="zh-CN"/>
        </w:rPr>
        <w:t xml:space="preserve">    </w:t>
      </w:r>
      <w:r>
        <w:rPr>
          <w:rFonts w:hint="eastAsia"/>
          <w:color w:val="auto"/>
          <w:sz w:val="21"/>
          <w:szCs w:val="21"/>
          <w:highlight w:val="none"/>
        </w:rPr>
        <w:t>简要规格描述或项目基本概况介绍、用途：</w:t>
      </w:r>
      <w:r>
        <w:rPr>
          <w:rFonts w:hint="eastAsia" w:ascii="宋体" w:hAnsi="宋体" w:cs="宋体"/>
          <w:color w:val="auto"/>
          <w:kern w:val="0"/>
          <w:sz w:val="21"/>
          <w:szCs w:val="21"/>
          <w:highlight w:val="none"/>
        </w:rPr>
        <w:t>图书馆密集书架</w:t>
      </w:r>
      <w:r>
        <w:rPr>
          <w:rFonts w:hint="eastAsia" w:ascii="宋体" w:hAnsi="宋体" w:cs="宋体"/>
          <w:color w:val="auto"/>
          <w:kern w:val="0"/>
          <w:sz w:val="21"/>
          <w:szCs w:val="21"/>
          <w:highlight w:val="none"/>
          <w:lang w:val="en-US" w:eastAsia="zh-CN"/>
        </w:rPr>
        <w:t>940个</w:t>
      </w:r>
      <w:r>
        <w:rPr>
          <w:rFonts w:hint="eastAsia"/>
          <w:color w:val="auto"/>
          <w:sz w:val="21"/>
          <w:szCs w:val="21"/>
          <w:highlight w:val="none"/>
          <w:lang w:eastAsia="zh-CN"/>
        </w:rPr>
        <w:t>。</w:t>
      </w:r>
      <w:r>
        <w:rPr>
          <w:rFonts w:hint="eastAsia"/>
          <w:color w:val="auto"/>
          <w:sz w:val="21"/>
          <w:szCs w:val="21"/>
          <w:highlight w:val="none"/>
          <w:lang w:val="en"/>
        </w:rPr>
        <w:t>如需进一步了解详细内容，详见采购文件。</w:t>
      </w:r>
    </w:p>
    <w:p>
      <w:pPr>
        <w:adjustRightInd w:val="0"/>
        <w:snapToGrid w:val="0"/>
        <w:spacing w:line="340" w:lineRule="exact"/>
        <w:ind w:firstLine="420" w:firstLineChars="200"/>
        <w:rPr>
          <w:color w:val="auto"/>
          <w:sz w:val="21"/>
          <w:szCs w:val="21"/>
          <w:highlight w:val="none"/>
          <w:lang w:val="en"/>
        </w:rPr>
      </w:pPr>
      <w:r>
        <w:rPr>
          <w:rFonts w:hint="eastAsia"/>
          <w:color w:val="auto"/>
          <w:sz w:val="21"/>
          <w:szCs w:val="21"/>
          <w:highlight w:val="none"/>
        </w:rPr>
        <w:t xml:space="preserve">最高限价（如有）： </w:t>
      </w:r>
      <w:r>
        <w:rPr>
          <w:color w:val="auto"/>
          <w:sz w:val="21"/>
          <w:szCs w:val="21"/>
          <w:highlight w:val="none"/>
          <w:lang w:val="en"/>
        </w:rPr>
        <w:t>/</w:t>
      </w:r>
    </w:p>
    <w:p>
      <w:pPr>
        <w:adjustRightInd w:val="0"/>
        <w:snapToGrid w:val="0"/>
        <w:spacing w:line="340" w:lineRule="exact"/>
        <w:ind w:firstLine="420" w:firstLineChars="200"/>
        <w:rPr>
          <w:color w:val="auto"/>
          <w:sz w:val="21"/>
          <w:szCs w:val="21"/>
          <w:highlight w:val="none"/>
        </w:rPr>
      </w:pPr>
      <w:r>
        <w:rPr>
          <w:rFonts w:hint="eastAsia"/>
          <w:color w:val="auto"/>
          <w:sz w:val="21"/>
          <w:szCs w:val="21"/>
          <w:highlight w:val="none"/>
        </w:rPr>
        <w:t>合同履约期限：自合同签订之日起至项目履约完毕</w:t>
      </w:r>
    </w:p>
    <w:p>
      <w:pPr>
        <w:adjustRightInd w:val="0"/>
        <w:snapToGrid w:val="0"/>
        <w:spacing w:line="340" w:lineRule="exact"/>
        <w:ind w:firstLine="420" w:firstLineChars="200"/>
        <w:rPr>
          <w:rFonts w:hint="eastAsia" w:eastAsia="宋体"/>
          <w:color w:val="auto"/>
          <w:sz w:val="21"/>
          <w:szCs w:val="21"/>
          <w:highlight w:val="none"/>
          <w:lang w:eastAsia="zh-CN"/>
        </w:rPr>
      </w:pPr>
      <w:r>
        <w:rPr>
          <w:rFonts w:hint="eastAsia"/>
          <w:color w:val="auto"/>
          <w:sz w:val="21"/>
          <w:szCs w:val="21"/>
          <w:highlight w:val="none"/>
        </w:rPr>
        <w:t>本项目（否）接受联合体竞标</w:t>
      </w:r>
      <w:r>
        <w:rPr>
          <w:rFonts w:hint="eastAsia"/>
          <w:color w:val="auto"/>
          <w:sz w:val="21"/>
          <w:szCs w:val="21"/>
          <w:highlight w:val="none"/>
        </w:rPr>
        <w:br w:type="textWrapping"/>
      </w:r>
      <w:r>
        <w:rPr>
          <w:rFonts w:hint="eastAsia"/>
          <w:color w:val="auto"/>
          <w:sz w:val="21"/>
          <w:szCs w:val="21"/>
          <w:highlight w:val="none"/>
        </w:rPr>
        <w:t>备注：本项目为线上电子招标项目，有意向参与本项目的供应商应当做好参与全流程电子招投标交易的充分准备</w:t>
      </w:r>
      <w:r>
        <w:rPr>
          <w:rFonts w:hint="eastAsia"/>
          <w:color w:val="auto"/>
          <w:sz w:val="21"/>
          <w:szCs w:val="21"/>
          <w:highlight w:val="none"/>
          <w:lang w:eastAsia="zh-CN"/>
        </w:rPr>
        <w:t>。</w:t>
      </w:r>
    </w:p>
    <w:p>
      <w:pPr>
        <w:adjustRightInd w:val="0"/>
        <w:snapToGrid w:val="0"/>
        <w:spacing w:line="340" w:lineRule="exact"/>
        <w:ind w:firstLine="420" w:firstLineChars="200"/>
        <w:rPr>
          <w:color w:val="auto"/>
          <w:sz w:val="21"/>
          <w:szCs w:val="21"/>
          <w:highlight w:val="none"/>
        </w:rPr>
      </w:pPr>
      <w:r>
        <w:rPr>
          <w:rFonts w:hint="eastAsia"/>
          <w:color w:val="auto"/>
          <w:sz w:val="21"/>
          <w:szCs w:val="21"/>
          <w:highlight w:val="none"/>
        </w:rPr>
        <w:t>标项二：</w:t>
      </w:r>
    </w:p>
    <w:p>
      <w:pPr>
        <w:adjustRightInd w:val="0"/>
        <w:snapToGrid w:val="0"/>
        <w:spacing w:line="340" w:lineRule="exact"/>
        <w:ind w:firstLine="420" w:firstLineChars="200"/>
        <w:rPr>
          <w:rFonts w:hint="eastAsia" w:eastAsia="宋体"/>
          <w:color w:val="auto"/>
          <w:sz w:val="21"/>
          <w:szCs w:val="21"/>
          <w:highlight w:val="none"/>
          <w:lang w:eastAsia="zh-CN"/>
        </w:rPr>
      </w:pPr>
      <w:r>
        <w:rPr>
          <w:rFonts w:hint="eastAsia"/>
          <w:color w:val="auto"/>
          <w:sz w:val="21"/>
          <w:szCs w:val="21"/>
          <w:highlight w:val="none"/>
        </w:rPr>
        <w:t>标项名称: 数智影视传媒艺术实验教学中心设备</w:t>
      </w:r>
      <w:r>
        <w:rPr>
          <w:rFonts w:hint="eastAsia"/>
          <w:color w:val="auto"/>
          <w:sz w:val="21"/>
          <w:szCs w:val="21"/>
          <w:highlight w:val="none"/>
          <w:lang w:eastAsia="zh-CN"/>
        </w:rPr>
        <w:t>采购</w:t>
      </w:r>
    </w:p>
    <w:p>
      <w:pPr>
        <w:ind w:firstLine="420" w:firstLineChars="200"/>
        <w:rPr>
          <w:color w:val="auto"/>
          <w:sz w:val="21"/>
          <w:szCs w:val="21"/>
          <w:highlight w:val="none"/>
        </w:rPr>
      </w:pPr>
      <w:r>
        <w:rPr>
          <w:rFonts w:hint="eastAsia"/>
          <w:color w:val="auto"/>
          <w:sz w:val="21"/>
          <w:szCs w:val="21"/>
          <w:highlight w:val="none"/>
        </w:rPr>
        <w:t xml:space="preserve">数量:1 </w:t>
      </w:r>
      <w:r>
        <w:rPr>
          <w:rFonts w:hint="eastAsia"/>
          <w:color w:val="auto"/>
          <w:sz w:val="21"/>
          <w:szCs w:val="21"/>
          <w:highlight w:val="none"/>
        </w:rPr>
        <w:br w:type="textWrapping"/>
      </w: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color w:val="auto"/>
          <w:sz w:val="21"/>
          <w:szCs w:val="21"/>
          <w:highlight w:val="none"/>
        </w:rPr>
        <w:t xml:space="preserve">预算金额（元）: </w:t>
      </w:r>
      <w:r>
        <w:rPr>
          <w:rFonts w:hint="eastAsia"/>
          <w:color w:val="auto"/>
          <w:sz w:val="21"/>
          <w:szCs w:val="21"/>
          <w:highlight w:val="none"/>
          <w:lang w:val="en"/>
        </w:rPr>
        <w:t>1</w:t>
      </w:r>
      <w:r>
        <w:rPr>
          <w:rFonts w:hint="eastAsia"/>
          <w:color w:val="auto"/>
          <w:sz w:val="21"/>
          <w:szCs w:val="21"/>
          <w:highlight w:val="none"/>
        </w:rPr>
        <w:t>125127.00</w:t>
      </w:r>
      <w:r>
        <w:rPr>
          <w:rFonts w:hint="eastAsia"/>
          <w:color w:val="auto"/>
          <w:sz w:val="21"/>
          <w:szCs w:val="21"/>
          <w:highlight w:val="none"/>
        </w:rPr>
        <w:br w:type="textWrapping"/>
      </w:r>
      <w:r>
        <w:rPr>
          <w:rFonts w:hint="eastAsia"/>
          <w:color w:val="auto"/>
          <w:sz w:val="21"/>
          <w:szCs w:val="21"/>
          <w:highlight w:val="none"/>
        </w:rPr>
        <w:t xml:space="preserve">    简要规格描述或项目基本概况介绍、用途：LED屏1套</w:t>
      </w:r>
      <w:r>
        <w:rPr>
          <w:rFonts w:hint="eastAsia"/>
          <w:color w:val="auto"/>
          <w:sz w:val="21"/>
          <w:szCs w:val="21"/>
          <w:highlight w:val="none"/>
          <w:lang w:eastAsia="zh-CN"/>
        </w:rPr>
        <w:t>；</w:t>
      </w:r>
      <w:r>
        <w:rPr>
          <w:rFonts w:hint="eastAsia"/>
          <w:color w:val="auto"/>
          <w:sz w:val="21"/>
          <w:szCs w:val="21"/>
          <w:highlight w:val="none"/>
        </w:rPr>
        <w:t>LED屏1套</w:t>
      </w:r>
      <w:r>
        <w:rPr>
          <w:rFonts w:hint="eastAsia"/>
          <w:color w:val="auto"/>
          <w:sz w:val="21"/>
          <w:szCs w:val="21"/>
          <w:highlight w:val="none"/>
          <w:lang w:eastAsia="zh-CN"/>
        </w:rPr>
        <w:t>；</w:t>
      </w:r>
      <w:r>
        <w:rPr>
          <w:rFonts w:hint="eastAsia"/>
          <w:color w:val="auto"/>
          <w:sz w:val="21"/>
          <w:szCs w:val="21"/>
          <w:highlight w:val="none"/>
        </w:rPr>
        <w:t>电子防潮柜2套</w:t>
      </w:r>
      <w:r>
        <w:rPr>
          <w:rFonts w:hint="eastAsia"/>
          <w:color w:val="auto"/>
          <w:sz w:val="21"/>
          <w:szCs w:val="21"/>
          <w:highlight w:val="none"/>
          <w:lang w:eastAsia="zh-CN"/>
        </w:rPr>
        <w:t>；</w:t>
      </w:r>
      <w:r>
        <w:rPr>
          <w:rFonts w:hint="eastAsia"/>
          <w:color w:val="auto"/>
          <w:sz w:val="21"/>
          <w:szCs w:val="21"/>
          <w:highlight w:val="none"/>
        </w:rPr>
        <w:t>显示器10台</w:t>
      </w:r>
      <w:r>
        <w:rPr>
          <w:rFonts w:hint="eastAsia"/>
          <w:color w:val="auto"/>
          <w:sz w:val="21"/>
          <w:szCs w:val="21"/>
          <w:highlight w:val="none"/>
          <w:lang w:eastAsia="zh-CN"/>
        </w:rPr>
        <w:t>；</w:t>
      </w:r>
      <w:r>
        <w:rPr>
          <w:rFonts w:hint="eastAsia"/>
          <w:color w:val="auto"/>
          <w:sz w:val="21"/>
          <w:szCs w:val="21"/>
          <w:highlight w:val="none"/>
        </w:rPr>
        <w:t>便携式电脑5台</w:t>
      </w:r>
      <w:r>
        <w:rPr>
          <w:rFonts w:hint="eastAsia"/>
          <w:color w:val="auto"/>
          <w:sz w:val="21"/>
          <w:szCs w:val="21"/>
          <w:highlight w:val="none"/>
          <w:lang w:eastAsia="zh-CN"/>
        </w:rPr>
        <w:t>；</w:t>
      </w:r>
      <w:r>
        <w:rPr>
          <w:rFonts w:hint="eastAsia"/>
          <w:color w:val="auto"/>
          <w:sz w:val="21"/>
          <w:szCs w:val="21"/>
          <w:highlight w:val="none"/>
        </w:rPr>
        <w:t>桌椅1套</w:t>
      </w:r>
      <w:r>
        <w:rPr>
          <w:rFonts w:hint="eastAsia"/>
          <w:color w:val="auto"/>
          <w:sz w:val="21"/>
          <w:szCs w:val="21"/>
          <w:highlight w:val="none"/>
          <w:lang w:eastAsia="zh-CN"/>
        </w:rPr>
        <w:t>；</w:t>
      </w:r>
      <w:r>
        <w:rPr>
          <w:rFonts w:hint="eastAsia"/>
          <w:color w:val="auto"/>
          <w:sz w:val="21"/>
          <w:szCs w:val="21"/>
          <w:highlight w:val="none"/>
        </w:rPr>
        <w:t>激光工程投影机1台</w:t>
      </w:r>
      <w:r>
        <w:rPr>
          <w:rFonts w:hint="eastAsia"/>
          <w:color w:val="auto"/>
          <w:sz w:val="21"/>
          <w:szCs w:val="21"/>
          <w:highlight w:val="none"/>
          <w:lang w:eastAsia="zh-CN"/>
        </w:rPr>
        <w:t>；</w:t>
      </w:r>
      <w:r>
        <w:rPr>
          <w:rFonts w:hint="eastAsia"/>
          <w:color w:val="auto"/>
          <w:sz w:val="21"/>
          <w:szCs w:val="21"/>
          <w:highlight w:val="none"/>
        </w:rPr>
        <w:t>工业3D打印机1台</w:t>
      </w:r>
      <w:r>
        <w:rPr>
          <w:rFonts w:hint="eastAsia"/>
          <w:color w:val="auto"/>
          <w:sz w:val="21"/>
          <w:szCs w:val="21"/>
          <w:highlight w:val="none"/>
          <w:lang w:eastAsia="zh-CN"/>
        </w:rPr>
        <w:t>；</w:t>
      </w:r>
      <w:r>
        <w:rPr>
          <w:rFonts w:hint="eastAsia"/>
          <w:color w:val="auto"/>
          <w:sz w:val="21"/>
          <w:szCs w:val="21"/>
          <w:highlight w:val="none"/>
        </w:rPr>
        <w:t>3D打印机3套</w:t>
      </w:r>
      <w:r>
        <w:rPr>
          <w:rFonts w:hint="eastAsia"/>
          <w:color w:val="auto"/>
          <w:sz w:val="21"/>
          <w:szCs w:val="21"/>
          <w:highlight w:val="none"/>
          <w:lang w:eastAsia="zh-CN"/>
        </w:rPr>
        <w:t>；</w:t>
      </w:r>
      <w:r>
        <w:rPr>
          <w:rFonts w:hint="eastAsia"/>
          <w:color w:val="auto"/>
          <w:sz w:val="21"/>
          <w:szCs w:val="21"/>
          <w:highlight w:val="none"/>
        </w:rPr>
        <w:t>化妆工作台10个</w:t>
      </w:r>
      <w:r>
        <w:rPr>
          <w:rFonts w:hint="eastAsia"/>
          <w:color w:val="auto"/>
          <w:sz w:val="21"/>
          <w:szCs w:val="21"/>
          <w:highlight w:val="none"/>
          <w:lang w:eastAsia="zh-CN"/>
        </w:rPr>
        <w:t>；</w:t>
      </w:r>
      <w:r>
        <w:rPr>
          <w:rFonts w:hint="eastAsia"/>
          <w:color w:val="auto"/>
          <w:sz w:val="21"/>
          <w:szCs w:val="21"/>
          <w:highlight w:val="none"/>
        </w:rPr>
        <w:t>工作站2台</w:t>
      </w:r>
      <w:r>
        <w:rPr>
          <w:rFonts w:hint="eastAsia"/>
          <w:color w:val="auto"/>
          <w:sz w:val="21"/>
          <w:szCs w:val="21"/>
          <w:highlight w:val="none"/>
          <w:lang w:eastAsia="zh-CN"/>
        </w:rPr>
        <w:t>。</w:t>
      </w:r>
      <w:r>
        <w:rPr>
          <w:rFonts w:hint="eastAsia"/>
          <w:color w:val="auto"/>
          <w:sz w:val="21"/>
          <w:szCs w:val="21"/>
          <w:highlight w:val="none"/>
          <w:lang w:val="en"/>
        </w:rPr>
        <w:t>如需进一步了解详细内容，详见采购文件。</w:t>
      </w:r>
    </w:p>
    <w:p>
      <w:pPr>
        <w:adjustRightInd w:val="0"/>
        <w:snapToGrid w:val="0"/>
        <w:spacing w:line="340" w:lineRule="exact"/>
        <w:ind w:firstLine="420" w:firstLineChars="200"/>
        <w:rPr>
          <w:color w:val="auto"/>
          <w:sz w:val="21"/>
          <w:szCs w:val="21"/>
          <w:highlight w:val="none"/>
          <w:lang w:val="en"/>
        </w:rPr>
      </w:pPr>
      <w:r>
        <w:rPr>
          <w:rFonts w:hint="eastAsia"/>
          <w:color w:val="auto"/>
          <w:sz w:val="21"/>
          <w:szCs w:val="21"/>
          <w:highlight w:val="none"/>
        </w:rPr>
        <w:t>最高限价（如有）：</w:t>
      </w:r>
      <w:r>
        <w:rPr>
          <w:color w:val="auto"/>
          <w:sz w:val="21"/>
          <w:szCs w:val="21"/>
          <w:highlight w:val="none"/>
          <w:lang w:val="en"/>
        </w:rPr>
        <w:t>/</w:t>
      </w:r>
    </w:p>
    <w:p>
      <w:pPr>
        <w:adjustRightInd w:val="0"/>
        <w:snapToGrid w:val="0"/>
        <w:spacing w:line="340" w:lineRule="exact"/>
        <w:ind w:firstLine="420" w:firstLineChars="200"/>
        <w:rPr>
          <w:color w:val="auto"/>
          <w:sz w:val="21"/>
          <w:szCs w:val="21"/>
          <w:highlight w:val="none"/>
        </w:rPr>
      </w:pPr>
      <w:r>
        <w:rPr>
          <w:rFonts w:hint="eastAsia"/>
          <w:color w:val="auto"/>
          <w:sz w:val="21"/>
          <w:szCs w:val="21"/>
          <w:highlight w:val="none"/>
        </w:rPr>
        <w:t>合同履约期限：自合同签订之日起至项目履约完毕</w:t>
      </w:r>
    </w:p>
    <w:p>
      <w:pPr>
        <w:adjustRightInd w:val="0"/>
        <w:snapToGrid w:val="0"/>
        <w:spacing w:line="340" w:lineRule="exact"/>
        <w:ind w:firstLine="420" w:firstLineChars="200"/>
        <w:rPr>
          <w:rFonts w:hint="eastAsia" w:eastAsia="宋体"/>
          <w:color w:val="auto"/>
          <w:sz w:val="21"/>
          <w:szCs w:val="21"/>
          <w:highlight w:val="none"/>
          <w:lang w:eastAsia="zh-CN"/>
        </w:rPr>
      </w:pPr>
      <w:r>
        <w:rPr>
          <w:rFonts w:hint="eastAsia"/>
          <w:color w:val="auto"/>
          <w:sz w:val="21"/>
          <w:szCs w:val="21"/>
          <w:highlight w:val="none"/>
        </w:rPr>
        <w:t>本项目（否）接受联合体竞标</w:t>
      </w:r>
      <w:r>
        <w:rPr>
          <w:rFonts w:hint="eastAsia"/>
          <w:color w:val="auto"/>
          <w:sz w:val="21"/>
          <w:szCs w:val="21"/>
          <w:highlight w:val="none"/>
        </w:rPr>
        <w:br w:type="textWrapping"/>
      </w:r>
      <w:r>
        <w:rPr>
          <w:rFonts w:hint="eastAsia"/>
          <w:color w:val="auto"/>
          <w:sz w:val="21"/>
          <w:szCs w:val="21"/>
          <w:highlight w:val="none"/>
        </w:rPr>
        <w:t>备注：本项目为线上电子招标项目，有意向参与本项目的供应商应当做好参与全流程电子招投标交易的充分准备</w:t>
      </w:r>
      <w:r>
        <w:rPr>
          <w:rFonts w:hint="eastAsia"/>
          <w:color w:val="auto"/>
          <w:sz w:val="21"/>
          <w:szCs w:val="21"/>
          <w:highlight w:val="none"/>
          <w:lang w:eastAsia="zh-CN"/>
        </w:rPr>
        <w:t>。</w:t>
      </w:r>
    </w:p>
    <w:p>
      <w:pPr>
        <w:adjustRightInd w:val="0"/>
        <w:snapToGrid w:val="0"/>
        <w:spacing w:line="360" w:lineRule="exact"/>
        <w:ind w:firstLine="421" w:firstLineChars="200"/>
        <w:rPr>
          <w:b/>
          <w:color w:val="auto"/>
          <w:sz w:val="21"/>
          <w:szCs w:val="21"/>
          <w:highlight w:val="none"/>
        </w:rPr>
      </w:pPr>
      <w:r>
        <w:rPr>
          <w:rFonts w:hint="eastAsia"/>
          <w:b/>
          <w:color w:val="auto"/>
          <w:sz w:val="21"/>
          <w:szCs w:val="21"/>
          <w:highlight w:val="none"/>
        </w:rPr>
        <w:t>二、申请人的资格要求：</w:t>
      </w:r>
    </w:p>
    <w:p>
      <w:pPr>
        <w:adjustRightInd w:val="0"/>
        <w:snapToGrid w:val="0"/>
        <w:spacing w:line="360" w:lineRule="exact"/>
        <w:ind w:firstLine="420" w:firstLineChars="200"/>
        <w:rPr>
          <w:color w:val="auto"/>
          <w:sz w:val="21"/>
          <w:szCs w:val="21"/>
          <w:highlight w:val="none"/>
        </w:rPr>
      </w:pPr>
      <w:r>
        <w:rPr>
          <w:rFonts w:hint="eastAsia"/>
          <w:color w:val="auto"/>
          <w:sz w:val="21"/>
          <w:szCs w:val="21"/>
          <w:highlight w:val="none"/>
        </w:rPr>
        <w:t>1.满足《中华人民共和国政府采购法》第二十二条规定；</w:t>
      </w:r>
    </w:p>
    <w:p>
      <w:pPr>
        <w:adjustRightInd w:val="0"/>
        <w:snapToGrid w:val="0"/>
        <w:spacing w:line="360" w:lineRule="exact"/>
        <w:ind w:firstLine="420" w:firstLineChars="200"/>
        <w:rPr>
          <w:color w:val="auto"/>
          <w:sz w:val="21"/>
          <w:szCs w:val="21"/>
          <w:highlight w:val="none"/>
        </w:rPr>
      </w:pPr>
      <w:r>
        <w:rPr>
          <w:rFonts w:hint="eastAsia"/>
          <w:color w:val="auto"/>
          <w:sz w:val="21"/>
          <w:szCs w:val="21"/>
          <w:highlight w:val="none"/>
        </w:rPr>
        <w:t>2.落实政府采购政策需满足的资格要求：</w:t>
      </w:r>
      <w:r>
        <w:rPr>
          <w:color w:val="auto"/>
          <w:sz w:val="21"/>
          <w:szCs w:val="21"/>
          <w:highlight w:val="none"/>
          <w:lang w:val="en"/>
        </w:rPr>
        <w:t>分标1</w:t>
      </w:r>
      <w:r>
        <w:rPr>
          <w:rFonts w:hint="eastAsia"/>
          <w:color w:val="auto"/>
          <w:sz w:val="21"/>
          <w:szCs w:val="21"/>
          <w:highlight w:val="none"/>
          <w:lang w:val="en"/>
        </w:rPr>
        <w:t>、</w:t>
      </w:r>
      <w:r>
        <w:rPr>
          <w:rFonts w:hint="eastAsia"/>
          <w:color w:val="auto"/>
          <w:sz w:val="21"/>
          <w:szCs w:val="21"/>
          <w:highlight w:val="none"/>
        </w:rPr>
        <w:t>2</w:t>
      </w:r>
      <w:r>
        <w:rPr>
          <w:color w:val="auto"/>
          <w:sz w:val="21"/>
          <w:szCs w:val="21"/>
          <w:highlight w:val="none"/>
          <w:lang w:val="en"/>
        </w:rPr>
        <w:t>：</w:t>
      </w:r>
      <w:r>
        <w:rPr>
          <w:rFonts w:hint="eastAsia"/>
          <w:color w:val="auto"/>
          <w:sz w:val="21"/>
          <w:szCs w:val="21"/>
          <w:highlight w:val="none"/>
        </w:rPr>
        <w:t xml:space="preserve">无 </w:t>
      </w:r>
    </w:p>
    <w:p>
      <w:pPr>
        <w:adjustRightInd w:val="0"/>
        <w:snapToGrid w:val="0"/>
        <w:spacing w:line="360" w:lineRule="exact"/>
        <w:ind w:firstLine="420" w:firstLineChars="200"/>
        <w:rPr>
          <w:color w:val="auto"/>
          <w:sz w:val="21"/>
          <w:szCs w:val="21"/>
          <w:highlight w:val="none"/>
        </w:rPr>
      </w:pPr>
      <w:r>
        <w:rPr>
          <w:rFonts w:hint="eastAsia"/>
          <w:color w:val="auto"/>
          <w:sz w:val="21"/>
          <w:szCs w:val="21"/>
          <w:highlight w:val="none"/>
        </w:rPr>
        <w:t xml:space="preserve">3.本项目的特定资格要求：无 </w:t>
      </w:r>
    </w:p>
    <w:p>
      <w:pPr>
        <w:adjustRightInd w:val="0"/>
        <w:snapToGrid w:val="0"/>
        <w:spacing w:line="360" w:lineRule="exact"/>
        <w:ind w:firstLine="421" w:firstLineChars="200"/>
        <w:rPr>
          <w:b/>
          <w:color w:val="auto"/>
          <w:sz w:val="21"/>
          <w:szCs w:val="21"/>
          <w:highlight w:val="none"/>
        </w:rPr>
      </w:pPr>
    </w:p>
    <w:p>
      <w:pPr>
        <w:adjustRightInd w:val="0"/>
        <w:snapToGrid w:val="0"/>
        <w:spacing w:line="360" w:lineRule="exact"/>
        <w:ind w:firstLine="421" w:firstLineChars="200"/>
        <w:rPr>
          <w:b/>
          <w:color w:val="auto"/>
          <w:sz w:val="21"/>
          <w:szCs w:val="21"/>
          <w:highlight w:val="none"/>
        </w:rPr>
      </w:pPr>
      <w:r>
        <w:rPr>
          <w:rFonts w:hint="eastAsia"/>
          <w:b/>
          <w:color w:val="auto"/>
          <w:sz w:val="21"/>
          <w:szCs w:val="21"/>
          <w:highlight w:val="none"/>
        </w:rPr>
        <w:t xml:space="preserve">三、获取招标文件 </w:t>
      </w:r>
    </w:p>
    <w:p>
      <w:pPr>
        <w:adjustRightInd w:val="0"/>
        <w:snapToGrid w:val="0"/>
        <w:spacing w:line="360" w:lineRule="exact"/>
        <w:ind w:firstLine="420" w:firstLineChars="200"/>
        <w:rPr>
          <w:color w:val="auto"/>
          <w:sz w:val="21"/>
          <w:szCs w:val="21"/>
          <w:highlight w:val="none"/>
        </w:rPr>
      </w:pPr>
      <w:r>
        <w:rPr>
          <w:rFonts w:hint="eastAsia"/>
          <w:color w:val="auto"/>
          <w:sz w:val="21"/>
          <w:szCs w:val="21"/>
          <w:highlight w:val="none"/>
        </w:rPr>
        <w:t>时间：</w:t>
      </w:r>
      <w:r>
        <w:rPr>
          <w:color w:val="auto"/>
          <w:sz w:val="21"/>
          <w:szCs w:val="21"/>
          <w:highlight w:val="none"/>
          <w:lang w:val="en"/>
        </w:rPr>
        <w:t>2025年</w:t>
      </w:r>
      <w:r>
        <w:rPr>
          <w:rFonts w:hint="eastAsia"/>
          <w:color w:val="auto"/>
          <w:sz w:val="21"/>
          <w:szCs w:val="21"/>
          <w:highlight w:val="none"/>
          <w:lang w:val="en-US" w:eastAsia="zh-CN"/>
        </w:rPr>
        <w:t xml:space="preserve"> 10</w:t>
      </w:r>
      <w:r>
        <w:rPr>
          <w:color w:val="auto"/>
          <w:sz w:val="21"/>
          <w:szCs w:val="21"/>
          <w:highlight w:val="none"/>
          <w:lang w:val="en"/>
        </w:rPr>
        <w:t>月</w:t>
      </w:r>
      <w:r>
        <w:rPr>
          <w:rFonts w:hint="eastAsia"/>
          <w:color w:val="auto"/>
          <w:sz w:val="21"/>
          <w:szCs w:val="21"/>
          <w:highlight w:val="none"/>
          <w:lang w:val="en-US" w:eastAsia="zh-CN"/>
        </w:rPr>
        <w:t>11</w:t>
      </w:r>
      <w:r>
        <w:rPr>
          <w:color w:val="auto"/>
          <w:sz w:val="21"/>
          <w:szCs w:val="21"/>
          <w:highlight w:val="none"/>
          <w:lang w:val="en"/>
        </w:rPr>
        <w:t>日</w:t>
      </w:r>
      <w:r>
        <w:rPr>
          <w:rFonts w:hint="eastAsia"/>
          <w:color w:val="auto"/>
          <w:sz w:val="21"/>
          <w:szCs w:val="21"/>
          <w:highlight w:val="none"/>
        </w:rPr>
        <w:t>至</w:t>
      </w:r>
      <w:r>
        <w:rPr>
          <w:color w:val="auto"/>
          <w:sz w:val="21"/>
          <w:szCs w:val="21"/>
          <w:highlight w:val="none"/>
          <w:lang w:val="en"/>
        </w:rPr>
        <w:t>2025年</w:t>
      </w:r>
      <w:r>
        <w:rPr>
          <w:rFonts w:hint="eastAsia"/>
          <w:color w:val="auto"/>
          <w:sz w:val="21"/>
          <w:szCs w:val="21"/>
          <w:highlight w:val="none"/>
          <w:lang w:val="en-US" w:eastAsia="zh-CN"/>
        </w:rPr>
        <w:t>10</w:t>
      </w:r>
      <w:r>
        <w:rPr>
          <w:color w:val="auto"/>
          <w:sz w:val="21"/>
          <w:szCs w:val="21"/>
          <w:highlight w:val="none"/>
          <w:lang w:val="en"/>
        </w:rPr>
        <w:t>月</w:t>
      </w:r>
      <w:r>
        <w:rPr>
          <w:rFonts w:hint="eastAsia"/>
          <w:color w:val="auto"/>
          <w:sz w:val="21"/>
          <w:szCs w:val="21"/>
          <w:highlight w:val="none"/>
          <w:lang w:val="en-US" w:eastAsia="zh-CN"/>
        </w:rPr>
        <w:t>17</w:t>
      </w:r>
      <w:r>
        <w:rPr>
          <w:color w:val="auto"/>
          <w:sz w:val="21"/>
          <w:szCs w:val="21"/>
          <w:highlight w:val="none"/>
          <w:lang w:val="en"/>
        </w:rPr>
        <w:t>日</w:t>
      </w:r>
      <w:r>
        <w:rPr>
          <w:rFonts w:hint="eastAsia"/>
          <w:color w:val="auto"/>
          <w:sz w:val="21"/>
          <w:szCs w:val="21"/>
          <w:highlight w:val="none"/>
        </w:rPr>
        <w:t xml:space="preserve"> ，每天上午0</w:t>
      </w:r>
      <w:r>
        <w:rPr>
          <w:rFonts w:hint="eastAsia"/>
          <w:color w:val="auto"/>
          <w:sz w:val="21"/>
          <w:szCs w:val="21"/>
          <w:highlight w:val="none"/>
          <w:lang w:val="en"/>
        </w:rPr>
        <w:t>0</w:t>
      </w:r>
      <w:r>
        <w:rPr>
          <w:rFonts w:hint="eastAsia"/>
          <w:color w:val="auto"/>
          <w:sz w:val="21"/>
          <w:szCs w:val="21"/>
          <w:highlight w:val="none"/>
        </w:rPr>
        <w:t>:00至12:00，下午12:00至23:59（北京时间，法定节假日除外）</w:t>
      </w:r>
    </w:p>
    <w:p>
      <w:pPr>
        <w:adjustRightInd w:val="0"/>
        <w:snapToGrid w:val="0"/>
        <w:spacing w:line="360" w:lineRule="exact"/>
        <w:ind w:firstLine="420" w:firstLineChars="200"/>
        <w:rPr>
          <w:color w:val="auto"/>
          <w:sz w:val="21"/>
          <w:szCs w:val="21"/>
          <w:highlight w:val="none"/>
        </w:rPr>
      </w:pPr>
      <w:r>
        <w:rPr>
          <w:rFonts w:hint="eastAsia"/>
          <w:color w:val="auto"/>
          <w:sz w:val="21"/>
          <w:szCs w:val="21"/>
          <w:highlight w:val="none"/>
        </w:rPr>
        <w:t>地点（网址）：</w:t>
      </w:r>
      <w:r>
        <w:rPr>
          <w:color w:val="auto"/>
          <w:sz w:val="21"/>
          <w:szCs w:val="21"/>
          <w:highlight w:val="none"/>
          <w:lang w:val="en"/>
        </w:rPr>
        <w:t>广西政府采购云平台（网址：http://www.gcy.zfcg.gxzf.gov.cn）</w:t>
      </w:r>
      <w:r>
        <w:rPr>
          <w:rFonts w:hint="eastAsia"/>
          <w:color w:val="auto"/>
          <w:sz w:val="21"/>
          <w:szCs w:val="21"/>
          <w:highlight w:val="none"/>
        </w:rPr>
        <w:t xml:space="preserve"> </w:t>
      </w:r>
    </w:p>
    <w:p>
      <w:pPr>
        <w:adjustRightInd w:val="0"/>
        <w:snapToGrid w:val="0"/>
        <w:spacing w:line="360" w:lineRule="exact"/>
        <w:ind w:firstLine="420" w:firstLineChars="200"/>
        <w:rPr>
          <w:color w:val="auto"/>
          <w:sz w:val="21"/>
          <w:szCs w:val="21"/>
          <w:highlight w:val="none"/>
        </w:rPr>
      </w:pPr>
      <w:r>
        <w:rPr>
          <w:rFonts w:hint="eastAsia"/>
          <w:color w:val="auto"/>
          <w:sz w:val="21"/>
          <w:szCs w:val="21"/>
          <w:highlight w:val="none"/>
        </w:rPr>
        <w:t>方式：请登录</w:t>
      </w:r>
      <w:r>
        <w:rPr>
          <w:color w:val="auto"/>
          <w:sz w:val="21"/>
          <w:szCs w:val="21"/>
          <w:highlight w:val="none"/>
          <w:lang w:val="en"/>
        </w:rPr>
        <w:t>广西政府采购云平台（网址：http://www.gcy.zfcg.gxzf.gov.cn）</w:t>
      </w:r>
      <w:r>
        <w:rPr>
          <w:rFonts w:hint="eastAsia"/>
          <w:color w:val="auto"/>
          <w:sz w:val="21"/>
          <w:szCs w:val="21"/>
          <w:highlight w:val="none"/>
        </w:rPr>
        <w:t>进行报名并获取采购文件；未注册的供应商可在广西政府采购云平台完成注册后再行报名。如在操作过程中遇到问题或需技术支持，请致电</w:t>
      </w:r>
      <w:r>
        <w:rPr>
          <w:color w:val="auto"/>
          <w:sz w:val="21"/>
          <w:szCs w:val="21"/>
          <w:highlight w:val="none"/>
          <w:lang w:val="en"/>
        </w:rPr>
        <w:t>广西政府采购云</w:t>
      </w:r>
      <w:r>
        <w:rPr>
          <w:rFonts w:hint="eastAsia"/>
          <w:color w:val="auto"/>
          <w:sz w:val="21"/>
          <w:szCs w:val="21"/>
          <w:highlight w:val="none"/>
        </w:rPr>
        <w:t>客服热线：95763。提示：公开招标公告附件内的招标文件仅供阅览使用；供应商只有在“</w:t>
      </w:r>
      <w:r>
        <w:rPr>
          <w:color w:val="auto"/>
          <w:sz w:val="21"/>
          <w:szCs w:val="21"/>
          <w:highlight w:val="none"/>
          <w:lang w:val="en"/>
        </w:rPr>
        <w:t>广西政府采购云平台</w:t>
      </w:r>
      <w:r>
        <w:rPr>
          <w:rFonts w:hint="eastAsia"/>
          <w:color w:val="auto"/>
          <w:sz w:val="21"/>
          <w:szCs w:val="21"/>
          <w:highlight w:val="none"/>
        </w:rPr>
        <w:t>”完成获取招标文件申请并下载了招标文件后才视作依法获取招标文件（法律法规所指的供应商获取招标文件时间以供应商完成获取招标文件申请后下载招标文件的时间为准）。</w:t>
      </w:r>
    </w:p>
    <w:p>
      <w:pPr>
        <w:adjustRightInd w:val="0"/>
        <w:snapToGrid w:val="0"/>
        <w:spacing w:line="360" w:lineRule="exact"/>
        <w:ind w:firstLine="420" w:firstLineChars="200"/>
        <w:rPr>
          <w:color w:val="auto"/>
          <w:sz w:val="21"/>
          <w:szCs w:val="21"/>
          <w:highlight w:val="none"/>
        </w:rPr>
      </w:pPr>
      <w:r>
        <w:rPr>
          <w:rFonts w:hint="eastAsia"/>
          <w:color w:val="auto"/>
          <w:sz w:val="21"/>
          <w:szCs w:val="21"/>
          <w:highlight w:val="none"/>
        </w:rPr>
        <w:t xml:space="preserve">售价（元）：0 </w:t>
      </w:r>
    </w:p>
    <w:p>
      <w:pPr>
        <w:adjustRightInd w:val="0"/>
        <w:snapToGrid w:val="0"/>
        <w:spacing w:line="360" w:lineRule="exact"/>
        <w:ind w:firstLine="421" w:firstLineChars="200"/>
        <w:rPr>
          <w:b/>
          <w:color w:val="auto"/>
          <w:sz w:val="21"/>
          <w:szCs w:val="21"/>
          <w:highlight w:val="none"/>
        </w:rPr>
      </w:pPr>
      <w:r>
        <w:rPr>
          <w:rFonts w:hint="eastAsia"/>
          <w:b/>
          <w:color w:val="auto"/>
          <w:sz w:val="21"/>
          <w:szCs w:val="21"/>
          <w:highlight w:val="none"/>
        </w:rPr>
        <w:t>四、提交投标文件截止时间、开标时间和地点</w:t>
      </w:r>
    </w:p>
    <w:p>
      <w:pPr>
        <w:adjustRightInd w:val="0"/>
        <w:snapToGrid w:val="0"/>
        <w:spacing w:line="360" w:lineRule="exact"/>
        <w:ind w:firstLine="420" w:firstLineChars="200"/>
        <w:rPr>
          <w:color w:val="auto"/>
          <w:sz w:val="21"/>
          <w:szCs w:val="21"/>
          <w:highlight w:val="none"/>
        </w:rPr>
      </w:pPr>
      <w:r>
        <w:rPr>
          <w:rFonts w:hint="eastAsia"/>
          <w:color w:val="auto"/>
          <w:sz w:val="21"/>
          <w:szCs w:val="21"/>
          <w:highlight w:val="none"/>
        </w:rPr>
        <w:t xml:space="preserve">提交投标文件截止时间： </w:t>
      </w:r>
      <w:r>
        <w:rPr>
          <w:color w:val="auto"/>
          <w:sz w:val="21"/>
          <w:szCs w:val="21"/>
          <w:highlight w:val="none"/>
          <w:lang w:val="en"/>
        </w:rPr>
        <w:t>2025年</w:t>
      </w:r>
      <w:r>
        <w:rPr>
          <w:rFonts w:hint="eastAsia"/>
          <w:color w:val="auto"/>
          <w:sz w:val="21"/>
          <w:szCs w:val="21"/>
          <w:highlight w:val="none"/>
          <w:lang w:val="en-US" w:eastAsia="zh-CN"/>
        </w:rPr>
        <w:t>11</w:t>
      </w:r>
      <w:r>
        <w:rPr>
          <w:color w:val="auto"/>
          <w:sz w:val="21"/>
          <w:szCs w:val="21"/>
          <w:highlight w:val="none"/>
          <w:lang w:val="en"/>
        </w:rPr>
        <w:t>月</w:t>
      </w:r>
      <w:r>
        <w:rPr>
          <w:rFonts w:hint="eastAsia"/>
          <w:color w:val="auto"/>
          <w:sz w:val="21"/>
          <w:szCs w:val="21"/>
          <w:highlight w:val="none"/>
          <w:lang w:val="en-US" w:eastAsia="zh-CN"/>
        </w:rPr>
        <w:t>3</w:t>
      </w:r>
      <w:r>
        <w:rPr>
          <w:color w:val="auto"/>
          <w:sz w:val="21"/>
          <w:szCs w:val="21"/>
          <w:highlight w:val="none"/>
          <w:lang w:val="en"/>
        </w:rPr>
        <w:t>日</w:t>
      </w:r>
      <w:r>
        <w:rPr>
          <w:rFonts w:hint="eastAsia"/>
          <w:color w:val="auto"/>
          <w:sz w:val="21"/>
          <w:szCs w:val="21"/>
          <w:highlight w:val="none"/>
        </w:rPr>
        <w:t>10:00（北京时间）</w:t>
      </w:r>
    </w:p>
    <w:p>
      <w:pPr>
        <w:adjustRightInd w:val="0"/>
        <w:snapToGrid w:val="0"/>
        <w:spacing w:line="360" w:lineRule="exact"/>
        <w:ind w:firstLine="420" w:firstLineChars="200"/>
        <w:rPr>
          <w:color w:val="auto"/>
          <w:sz w:val="21"/>
          <w:szCs w:val="21"/>
          <w:highlight w:val="none"/>
        </w:rPr>
      </w:pPr>
      <w:r>
        <w:rPr>
          <w:rFonts w:hint="eastAsia"/>
          <w:color w:val="auto"/>
          <w:sz w:val="21"/>
          <w:szCs w:val="21"/>
          <w:highlight w:val="none"/>
        </w:rPr>
        <w:t>投标地点（网址）：http://www.zcygov.cn（本项目不要求投标供应商到达开标现场，但供应商应派法定代表人或委托代理人准时在线出席电子开评标会议，随时关注开评标进度，如在开评标过程中有电子询标，应在规定的时间内对电子询标函进行澄清回复。）</w:t>
      </w:r>
    </w:p>
    <w:p>
      <w:pPr>
        <w:adjustRightInd w:val="0"/>
        <w:snapToGrid w:val="0"/>
        <w:spacing w:line="360" w:lineRule="exact"/>
        <w:ind w:firstLine="420" w:firstLineChars="200"/>
        <w:rPr>
          <w:color w:val="auto"/>
          <w:sz w:val="21"/>
          <w:szCs w:val="21"/>
          <w:highlight w:val="none"/>
        </w:rPr>
      </w:pPr>
      <w:r>
        <w:rPr>
          <w:rFonts w:hint="eastAsia"/>
          <w:color w:val="auto"/>
          <w:sz w:val="21"/>
          <w:szCs w:val="21"/>
          <w:highlight w:val="none"/>
        </w:rPr>
        <w:t xml:space="preserve">开标时间： </w:t>
      </w:r>
      <w:r>
        <w:rPr>
          <w:color w:val="auto"/>
          <w:sz w:val="21"/>
          <w:szCs w:val="21"/>
          <w:highlight w:val="none"/>
          <w:lang w:val="en"/>
        </w:rPr>
        <w:t>2025年</w:t>
      </w:r>
      <w:r>
        <w:rPr>
          <w:rFonts w:hint="eastAsia"/>
          <w:color w:val="auto"/>
          <w:sz w:val="21"/>
          <w:szCs w:val="21"/>
          <w:highlight w:val="none"/>
          <w:lang w:val="en-US" w:eastAsia="zh-CN"/>
        </w:rPr>
        <w:t>11</w:t>
      </w:r>
      <w:r>
        <w:rPr>
          <w:color w:val="auto"/>
          <w:sz w:val="21"/>
          <w:szCs w:val="21"/>
          <w:highlight w:val="none"/>
          <w:lang w:val="en"/>
        </w:rPr>
        <w:t>月</w:t>
      </w:r>
      <w:r>
        <w:rPr>
          <w:rFonts w:hint="eastAsia"/>
          <w:color w:val="auto"/>
          <w:sz w:val="21"/>
          <w:szCs w:val="21"/>
          <w:highlight w:val="none"/>
          <w:lang w:val="en-US" w:eastAsia="zh-CN"/>
        </w:rPr>
        <w:t>3</w:t>
      </w:r>
      <w:r>
        <w:rPr>
          <w:color w:val="auto"/>
          <w:sz w:val="21"/>
          <w:szCs w:val="21"/>
          <w:highlight w:val="none"/>
          <w:lang w:val="en"/>
        </w:rPr>
        <w:t>日</w:t>
      </w:r>
      <w:r>
        <w:rPr>
          <w:rFonts w:hint="eastAsia"/>
          <w:color w:val="auto"/>
          <w:sz w:val="21"/>
          <w:szCs w:val="21"/>
          <w:highlight w:val="none"/>
        </w:rPr>
        <w:t xml:space="preserve">10:00 </w:t>
      </w:r>
    </w:p>
    <w:p>
      <w:pPr>
        <w:adjustRightInd w:val="0"/>
        <w:snapToGrid w:val="0"/>
        <w:spacing w:line="360" w:lineRule="exact"/>
        <w:ind w:firstLine="420" w:firstLineChars="200"/>
        <w:rPr>
          <w:color w:val="auto"/>
          <w:sz w:val="21"/>
          <w:szCs w:val="21"/>
          <w:highlight w:val="none"/>
        </w:rPr>
      </w:pPr>
      <w:r>
        <w:rPr>
          <w:rFonts w:hint="eastAsia"/>
          <w:color w:val="auto"/>
          <w:sz w:val="21"/>
          <w:szCs w:val="21"/>
          <w:highlight w:val="none"/>
        </w:rPr>
        <w:t>开标地点：广西壮族自治区南宁市青秀区广西政府采购云平台开标大厅</w:t>
      </w:r>
    </w:p>
    <w:p>
      <w:pPr>
        <w:adjustRightInd w:val="0"/>
        <w:snapToGrid w:val="0"/>
        <w:spacing w:line="360" w:lineRule="exact"/>
        <w:ind w:firstLine="421" w:firstLineChars="200"/>
        <w:rPr>
          <w:b/>
          <w:color w:val="auto"/>
          <w:sz w:val="21"/>
          <w:szCs w:val="21"/>
          <w:highlight w:val="none"/>
        </w:rPr>
      </w:pPr>
      <w:r>
        <w:rPr>
          <w:rFonts w:hint="eastAsia"/>
          <w:b/>
          <w:color w:val="auto"/>
          <w:sz w:val="21"/>
          <w:szCs w:val="21"/>
          <w:highlight w:val="none"/>
        </w:rPr>
        <w:t xml:space="preserve">五、公告期限 </w:t>
      </w:r>
    </w:p>
    <w:p>
      <w:pPr>
        <w:adjustRightInd w:val="0"/>
        <w:snapToGrid w:val="0"/>
        <w:spacing w:line="360" w:lineRule="exact"/>
        <w:ind w:firstLine="420" w:firstLineChars="200"/>
        <w:rPr>
          <w:color w:val="auto"/>
          <w:sz w:val="21"/>
          <w:szCs w:val="21"/>
          <w:highlight w:val="none"/>
        </w:rPr>
      </w:pPr>
      <w:r>
        <w:rPr>
          <w:rFonts w:hint="eastAsia"/>
          <w:color w:val="auto"/>
          <w:sz w:val="21"/>
          <w:szCs w:val="21"/>
          <w:highlight w:val="none"/>
        </w:rPr>
        <w:t xml:space="preserve">    自本公告发布之日起5个工作日。</w:t>
      </w:r>
    </w:p>
    <w:p>
      <w:pPr>
        <w:adjustRightInd w:val="0"/>
        <w:snapToGrid w:val="0"/>
        <w:spacing w:line="360" w:lineRule="exact"/>
        <w:ind w:firstLine="421" w:firstLineChars="200"/>
        <w:rPr>
          <w:b/>
          <w:color w:val="auto"/>
          <w:sz w:val="21"/>
          <w:szCs w:val="21"/>
          <w:highlight w:val="none"/>
        </w:rPr>
      </w:pPr>
      <w:r>
        <w:rPr>
          <w:rFonts w:hint="eastAsia"/>
          <w:b/>
          <w:color w:val="auto"/>
          <w:sz w:val="21"/>
          <w:szCs w:val="21"/>
          <w:highlight w:val="none"/>
        </w:rPr>
        <w:t>六、其他补充事宜</w:t>
      </w:r>
    </w:p>
    <w:p>
      <w:pPr>
        <w:adjustRightInd w:val="0"/>
        <w:snapToGrid w:val="0"/>
        <w:spacing w:line="360" w:lineRule="exact"/>
        <w:ind w:firstLine="420" w:firstLineChars="200"/>
        <w:rPr>
          <w:color w:val="auto"/>
          <w:sz w:val="21"/>
          <w:szCs w:val="21"/>
          <w:highlight w:val="none"/>
        </w:rPr>
      </w:pPr>
      <w:r>
        <w:rPr>
          <w:rFonts w:hint="eastAsia"/>
          <w:color w:val="auto"/>
          <w:sz w:val="21"/>
          <w:szCs w:val="21"/>
          <w:highlight w:val="none"/>
        </w:rPr>
        <w:t>1.投标保证金（人民币）：</w:t>
      </w:r>
      <w:r>
        <w:rPr>
          <w:rFonts w:hint="eastAsia"/>
          <w:b w:val="0"/>
          <w:bCs w:val="0"/>
          <w:color w:val="auto"/>
          <w:sz w:val="21"/>
          <w:szCs w:val="21"/>
          <w:highlight w:val="none"/>
        </w:rPr>
        <w:t>分标</w:t>
      </w:r>
      <w:r>
        <w:rPr>
          <w:b w:val="0"/>
          <w:bCs w:val="0"/>
          <w:color w:val="auto"/>
          <w:sz w:val="21"/>
          <w:szCs w:val="21"/>
          <w:highlight w:val="none"/>
          <w:lang w:val="en"/>
        </w:rPr>
        <w:t>1</w:t>
      </w:r>
      <w:r>
        <w:rPr>
          <w:rFonts w:hint="eastAsia"/>
          <w:b w:val="0"/>
          <w:bCs w:val="0"/>
          <w:color w:val="auto"/>
          <w:sz w:val="21"/>
          <w:szCs w:val="21"/>
          <w:highlight w:val="none"/>
        </w:rPr>
        <w:t>：</w:t>
      </w:r>
      <w:r>
        <w:rPr>
          <w:rFonts w:hint="eastAsia"/>
          <w:b w:val="0"/>
          <w:bCs w:val="0"/>
          <w:color w:val="auto"/>
          <w:sz w:val="21"/>
          <w:szCs w:val="21"/>
          <w:highlight w:val="none"/>
          <w:u w:val="single"/>
          <w:lang w:val="en-US" w:eastAsia="zh-CN"/>
        </w:rPr>
        <w:t xml:space="preserve">  </w:t>
      </w:r>
      <w:r>
        <w:rPr>
          <w:rFonts w:hint="eastAsia"/>
          <w:b w:val="0"/>
          <w:bCs w:val="0"/>
          <w:color w:val="auto"/>
          <w:sz w:val="21"/>
          <w:szCs w:val="21"/>
          <w:highlight w:val="none"/>
          <w:u w:val="single"/>
        </w:rPr>
        <w:t>1</w:t>
      </w:r>
      <w:r>
        <w:rPr>
          <w:rFonts w:hint="eastAsia"/>
          <w:b w:val="0"/>
          <w:bCs w:val="0"/>
          <w:color w:val="auto"/>
          <w:sz w:val="21"/>
          <w:szCs w:val="21"/>
          <w:highlight w:val="none"/>
          <w:u w:val="single"/>
          <w:lang w:val="en-US" w:eastAsia="zh-CN"/>
        </w:rPr>
        <w:t xml:space="preserve">  </w:t>
      </w:r>
      <w:r>
        <w:rPr>
          <w:rFonts w:hint="eastAsia"/>
          <w:b w:val="0"/>
          <w:bCs w:val="0"/>
          <w:color w:val="auto"/>
          <w:sz w:val="21"/>
          <w:szCs w:val="21"/>
          <w:highlight w:val="none"/>
        </w:rPr>
        <w:t>万元；分标2：</w:t>
      </w:r>
      <w:r>
        <w:rPr>
          <w:rFonts w:hint="eastAsia"/>
          <w:b w:val="0"/>
          <w:bCs w:val="0"/>
          <w:color w:val="auto"/>
          <w:sz w:val="21"/>
          <w:szCs w:val="21"/>
          <w:highlight w:val="none"/>
          <w:u w:val="single"/>
          <w:lang w:val="en-US" w:eastAsia="zh-CN"/>
        </w:rPr>
        <w:t xml:space="preserve">  </w:t>
      </w:r>
      <w:r>
        <w:rPr>
          <w:rFonts w:hint="eastAsia"/>
          <w:b w:val="0"/>
          <w:bCs w:val="0"/>
          <w:color w:val="auto"/>
          <w:sz w:val="21"/>
          <w:szCs w:val="21"/>
          <w:highlight w:val="none"/>
          <w:u w:val="single"/>
        </w:rPr>
        <w:t>1</w:t>
      </w:r>
      <w:r>
        <w:rPr>
          <w:rFonts w:hint="eastAsia"/>
          <w:b w:val="0"/>
          <w:bCs w:val="0"/>
          <w:color w:val="auto"/>
          <w:sz w:val="21"/>
          <w:szCs w:val="21"/>
          <w:highlight w:val="none"/>
          <w:u w:val="single"/>
          <w:lang w:val="en-US" w:eastAsia="zh-CN"/>
        </w:rPr>
        <w:t xml:space="preserve">  </w:t>
      </w:r>
      <w:r>
        <w:rPr>
          <w:rFonts w:hint="eastAsia"/>
          <w:b w:val="0"/>
          <w:bCs w:val="0"/>
          <w:color w:val="auto"/>
          <w:sz w:val="21"/>
          <w:szCs w:val="21"/>
          <w:highlight w:val="none"/>
        </w:rPr>
        <w:t>万元</w:t>
      </w:r>
      <w:r>
        <w:rPr>
          <w:rFonts w:hint="eastAsia"/>
          <w:b w:val="0"/>
          <w:bCs w:val="0"/>
          <w:color w:val="auto"/>
          <w:sz w:val="21"/>
          <w:szCs w:val="21"/>
          <w:highlight w:val="none"/>
          <w:lang w:val="en-US" w:eastAsia="zh-CN"/>
        </w:rPr>
        <w:t>。</w:t>
      </w:r>
      <w:r>
        <w:rPr>
          <w:rFonts w:hint="eastAsia"/>
          <w:color w:val="auto"/>
          <w:sz w:val="21"/>
          <w:szCs w:val="21"/>
          <w:highlight w:val="none"/>
        </w:rPr>
        <w:t xml:space="preserve"> (必须足额交纳)</w:t>
      </w:r>
    </w:p>
    <w:p>
      <w:pPr>
        <w:adjustRightInd w:val="0"/>
        <w:snapToGrid w:val="0"/>
        <w:spacing w:line="360" w:lineRule="exact"/>
        <w:ind w:firstLine="420" w:firstLineChars="200"/>
        <w:rPr>
          <w:color w:val="auto"/>
          <w:sz w:val="21"/>
          <w:szCs w:val="21"/>
          <w:highlight w:val="none"/>
        </w:rPr>
      </w:pPr>
      <w:r>
        <w:rPr>
          <w:rFonts w:hint="eastAsia"/>
          <w:color w:val="auto"/>
          <w:sz w:val="21"/>
          <w:szCs w:val="21"/>
          <w:highlight w:val="none"/>
        </w:rPr>
        <w:t>（1）投标保证金交纳形式：支票、汇票、本票、金融机构、担保机构出具的保函等非现金形式。</w:t>
      </w:r>
    </w:p>
    <w:p>
      <w:pPr>
        <w:adjustRightInd w:val="0"/>
        <w:snapToGrid w:val="0"/>
        <w:spacing w:line="360" w:lineRule="exact"/>
        <w:ind w:firstLine="420" w:firstLineChars="200"/>
        <w:rPr>
          <w:color w:val="auto"/>
          <w:sz w:val="21"/>
          <w:szCs w:val="21"/>
          <w:highlight w:val="none"/>
        </w:rPr>
      </w:pPr>
      <w:r>
        <w:rPr>
          <w:rFonts w:hint="eastAsia"/>
          <w:color w:val="auto"/>
          <w:sz w:val="21"/>
          <w:szCs w:val="21"/>
          <w:highlight w:val="none"/>
        </w:rPr>
        <w:t>（2）采用网上银行转账形式的，投标人应于提交投标文件截止时间前将投标保证金交至以下账户。</w:t>
      </w:r>
    </w:p>
    <w:p>
      <w:pPr>
        <w:adjustRightInd w:val="0"/>
        <w:snapToGrid w:val="0"/>
        <w:spacing w:line="360" w:lineRule="exact"/>
        <w:ind w:firstLine="421" w:firstLineChars="200"/>
        <w:rPr>
          <w:b/>
          <w:bCs/>
          <w:color w:val="auto"/>
          <w:sz w:val="21"/>
          <w:szCs w:val="21"/>
          <w:highlight w:val="none"/>
        </w:rPr>
      </w:pPr>
      <w:r>
        <w:rPr>
          <w:rFonts w:hint="eastAsia"/>
          <w:b/>
          <w:bCs/>
          <w:color w:val="auto"/>
          <w:sz w:val="21"/>
          <w:szCs w:val="21"/>
          <w:highlight w:val="none"/>
        </w:rPr>
        <w:t>开户名称：广西壮族自治区政府采购中心</w:t>
      </w:r>
    </w:p>
    <w:p>
      <w:pPr>
        <w:adjustRightInd w:val="0"/>
        <w:snapToGrid w:val="0"/>
        <w:spacing w:line="360" w:lineRule="exact"/>
        <w:ind w:firstLine="421" w:firstLineChars="200"/>
        <w:rPr>
          <w:b/>
          <w:bCs/>
          <w:color w:val="auto"/>
          <w:sz w:val="21"/>
          <w:szCs w:val="21"/>
          <w:highlight w:val="none"/>
        </w:rPr>
      </w:pPr>
      <w:r>
        <w:rPr>
          <w:rFonts w:hint="eastAsia"/>
          <w:b/>
          <w:bCs/>
          <w:color w:val="auto"/>
          <w:sz w:val="21"/>
          <w:szCs w:val="21"/>
          <w:highlight w:val="none"/>
        </w:rPr>
        <w:t>开户银行：中国农业银行股份有限公司南宁市古城支行</w:t>
      </w:r>
    </w:p>
    <w:p>
      <w:pPr>
        <w:adjustRightInd w:val="0"/>
        <w:snapToGrid w:val="0"/>
        <w:spacing w:line="360" w:lineRule="exact"/>
        <w:ind w:firstLine="421" w:firstLineChars="200"/>
        <w:rPr>
          <w:color w:val="auto"/>
          <w:sz w:val="21"/>
          <w:szCs w:val="21"/>
          <w:highlight w:val="none"/>
        </w:rPr>
      </w:pPr>
      <w:r>
        <w:rPr>
          <w:rFonts w:hint="eastAsia"/>
          <w:b/>
          <w:bCs/>
          <w:color w:val="auto"/>
          <w:sz w:val="21"/>
          <w:szCs w:val="21"/>
          <w:highlight w:val="none"/>
        </w:rPr>
        <w:t>银行账号：20009101040051648</w:t>
      </w:r>
    </w:p>
    <w:p>
      <w:pPr>
        <w:adjustRightInd w:val="0"/>
        <w:snapToGrid w:val="0"/>
        <w:spacing w:line="360" w:lineRule="exact"/>
        <w:ind w:firstLine="420" w:firstLineChars="200"/>
        <w:rPr>
          <w:color w:val="auto"/>
          <w:sz w:val="21"/>
          <w:szCs w:val="21"/>
          <w:highlight w:val="none"/>
        </w:rPr>
      </w:pPr>
      <w:r>
        <w:rPr>
          <w:rFonts w:hint="eastAsia"/>
          <w:color w:val="auto"/>
          <w:sz w:val="21"/>
          <w:szCs w:val="21"/>
          <w:highlight w:val="none"/>
        </w:rPr>
        <w:t>（3）采用支票、汇票、本票或者保函等形式的，投标人应于提交投标文件截止时间前递交单独密封的支票、汇票、本票或者保函原件至我中心财务处。</w:t>
      </w:r>
    </w:p>
    <w:p>
      <w:pPr>
        <w:adjustRightInd w:val="0"/>
        <w:snapToGrid w:val="0"/>
        <w:spacing w:line="360" w:lineRule="exact"/>
        <w:ind w:firstLine="420" w:firstLineChars="200"/>
        <w:rPr>
          <w:color w:val="auto"/>
          <w:sz w:val="21"/>
          <w:szCs w:val="21"/>
          <w:highlight w:val="none"/>
        </w:rPr>
      </w:pPr>
      <w:r>
        <w:rPr>
          <w:rFonts w:hint="eastAsia"/>
          <w:color w:val="auto"/>
          <w:sz w:val="21"/>
          <w:szCs w:val="21"/>
          <w:highlight w:val="none"/>
        </w:rPr>
        <w:t>（4）本中心财务处联系方式：</w:t>
      </w:r>
    </w:p>
    <w:p>
      <w:pPr>
        <w:adjustRightInd w:val="0"/>
        <w:snapToGrid w:val="0"/>
        <w:spacing w:line="360" w:lineRule="exact"/>
        <w:ind w:firstLine="420" w:firstLineChars="200"/>
        <w:rPr>
          <w:color w:val="auto"/>
          <w:sz w:val="21"/>
          <w:szCs w:val="21"/>
          <w:highlight w:val="none"/>
          <w:lang w:val="en"/>
        </w:rPr>
      </w:pPr>
      <w:r>
        <w:rPr>
          <w:color w:val="auto"/>
          <w:sz w:val="21"/>
          <w:szCs w:val="21"/>
          <w:highlight w:val="none"/>
          <w:lang w:val="en"/>
        </w:rPr>
        <w:t>地址：广西南宁市星湖路22号广西壮族自治区政府采购中心综合楼3楼306室； 电话：0771-8600309。</w:t>
      </w:r>
    </w:p>
    <w:p>
      <w:pPr>
        <w:adjustRightInd w:val="0"/>
        <w:snapToGrid w:val="0"/>
        <w:spacing w:line="360" w:lineRule="exact"/>
        <w:ind w:firstLine="420" w:firstLineChars="200"/>
        <w:rPr>
          <w:color w:val="auto"/>
          <w:sz w:val="21"/>
          <w:szCs w:val="21"/>
          <w:highlight w:val="none"/>
        </w:rPr>
      </w:pPr>
      <w:r>
        <w:rPr>
          <w:rFonts w:hint="eastAsia"/>
          <w:color w:val="auto"/>
          <w:sz w:val="21"/>
          <w:szCs w:val="21"/>
          <w:highlight w:val="none"/>
        </w:rPr>
        <w:t>2.本项目需要落实的政府采购政策</w:t>
      </w:r>
    </w:p>
    <w:p>
      <w:pPr>
        <w:adjustRightInd w:val="0"/>
        <w:snapToGrid w:val="0"/>
        <w:spacing w:line="360" w:lineRule="exact"/>
        <w:ind w:firstLine="420" w:firstLineChars="200"/>
        <w:rPr>
          <w:color w:val="auto"/>
          <w:sz w:val="21"/>
          <w:szCs w:val="21"/>
          <w:highlight w:val="none"/>
        </w:rPr>
      </w:pPr>
      <w:r>
        <w:rPr>
          <w:rFonts w:hint="eastAsia"/>
          <w:color w:val="auto"/>
          <w:sz w:val="21"/>
          <w:szCs w:val="21"/>
          <w:highlight w:val="none"/>
        </w:rPr>
        <w:t>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pPr>
        <w:adjustRightInd w:val="0"/>
        <w:snapToGrid w:val="0"/>
        <w:spacing w:line="360" w:lineRule="exact"/>
        <w:ind w:firstLine="420" w:firstLineChars="200"/>
        <w:rPr>
          <w:color w:val="auto"/>
          <w:sz w:val="21"/>
          <w:szCs w:val="21"/>
          <w:highlight w:val="none"/>
        </w:rPr>
      </w:pPr>
      <w:r>
        <w:rPr>
          <w:rFonts w:hint="eastAsia"/>
          <w:color w:val="auto"/>
          <w:sz w:val="21"/>
          <w:szCs w:val="21"/>
          <w:highlight w:val="none"/>
        </w:rPr>
        <w:t>3.网上公告媒体查询</w:t>
      </w:r>
    </w:p>
    <w:p>
      <w:pPr>
        <w:adjustRightInd w:val="0"/>
        <w:snapToGrid w:val="0"/>
        <w:spacing w:line="360" w:lineRule="exact"/>
        <w:ind w:firstLine="420" w:firstLineChars="200"/>
        <w:rPr>
          <w:color w:val="auto"/>
          <w:sz w:val="21"/>
          <w:szCs w:val="21"/>
          <w:highlight w:val="none"/>
        </w:rPr>
      </w:pPr>
      <w:r>
        <w:rPr>
          <w:rFonts w:hint="eastAsia"/>
          <w:color w:val="auto"/>
          <w:sz w:val="21"/>
          <w:szCs w:val="21"/>
          <w:highlight w:val="none"/>
        </w:rPr>
        <w:t>中国政府采购网（www.ccgp.gov.cn）、广西壮族自治区政府采购网（zfcg.gxzf.gov.cn）、广西壮族自治区政府采购中心网站（gxggzy.gxzf.gov.cn）。</w:t>
      </w:r>
    </w:p>
    <w:p>
      <w:pPr>
        <w:adjustRightInd w:val="0"/>
        <w:snapToGrid w:val="0"/>
        <w:spacing w:line="360" w:lineRule="exact"/>
        <w:ind w:firstLine="420" w:firstLineChars="200"/>
        <w:rPr>
          <w:color w:val="auto"/>
          <w:sz w:val="21"/>
          <w:szCs w:val="21"/>
          <w:highlight w:val="none"/>
        </w:rPr>
      </w:pPr>
      <w:r>
        <w:rPr>
          <w:rFonts w:hint="eastAsia"/>
          <w:color w:val="auto"/>
          <w:sz w:val="21"/>
          <w:szCs w:val="21"/>
          <w:highlight w:val="none"/>
        </w:rPr>
        <w:t>4.其他注意事项</w:t>
      </w:r>
    </w:p>
    <w:p>
      <w:pPr>
        <w:adjustRightInd w:val="0"/>
        <w:snapToGrid w:val="0"/>
        <w:spacing w:line="360" w:lineRule="exact"/>
        <w:ind w:firstLine="420" w:firstLineChars="200"/>
        <w:rPr>
          <w:color w:val="auto"/>
          <w:sz w:val="21"/>
          <w:szCs w:val="21"/>
          <w:highlight w:val="none"/>
        </w:rPr>
      </w:pPr>
      <w:r>
        <w:rPr>
          <w:rFonts w:hint="eastAsia"/>
          <w:color w:val="auto"/>
          <w:sz w:val="21"/>
          <w:szCs w:val="21"/>
          <w:highlight w:val="none"/>
        </w:rPr>
        <w:t>（1）本项目实行电子投标，供应商应按照本项目招标文件和</w:t>
      </w:r>
      <w:r>
        <w:rPr>
          <w:color w:val="auto"/>
          <w:sz w:val="21"/>
          <w:szCs w:val="21"/>
          <w:highlight w:val="none"/>
          <w:lang w:val="en"/>
        </w:rPr>
        <w:t>广西政府采购云平台</w:t>
      </w:r>
      <w:r>
        <w:rPr>
          <w:rFonts w:hint="eastAsia"/>
          <w:color w:val="auto"/>
          <w:sz w:val="21"/>
          <w:szCs w:val="21"/>
          <w:highlight w:val="none"/>
        </w:rPr>
        <w:t>的要求编制、加密并提交投标文件。供应商在使用系统参与投标过程中遇到涉及平台使用的任何问题，可致电</w:t>
      </w:r>
      <w:r>
        <w:rPr>
          <w:color w:val="auto"/>
          <w:sz w:val="21"/>
          <w:szCs w:val="21"/>
          <w:highlight w:val="none"/>
          <w:lang w:val="en"/>
        </w:rPr>
        <w:t>广西政府采购云平台</w:t>
      </w:r>
      <w:r>
        <w:rPr>
          <w:rFonts w:hint="eastAsia"/>
          <w:color w:val="auto"/>
          <w:sz w:val="21"/>
          <w:szCs w:val="21"/>
          <w:highlight w:val="none"/>
        </w:rPr>
        <w:t xml:space="preserve">技术支持热线咨询，联系方式：95763。 </w:t>
      </w:r>
    </w:p>
    <w:p>
      <w:pPr>
        <w:adjustRightInd w:val="0"/>
        <w:snapToGrid w:val="0"/>
        <w:spacing w:line="360" w:lineRule="exact"/>
        <w:ind w:firstLine="420" w:firstLineChars="200"/>
        <w:rPr>
          <w:color w:val="auto"/>
          <w:sz w:val="21"/>
          <w:szCs w:val="21"/>
          <w:highlight w:val="none"/>
        </w:rPr>
      </w:pPr>
      <w:r>
        <w:rPr>
          <w:rFonts w:hint="eastAsia"/>
          <w:color w:val="auto"/>
          <w:sz w:val="21"/>
          <w:szCs w:val="21"/>
          <w:highlight w:val="none"/>
        </w:rPr>
        <w:t>（2）供应商应及时熟悉掌握电子标系统操作指南（见</w:t>
      </w:r>
      <w:r>
        <w:rPr>
          <w:color w:val="auto"/>
          <w:sz w:val="21"/>
          <w:szCs w:val="21"/>
          <w:highlight w:val="none"/>
          <w:lang w:val="en"/>
        </w:rPr>
        <w:t>广西政府采购云</w:t>
      </w:r>
      <w:r>
        <w:rPr>
          <w:rFonts w:hint="eastAsia"/>
          <w:color w:val="auto"/>
          <w:sz w:val="21"/>
          <w:szCs w:val="21"/>
          <w:highlight w:val="none"/>
        </w:rPr>
        <w:t>电子卖场首页右上角—服务中心—帮助文档—项目采购）：</w:t>
      </w:r>
      <w:r>
        <w:rPr>
          <w:color w:val="auto"/>
          <w:sz w:val="21"/>
          <w:szCs w:val="21"/>
          <w:highlight w:val="none"/>
        </w:rPr>
        <w:fldChar w:fldCharType="begin"/>
      </w:r>
      <w:r>
        <w:rPr>
          <w:color w:val="auto"/>
          <w:sz w:val="21"/>
          <w:szCs w:val="21"/>
          <w:highlight w:val="none"/>
        </w:rPr>
        <w:instrText xml:space="preserve"> HYPERLINK "https://service.zcygov.cn/#/knowledges/tree?tag=AG1DtGwBFdiHxlNdhY0r。" </w:instrText>
      </w:r>
      <w:r>
        <w:rPr>
          <w:color w:val="auto"/>
          <w:sz w:val="21"/>
          <w:szCs w:val="21"/>
          <w:highlight w:val="none"/>
        </w:rPr>
        <w:fldChar w:fldCharType="separate"/>
      </w:r>
      <w:r>
        <w:rPr>
          <w:rFonts w:hint="eastAsia"/>
          <w:color w:val="auto"/>
          <w:sz w:val="21"/>
          <w:szCs w:val="21"/>
          <w:highlight w:val="none"/>
        </w:rPr>
        <w:t>https://service.zcygov.cn/#/knowledges/tree?tag=AG1DtGwBFdiHxlNdhY0r。</w:t>
      </w:r>
      <w:r>
        <w:rPr>
          <w:rFonts w:hint="eastAsia"/>
          <w:color w:val="auto"/>
          <w:sz w:val="21"/>
          <w:szCs w:val="21"/>
          <w:highlight w:val="none"/>
        </w:rPr>
        <w:fldChar w:fldCharType="end"/>
      </w:r>
    </w:p>
    <w:p>
      <w:pPr>
        <w:adjustRightInd w:val="0"/>
        <w:snapToGrid w:val="0"/>
        <w:spacing w:line="360" w:lineRule="exact"/>
        <w:ind w:firstLine="420" w:firstLineChars="200"/>
        <w:rPr>
          <w:color w:val="auto"/>
          <w:sz w:val="21"/>
          <w:szCs w:val="21"/>
          <w:highlight w:val="none"/>
        </w:rPr>
      </w:pPr>
      <w:r>
        <w:rPr>
          <w:rFonts w:hint="eastAsia"/>
          <w:color w:val="auto"/>
          <w:sz w:val="21"/>
          <w:szCs w:val="21"/>
          <w:highlight w:val="none"/>
        </w:rPr>
        <w:t>（3）供应商应及时完成CA申领和绑定（见广西壮族自治区政府采购网—办事服务—下载专区-政采云CA证书办理操作指南）。</w:t>
      </w:r>
    </w:p>
    <w:p>
      <w:pPr>
        <w:adjustRightInd w:val="0"/>
        <w:snapToGrid w:val="0"/>
        <w:spacing w:line="360" w:lineRule="exact"/>
        <w:ind w:firstLine="420" w:firstLineChars="200"/>
        <w:rPr>
          <w:color w:val="auto"/>
          <w:sz w:val="21"/>
          <w:szCs w:val="21"/>
          <w:highlight w:val="none"/>
        </w:rPr>
      </w:pPr>
      <w:r>
        <w:rPr>
          <w:rFonts w:hint="eastAsia"/>
          <w:color w:val="auto"/>
          <w:sz w:val="21"/>
          <w:szCs w:val="21"/>
          <w:highlight w:val="none"/>
        </w:rPr>
        <w:t>（4）供应商通过</w:t>
      </w:r>
      <w:r>
        <w:rPr>
          <w:color w:val="auto"/>
          <w:sz w:val="21"/>
          <w:szCs w:val="21"/>
          <w:highlight w:val="none"/>
          <w:lang w:val="en"/>
        </w:rPr>
        <w:t>广西政府采购云</w:t>
      </w:r>
      <w:r>
        <w:rPr>
          <w:rFonts w:hint="eastAsia"/>
          <w:color w:val="auto"/>
          <w:sz w:val="21"/>
          <w:szCs w:val="21"/>
          <w:highlight w:val="none"/>
        </w:rPr>
        <w:t>投标客户端软件制作投标文件，</w:t>
      </w:r>
      <w:r>
        <w:rPr>
          <w:color w:val="auto"/>
          <w:sz w:val="21"/>
          <w:szCs w:val="21"/>
          <w:highlight w:val="none"/>
          <w:lang w:val="en"/>
        </w:rPr>
        <w:t>广西政府采购云</w:t>
      </w:r>
      <w:r>
        <w:rPr>
          <w:rFonts w:hint="eastAsia"/>
          <w:color w:val="auto"/>
          <w:sz w:val="21"/>
          <w:szCs w:val="21"/>
          <w:highlight w:val="none"/>
        </w:rPr>
        <w:t xml:space="preserve">投标客户端软件请供应商自行前往下载并安装（见广西壮族自治区政府采购网—办事服务—下载专区-广西壮族自治区全流程电子招投标项目管理系统--供应商客户端）。 </w:t>
      </w:r>
    </w:p>
    <w:p>
      <w:pPr>
        <w:adjustRightInd w:val="0"/>
        <w:snapToGrid w:val="0"/>
        <w:spacing w:line="360" w:lineRule="exact"/>
        <w:ind w:firstLine="420" w:firstLineChars="200"/>
        <w:rPr>
          <w:color w:val="auto"/>
          <w:sz w:val="21"/>
          <w:szCs w:val="21"/>
          <w:highlight w:val="none"/>
        </w:rPr>
      </w:pPr>
      <w:r>
        <w:rPr>
          <w:rFonts w:hint="eastAsia"/>
          <w:color w:val="auto"/>
          <w:sz w:val="21"/>
          <w:szCs w:val="21"/>
          <w:highlight w:val="none"/>
        </w:rPr>
        <w:t>（5）因未注册入库、未办理CA数字证书、CA证书故障、操作不当等原因造成无法投标或投标失败等后果由供应商自行承担。</w:t>
      </w:r>
    </w:p>
    <w:p>
      <w:pPr>
        <w:adjustRightInd w:val="0"/>
        <w:snapToGrid w:val="0"/>
        <w:spacing w:line="360" w:lineRule="exact"/>
        <w:ind w:firstLine="420" w:firstLineChars="200"/>
        <w:rPr>
          <w:color w:val="auto"/>
          <w:sz w:val="21"/>
          <w:szCs w:val="21"/>
          <w:highlight w:val="none"/>
        </w:rPr>
      </w:pPr>
      <w:r>
        <w:rPr>
          <w:rFonts w:hint="eastAsia"/>
          <w:color w:val="auto"/>
          <w:sz w:val="21"/>
          <w:szCs w:val="21"/>
          <w:highlight w:val="none"/>
        </w:rPr>
        <w:t>（6）投标文件网上提交截止后，</w:t>
      </w:r>
      <w:r>
        <w:rPr>
          <w:color w:val="auto"/>
          <w:sz w:val="21"/>
          <w:szCs w:val="21"/>
          <w:highlight w:val="none"/>
          <w:lang w:val="en"/>
        </w:rPr>
        <w:t>广西政府采购云</w:t>
      </w:r>
      <w:r>
        <w:rPr>
          <w:rFonts w:hint="eastAsia"/>
          <w:color w:val="auto"/>
          <w:sz w:val="21"/>
          <w:szCs w:val="21"/>
          <w:highlight w:val="none"/>
        </w:rPr>
        <w:t>（电子标系统）自动提取所有投标文件，各供应商须在开标开始后30分钟内对上传</w:t>
      </w:r>
      <w:r>
        <w:rPr>
          <w:color w:val="auto"/>
          <w:sz w:val="21"/>
          <w:szCs w:val="21"/>
          <w:highlight w:val="none"/>
          <w:lang w:val="en"/>
        </w:rPr>
        <w:t>广西政府采购云</w:t>
      </w:r>
      <w:r>
        <w:rPr>
          <w:rFonts w:hint="eastAsia"/>
          <w:color w:val="auto"/>
          <w:sz w:val="21"/>
          <w:szCs w:val="21"/>
          <w:highlight w:val="none"/>
        </w:rPr>
        <w:t>的投标文件进行解密，所有供应商在规定的解密时限内解密完成或解密时限结束后，我中心开启投标文件；供应商超过解密时限的，系统默认自动放弃。</w:t>
      </w:r>
    </w:p>
    <w:p>
      <w:pPr>
        <w:adjustRightInd w:val="0"/>
        <w:snapToGrid w:val="0"/>
        <w:spacing w:line="360" w:lineRule="exact"/>
        <w:ind w:firstLine="421" w:firstLineChars="200"/>
        <w:rPr>
          <w:b/>
          <w:color w:val="auto"/>
          <w:sz w:val="21"/>
          <w:szCs w:val="21"/>
          <w:highlight w:val="none"/>
        </w:rPr>
      </w:pPr>
      <w:r>
        <w:rPr>
          <w:b/>
          <w:color w:val="auto"/>
          <w:sz w:val="21"/>
          <w:szCs w:val="21"/>
          <w:highlight w:val="none"/>
        </w:rPr>
        <w:t xml:space="preserve">  </w:t>
      </w:r>
    </w:p>
    <w:p>
      <w:pPr>
        <w:adjustRightInd w:val="0"/>
        <w:snapToGrid w:val="0"/>
        <w:spacing w:line="360" w:lineRule="exact"/>
        <w:ind w:firstLine="421" w:firstLineChars="200"/>
        <w:rPr>
          <w:b/>
          <w:color w:val="auto"/>
          <w:sz w:val="21"/>
          <w:szCs w:val="21"/>
          <w:highlight w:val="none"/>
        </w:rPr>
      </w:pPr>
      <w:r>
        <w:rPr>
          <w:rFonts w:hint="eastAsia"/>
          <w:b/>
          <w:color w:val="auto"/>
          <w:sz w:val="21"/>
          <w:szCs w:val="21"/>
          <w:highlight w:val="none"/>
        </w:rPr>
        <w:t>七、对本次采购提出询问，请按以下方式联系</w:t>
      </w:r>
    </w:p>
    <w:p>
      <w:pPr>
        <w:adjustRightInd w:val="0"/>
        <w:snapToGrid w:val="0"/>
        <w:spacing w:line="360" w:lineRule="exact"/>
        <w:ind w:firstLine="421" w:firstLineChars="200"/>
        <w:rPr>
          <w:color w:val="auto"/>
          <w:sz w:val="21"/>
          <w:szCs w:val="21"/>
          <w:highlight w:val="none"/>
        </w:rPr>
      </w:pPr>
      <w:r>
        <w:rPr>
          <w:rFonts w:hint="eastAsia"/>
          <w:b/>
          <w:color w:val="auto"/>
          <w:sz w:val="21"/>
          <w:szCs w:val="21"/>
          <w:highlight w:val="none"/>
        </w:rPr>
        <w:t xml:space="preserve"> </w:t>
      </w:r>
      <w:r>
        <w:rPr>
          <w:rFonts w:hint="eastAsia"/>
          <w:color w:val="auto"/>
          <w:sz w:val="21"/>
          <w:szCs w:val="21"/>
          <w:highlight w:val="none"/>
        </w:rPr>
        <w:t xml:space="preserve">   1.采购人信息</w:t>
      </w:r>
    </w:p>
    <w:p>
      <w:pPr>
        <w:adjustRightInd w:val="0"/>
        <w:snapToGrid w:val="0"/>
        <w:spacing w:line="360" w:lineRule="exact"/>
        <w:ind w:firstLine="420" w:firstLineChars="200"/>
        <w:rPr>
          <w:color w:val="auto"/>
          <w:sz w:val="21"/>
          <w:szCs w:val="21"/>
          <w:highlight w:val="none"/>
        </w:rPr>
      </w:pPr>
      <w:r>
        <w:rPr>
          <w:rFonts w:hint="eastAsia"/>
          <w:color w:val="auto"/>
          <w:sz w:val="21"/>
          <w:szCs w:val="21"/>
          <w:highlight w:val="none"/>
        </w:rPr>
        <w:t xml:space="preserve">    名    称：</w:t>
      </w:r>
      <w:r>
        <w:rPr>
          <w:color w:val="auto"/>
          <w:sz w:val="21"/>
          <w:szCs w:val="21"/>
          <w:highlight w:val="none"/>
          <w:lang w:val="en"/>
        </w:rPr>
        <w:t>广西艺术学院</w:t>
      </w:r>
      <w:r>
        <w:rPr>
          <w:rFonts w:hint="eastAsia"/>
          <w:color w:val="auto"/>
          <w:sz w:val="21"/>
          <w:szCs w:val="21"/>
          <w:highlight w:val="none"/>
        </w:rPr>
        <w:t xml:space="preserve"> </w:t>
      </w:r>
    </w:p>
    <w:p>
      <w:pPr>
        <w:adjustRightInd w:val="0"/>
        <w:snapToGrid w:val="0"/>
        <w:spacing w:line="360" w:lineRule="exact"/>
        <w:ind w:firstLine="420" w:firstLineChars="200"/>
        <w:rPr>
          <w:color w:val="auto"/>
          <w:sz w:val="21"/>
          <w:szCs w:val="21"/>
          <w:highlight w:val="none"/>
        </w:rPr>
      </w:pPr>
      <w:r>
        <w:rPr>
          <w:rFonts w:hint="eastAsia"/>
          <w:color w:val="auto"/>
          <w:sz w:val="21"/>
          <w:szCs w:val="21"/>
          <w:highlight w:val="none"/>
        </w:rPr>
        <w:t xml:space="preserve">    地    址：南宁市教育路7号</w:t>
      </w:r>
    </w:p>
    <w:p>
      <w:pPr>
        <w:adjustRightInd w:val="0"/>
        <w:snapToGrid w:val="0"/>
        <w:spacing w:line="360" w:lineRule="exact"/>
        <w:ind w:firstLine="420" w:firstLineChars="200"/>
        <w:rPr>
          <w:color w:val="auto"/>
          <w:sz w:val="21"/>
          <w:szCs w:val="21"/>
          <w:highlight w:val="none"/>
        </w:rPr>
      </w:pPr>
      <w:r>
        <w:rPr>
          <w:rFonts w:hint="eastAsia"/>
          <w:color w:val="auto"/>
          <w:sz w:val="21"/>
          <w:szCs w:val="21"/>
          <w:highlight w:val="none"/>
        </w:rPr>
        <w:t xml:space="preserve">    项目联系人：傅老师</w:t>
      </w:r>
    </w:p>
    <w:p>
      <w:pPr>
        <w:adjustRightInd w:val="0"/>
        <w:snapToGrid w:val="0"/>
        <w:spacing w:line="360" w:lineRule="exact"/>
        <w:ind w:firstLine="420" w:firstLineChars="200"/>
        <w:rPr>
          <w:color w:val="auto"/>
          <w:sz w:val="21"/>
          <w:szCs w:val="21"/>
          <w:highlight w:val="none"/>
        </w:rPr>
      </w:pPr>
      <w:r>
        <w:rPr>
          <w:color w:val="auto"/>
          <w:sz w:val="21"/>
          <w:szCs w:val="21"/>
          <w:highlight w:val="none"/>
        </w:rPr>
        <w:t xml:space="preserve">    </w:t>
      </w:r>
      <w:r>
        <w:rPr>
          <w:rFonts w:hint="eastAsia"/>
          <w:color w:val="auto"/>
          <w:sz w:val="21"/>
          <w:szCs w:val="21"/>
          <w:highlight w:val="none"/>
        </w:rPr>
        <w:t>项目联系方式：0771-5317987</w:t>
      </w:r>
    </w:p>
    <w:p>
      <w:pPr>
        <w:adjustRightInd w:val="0"/>
        <w:snapToGrid w:val="0"/>
        <w:spacing w:line="360" w:lineRule="exact"/>
        <w:ind w:firstLine="420" w:firstLineChars="200"/>
        <w:rPr>
          <w:color w:val="auto"/>
          <w:sz w:val="21"/>
          <w:szCs w:val="21"/>
          <w:highlight w:val="none"/>
        </w:rPr>
      </w:pPr>
      <w:r>
        <w:rPr>
          <w:color w:val="auto"/>
          <w:sz w:val="21"/>
          <w:szCs w:val="21"/>
          <w:highlight w:val="none"/>
        </w:rPr>
        <w:t xml:space="preserve">    </w:t>
      </w:r>
      <w:r>
        <w:rPr>
          <w:rFonts w:hint="eastAsia"/>
          <w:color w:val="auto"/>
          <w:sz w:val="21"/>
          <w:szCs w:val="21"/>
          <w:highlight w:val="none"/>
        </w:rPr>
        <w:t>2.采购代理机构信息</w:t>
      </w:r>
    </w:p>
    <w:p>
      <w:pPr>
        <w:adjustRightInd w:val="0"/>
        <w:snapToGrid w:val="0"/>
        <w:spacing w:line="360" w:lineRule="exact"/>
        <w:ind w:firstLine="420" w:firstLineChars="200"/>
        <w:rPr>
          <w:color w:val="auto"/>
          <w:sz w:val="21"/>
          <w:szCs w:val="21"/>
          <w:highlight w:val="none"/>
        </w:rPr>
      </w:pPr>
      <w:r>
        <w:rPr>
          <w:rFonts w:hint="eastAsia"/>
          <w:color w:val="auto"/>
          <w:sz w:val="21"/>
          <w:szCs w:val="21"/>
          <w:highlight w:val="none"/>
        </w:rPr>
        <w:t xml:space="preserve">    名    称：广西壮族自治区政府采购中心  </w:t>
      </w:r>
    </w:p>
    <w:p>
      <w:pPr>
        <w:adjustRightInd w:val="0"/>
        <w:snapToGrid w:val="0"/>
        <w:spacing w:line="360" w:lineRule="exact"/>
        <w:ind w:firstLine="420" w:firstLineChars="200"/>
        <w:rPr>
          <w:color w:val="auto"/>
          <w:sz w:val="21"/>
          <w:szCs w:val="21"/>
          <w:highlight w:val="none"/>
        </w:rPr>
      </w:pPr>
      <w:r>
        <w:rPr>
          <w:rFonts w:hint="eastAsia"/>
          <w:color w:val="auto"/>
          <w:sz w:val="21"/>
          <w:szCs w:val="21"/>
          <w:highlight w:val="none"/>
        </w:rPr>
        <w:t xml:space="preserve">    地    址：广西南宁市星湖路22号  </w:t>
      </w:r>
    </w:p>
    <w:p>
      <w:pPr>
        <w:adjustRightInd w:val="0"/>
        <w:snapToGrid w:val="0"/>
        <w:spacing w:line="360" w:lineRule="exact"/>
        <w:ind w:firstLine="420" w:firstLineChars="200"/>
        <w:rPr>
          <w:rFonts w:hint="default" w:eastAsia="宋体"/>
          <w:color w:val="auto"/>
          <w:sz w:val="21"/>
          <w:szCs w:val="21"/>
          <w:highlight w:val="none"/>
          <w:lang w:val="en-US" w:eastAsia="zh-CN"/>
        </w:rPr>
      </w:pPr>
      <w:r>
        <w:rPr>
          <w:rFonts w:hint="eastAsia"/>
          <w:color w:val="auto"/>
          <w:sz w:val="21"/>
          <w:szCs w:val="21"/>
          <w:highlight w:val="none"/>
        </w:rPr>
        <w:t xml:space="preserve">    项目联系人：</w:t>
      </w:r>
      <w:r>
        <w:rPr>
          <w:rFonts w:hint="eastAsia"/>
          <w:color w:val="auto"/>
          <w:sz w:val="21"/>
          <w:szCs w:val="21"/>
          <w:highlight w:val="none"/>
          <w:lang w:val="en-US" w:eastAsia="zh-CN"/>
        </w:rPr>
        <w:t>张国铨</w:t>
      </w:r>
    </w:p>
    <w:p>
      <w:pPr>
        <w:adjustRightInd w:val="0"/>
        <w:snapToGrid w:val="0"/>
        <w:spacing w:line="360" w:lineRule="exact"/>
        <w:ind w:firstLine="420" w:firstLineChars="200"/>
        <w:rPr>
          <w:rFonts w:hint="default" w:ascii="宋体" w:hAnsi="宋体" w:eastAsia="宋体" w:cs="宋体"/>
          <w:color w:val="auto"/>
          <w:sz w:val="21"/>
          <w:szCs w:val="21"/>
          <w:highlight w:val="none"/>
          <w:lang w:val="en-US" w:eastAsia="zh-CN"/>
        </w:rPr>
      </w:pPr>
      <w:r>
        <w:rPr>
          <w:rFonts w:hint="eastAsia"/>
          <w:color w:val="auto"/>
          <w:sz w:val="21"/>
          <w:szCs w:val="21"/>
          <w:highlight w:val="none"/>
        </w:rPr>
        <w:t xml:space="preserve">    项目联系方式：</w:t>
      </w:r>
      <w:r>
        <w:rPr>
          <w:rFonts w:hint="eastAsia"/>
          <w:color w:val="auto"/>
          <w:sz w:val="21"/>
          <w:szCs w:val="21"/>
          <w:highlight w:val="none"/>
          <w:lang w:val="en-US" w:eastAsia="zh-CN"/>
        </w:rPr>
        <w:t>8600343</w:t>
      </w:r>
    </w:p>
    <w:p>
      <w:pPr>
        <w:adjustRightInd w:val="0"/>
        <w:snapToGrid w:val="0"/>
        <w:spacing w:line="380" w:lineRule="exact"/>
        <w:ind w:firstLine="630" w:firstLineChars="300"/>
        <w:rPr>
          <w:rFonts w:ascii="宋体" w:hAnsi="宋体" w:cs="宋体"/>
          <w:color w:val="auto"/>
          <w:sz w:val="21"/>
          <w:szCs w:val="21"/>
          <w:highlight w:val="none"/>
        </w:rPr>
      </w:pPr>
    </w:p>
    <w:bookmarkEnd w:id="0"/>
    <w:bookmarkEnd w:id="1"/>
    <w:p>
      <w:pPr>
        <w:snapToGrid w:val="0"/>
        <w:spacing w:line="380" w:lineRule="exact"/>
        <w:ind w:left="238"/>
        <w:jc w:val="center"/>
        <w:rPr>
          <w:rFonts w:asci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广西壮族自治区政府采购中心</w:t>
      </w:r>
    </w:p>
    <w:p>
      <w:pPr>
        <w:spacing w:before="156" w:beforeLines="50"/>
        <w:jc w:val="center"/>
        <w:rPr>
          <w:rFonts w:ascii="仿宋_GB2312" w:eastAsia="仿宋_GB2312"/>
          <w:b/>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ascii="宋体" w:hAnsi="宋体" w:cs="宋体"/>
          <w:color w:val="auto"/>
          <w:sz w:val="21"/>
          <w:szCs w:val="21"/>
          <w:highlight w:val="none"/>
          <w:lang w:val="en"/>
        </w:rPr>
        <w:t>2025年</w:t>
      </w:r>
      <w:r>
        <w:rPr>
          <w:rFonts w:hint="eastAsia" w:ascii="宋体" w:hAnsi="宋体" w:cs="宋体"/>
          <w:color w:val="auto"/>
          <w:sz w:val="21"/>
          <w:szCs w:val="21"/>
          <w:highlight w:val="none"/>
          <w:lang w:val="en-US" w:eastAsia="zh-CN"/>
        </w:rPr>
        <w:t>10</w:t>
      </w:r>
      <w:r>
        <w:rPr>
          <w:rFonts w:ascii="宋体" w:hAnsi="宋体" w:cs="宋体"/>
          <w:color w:val="auto"/>
          <w:sz w:val="21"/>
          <w:szCs w:val="21"/>
          <w:highlight w:val="none"/>
          <w:lang w:val="en"/>
        </w:rPr>
        <w:t>月</w:t>
      </w:r>
      <w:r>
        <w:rPr>
          <w:rFonts w:hint="eastAsia" w:ascii="宋体" w:hAnsi="宋体" w:cs="宋体"/>
          <w:color w:val="auto"/>
          <w:sz w:val="21"/>
          <w:szCs w:val="21"/>
          <w:highlight w:val="none"/>
          <w:lang w:val="en-US" w:eastAsia="zh-CN"/>
        </w:rPr>
        <w:t>11</w:t>
      </w:r>
      <w:r>
        <w:rPr>
          <w:rFonts w:ascii="宋体" w:hAnsi="宋体" w:cs="宋体"/>
          <w:color w:val="auto"/>
          <w:sz w:val="21"/>
          <w:szCs w:val="21"/>
          <w:highlight w:val="none"/>
          <w:lang w:val="en"/>
        </w:rPr>
        <w:t>日</w:t>
      </w:r>
    </w:p>
    <w:p>
      <w:pPr>
        <w:spacing w:before="156" w:beforeLines="50"/>
        <w:jc w:val="center"/>
        <w:rPr>
          <w:rFonts w:ascii="仿宋_GB2312" w:eastAsia="仿宋_GB2312"/>
          <w:b/>
          <w:color w:val="auto"/>
          <w:sz w:val="72"/>
          <w:szCs w:val="72"/>
          <w:highlight w:val="none"/>
        </w:rPr>
      </w:pPr>
    </w:p>
    <w:p>
      <w:pPr>
        <w:snapToGrid w:val="0"/>
        <w:spacing w:before="156" w:beforeLines="50" w:after="156" w:afterLines="50" w:line="360" w:lineRule="exact"/>
        <w:ind w:left="238"/>
        <w:jc w:val="center"/>
        <w:rPr>
          <w:rFonts w:ascii="黑体" w:eastAsia="黑体"/>
          <w:color w:val="auto"/>
          <w:sz w:val="32"/>
          <w:szCs w:val="32"/>
          <w:highlight w:val="none"/>
        </w:rPr>
      </w:pPr>
      <w:r>
        <w:rPr>
          <w:rFonts w:hint="eastAsia" w:ascii="黑体" w:eastAsia="黑体"/>
          <w:color w:val="auto"/>
          <w:sz w:val="32"/>
          <w:szCs w:val="32"/>
          <w:highlight w:val="none"/>
        </w:rPr>
        <w:br w:type="page"/>
      </w:r>
    </w:p>
    <w:p>
      <w:pPr>
        <w:snapToGrid w:val="0"/>
        <w:spacing w:before="156" w:beforeLines="50" w:after="156" w:afterLines="50" w:line="360" w:lineRule="exact"/>
        <w:ind w:left="238"/>
        <w:jc w:val="center"/>
        <w:rPr>
          <w:rFonts w:ascii="黑体" w:eastAsia="黑体"/>
          <w:color w:val="auto"/>
          <w:sz w:val="32"/>
          <w:szCs w:val="32"/>
          <w:highlight w:val="none"/>
        </w:rPr>
      </w:pPr>
    </w:p>
    <w:p>
      <w:pPr>
        <w:snapToGrid w:val="0"/>
        <w:spacing w:before="156" w:beforeLines="50" w:after="156" w:afterLines="50" w:line="360" w:lineRule="exact"/>
        <w:ind w:left="238"/>
        <w:jc w:val="center"/>
        <w:rPr>
          <w:rFonts w:ascii="黑体" w:eastAsia="黑体"/>
          <w:color w:val="auto"/>
          <w:sz w:val="32"/>
          <w:szCs w:val="32"/>
          <w:highlight w:val="none"/>
        </w:rPr>
      </w:pPr>
    </w:p>
    <w:p>
      <w:pPr>
        <w:snapToGrid w:val="0"/>
        <w:spacing w:before="156" w:beforeLines="50" w:after="156" w:afterLines="50" w:line="360" w:lineRule="exact"/>
        <w:ind w:left="238"/>
        <w:jc w:val="center"/>
        <w:rPr>
          <w:rFonts w:ascii="黑体" w:eastAsia="黑体"/>
          <w:color w:val="auto"/>
          <w:sz w:val="32"/>
          <w:szCs w:val="32"/>
          <w:highlight w:val="none"/>
        </w:rPr>
      </w:pPr>
    </w:p>
    <w:p>
      <w:pPr>
        <w:snapToGrid w:val="0"/>
        <w:spacing w:before="156" w:beforeLines="50" w:after="156" w:afterLines="50" w:line="360" w:lineRule="exact"/>
        <w:ind w:left="238"/>
        <w:jc w:val="center"/>
        <w:rPr>
          <w:rFonts w:ascii="黑体" w:eastAsia="黑体"/>
          <w:color w:val="auto"/>
          <w:sz w:val="32"/>
          <w:szCs w:val="32"/>
          <w:highlight w:val="none"/>
        </w:rPr>
      </w:pPr>
    </w:p>
    <w:p>
      <w:pPr>
        <w:snapToGrid w:val="0"/>
        <w:spacing w:before="156" w:beforeLines="50" w:after="156" w:afterLines="50" w:line="360" w:lineRule="exact"/>
        <w:ind w:left="238"/>
        <w:jc w:val="center"/>
        <w:rPr>
          <w:rFonts w:ascii="黑体" w:eastAsia="黑体"/>
          <w:color w:val="auto"/>
          <w:sz w:val="32"/>
          <w:szCs w:val="32"/>
          <w:highlight w:val="none"/>
        </w:rPr>
      </w:pPr>
    </w:p>
    <w:p>
      <w:pPr>
        <w:snapToGrid w:val="0"/>
        <w:spacing w:before="156" w:beforeLines="50" w:after="156" w:afterLines="50" w:line="360" w:lineRule="exact"/>
        <w:ind w:left="238"/>
        <w:jc w:val="center"/>
        <w:rPr>
          <w:rFonts w:ascii="黑体" w:eastAsia="黑体"/>
          <w:color w:val="auto"/>
          <w:sz w:val="32"/>
          <w:szCs w:val="32"/>
          <w:highlight w:val="none"/>
        </w:rPr>
      </w:pPr>
    </w:p>
    <w:p>
      <w:pPr>
        <w:snapToGrid w:val="0"/>
        <w:spacing w:before="156" w:beforeLines="50" w:after="156" w:afterLines="50" w:line="360" w:lineRule="exact"/>
        <w:ind w:left="238"/>
        <w:jc w:val="center"/>
        <w:rPr>
          <w:rFonts w:ascii="黑体" w:eastAsia="黑体"/>
          <w:color w:val="auto"/>
          <w:sz w:val="32"/>
          <w:szCs w:val="32"/>
          <w:highlight w:val="none"/>
        </w:rPr>
      </w:pPr>
    </w:p>
    <w:p>
      <w:pPr>
        <w:snapToGrid w:val="0"/>
        <w:spacing w:before="156" w:beforeLines="50" w:after="156" w:afterLines="50" w:line="360" w:lineRule="exact"/>
        <w:ind w:left="238"/>
        <w:jc w:val="center"/>
        <w:rPr>
          <w:rFonts w:ascii="黑体" w:eastAsia="黑体"/>
          <w:color w:val="auto"/>
          <w:sz w:val="32"/>
          <w:szCs w:val="32"/>
          <w:highlight w:val="none"/>
        </w:rPr>
      </w:pPr>
    </w:p>
    <w:p>
      <w:pPr>
        <w:snapToGrid w:val="0"/>
        <w:spacing w:before="156" w:beforeLines="50" w:after="156" w:afterLines="50" w:line="360" w:lineRule="exact"/>
        <w:ind w:left="238"/>
        <w:jc w:val="center"/>
        <w:rPr>
          <w:rFonts w:ascii="黑体" w:eastAsia="黑体"/>
          <w:color w:val="auto"/>
          <w:sz w:val="32"/>
          <w:szCs w:val="32"/>
          <w:highlight w:val="none"/>
        </w:rPr>
      </w:pPr>
    </w:p>
    <w:p>
      <w:pPr>
        <w:snapToGrid w:val="0"/>
        <w:spacing w:before="156" w:beforeLines="50" w:after="156" w:afterLines="50"/>
        <w:ind w:left="238"/>
        <w:jc w:val="center"/>
        <w:rPr>
          <w:rFonts w:ascii="黑体" w:eastAsia="黑体"/>
          <w:color w:val="auto"/>
          <w:sz w:val="36"/>
          <w:szCs w:val="36"/>
          <w:highlight w:val="none"/>
        </w:rPr>
      </w:pPr>
    </w:p>
    <w:p>
      <w:pPr>
        <w:snapToGrid w:val="0"/>
        <w:spacing w:before="156" w:beforeLines="50" w:after="156" w:afterLines="50"/>
        <w:ind w:left="238"/>
        <w:jc w:val="center"/>
        <w:rPr>
          <w:rFonts w:ascii="黑体" w:eastAsia="黑体"/>
          <w:color w:val="auto"/>
          <w:sz w:val="36"/>
          <w:szCs w:val="36"/>
          <w:highlight w:val="none"/>
        </w:rPr>
      </w:pPr>
      <w:r>
        <w:rPr>
          <w:rFonts w:hint="eastAsia" w:ascii="仿宋_GB2312" w:eastAsia="仿宋_GB2312"/>
          <w:b/>
          <w:color w:val="auto"/>
          <w:sz w:val="36"/>
          <w:szCs w:val="36"/>
          <w:highlight w:val="none"/>
        </w:rPr>
        <w:t xml:space="preserve">第二章  </w:t>
      </w:r>
      <w:r>
        <w:rPr>
          <w:rFonts w:hint="eastAsia" w:ascii="仿宋_GB2312" w:eastAsia="仿宋_GB2312"/>
          <w:b/>
          <w:bCs/>
          <w:color w:val="auto"/>
          <w:sz w:val="36"/>
          <w:szCs w:val="36"/>
          <w:highlight w:val="none"/>
        </w:rPr>
        <w:t>招</w:t>
      </w:r>
      <w:r>
        <w:rPr>
          <w:rFonts w:hint="eastAsia" w:ascii="仿宋_GB2312" w:eastAsia="仿宋_GB2312"/>
          <w:b/>
          <w:color w:val="auto"/>
          <w:sz w:val="36"/>
          <w:szCs w:val="36"/>
          <w:highlight w:val="none"/>
        </w:rPr>
        <w:t>标项目采购需求</w:t>
      </w:r>
    </w:p>
    <w:p>
      <w:pPr>
        <w:jc w:val="center"/>
        <w:rPr>
          <w:rFonts w:ascii="宋体" w:hAnsi="宋体"/>
          <w:b/>
          <w:dstrike/>
          <w:color w:val="auto"/>
          <w:sz w:val="36"/>
          <w:szCs w:val="36"/>
          <w:highlight w:val="none"/>
        </w:rPr>
      </w:pPr>
      <w:r>
        <w:rPr>
          <w:color w:val="auto"/>
          <w:highlight w:val="none"/>
        </w:rPr>
        <w:br w:type="page"/>
      </w:r>
      <w:r>
        <w:rPr>
          <w:rFonts w:hint="eastAsia" w:ascii="宋体" w:hAnsi="宋体"/>
          <w:b/>
          <w:bCs/>
          <w:color w:val="auto"/>
          <w:sz w:val="36"/>
          <w:szCs w:val="36"/>
          <w:highlight w:val="none"/>
        </w:rPr>
        <w:t>招标项目采购需求</w:t>
      </w:r>
    </w:p>
    <w:p>
      <w:pPr>
        <w:ind w:left="6" w:firstLine="431"/>
        <w:rPr>
          <w:rFonts w:ascii="宋体" w:hAnsi="宋体"/>
          <w:b/>
          <w:bCs/>
          <w:color w:val="auto"/>
          <w:szCs w:val="21"/>
          <w:highlight w:val="none"/>
        </w:rPr>
      </w:pPr>
    </w:p>
    <w:p>
      <w:pPr>
        <w:spacing w:line="264" w:lineRule="auto"/>
        <w:ind w:firstLine="420"/>
        <w:rPr>
          <w:rFonts w:ascii="宋体" w:hAnsi="宋体"/>
          <w:b/>
          <w:bCs/>
          <w:color w:val="auto"/>
          <w:szCs w:val="21"/>
          <w:highlight w:val="none"/>
        </w:rPr>
      </w:pPr>
      <w:r>
        <w:rPr>
          <w:rFonts w:hint="eastAsia" w:ascii="宋体" w:hAnsi="宋体"/>
          <w:b/>
          <w:bCs/>
          <w:color w:val="auto"/>
          <w:szCs w:val="21"/>
          <w:highlight w:val="none"/>
        </w:rPr>
        <w:t>1．本需求的货物品牌型号、技术参数及其性能（配置）仅起参考作用，投标人可选用其他品牌型号替代，但这些替代的产品要实质上相当于或优于参考品牌型号及其技术参数性能（配置）要求。</w:t>
      </w:r>
    </w:p>
    <w:p>
      <w:pPr>
        <w:spacing w:line="264" w:lineRule="auto"/>
        <w:ind w:firstLine="420"/>
        <w:rPr>
          <w:rFonts w:ascii="宋体" w:hAnsi="宋体"/>
          <w:b/>
          <w:bCs/>
          <w:color w:val="auto"/>
          <w:szCs w:val="21"/>
          <w:highlight w:val="none"/>
        </w:rPr>
      </w:pPr>
      <w:r>
        <w:rPr>
          <w:rFonts w:hint="eastAsia" w:ascii="宋体" w:hAnsi="宋体"/>
          <w:b/>
          <w:bCs/>
          <w:color w:val="auto"/>
          <w:szCs w:val="21"/>
          <w:highlight w:val="none"/>
        </w:rPr>
        <w:t>2．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p>
      <w:pPr>
        <w:spacing w:line="264" w:lineRule="auto"/>
        <w:ind w:firstLine="420"/>
        <w:rPr>
          <w:rFonts w:ascii="宋体" w:hAnsi="宋体"/>
          <w:b/>
          <w:bCs/>
          <w:color w:val="auto"/>
          <w:szCs w:val="21"/>
          <w:highlight w:val="none"/>
        </w:rPr>
      </w:pPr>
      <w:r>
        <w:rPr>
          <w:rFonts w:hint="eastAsia" w:ascii="宋体" w:hAnsi="宋体"/>
          <w:b/>
          <w:bCs/>
          <w:color w:val="auto"/>
          <w:szCs w:val="21"/>
          <w:highlight w:val="none"/>
        </w:rPr>
        <w:t>3．主要技术参数及性能（配置）要求中的“≥”和“≤”偏离说明，“≥”：“=”为无偏离，“＞”为正偏离；“＜”为负偏离，“≤”：“=”为无偏离，“＜”为正偏离，“＞”为负偏离。</w:t>
      </w:r>
    </w:p>
    <w:p>
      <w:pPr>
        <w:spacing w:line="264" w:lineRule="auto"/>
        <w:ind w:firstLine="420"/>
        <w:rPr>
          <w:rFonts w:ascii="宋体" w:hAnsi="宋体"/>
          <w:b/>
          <w:bCs/>
          <w:color w:val="auto"/>
          <w:szCs w:val="21"/>
          <w:highlight w:val="none"/>
          <w:lang w:val="en"/>
        </w:rPr>
      </w:pPr>
      <w:r>
        <w:rPr>
          <w:rFonts w:hint="eastAsia" w:ascii="宋体" w:hAnsi="宋体"/>
          <w:b/>
          <w:bCs/>
          <w:color w:val="auto"/>
          <w:szCs w:val="21"/>
          <w:highlight w:val="none"/>
        </w:rPr>
        <w:t>4．本一览表“</w:t>
      </w:r>
      <w:r>
        <w:rPr>
          <w:rFonts w:hint="eastAsia" w:ascii="宋体" w:hAnsi="宋体" w:cs="宋体"/>
          <w:b/>
          <w:color w:val="auto"/>
          <w:kern w:val="0"/>
          <w:szCs w:val="21"/>
          <w:highlight w:val="none"/>
        </w:rPr>
        <w:t>主要</w:t>
      </w:r>
      <w:r>
        <w:rPr>
          <w:rFonts w:hint="eastAsia" w:ascii="宋体" w:hAnsi="宋体"/>
          <w:b/>
          <w:bCs/>
          <w:color w:val="auto"/>
          <w:szCs w:val="21"/>
          <w:highlight w:val="none"/>
        </w:rPr>
        <w:t>技术参数及性能（配置）要求”及“商务及其他要求表”中标明“</w:t>
      </w:r>
      <w:r>
        <w:rPr>
          <w:rFonts w:hint="eastAsia" w:ascii="宋体" w:hAnsi="宋体" w:cs="宋体"/>
          <w:color w:val="auto"/>
          <w:kern w:val="0"/>
          <w:szCs w:val="21"/>
          <w:highlight w:val="none"/>
        </w:rPr>
        <w:t>▲</w:t>
      </w:r>
      <w:r>
        <w:rPr>
          <w:rFonts w:hint="eastAsia" w:ascii="宋体" w:hAnsi="宋体"/>
          <w:b/>
          <w:bCs/>
          <w:color w:val="auto"/>
          <w:szCs w:val="21"/>
          <w:highlight w:val="none"/>
        </w:rPr>
        <w:t>”号的参数为必须响应的实质性要求。</w:t>
      </w:r>
      <w:r>
        <w:rPr>
          <w:rFonts w:hint="eastAsia" w:ascii="宋体" w:hAnsi="宋体" w:cs="宋体"/>
          <w:b/>
          <w:bCs/>
          <w:color w:val="auto"/>
          <w:szCs w:val="21"/>
          <w:highlight w:val="none"/>
        </w:rPr>
        <w:t>标记“</w:t>
      </w:r>
      <w:r>
        <w:rPr>
          <w:rFonts w:hint="eastAsia" w:ascii="宋体" w:hAnsi="宋体" w:cs="宋体"/>
          <w:color w:val="auto"/>
          <w:highlight w:val="none"/>
          <w:lang w:val="en"/>
        </w:rPr>
        <w:t>★</w:t>
      </w:r>
      <w:r>
        <w:rPr>
          <w:rFonts w:hint="eastAsia" w:ascii="宋体" w:hAnsi="宋体" w:cs="宋体"/>
          <w:b/>
          <w:bCs/>
          <w:color w:val="auto"/>
          <w:szCs w:val="21"/>
          <w:highlight w:val="none"/>
        </w:rPr>
        <w:t>”的技术参数正偏离作为加分项</w:t>
      </w:r>
      <w:r>
        <w:rPr>
          <w:rFonts w:ascii="宋体" w:hAnsi="宋体"/>
          <w:b/>
          <w:bCs/>
          <w:color w:val="auto"/>
          <w:szCs w:val="21"/>
          <w:highlight w:val="none"/>
          <w:lang w:val="en"/>
        </w:rPr>
        <w:t>。</w:t>
      </w:r>
    </w:p>
    <w:p>
      <w:pPr>
        <w:spacing w:line="264" w:lineRule="auto"/>
        <w:ind w:firstLine="420"/>
        <w:rPr>
          <w:rFonts w:ascii="宋体" w:hAnsi="宋体"/>
          <w:b/>
          <w:bCs/>
          <w:color w:val="auto"/>
          <w:szCs w:val="21"/>
          <w:highlight w:val="none"/>
        </w:rPr>
      </w:pPr>
      <w:r>
        <w:rPr>
          <w:rFonts w:hint="eastAsia" w:ascii="宋体" w:hAnsi="宋体" w:cs="宋体"/>
          <w:b/>
          <w:bCs/>
          <w:color w:val="auto"/>
          <w:highlight w:val="none"/>
        </w:rPr>
        <w:t>5.</w:t>
      </w:r>
      <w:r>
        <w:rPr>
          <w:rFonts w:hint="eastAsia" w:ascii="宋体" w:hAnsi="宋体"/>
          <w:b/>
          <w:color w:val="auto"/>
          <w:highlight w:val="none"/>
        </w:rPr>
        <w:t>分标</w:t>
      </w:r>
      <w:r>
        <w:rPr>
          <w:rFonts w:ascii="宋体" w:hAnsi="宋体"/>
          <w:b/>
          <w:color w:val="auto"/>
          <w:highlight w:val="none"/>
          <w:lang w:val="en"/>
        </w:rPr>
        <w:t>1</w:t>
      </w:r>
      <w:r>
        <w:rPr>
          <w:rFonts w:hint="eastAsia" w:ascii="宋体" w:hAnsi="宋体"/>
          <w:b/>
          <w:color w:val="auto"/>
          <w:highlight w:val="none"/>
          <w:lang w:val="en"/>
        </w:rPr>
        <w:t>、</w:t>
      </w:r>
      <w:r>
        <w:rPr>
          <w:rFonts w:hint="eastAsia" w:ascii="宋体" w:hAnsi="宋体"/>
          <w:b/>
          <w:color w:val="auto"/>
          <w:highlight w:val="none"/>
        </w:rPr>
        <w:t>2、</w:t>
      </w:r>
      <w:r>
        <w:rPr>
          <w:rFonts w:ascii="宋体" w:hAnsi="宋体"/>
          <w:b/>
          <w:bCs/>
          <w:color w:val="auto"/>
          <w:szCs w:val="21"/>
          <w:highlight w:val="none"/>
        </w:rPr>
        <w:t>采购标的对应的中小企业划分标准所属行业为</w:t>
      </w:r>
      <w:r>
        <w:rPr>
          <w:rFonts w:hint="eastAsia" w:ascii="宋体" w:hAnsi="宋体"/>
          <w:b/>
          <w:bCs/>
          <w:color w:val="auto"/>
          <w:szCs w:val="21"/>
          <w:highlight w:val="none"/>
        </w:rPr>
        <w:t>：工业。</w:t>
      </w:r>
    </w:p>
    <w:p>
      <w:pPr>
        <w:spacing w:line="264" w:lineRule="auto"/>
        <w:ind w:firstLine="413" w:firstLineChars="196"/>
        <w:rPr>
          <w:rFonts w:hint="default" w:ascii="宋体" w:hAnsi="宋体" w:eastAsia="宋体"/>
          <w:b/>
          <w:color w:val="auto"/>
          <w:highlight w:val="none"/>
          <w:lang w:val="en-US" w:eastAsia="zh-CN"/>
        </w:rPr>
      </w:pPr>
      <w:r>
        <w:rPr>
          <w:rFonts w:hint="eastAsia" w:ascii="宋体" w:hAnsi="宋体"/>
          <w:b/>
          <w:color w:val="auto"/>
          <w:highlight w:val="none"/>
          <w:lang w:val="en-US" w:eastAsia="zh-CN"/>
        </w:rPr>
        <w:t>6.本项目采购预算为:3005127.00元。分标1:1880000.00元；分标2: 1125127.00元。</w:t>
      </w:r>
    </w:p>
    <w:p>
      <w:pPr>
        <w:spacing w:line="360" w:lineRule="auto"/>
        <w:ind w:firstLine="413" w:firstLineChars="196"/>
        <w:rPr>
          <w:rFonts w:ascii="宋体" w:hAnsi="Calibri"/>
          <w:b/>
          <w:color w:val="auto"/>
          <w:highlight w:val="none"/>
        </w:rPr>
      </w:pPr>
      <w:r>
        <w:rPr>
          <w:rFonts w:hint="eastAsia" w:ascii="宋体" w:hAnsi="宋体"/>
          <w:b/>
          <w:color w:val="auto"/>
          <w:highlight w:val="none"/>
        </w:rPr>
        <w:t>分标</w:t>
      </w:r>
      <w:r>
        <w:rPr>
          <w:rFonts w:ascii="宋体" w:hAnsi="宋体"/>
          <w:b/>
          <w:color w:val="auto"/>
          <w:highlight w:val="none"/>
          <w:lang w:val="en"/>
        </w:rPr>
        <w:t>1</w:t>
      </w:r>
      <w:r>
        <w:rPr>
          <w:rFonts w:hint="eastAsia" w:ascii="宋体" w:hAnsi="宋体"/>
          <w:b/>
          <w:color w:val="auto"/>
          <w:highlight w:val="none"/>
        </w:rPr>
        <w:t>：</w:t>
      </w:r>
    </w:p>
    <w:tbl>
      <w:tblPr>
        <w:tblStyle w:val="53"/>
        <w:tblW w:w="1010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4"/>
        <w:gridCol w:w="1110"/>
        <w:gridCol w:w="719"/>
        <w:gridCol w:w="759"/>
        <w:gridCol w:w="69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ascii="宋体" w:hAnsi="宋体" w:cs="宋体"/>
                <w:b/>
                <w:color w:val="auto"/>
                <w:szCs w:val="21"/>
                <w:highlight w:val="none"/>
              </w:rPr>
            </w:pPr>
            <w:r>
              <w:rPr>
                <w:rFonts w:hint="eastAsia" w:ascii="宋体" w:hAnsi="宋体" w:cs="宋体"/>
                <w:b/>
                <w:color w:val="auto"/>
                <w:szCs w:val="21"/>
                <w:highlight w:val="none"/>
              </w:rPr>
              <w:t>项号</w:t>
            </w:r>
          </w:p>
        </w:tc>
        <w:tc>
          <w:tcPr>
            <w:tcW w:w="1110"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ascii="宋体" w:hAnsi="宋体" w:cs="宋体"/>
                <w:b/>
                <w:color w:val="auto"/>
                <w:szCs w:val="21"/>
                <w:highlight w:val="none"/>
              </w:rPr>
            </w:pPr>
            <w:r>
              <w:rPr>
                <w:rFonts w:hint="eastAsia" w:ascii="宋体" w:hAnsi="宋体" w:cs="宋体"/>
                <w:b/>
                <w:color w:val="auto"/>
                <w:szCs w:val="21"/>
                <w:highlight w:val="none"/>
              </w:rPr>
              <w:t>货物名称</w:t>
            </w:r>
          </w:p>
        </w:tc>
        <w:tc>
          <w:tcPr>
            <w:tcW w:w="719"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759"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ascii="宋体" w:hAnsi="宋体" w:cs="宋体"/>
                <w:b/>
                <w:color w:val="auto"/>
                <w:szCs w:val="21"/>
                <w:highlight w:val="none"/>
                <w:lang w:val="en"/>
              </w:rPr>
            </w:pPr>
            <w:r>
              <w:rPr>
                <w:rFonts w:hint="eastAsia" w:ascii="宋体" w:hAnsi="宋体" w:cs="宋体"/>
                <w:b/>
                <w:color w:val="auto"/>
                <w:szCs w:val="21"/>
                <w:highlight w:val="none"/>
              </w:rPr>
              <w:t>单位</w:t>
            </w:r>
          </w:p>
        </w:tc>
        <w:tc>
          <w:tcPr>
            <w:tcW w:w="6907" w:type="dxa"/>
            <w:tcBorders>
              <w:top w:val="single" w:color="auto" w:sz="4" w:space="0"/>
              <w:left w:val="single" w:color="auto" w:sz="4" w:space="0"/>
              <w:bottom w:val="single" w:color="auto" w:sz="4" w:space="0"/>
            </w:tcBorders>
            <w:vAlign w:val="center"/>
          </w:tcPr>
          <w:p>
            <w:pPr>
              <w:widowControl/>
              <w:spacing w:line="264"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主要技术参数及性能（配置）要求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40"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图书馆</w:t>
            </w:r>
          </w:p>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密集书架</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940</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color w:val="auto"/>
                <w:highlight w:val="none"/>
              </w:rPr>
              <w:t>个</w:t>
            </w:r>
          </w:p>
        </w:tc>
        <w:tc>
          <w:tcPr>
            <w:tcW w:w="6907" w:type="dxa"/>
            <w:tcBorders>
              <w:top w:val="single" w:color="auto" w:sz="4" w:space="0"/>
              <w:left w:val="single" w:color="auto" w:sz="4" w:space="0"/>
              <w:bottom w:val="single" w:color="auto" w:sz="4" w:space="0"/>
            </w:tcBorders>
            <w:shd w:val="clear" w:color="auto" w:fill="auto"/>
          </w:tcPr>
          <w:p>
            <w:pPr>
              <w:jc w:val="left"/>
              <w:rPr>
                <w:rFonts w:ascii="宋体" w:cs="宋体"/>
                <w:color w:val="auto"/>
                <w:szCs w:val="21"/>
                <w:highlight w:val="none"/>
              </w:rPr>
            </w:pPr>
            <w:r>
              <w:rPr>
                <w:rFonts w:hint="eastAsia" w:ascii="宋体" w:hAnsi="宋体" w:cs="宋体"/>
                <w:color w:val="auto"/>
                <w:kern w:val="0"/>
                <w:szCs w:val="21"/>
                <w:highlight w:val="none"/>
              </w:rPr>
              <w:t>▲</w:t>
            </w:r>
            <w:r>
              <w:rPr>
                <w:rFonts w:hint="eastAsia" w:ascii="宋体" w:cs="宋体"/>
                <w:color w:val="auto"/>
                <w:szCs w:val="21"/>
                <w:highlight w:val="none"/>
              </w:rPr>
              <w:t>移动密集书架：规格尺寸（mm）：（列高2500*长900*列深600）/个，每个6层，双面存放图书。</w:t>
            </w:r>
          </w:p>
          <w:p>
            <w:pPr>
              <w:spacing w:line="264" w:lineRule="auto"/>
              <w:jc w:val="left"/>
              <w:rPr>
                <w:rFonts w:ascii="宋体" w:cs="宋体"/>
                <w:color w:val="auto"/>
                <w:szCs w:val="21"/>
                <w:highlight w:val="none"/>
              </w:rPr>
            </w:pPr>
            <w:r>
              <w:rPr>
                <w:rFonts w:hint="eastAsia" w:ascii="宋体" w:hAnsi="宋体" w:cs="宋体"/>
                <w:color w:val="auto"/>
                <w:szCs w:val="21"/>
                <w:highlight w:val="none"/>
              </w:rPr>
              <w:t>一</w:t>
            </w:r>
            <w:r>
              <w:rPr>
                <w:rFonts w:ascii="宋体" w:hAnsi="宋体" w:cs="宋体"/>
                <w:color w:val="auto"/>
                <w:szCs w:val="21"/>
                <w:highlight w:val="none"/>
              </w:rPr>
              <w:t>、</w:t>
            </w:r>
            <w:r>
              <w:rPr>
                <w:rFonts w:hint="eastAsia" w:ascii="宋体" w:hAnsi="宋体" w:cs="宋体"/>
                <w:color w:val="auto"/>
                <w:szCs w:val="21"/>
                <w:highlight w:val="none"/>
              </w:rPr>
              <w:t>材质要求</w:t>
            </w:r>
            <w:r>
              <w:rPr>
                <w:rFonts w:hint="eastAsia" w:ascii="宋体" w:cs="宋体"/>
                <w:color w:val="auto"/>
                <w:szCs w:val="21"/>
                <w:highlight w:val="none"/>
              </w:rPr>
              <w:t>：所有原材料采用国产品牌优质冷轧低碳钢板</w:t>
            </w:r>
            <w:r>
              <w:rPr>
                <w:rFonts w:hint="eastAsia"/>
                <w:color w:val="auto"/>
                <w:highlight w:val="none"/>
              </w:rPr>
              <w:t>。</w:t>
            </w:r>
          </w:p>
          <w:p>
            <w:pPr>
              <w:jc w:val="left"/>
              <w:rPr>
                <w:rFonts w:ascii="宋体" w:cs="宋体"/>
                <w:color w:val="auto"/>
                <w:szCs w:val="21"/>
                <w:highlight w:val="none"/>
              </w:rPr>
            </w:pPr>
            <w:r>
              <w:rPr>
                <w:rFonts w:hint="eastAsia" w:ascii="宋体" w:cs="宋体"/>
                <w:color w:val="auto"/>
                <w:szCs w:val="21"/>
                <w:highlight w:val="none"/>
              </w:rPr>
              <w:t>★1.密集架底盘钢板：采用2.5mm优质钢材。</w:t>
            </w:r>
          </w:p>
          <w:p>
            <w:pPr>
              <w:jc w:val="left"/>
              <w:rPr>
                <w:rFonts w:ascii="宋体" w:cs="宋体"/>
                <w:color w:val="auto"/>
                <w:szCs w:val="21"/>
                <w:highlight w:val="none"/>
              </w:rPr>
            </w:pPr>
            <w:r>
              <w:rPr>
                <w:rFonts w:hint="eastAsia" w:ascii="宋体" w:cs="宋体"/>
                <w:color w:val="auto"/>
                <w:szCs w:val="21"/>
                <w:highlight w:val="none"/>
              </w:rPr>
              <w:t xml:space="preserve">一体机成型自带防鼠功能，底座框架式结构，全轮驱动方式；为45号Φ25实心优质钢结构，传动轴轴承 MT204万向轴承，轴承座固定方式，磨具压孔嵌入式紧密贴合于框架承重板两侧，全负荷承重不断裂。 </w:t>
            </w:r>
          </w:p>
          <w:p>
            <w:pPr>
              <w:jc w:val="left"/>
              <w:rPr>
                <w:rFonts w:ascii="宋体" w:cs="宋体"/>
                <w:color w:val="auto"/>
                <w:szCs w:val="21"/>
                <w:highlight w:val="none"/>
              </w:rPr>
            </w:pPr>
            <w:r>
              <w:rPr>
                <w:rFonts w:hint="eastAsia" w:ascii="宋体" w:cs="宋体"/>
                <w:color w:val="auto"/>
                <w:szCs w:val="21"/>
                <w:highlight w:val="none"/>
              </w:rPr>
              <w:t>2.密集架轨道：轨道一次成型125*25mm优质钢板，密集架轨道实心方钢25×20mm，轨道全部镀锌处理，轨道与轨道采用销轴定位对接。轨道预埋式铺设，安装后的轨道水平偏差不大于1mm，轨道之间对应点的水平偏差不大于1mm，每两条轨道之间的平行度偏差不大于1.5mm。</w:t>
            </w:r>
          </w:p>
          <w:p>
            <w:pPr>
              <w:jc w:val="left"/>
              <w:rPr>
                <w:rFonts w:hint="eastAsia" w:ascii="宋体" w:eastAsia="宋体" w:cs="宋体"/>
                <w:strike w:val="0"/>
                <w:dstrike w:val="0"/>
                <w:color w:val="auto"/>
                <w:szCs w:val="21"/>
                <w:highlight w:val="none"/>
                <w:lang w:eastAsia="zh-CN" w:bidi="ar"/>
              </w:rPr>
            </w:pPr>
            <w:r>
              <w:rPr>
                <w:rFonts w:hint="eastAsia" w:ascii="宋体" w:cs="宋体"/>
                <w:color w:val="auto"/>
                <w:szCs w:val="21"/>
                <w:highlight w:val="none"/>
                <w:lang w:bidi="ar"/>
              </w:rPr>
              <w:t xml:space="preserve"> </w:t>
            </w:r>
            <w:r>
              <w:rPr>
                <w:rFonts w:hint="eastAsia" w:ascii="宋体" w:cs="宋体"/>
                <w:strike w:val="0"/>
                <w:dstrike w:val="0"/>
                <w:color w:val="auto"/>
                <w:szCs w:val="21"/>
                <w:highlight w:val="none"/>
                <w:lang w:bidi="ar"/>
              </w:rPr>
              <w:t xml:space="preserve">  上述1-2项的密集架底盘钢板、密集架实芯轨道材料符合检测依据GB/T 1735-2009,GB/T 1740-2007,GB/T 23987-2009,GB/T 1766-2008，QB/T3828-1999,QB/T 3832-1999，包含但不限于以下内容：耐干热(70℃，100h)、耐湿热 200h，紫外老化 200h,无粉化、无起泡、无脱落、无开裂，无失光、无变色。铜加速乙酸盐雾试验200h：镀层本身的耐腐蚀等级</w:t>
            </w:r>
            <w:r>
              <w:rPr>
                <w:rFonts w:hint="eastAsia" w:ascii="宋体" w:cs="宋体"/>
                <w:strike w:val="0"/>
                <w:dstrike w:val="0"/>
                <w:color w:val="auto"/>
                <w:szCs w:val="21"/>
                <w:highlight w:val="none"/>
                <w:lang w:eastAsia="zh-CN" w:bidi="ar"/>
              </w:rPr>
              <w:t>；</w:t>
            </w:r>
          </w:p>
          <w:p>
            <w:pPr>
              <w:numPr>
                <w:ilvl w:val="0"/>
                <w:numId w:val="0"/>
              </w:numPr>
              <w:jc w:val="left"/>
              <w:rPr>
                <w:rFonts w:hint="eastAsia" w:ascii="宋体" w:cs="宋体"/>
                <w:strike w:val="0"/>
                <w:dstrike w:val="0"/>
                <w:color w:val="auto"/>
                <w:szCs w:val="21"/>
                <w:highlight w:val="none"/>
                <w:lang w:bidi="ar"/>
              </w:rPr>
            </w:pPr>
            <w:r>
              <w:rPr>
                <w:rFonts w:hint="eastAsia" w:ascii="宋体" w:cs="宋体"/>
                <w:strike w:val="0"/>
                <w:dstrike w:val="0"/>
                <w:color w:val="auto"/>
                <w:szCs w:val="21"/>
                <w:highlight w:val="none"/>
                <w:lang w:bidi="ar"/>
              </w:rPr>
              <w:t>镀层对基体的保护等级</w:t>
            </w:r>
            <w:r>
              <w:rPr>
                <w:rFonts w:hint="eastAsia" w:ascii="宋体" w:cs="宋体"/>
                <w:strike w:val="0"/>
                <w:dstrike w:val="0"/>
                <w:color w:val="auto"/>
                <w:szCs w:val="21"/>
                <w:highlight w:val="none"/>
                <w:lang w:eastAsia="zh-CN" w:bidi="ar"/>
              </w:rPr>
              <w:t>：</w:t>
            </w:r>
            <w:r>
              <w:rPr>
                <w:rFonts w:hint="eastAsia" w:ascii="宋体" w:cs="宋体"/>
                <w:strike w:val="0"/>
                <w:dstrike w:val="0"/>
                <w:color w:val="auto"/>
                <w:szCs w:val="21"/>
                <w:highlight w:val="none"/>
                <w:lang w:bidi="ar"/>
              </w:rPr>
              <w:t>≥9 级。</w:t>
            </w:r>
          </w:p>
          <w:p>
            <w:pPr>
              <w:numPr>
                <w:ilvl w:val="0"/>
                <w:numId w:val="0"/>
              </w:numPr>
              <w:jc w:val="left"/>
              <w:rPr>
                <w:rFonts w:ascii="宋体" w:cs="宋体"/>
                <w:color w:val="auto"/>
                <w:szCs w:val="21"/>
                <w:highlight w:val="none"/>
              </w:rPr>
            </w:pPr>
            <w:r>
              <w:rPr>
                <w:rFonts w:hint="eastAsia" w:ascii="宋体" w:cs="宋体"/>
                <w:color w:val="auto"/>
                <w:szCs w:val="21"/>
                <w:highlight w:val="none"/>
              </w:rPr>
              <w:t>3.各部件要求（不含喷涂层）：</w:t>
            </w:r>
          </w:p>
          <w:p>
            <w:pPr>
              <w:spacing w:line="264" w:lineRule="auto"/>
              <w:jc w:val="left"/>
              <w:rPr>
                <w:rFonts w:ascii="宋体" w:cs="宋体"/>
                <w:color w:val="auto"/>
                <w:szCs w:val="21"/>
                <w:highlight w:val="none"/>
              </w:rPr>
            </w:pPr>
            <w:r>
              <w:rPr>
                <w:rFonts w:hint="eastAsia" w:ascii="宋体" w:cs="宋体"/>
                <w:color w:val="auto"/>
                <w:szCs w:val="21"/>
                <w:highlight w:val="none"/>
              </w:rPr>
              <w:t>★（1)、密集架立柱1.2mm的冷轧钢板,正面压双半圆型筋或凹槽和双圆筋增加强度。</w:t>
            </w:r>
          </w:p>
          <w:p>
            <w:pPr>
              <w:spacing w:line="264" w:lineRule="auto"/>
              <w:jc w:val="left"/>
              <w:rPr>
                <w:rFonts w:ascii="宋体" w:cs="宋体"/>
                <w:color w:val="auto"/>
                <w:szCs w:val="21"/>
                <w:highlight w:val="none"/>
              </w:rPr>
            </w:pPr>
            <w:r>
              <w:rPr>
                <w:rFonts w:hint="eastAsia" w:ascii="宋体" w:cs="宋体"/>
                <w:color w:val="auto"/>
                <w:szCs w:val="21"/>
                <w:highlight w:val="none"/>
              </w:rPr>
              <w:t>背面采用双边，两侧面靠正面处压有台阶，靠背面处压圆筋，两侧面各冲有一排挂钩孔。承重能力强，钢性足。立柱均匀冲孔，层数和间距可按需要调整，挂板安装后挂板表面不超出立柱侧表面。</w:t>
            </w:r>
          </w:p>
          <w:p>
            <w:pPr>
              <w:spacing w:line="264" w:lineRule="auto"/>
              <w:jc w:val="left"/>
              <w:rPr>
                <w:rFonts w:ascii="宋体" w:cs="宋体"/>
                <w:color w:val="auto"/>
                <w:szCs w:val="21"/>
                <w:highlight w:val="none"/>
              </w:rPr>
            </w:pPr>
            <w:r>
              <w:rPr>
                <w:rFonts w:hint="eastAsia" w:ascii="宋体" w:cs="宋体"/>
                <w:color w:val="auto"/>
                <w:szCs w:val="21"/>
                <w:highlight w:val="none"/>
              </w:rPr>
              <w:t>★（2)、密集架挂板1.2mm的冷轧钢板，正面压圆型筋增加强度。</w:t>
            </w:r>
          </w:p>
          <w:p>
            <w:pPr>
              <w:spacing w:line="264" w:lineRule="auto"/>
              <w:jc w:val="left"/>
              <w:rPr>
                <w:rFonts w:ascii="宋体" w:cs="宋体"/>
                <w:color w:val="auto"/>
                <w:szCs w:val="21"/>
                <w:highlight w:val="none"/>
              </w:rPr>
            </w:pPr>
            <w:r>
              <w:rPr>
                <w:rFonts w:hint="eastAsia" w:ascii="宋体" w:cs="宋体"/>
                <w:color w:val="auto"/>
                <w:szCs w:val="21"/>
                <w:highlight w:val="none"/>
              </w:rPr>
              <w:t>两端单排四挂钩结构设计，挂板上下端直角折弯，并冲有四个凸槽，使搁板嵌置于弯边凸肩上，承重性好，防止搁板前后窜动，通用性互换性好，搁板与立柱侧面间隙更小。挂板与立柱之间连接方式采用八挂钩扣接，组装后，挂板表面不超出立柱侧表面。八挂钩挂板强度高，承重性能更优越，挂板与立柱对接处更牢固。</w:t>
            </w:r>
          </w:p>
          <w:p>
            <w:pPr>
              <w:spacing w:line="264" w:lineRule="auto"/>
              <w:jc w:val="left"/>
              <w:rPr>
                <w:rFonts w:ascii="宋体" w:cs="宋体"/>
                <w:color w:val="auto"/>
                <w:szCs w:val="21"/>
                <w:highlight w:val="none"/>
              </w:rPr>
            </w:pPr>
            <w:r>
              <w:rPr>
                <w:rFonts w:hint="eastAsia" w:ascii="宋体" w:cs="宋体"/>
                <w:color w:val="auto"/>
                <w:szCs w:val="21"/>
                <w:highlight w:val="none"/>
              </w:rPr>
              <w:t>★（3）密集架搁板0.8mm的冷轧钢板，成型厚度不小于27.5mm。</w:t>
            </w:r>
          </w:p>
          <w:p>
            <w:pPr>
              <w:spacing w:line="264" w:lineRule="auto"/>
              <w:jc w:val="left"/>
              <w:rPr>
                <w:rFonts w:ascii="宋体" w:cs="宋体"/>
                <w:color w:val="auto"/>
                <w:szCs w:val="21"/>
                <w:highlight w:val="none"/>
              </w:rPr>
            </w:pPr>
            <w:r>
              <w:rPr>
                <w:rFonts w:hint="eastAsia" w:ascii="宋体" w:cs="宋体"/>
                <w:color w:val="auto"/>
                <w:szCs w:val="21"/>
                <w:highlight w:val="none"/>
              </w:rPr>
              <w:t>正面压筋，增加强度，提高承重能力，钢性足。两侧面各压一条通体标签槽。</w:t>
            </w:r>
          </w:p>
          <w:p>
            <w:pPr>
              <w:jc w:val="left"/>
              <w:rPr>
                <w:rFonts w:ascii="宋体" w:cs="宋体"/>
                <w:color w:val="auto"/>
                <w:szCs w:val="21"/>
                <w:highlight w:val="none"/>
              </w:rPr>
            </w:pPr>
            <w:r>
              <w:rPr>
                <w:rFonts w:hint="eastAsia" w:ascii="宋体" w:cs="宋体"/>
                <w:color w:val="auto"/>
                <w:szCs w:val="21"/>
                <w:highlight w:val="none"/>
              </w:rPr>
              <w:t>★（4)密集架顶板0.8mm的冷轧钢板。</w:t>
            </w:r>
          </w:p>
          <w:p>
            <w:pPr>
              <w:jc w:val="left"/>
              <w:rPr>
                <w:rFonts w:ascii="宋体" w:cs="宋体"/>
                <w:color w:val="auto"/>
                <w:szCs w:val="21"/>
                <w:highlight w:val="none"/>
              </w:rPr>
            </w:pPr>
            <w:r>
              <w:rPr>
                <w:rFonts w:hint="eastAsia" w:ascii="宋体" w:cs="宋体"/>
                <w:color w:val="auto"/>
                <w:szCs w:val="21"/>
                <w:highlight w:val="none"/>
              </w:rPr>
              <w:t>顶板正面通过螺栓紧固于立柱上端，加强架体整体刚性，且起到防尘作用。</w:t>
            </w:r>
          </w:p>
          <w:p>
            <w:pPr>
              <w:jc w:val="left"/>
              <w:rPr>
                <w:rFonts w:ascii="宋体" w:cs="宋体"/>
                <w:color w:val="auto"/>
                <w:szCs w:val="21"/>
                <w:highlight w:val="none"/>
              </w:rPr>
            </w:pPr>
            <w:r>
              <w:rPr>
                <w:rFonts w:hint="eastAsia" w:ascii="宋体" w:cs="宋体"/>
                <w:color w:val="auto"/>
                <w:szCs w:val="21"/>
                <w:highlight w:val="none"/>
              </w:rPr>
              <w:t>★（5)侧板：采用1.0mm的冷轧钢板。</w:t>
            </w:r>
          </w:p>
          <w:p>
            <w:pPr>
              <w:jc w:val="left"/>
              <w:rPr>
                <w:rFonts w:ascii="宋体" w:cs="宋体"/>
                <w:color w:val="auto"/>
                <w:szCs w:val="21"/>
                <w:highlight w:val="none"/>
              </w:rPr>
            </w:pPr>
            <w:r>
              <w:rPr>
                <w:rFonts w:ascii="宋体" w:cs="宋体"/>
                <w:color w:val="auto"/>
                <w:szCs w:val="21"/>
                <w:highlight w:val="none"/>
              </w:rPr>
              <w:t>侧板分上</w:t>
            </w:r>
            <w:r>
              <w:rPr>
                <w:rFonts w:hint="eastAsia" w:ascii="宋体" w:cs="宋体"/>
                <w:color w:val="auto"/>
                <w:szCs w:val="21"/>
                <w:highlight w:val="none"/>
              </w:rPr>
              <w:t>、</w:t>
            </w:r>
            <w:r>
              <w:rPr>
                <w:rFonts w:ascii="宋体" w:cs="宋体"/>
                <w:color w:val="auto"/>
                <w:szCs w:val="21"/>
                <w:highlight w:val="none"/>
              </w:rPr>
              <w:t>中</w:t>
            </w:r>
            <w:r>
              <w:rPr>
                <w:rFonts w:hint="eastAsia" w:ascii="宋体" w:cs="宋体"/>
                <w:color w:val="auto"/>
                <w:szCs w:val="21"/>
                <w:highlight w:val="none"/>
              </w:rPr>
              <w:t>、</w:t>
            </w:r>
            <w:r>
              <w:rPr>
                <w:rFonts w:ascii="宋体" w:cs="宋体"/>
                <w:color w:val="auto"/>
                <w:szCs w:val="21"/>
                <w:highlight w:val="none"/>
              </w:rPr>
              <w:t>下</w:t>
            </w:r>
            <w:r>
              <w:rPr>
                <w:rFonts w:hint="eastAsia" w:ascii="宋体" w:cs="宋体"/>
                <w:color w:val="auto"/>
                <w:szCs w:val="21"/>
                <w:highlight w:val="none"/>
              </w:rPr>
              <w:t>三节套色，</w:t>
            </w:r>
            <w:r>
              <w:rPr>
                <w:rFonts w:hint="eastAsia" w:ascii="宋体" w:cs="宋体"/>
                <w:color w:val="auto"/>
                <w:szCs w:val="21"/>
                <w:highlight w:val="none"/>
                <w:lang w:bidi="ar"/>
              </w:rPr>
              <w:t>中间竖三段式结构，侧护板中间采用200mm高开启夹紧功能的嵌入式铝合金目录牌，能够随时随意更换标签内容，密集架列与列之间合拢一起后凹凸封闭，凹槽内嵌软胶封条缓冲密闭，架体颜色及摇把样式由用户多种选择,另外每列侧板左右必须配置各1个110mm*248mm 标签框，能够随时随意更换标签，基座整体防鼠装置合拼，架体为特殊双面封闭，架体组装后要求结实坚固耐用，</w:t>
            </w:r>
            <w:r>
              <w:rPr>
                <w:rFonts w:hint="eastAsia" w:ascii="宋体" w:cs="宋体"/>
                <w:color w:val="auto"/>
                <w:szCs w:val="21"/>
                <w:highlight w:val="none"/>
              </w:rPr>
              <w:t>面板整体美观大方，表面静电未喷涂，喷涂前经去油除锈和磷化处理，静电喷塑。</w:t>
            </w:r>
          </w:p>
          <w:p>
            <w:pPr>
              <w:ind w:firstLine="420" w:firstLineChars="200"/>
              <w:jc w:val="left"/>
              <w:rPr>
                <w:rFonts w:ascii="宋体" w:cs="宋体"/>
                <w:strike w:val="0"/>
                <w:dstrike w:val="0"/>
                <w:color w:val="auto"/>
                <w:szCs w:val="21"/>
                <w:highlight w:val="none"/>
              </w:rPr>
            </w:pPr>
            <w:r>
              <w:rPr>
                <w:rFonts w:hint="eastAsia" w:ascii="宋体" w:cs="宋体"/>
                <w:strike w:val="0"/>
                <w:dstrike w:val="0"/>
                <w:color w:val="auto"/>
                <w:szCs w:val="21"/>
                <w:highlight w:val="none"/>
                <w:lang w:bidi="ar"/>
              </w:rPr>
              <w:t>上述（1）-（5）项的密集架立柱、密集架挂板、密集架隔板、密集架顶板、铝合金侧板材料符合检测依据GB/T 1735-2009,GB/T 1740-2007,GB/T 23987-2009,GB/T 1766-2008,QB/T3828-1999,QB/T 3832-1999，包含但不限于以下内容：耐干热(70℃，100h)、耐湿热 200h，紫外老化200h,无粉化、无起泡、无脱落、无开裂，无失光、无变色。铜加速乙酸盐雾试验200h：镀层本身的耐腐蚀等级</w:t>
            </w:r>
            <w:r>
              <w:rPr>
                <w:rFonts w:hint="eastAsia" w:ascii="宋体" w:cs="宋体"/>
                <w:strike w:val="0"/>
                <w:dstrike w:val="0"/>
                <w:color w:val="auto"/>
                <w:szCs w:val="21"/>
                <w:highlight w:val="none"/>
                <w:lang w:eastAsia="zh-CN" w:bidi="ar"/>
              </w:rPr>
              <w:t>；</w:t>
            </w:r>
            <w:r>
              <w:rPr>
                <w:rFonts w:hint="eastAsia" w:ascii="宋体" w:cs="宋体"/>
                <w:strike w:val="0"/>
                <w:dstrike w:val="0"/>
                <w:color w:val="auto"/>
                <w:szCs w:val="21"/>
                <w:highlight w:val="none"/>
                <w:lang w:bidi="ar"/>
              </w:rPr>
              <w:t>镀层对基体的保护等级，≥9 级。</w:t>
            </w:r>
          </w:p>
          <w:p>
            <w:pPr>
              <w:rPr>
                <w:rFonts w:ascii="宋体" w:cs="宋体"/>
                <w:color w:val="auto"/>
                <w:szCs w:val="21"/>
                <w:highlight w:val="none"/>
              </w:rPr>
            </w:pPr>
            <w:r>
              <w:rPr>
                <w:rFonts w:hint="eastAsia" w:ascii="宋体" w:cs="宋体"/>
                <w:color w:val="auto"/>
                <w:szCs w:val="21"/>
                <w:highlight w:val="none"/>
              </w:rPr>
              <w:t>（6)密集架锁具：</w:t>
            </w:r>
          </w:p>
          <w:p>
            <w:pPr>
              <w:rPr>
                <w:rFonts w:ascii="宋体" w:cs="宋体"/>
                <w:color w:val="auto"/>
                <w:szCs w:val="21"/>
                <w:highlight w:val="none"/>
              </w:rPr>
            </w:pPr>
            <w:r>
              <w:rPr>
                <w:rFonts w:hint="eastAsia" w:ascii="汉仪书宋二S" w:hAnsi="汉仪书宋二S" w:eastAsia="汉仪书宋二S" w:cs="汉仪书宋二S"/>
                <w:color w:val="auto"/>
                <w:szCs w:val="21"/>
                <w:highlight w:val="none"/>
              </w:rPr>
              <w:t>①</w:t>
            </w:r>
            <w:r>
              <w:rPr>
                <w:rFonts w:hint="eastAsia" w:ascii="宋体" w:cs="宋体"/>
                <w:color w:val="auto"/>
                <w:szCs w:val="21"/>
                <w:highlight w:val="none"/>
              </w:rPr>
              <w:t>钥匙插拔、旋转：钥匙插拔应灵活，无卡滞现象；</w:t>
            </w:r>
          </w:p>
          <w:p>
            <w:pPr>
              <w:rPr>
                <w:rFonts w:ascii="宋体" w:cs="宋体"/>
                <w:color w:val="auto"/>
                <w:szCs w:val="21"/>
                <w:highlight w:val="none"/>
              </w:rPr>
            </w:pPr>
            <w:r>
              <w:rPr>
                <w:rFonts w:hint="eastAsia" w:ascii="汉仪书宋二S" w:hAnsi="汉仪书宋二S" w:eastAsia="汉仪书宋二S" w:cs="汉仪书宋二S"/>
                <w:color w:val="auto"/>
                <w:szCs w:val="21"/>
                <w:highlight w:val="none"/>
              </w:rPr>
              <w:t>②</w:t>
            </w:r>
            <w:r>
              <w:rPr>
                <w:rFonts w:hint="eastAsia" w:ascii="宋体" w:cs="宋体"/>
                <w:color w:val="auto"/>
                <w:szCs w:val="21"/>
                <w:highlight w:val="none"/>
              </w:rPr>
              <w:t>钥匙插入锁芯旋转灵活，锁开、关无卡滞现象</w:t>
            </w:r>
          </w:p>
          <w:p>
            <w:pPr>
              <w:rPr>
                <w:rFonts w:ascii="宋体" w:cs="宋体"/>
                <w:color w:val="auto"/>
                <w:szCs w:val="21"/>
                <w:highlight w:val="none"/>
              </w:rPr>
            </w:pPr>
            <w:r>
              <w:rPr>
                <w:rFonts w:hint="eastAsia" w:ascii="汉仪书宋二S" w:hAnsi="汉仪书宋二S" w:eastAsia="汉仪书宋二S" w:cs="汉仪书宋二S"/>
                <w:color w:val="auto"/>
                <w:szCs w:val="21"/>
                <w:highlight w:val="none"/>
              </w:rPr>
              <w:t>③</w:t>
            </w:r>
            <w:r>
              <w:rPr>
                <w:rFonts w:hint="eastAsia" w:ascii="宋体" w:cs="宋体"/>
                <w:color w:val="auto"/>
                <w:szCs w:val="21"/>
                <w:highlight w:val="none"/>
              </w:rPr>
              <w:t>钥匙拔出静拉力：弹子锁：标准要求：应不大于6N 检测结果必须合格。</w:t>
            </w:r>
          </w:p>
          <w:p>
            <w:pPr>
              <w:rPr>
                <w:rFonts w:ascii="宋体" w:cs="宋体"/>
                <w:color w:val="auto"/>
                <w:szCs w:val="21"/>
                <w:highlight w:val="none"/>
              </w:rPr>
            </w:pPr>
            <w:r>
              <w:rPr>
                <w:rFonts w:hint="eastAsia" w:ascii="宋体" w:cs="宋体"/>
                <w:color w:val="auto"/>
                <w:szCs w:val="21"/>
                <w:highlight w:val="none"/>
              </w:rPr>
              <w:t>★（7)门板0.8mm厚优质冷轧钢板。</w:t>
            </w:r>
          </w:p>
          <w:p>
            <w:pPr>
              <w:rPr>
                <w:rFonts w:ascii="宋体" w:cs="宋体"/>
                <w:color w:val="auto"/>
                <w:szCs w:val="21"/>
                <w:highlight w:val="none"/>
              </w:rPr>
            </w:pPr>
            <w:r>
              <w:rPr>
                <w:rFonts w:hint="eastAsia" w:ascii="宋体" w:cs="宋体"/>
                <w:color w:val="auto"/>
                <w:szCs w:val="21"/>
                <w:highlight w:val="none"/>
              </w:rPr>
              <w:t>门板表面平整，门板配密集架专用锁。</w:t>
            </w:r>
          </w:p>
          <w:p>
            <w:pPr>
              <w:rPr>
                <w:rFonts w:ascii="宋体" w:cs="宋体"/>
                <w:color w:val="auto"/>
                <w:szCs w:val="21"/>
                <w:highlight w:val="none"/>
              </w:rPr>
            </w:pPr>
            <w:r>
              <w:rPr>
                <w:rFonts w:hint="eastAsia" w:ascii="宋体" w:cs="宋体"/>
                <w:color w:val="auto"/>
                <w:szCs w:val="21"/>
                <w:highlight w:val="none"/>
              </w:rPr>
              <w:t>★（8)压筋挡棒1.0mm厚优质冷轧钢板下冲折一体成型，挡棒上方压有一根加强筋。</w:t>
            </w:r>
          </w:p>
          <w:p>
            <w:pPr>
              <w:rPr>
                <w:rFonts w:ascii="宋体" w:cs="宋体"/>
                <w:color w:val="auto"/>
                <w:szCs w:val="21"/>
                <w:highlight w:val="none"/>
              </w:rPr>
            </w:pPr>
            <w:r>
              <w:rPr>
                <w:rFonts w:hint="eastAsia" w:ascii="宋体" w:cs="宋体"/>
                <w:color w:val="auto"/>
                <w:szCs w:val="21"/>
                <w:highlight w:val="none"/>
              </w:rPr>
              <w:t>挡棒设计为挂扣式挡棒。</w:t>
            </w:r>
          </w:p>
          <w:p>
            <w:pPr>
              <w:jc w:val="left"/>
              <w:rPr>
                <w:rFonts w:ascii="宋体" w:cs="宋体"/>
                <w:color w:val="auto"/>
                <w:szCs w:val="21"/>
                <w:highlight w:val="none"/>
              </w:rPr>
            </w:pPr>
            <w:r>
              <w:rPr>
                <w:rFonts w:hint="eastAsia" w:ascii="宋体" w:cs="宋体"/>
                <w:color w:val="auto"/>
                <w:szCs w:val="21"/>
                <w:highlight w:val="none"/>
              </w:rPr>
              <w:t>（9）密集架防虫装置（每1列配2盒）</w:t>
            </w:r>
          </w:p>
          <w:p>
            <w:pPr>
              <w:jc w:val="left"/>
              <w:rPr>
                <w:rFonts w:ascii="宋体" w:cs="宋体"/>
                <w:color w:val="auto"/>
                <w:szCs w:val="21"/>
                <w:highlight w:val="none"/>
              </w:rPr>
            </w:pPr>
            <w:r>
              <w:rPr>
                <w:rFonts w:hint="eastAsia" w:ascii="宋体" w:cs="宋体"/>
                <w:color w:val="auto"/>
                <w:szCs w:val="21"/>
                <w:highlight w:val="none"/>
              </w:rPr>
              <w:fldChar w:fldCharType="begin"/>
            </w:r>
            <w:r>
              <w:rPr>
                <w:rFonts w:ascii="宋体" w:cs="宋体"/>
                <w:color w:val="auto"/>
                <w:szCs w:val="21"/>
                <w:highlight w:val="none"/>
              </w:rPr>
              <w:instrText xml:space="preserve"> = 1 \* GB3 </w:instrText>
            </w:r>
            <w:r>
              <w:rPr>
                <w:rFonts w:hint="eastAsia" w:ascii="宋体" w:cs="宋体"/>
                <w:color w:val="auto"/>
                <w:szCs w:val="21"/>
                <w:highlight w:val="none"/>
              </w:rPr>
              <w:fldChar w:fldCharType="separate"/>
            </w:r>
            <w:r>
              <w:rPr>
                <w:rFonts w:hint="eastAsia" w:ascii="宋体" w:cs="宋体"/>
                <w:color w:val="auto"/>
                <w:szCs w:val="21"/>
                <w:highlight w:val="none"/>
              </w:rPr>
              <w:t>①</w:t>
            </w:r>
            <w:r>
              <w:rPr>
                <w:rFonts w:hint="eastAsia" w:ascii="宋体" w:cs="宋体"/>
                <w:color w:val="auto"/>
                <w:szCs w:val="21"/>
                <w:highlight w:val="none"/>
              </w:rPr>
              <w:fldChar w:fldCharType="end"/>
            </w:r>
            <w:r>
              <w:rPr>
                <w:rFonts w:hint="eastAsia" w:ascii="宋体" w:cs="宋体"/>
                <w:color w:val="auto"/>
                <w:szCs w:val="21"/>
                <w:highlight w:val="none"/>
              </w:rPr>
              <w:t>正面平放状态下产品外形尺寸：约180mm×830mm×22mm。</w:t>
            </w:r>
          </w:p>
          <w:p>
            <w:pPr>
              <w:jc w:val="left"/>
              <w:rPr>
                <w:rFonts w:ascii="宋体" w:cs="宋体"/>
                <w:color w:val="auto"/>
                <w:szCs w:val="21"/>
                <w:highlight w:val="none"/>
              </w:rPr>
            </w:pPr>
            <w:r>
              <w:rPr>
                <w:rFonts w:hint="eastAsia" w:ascii="宋体" w:cs="宋体"/>
                <w:color w:val="auto"/>
                <w:szCs w:val="21"/>
                <w:highlight w:val="none"/>
              </w:rPr>
              <w:fldChar w:fldCharType="begin"/>
            </w:r>
            <w:r>
              <w:rPr>
                <w:rFonts w:ascii="宋体" w:cs="宋体"/>
                <w:color w:val="auto"/>
                <w:szCs w:val="21"/>
                <w:highlight w:val="none"/>
              </w:rPr>
              <w:instrText xml:space="preserve"> = 2 \* GB3 </w:instrText>
            </w:r>
            <w:r>
              <w:rPr>
                <w:rFonts w:hint="eastAsia" w:ascii="宋体" w:cs="宋体"/>
                <w:color w:val="auto"/>
                <w:szCs w:val="21"/>
                <w:highlight w:val="none"/>
              </w:rPr>
              <w:fldChar w:fldCharType="separate"/>
            </w:r>
            <w:r>
              <w:rPr>
                <w:rFonts w:hint="eastAsia" w:ascii="宋体" w:cs="宋体"/>
                <w:color w:val="auto"/>
                <w:szCs w:val="21"/>
                <w:highlight w:val="none"/>
              </w:rPr>
              <w:t>②</w:t>
            </w:r>
            <w:r>
              <w:rPr>
                <w:rFonts w:hint="eastAsia" w:ascii="宋体" w:cs="宋体"/>
                <w:color w:val="auto"/>
                <w:szCs w:val="21"/>
                <w:highlight w:val="none"/>
              </w:rPr>
              <w:fldChar w:fldCharType="end"/>
            </w:r>
            <w:r>
              <w:rPr>
                <w:rFonts w:hint="eastAsia" w:ascii="宋体" w:cs="宋体"/>
                <w:color w:val="auto"/>
                <w:szCs w:val="21"/>
                <w:highlight w:val="none"/>
              </w:rPr>
              <w:t>面板：采用优质ABS材料，经整体热塑成型，壁厚2mm。</w:t>
            </w:r>
          </w:p>
          <w:p>
            <w:pPr>
              <w:jc w:val="left"/>
              <w:rPr>
                <w:rFonts w:ascii="宋体" w:cs="宋体"/>
                <w:color w:val="auto"/>
                <w:szCs w:val="21"/>
                <w:highlight w:val="none"/>
              </w:rPr>
            </w:pPr>
            <w:r>
              <w:rPr>
                <w:rFonts w:hint="eastAsia" w:ascii="宋体" w:cs="宋体"/>
                <w:color w:val="auto"/>
                <w:szCs w:val="21"/>
                <w:highlight w:val="none"/>
              </w:rPr>
              <w:fldChar w:fldCharType="begin"/>
            </w:r>
            <w:r>
              <w:rPr>
                <w:rFonts w:ascii="宋体" w:cs="宋体"/>
                <w:color w:val="auto"/>
                <w:szCs w:val="21"/>
                <w:highlight w:val="none"/>
              </w:rPr>
              <w:instrText xml:space="preserve"> = 3 \* GB3 </w:instrText>
            </w:r>
            <w:r>
              <w:rPr>
                <w:rFonts w:hint="eastAsia" w:ascii="宋体" w:cs="宋体"/>
                <w:color w:val="auto"/>
                <w:szCs w:val="21"/>
                <w:highlight w:val="none"/>
              </w:rPr>
              <w:fldChar w:fldCharType="separate"/>
            </w:r>
            <w:r>
              <w:rPr>
                <w:rFonts w:hint="eastAsia" w:ascii="宋体" w:cs="宋体"/>
                <w:color w:val="auto"/>
                <w:szCs w:val="21"/>
                <w:highlight w:val="none"/>
              </w:rPr>
              <w:t>③</w:t>
            </w:r>
            <w:r>
              <w:rPr>
                <w:rFonts w:hint="eastAsia" w:ascii="宋体" w:cs="宋体"/>
                <w:color w:val="auto"/>
                <w:szCs w:val="21"/>
                <w:highlight w:val="none"/>
              </w:rPr>
              <w:fldChar w:fldCharType="end"/>
            </w:r>
            <w:r>
              <w:rPr>
                <w:rFonts w:hint="eastAsia" w:ascii="宋体" w:cs="宋体"/>
                <w:color w:val="auto"/>
                <w:szCs w:val="21"/>
                <w:highlight w:val="none"/>
              </w:rPr>
              <w:t>底盒：采用优质ABS材料，经整体热塑成型，壁厚2mm。</w:t>
            </w:r>
          </w:p>
          <w:p>
            <w:pPr>
              <w:jc w:val="left"/>
              <w:rPr>
                <w:rFonts w:ascii="宋体" w:cs="宋体"/>
                <w:color w:val="auto"/>
                <w:szCs w:val="21"/>
                <w:highlight w:val="none"/>
              </w:rPr>
            </w:pPr>
            <w:r>
              <w:rPr>
                <w:rFonts w:ascii="宋体" w:cs="宋体"/>
                <w:color w:val="auto"/>
                <w:szCs w:val="21"/>
                <w:highlight w:val="none"/>
              </w:rPr>
              <w:fldChar w:fldCharType="begin"/>
            </w:r>
            <w:r>
              <w:rPr>
                <w:rFonts w:ascii="宋体" w:cs="宋体"/>
                <w:color w:val="auto"/>
                <w:szCs w:val="21"/>
                <w:highlight w:val="none"/>
              </w:rPr>
              <w:instrText xml:space="preserve"> = 4 \* GB3 </w:instrText>
            </w:r>
            <w:r>
              <w:rPr>
                <w:rFonts w:ascii="宋体" w:cs="宋体"/>
                <w:color w:val="auto"/>
                <w:szCs w:val="21"/>
                <w:highlight w:val="none"/>
              </w:rPr>
              <w:fldChar w:fldCharType="separate"/>
            </w:r>
            <w:r>
              <w:rPr>
                <w:rFonts w:hint="eastAsia" w:ascii="宋体" w:cs="宋体"/>
                <w:color w:val="auto"/>
                <w:szCs w:val="21"/>
                <w:highlight w:val="none"/>
              </w:rPr>
              <w:t>④</w:t>
            </w:r>
            <w:r>
              <w:rPr>
                <w:rFonts w:ascii="宋体" w:cs="宋体"/>
                <w:color w:val="auto"/>
                <w:szCs w:val="21"/>
                <w:highlight w:val="none"/>
              </w:rPr>
              <w:fldChar w:fldCharType="end"/>
            </w:r>
            <w:r>
              <w:rPr>
                <w:rFonts w:hint="eastAsia" w:ascii="宋体" w:cs="宋体"/>
                <w:color w:val="auto"/>
                <w:szCs w:val="21"/>
                <w:highlight w:val="none"/>
              </w:rPr>
              <w:t>面板、底座盒要有均匀排列的透气孔，盒内外整洁无毛刺。</w:t>
            </w:r>
          </w:p>
          <w:p>
            <w:pPr>
              <w:jc w:val="left"/>
              <w:rPr>
                <w:rFonts w:ascii="宋体" w:cs="宋体"/>
                <w:color w:val="auto"/>
                <w:szCs w:val="21"/>
                <w:highlight w:val="none"/>
              </w:rPr>
            </w:pPr>
            <w:r>
              <w:rPr>
                <w:rFonts w:ascii="宋体" w:cs="宋体"/>
                <w:color w:val="auto"/>
                <w:szCs w:val="21"/>
                <w:highlight w:val="none"/>
              </w:rPr>
              <w:fldChar w:fldCharType="begin"/>
            </w:r>
            <w:r>
              <w:rPr>
                <w:rFonts w:ascii="宋体" w:cs="宋体"/>
                <w:color w:val="auto"/>
                <w:szCs w:val="21"/>
                <w:highlight w:val="none"/>
              </w:rPr>
              <w:instrText xml:space="preserve"> = 5 \* GB3 </w:instrText>
            </w:r>
            <w:r>
              <w:rPr>
                <w:rFonts w:ascii="宋体" w:cs="宋体"/>
                <w:color w:val="auto"/>
                <w:szCs w:val="21"/>
                <w:highlight w:val="none"/>
              </w:rPr>
              <w:fldChar w:fldCharType="separate"/>
            </w:r>
            <w:r>
              <w:rPr>
                <w:rFonts w:hint="eastAsia" w:ascii="宋体" w:cs="宋体"/>
                <w:color w:val="auto"/>
                <w:szCs w:val="21"/>
                <w:highlight w:val="none"/>
              </w:rPr>
              <w:t>⑤</w:t>
            </w:r>
            <w:r>
              <w:rPr>
                <w:rFonts w:ascii="宋体" w:cs="宋体"/>
                <w:color w:val="auto"/>
                <w:szCs w:val="21"/>
                <w:highlight w:val="none"/>
              </w:rPr>
              <w:fldChar w:fldCharType="end"/>
            </w:r>
            <w:r>
              <w:rPr>
                <w:rFonts w:hint="eastAsia" w:ascii="宋体" w:cs="宋体"/>
                <w:color w:val="auto"/>
                <w:szCs w:val="21"/>
                <w:highlight w:val="none"/>
              </w:rPr>
              <w:t>樟木球：规格：直径17mm±5%；木材（树种）名称为香樟、含水率≦12%、密度≧0.4g/cm3、PH值≧5、相对密度0.865～0.879、折光指数1.4610。</w:t>
            </w:r>
          </w:p>
          <w:p>
            <w:pPr>
              <w:rPr>
                <w:rFonts w:ascii="宋体" w:cs="宋体"/>
                <w:color w:val="auto"/>
                <w:szCs w:val="21"/>
                <w:highlight w:val="none"/>
              </w:rPr>
            </w:pPr>
            <w:r>
              <w:rPr>
                <w:rFonts w:hint="eastAsia" w:ascii="宋体" w:cs="宋体"/>
                <w:color w:val="auto"/>
                <w:szCs w:val="21"/>
                <w:highlight w:val="none"/>
              </w:rPr>
              <w:t>二、传导机构：</w:t>
            </w:r>
          </w:p>
          <w:p>
            <w:pPr>
              <w:jc w:val="left"/>
              <w:rPr>
                <w:rFonts w:ascii="宋体" w:cs="宋体"/>
                <w:color w:val="auto"/>
                <w:szCs w:val="21"/>
                <w:highlight w:val="none"/>
              </w:rPr>
            </w:pPr>
            <w:r>
              <w:rPr>
                <w:rFonts w:hint="eastAsia" w:ascii="宋体" w:cs="宋体"/>
                <w:color w:val="auto"/>
                <w:szCs w:val="21"/>
                <w:highlight w:val="none"/>
              </w:rPr>
              <w:t>1.密集架轴承：MT205侧挂式双排滚珠万向自动调心轴承；</w:t>
            </w:r>
          </w:p>
          <w:p>
            <w:pPr>
              <w:rPr>
                <w:rFonts w:ascii="宋体" w:cs="宋体"/>
                <w:color w:val="auto"/>
                <w:szCs w:val="21"/>
                <w:highlight w:val="none"/>
              </w:rPr>
            </w:pPr>
            <w:r>
              <w:rPr>
                <w:rFonts w:hint="eastAsia" w:ascii="宋体" w:cs="宋体"/>
                <w:color w:val="auto"/>
                <w:szCs w:val="21"/>
                <w:highlight w:val="none"/>
              </w:rPr>
              <w:t>2.密集架实心轴：Φ25mm，45#钢；</w:t>
            </w:r>
          </w:p>
          <w:p>
            <w:pPr>
              <w:rPr>
                <w:rFonts w:ascii="宋体" w:cs="宋体"/>
                <w:color w:val="auto"/>
                <w:szCs w:val="21"/>
                <w:highlight w:val="none"/>
              </w:rPr>
            </w:pPr>
            <w:r>
              <w:rPr>
                <w:rFonts w:hint="eastAsia" w:ascii="宋体" w:cs="宋体"/>
                <w:color w:val="auto"/>
                <w:szCs w:val="21"/>
                <w:highlight w:val="none"/>
              </w:rPr>
              <w:t>3.密集架底盘连接钢管：Φ25mm×5.0mm，无缝钢管；</w:t>
            </w:r>
          </w:p>
          <w:p>
            <w:pPr>
              <w:rPr>
                <w:rFonts w:ascii="宋体" w:cs="宋体"/>
                <w:color w:val="auto"/>
                <w:szCs w:val="21"/>
                <w:highlight w:val="none"/>
              </w:rPr>
            </w:pPr>
            <w:r>
              <w:rPr>
                <w:rFonts w:hint="eastAsia" w:ascii="宋体" w:cs="宋体"/>
                <w:color w:val="auto"/>
                <w:szCs w:val="21"/>
                <w:highlight w:val="none"/>
              </w:rPr>
              <w:t>4.密集架承重滚轮：钢滚轮Φ128mm×40mm钢轮，两侧带档边厚度不小于4mm,档边深度不小5mm，可卡在轨道上行走时不掉道；</w:t>
            </w:r>
          </w:p>
          <w:p>
            <w:pPr>
              <w:rPr>
                <w:rFonts w:ascii="宋体" w:cs="宋体"/>
                <w:color w:val="auto"/>
                <w:szCs w:val="21"/>
                <w:highlight w:val="none"/>
              </w:rPr>
            </w:pPr>
            <w:r>
              <w:rPr>
                <w:rFonts w:hint="eastAsia" w:ascii="宋体" w:cs="宋体"/>
                <w:color w:val="auto"/>
                <w:szCs w:val="21"/>
                <w:highlight w:val="none"/>
              </w:rPr>
              <w:t>5.底盘传动系统：底盘传动系统由齿轮组合传动，齿轮经机械精加工,锻压成型,回火去应力、滚齿、去毛刺、齿部经高频淬火硬化处理，齿轮组传动静、声音小。</w:t>
            </w:r>
          </w:p>
          <w:p>
            <w:pPr>
              <w:rPr>
                <w:rFonts w:ascii="宋体" w:cs="宋体"/>
                <w:color w:val="auto"/>
                <w:szCs w:val="21"/>
                <w:highlight w:val="none"/>
              </w:rPr>
            </w:pPr>
            <w:r>
              <w:rPr>
                <w:rFonts w:hint="eastAsia" w:ascii="宋体" w:cs="宋体"/>
                <w:color w:val="auto"/>
                <w:szCs w:val="21"/>
                <w:highlight w:val="none"/>
              </w:rPr>
              <w:t>6.密集架防倾倒装置：2.5mm冷轧钢板。</w:t>
            </w:r>
          </w:p>
          <w:p>
            <w:pPr>
              <w:rPr>
                <w:rFonts w:ascii="宋体" w:cs="宋体"/>
                <w:color w:val="auto"/>
                <w:szCs w:val="21"/>
                <w:highlight w:val="none"/>
              </w:rPr>
            </w:pPr>
            <w:r>
              <w:rPr>
                <w:rFonts w:hint="eastAsia" w:ascii="宋体" w:cs="宋体"/>
                <w:color w:val="auto"/>
                <w:szCs w:val="21"/>
                <w:highlight w:val="none"/>
              </w:rPr>
              <w:t>7.摇盘：圆盘摇把。①规格约为φ380mm，内置加强筋及双轴承结构，确保坚固耐用。②六组加强筋设计：摇手盘内部设计有六组加强筋，加强筋为缕空设计，提高了整体结构的稳定性。③无爪勾设计：摇手盘不带爪勾，操作更加简便。④无极耦合技术：采用无极耦合技术制造，提供平滑无级变速功能。⑤双向超越离合器结构：具备双向超越离合器结构，实现自动复位功能，使用更加安全可靠。⑥静音设计：摇手盘移动密集架过程中无噪音。</w:t>
            </w:r>
          </w:p>
          <w:p>
            <w:pPr>
              <w:rPr>
                <w:rFonts w:ascii="宋体" w:cs="宋体"/>
                <w:color w:val="auto"/>
                <w:szCs w:val="21"/>
                <w:highlight w:val="none"/>
              </w:rPr>
            </w:pPr>
            <w:r>
              <w:rPr>
                <w:rFonts w:hint="eastAsia" w:ascii="宋体" w:cs="宋体"/>
                <w:color w:val="auto"/>
                <w:szCs w:val="21"/>
                <w:highlight w:val="none"/>
              </w:rPr>
              <w:t>8.摇手体总承、滚轮轴承：双向超越离合器结构，要求造型美观大方、手感舒适，折叠式把手，摇动任意一列均不会带动其他把手转动。</w:t>
            </w:r>
          </w:p>
          <w:p>
            <w:pPr>
              <w:rPr>
                <w:rFonts w:ascii="宋体" w:cs="宋体"/>
                <w:color w:val="auto"/>
                <w:szCs w:val="21"/>
                <w:highlight w:val="none"/>
              </w:rPr>
            </w:pPr>
            <w:r>
              <w:rPr>
                <w:rFonts w:hint="eastAsia" w:ascii="宋体" w:cs="宋体"/>
                <w:color w:val="auto"/>
                <w:szCs w:val="21"/>
                <w:highlight w:val="none"/>
              </w:rPr>
              <w:t>9.制动装置：边列锁定装置：每列均装有制动装置。</w:t>
            </w:r>
          </w:p>
          <w:p>
            <w:pPr>
              <w:rPr>
                <w:rFonts w:ascii="宋体" w:cs="宋体"/>
                <w:color w:val="auto"/>
                <w:szCs w:val="21"/>
                <w:highlight w:val="none"/>
              </w:rPr>
            </w:pPr>
            <w:r>
              <w:rPr>
                <w:rFonts w:hint="eastAsia" w:ascii="宋体" w:cs="宋体"/>
                <w:color w:val="auto"/>
                <w:szCs w:val="21"/>
                <w:highlight w:val="none"/>
              </w:rPr>
              <w:t>10.防震装置：采用磁性密封条，每列接触面均有缓冲及密封装置，具有防震、防尘、防鼠、防光、防潮、防火功能。</w:t>
            </w:r>
          </w:p>
          <w:p>
            <w:pPr>
              <w:jc w:val="left"/>
              <w:rPr>
                <w:rFonts w:ascii="宋体" w:cs="宋体"/>
                <w:color w:val="auto"/>
                <w:szCs w:val="21"/>
                <w:highlight w:val="none"/>
              </w:rPr>
            </w:pPr>
            <w:r>
              <w:rPr>
                <w:rFonts w:hint="eastAsia" w:ascii="宋体" w:cs="宋体"/>
                <w:color w:val="auto"/>
                <w:szCs w:val="21"/>
                <w:highlight w:val="none"/>
              </w:rPr>
              <w:t>11.防尘板、顶板：0.8mm冷轧钢板，每列接触面均有缓冲及密封装置，具有防震、防尘、防鼠、防光、防潮、防火功能。</w:t>
            </w:r>
          </w:p>
          <w:p>
            <w:pPr>
              <w:rPr>
                <w:rFonts w:ascii="宋体" w:cs="宋体"/>
                <w:color w:val="auto"/>
                <w:szCs w:val="21"/>
                <w:highlight w:val="none"/>
              </w:rPr>
            </w:pPr>
            <w:r>
              <w:rPr>
                <w:rFonts w:hint="eastAsia" w:ascii="宋体" w:cs="宋体"/>
                <w:color w:val="auto"/>
                <w:szCs w:val="21"/>
                <w:highlight w:val="none"/>
              </w:rPr>
              <w:t>12.表面处理：高温静电喷塑，聚酯性粉沫喷涂。</w:t>
            </w:r>
          </w:p>
          <w:p>
            <w:pPr>
              <w:rPr>
                <w:rFonts w:ascii="宋体" w:cs="宋体"/>
                <w:color w:val="auto"/>
                <w:szCs w:val="21"/>
                <w:highlight w:val="none"/>
              </w:rPr>
            </w:pPr>
            <w:r>
              <w:rPr>
                <w:rFonts w:hint="eastAsia" w:ascii="宋体" w:cs="宋体"/>
                <w:color w:val="auto"/>
                <w:szCs w:val="21"/>
                <w:highlight w:val="none"/>
              </w:rPr>
              <w:t>13.紧固件：</w:t>
            </w:r>
          </w:p>
          <w:p>
            <w:pPr>
              <w:rPr>
                <w:rFonts w:ascii="宋体" w:cs="宋体"/>
                <w:color w:val="auto"/>
                <w:szCs w:val="21"/>
                <w:highlight w:val="none"/>
              </w:rPr>
            </w:pPr>
            <w:r>
              <w:rPr>
                <w:rFonts w:hint="eastAsia" w:ascii="宋体" w:cs="宋体"/>
                <w:color w:val="auto"/>
                <w:szCs w:val="21"/>
                <w:highlight w:val="none"/>
              </w:rPr>
              <w:t>（1）底盘与立板连接采用M10镀锌螺栓连接；</w:t>
            </w:r>
          </w:p>
          <w:p>
            <w:pPr>
              <w:rPr>
                <w:rFonts w:ascii="宋体" w:cs="宋体"/>
                <w:color w:val="auto"/>
                <w:szCs w:val="21"/>
                <w:highlight w:val="none"/>
              </w:rPr>
            </w:pPr>
            <w:r>
              <w:rPr>
                <w:rFonts w:hint="eastAsia" w:ascii="宋体" w:cs="宋体"/>
                <w:color w:val="auto"/>
                <w:szCs w:val="21"/>
                <w:highlight w:val="none"/>
              </w:rPr>
              <w:t>（2）上盖板与立板连接采用M10镀锌螺栓连接；</w:t>
            </w:r>
          </w:p>
          <w:p>
            <w:pPr>
              <w:rPr>
                <w:rFonts w:ascii="宋体" w:cs="宋体"/>
                <w:color w:val="auto"/>
                <w:szCs w:val="21"/>
                <w:highlight w:val="none"/>
              </w:rPr>
            </w:pPr>
            <w:r>
              <w:rPr>
                <w:rFonts w:hint="eastAsia" w:ascii="宋体" w:cs="宋体"/>
                <w:color w:val="auto"/>
                <w:szCs w:val="21"/>
                <w:highlight w:val="none"/>
              </w:rPr>
              <w:t>（3）侧板与立板连接采用M10镀锌螺栓连接；</w:t>
            </w:r>
          </w:p>
          <w:p>
            <w:pPr>
              <w:rPr>
                <w:rFonts w:ascii="宋体" w:cs="宋体"/>
                <w:color w:val="auto"/>
                <w:szCs w:val="21"/>
                <w:highlight w:val="none"/>
              </w:rPr>
            </w:pPr>
            <w:r>
              <w:rPr>
                <w:rFonts w:hint="eastAsia" w:ascii="宋体" w:cs="宋体"/>
                <w:color w:val="auto"/>
                <w:szCs w:val="21"/>
                <w:highlight w:val="none"/>
              </w:rPr>
              <w:t>（4）连接任何架体组合部件不允许采用抽钉。</w:t>
            </w:r>
          </w:p>
          <w:p>
            <w:pPr>
              <w:rPr>
                <w:rFonts w:ascii="宋体" w:cs="宋体"/>
                <w:color w:val="auto"/>
                <w:szCs w:val="21"/>
                <w:highlight w:val="none"/>
              </w:rPr>
            </w:pPr>
            <w:r>
              <w:rPr>
                <w:rFonts w:hint="eastAsia" w:ascii="宋体" w:cs="宋体"/>
                <w:color w:val="auto"/>
                <w:szCs w:val="21"/>
                <w:highlight w:val="none"/>
              </w:rPr>
              <w:t>14.防倾装置：3.0mm冷轧钢板。</w:t>
            </w:r>
          </w:p>
          <w:p>
            <w:pPr>
              <w:rPr>
                <w:rFonts w:ascii="宋体" w:cs="宋体"/>
                <w:color w:val="auto"/>
                <w:szCs w:val="21"/>
                <w:highlight w:val="none"/>
              </w:rPr>
            </w:pPr>
            <w:r>
              <w:rPr>
                <w:rFonts w:hint="eastAsia" w:ascii="宋体" w:cs="宋体"/>
                <w:color w:val="auto"/>
                <w:szCs w:val="21"/>
                <w:highlight w:val="none"/>
              </w:rPr>
              <w:t>15. 载重性能：（1）隔板载重：单面隔板上均布载重40㎏，最大扰度为3 mm,24h卸载后，不会有裂纹及永久变形现象。（2）全负载载重：每标准节（一般为六层双面隔板）在全负载（每块单面隔板均布载重30㎏）的情况下，架体、立柱不会变形，架体也不会产生倾倒现象。(3) 载重运行：在全负载的情况下，各列密集架在手动操纵下应运行自如，不有阻滞现象。每标准节手动摇力应不大于12N(每列密集架的手柄摇力为:12NX标准节数)。(4)载重稳定性：在受全部载荷二十分之一外力（沿X、Y轴两个方向的水平外力）的作用反复100次后取消外力，架体所产生的倾斜度不得大于总高度的1%。架体、立柱不得有明显变形。</w:t>
            </w:r>
          </w:p>
          <w:p>
            <w:pPr>
              <w:jc w:val="left"/>
              <w:rPr>
                <w:rFonts w:ascii="宋体" w:cs="宋体"/>
                <w:color w:val="auto"/>
                <w:szCs w:val="21"/>
                <w:highlight w:val="none"/>
              </w:rPr>
            </w:pPr>
            <w:r>
              <w:rPr>
                <w:rFonts w:hint="eastAsia" w:ascii="宋体" w:cs="宋体"/>
                <w:color w:val="auto"/>
                <w:szCs w:val="21"/>
                <w:highlight w:val="none"/>
                <w:lang w:val="en"/>
              </w:rPr>
              <w:t>16</w:t>
            </w:r>
            <w:r>
              <w:rPr>
                <w:rFonts w:hint="eastAsia" w:ascii="宋体" w:cs="宋体"/>
                <w:color w:val="auto"/>
                <w:szCs w:val="21"/>
                <w:highlight w:val="none"/>
                <w:lang w:val="en" w:eastAsia="zh-CN"/>
              </w:rPr>
              <w:t>.</w:t>
            </w:r>
            <w:r>
              <w:rPr>
                <w:rFonts w:hint="eastAsia" w:ascii="宋体" w:cs="宋体"/>
                <w:color w:val="auto"/>
                <w:szCs w:val="21"/>
                <w:highlight w:val="none"/>
                <w:lang w:bidi="ar"/>
              </w:rPr>
              <w:t>各项技术指标符合 GB/T13667.3-2013《钢制书架 第 3 部分 手动密集书架》国家标准 及 QB/T4767-2014 《家具用钢构件》国家轻工行业标准</w:t>
            </w:r>
            <w:r>
              <w:rPr>
                <w:rFonts w:hint="eastAsia" w:ascii="宋体" w:cs="宋体"/>
                <w:color w:val="auto"/>
                <w:szCs w:val="21"/>
                <w:highlight w:val="none"/>
                <w:lang w:val="en" w:bidi="ar"/>
              </w:rPr>
              <w:t>等</w:t>
            </w:r>
          </w:p>
          <w:p>
            <w:pPr>
              <w:pStyle w:val="52"/>
              <w:spacing w:line="264" w:lineRule="auto"/>
              <w:ind w:firstLine="0" w:firstLineChars="0"/>
              <w:jc w:val="left"/>
              <w:rPr>
                <w:rFonts w:ascii="宋体" w:hAnsi="宋体" w:cs="宋体"/>
                <w:color w:val="auto"/>
                <w:sz w:val="21"/>
                <w:szCs w:val="21"/>
                <w:highlight w:val="none"/>
                <w:lang w:val="e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109" w:type="dxa"/>
            <w:gridSpan w:val="5"/>
            <w:tcBorders>
              <w:top w:val="single" w:color="auto" w:sz="4" w:space="0"/>
              <w:bottom w:val="single" w:color="auto" w:sz="4" w:space="0"/>
            </w:tcBorders>
            <w:vAlign w:val="center"/>
          </w:tcPr>
          <w:p>
            <w:pPr>
              <w:widowControl/>
              <w:spacing w:line="264" w:lineRule="auto"/>
              <w:rPr>
                <w:rFonts w:ascii="宋体" w:hAnsi="宋体" w:cs="宋体"/>
                <w:b/>
                <w:color w:val="auto"/>
                <w:kern w:val="0"/>
                <w:szCs w:val="21"/>
                <w:highlight w:val="none"/>
                <w:lang w:eastAsia="en-US"/>
              </w:rPr>
            </w:pPr>
            <w:r>
              <w:rPr>
                <w:rFonts w:hint="eastAsia" w:ascii="东文宋体" w:hAnsi="东文宋体" w:eastAsia="东文宋体" w:cs="东文宋体"/>
                <w:color w:val="auto"/>
                <w:szCs w:val="21"/>
                <w:highlight w:val="none"/>
              </w:rPr>
              <w:t>▲</w:t>
            </w:r>
            <w:r>
              <w:rPr>
                <w:rFonts w:hint="eastAsia" w:ascii="宋体" w:hAnsi="宋体" w:cs="宋体"/>
                <w:b/>
                <w:color w:val="auto"/>
                <w:kern w:val="0"/>
                <w:szCs w:val="21"/>
                <w:highlight w:val="none"/>
                <w:lang w:eastAsia="en-US"/>
              </w:rPr>
              <w:t>商务及其他要求表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报价要求</w:t>
            </w:r>
          </w:p>
        </w:tc>
        <w:tc>
          <w:tcPr>
            <w:tcW w:w="8385" w:type="dxa"/>
            <w:gridSpan w:val="3"/>
            <w:tcBorders>
              <w:top w:val="single" w:color="auto" w:sz="4" w:space="0"/>
              <w:left w:val="single" w:color="auto" w:sz="4" w:space="0"/>
              <w:bottom w:val="single" w:color="auto" w:sz="4" w:space="0"/>
            </w:tcBorders>
            <w:vAlign w:val="center"/>
          </w:tcPr>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投标报价是履行合同的最终价格，包括但不限于：</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（1）货物的价格；</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（2）货物的标准附件、备品备件、专用工具的价格；</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（3）运输、装卸、软硬件安装调试、培训、技术支持、售后服务、上门等费用；</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（4）必要的保险费用和各项税费；</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（5）施工（安装）费用；</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设备零配件、项目安装、调试、检测、试验及验收、现场卫生清理、线缆、管材、开孔、开槽及埋管和招标文件中有关的全部内容并完成所有工程和服务，所有成本费用的总和，采购人不再支付其它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合同签订时间</w:t>
            </w:r>
          </w:p>
        </w:tc>
        <w:tc>
          <w:tcPr>
            <w:tcW w:w="8385" w:type="dxa"/>
            <w:gridSpan w:val="3"/>
            <w:tcBorders>
              <w:top w:val="single" w:color="auto" w:sz="4" w:space="0"/>
              <w:left w:val="single" w:color="auto" w:sz="4" w:space="0"/>
              <w:bottom w:val="single" w:color="auto" w:sz="4" w:space="0"/>
            </w:tcBorders>
            <w:vAlign w:val="center"/>
          </w:tcPr>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自中标通知书发出之日起10个日历日内签订采购合同。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widowControl/>
              <w:wordWrap w:val="0"/>
              <w:spacing w:line="264"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交货时间及地点</w:t>
            </w:r>
          </w:p>
        </w:tc>
        <w:tc>
          <w:tcPr>
            <w:tcW w:w="8385" w:type="dxa"/>
            <w:gridSpan w:val="3"/>
            <w:tcBorders>
              <w:top w:val="single" w:color="auto" w:sz="4" w:space="0"/>
              <w:left w:val="single" w:color="auto" w:sz="4" w:space="0"/>
              <w:bottom w:val="single" w:color="auto" w:sz="4" w:space="0"/>
            </w:tcBorders>
            <w:vAlign w:val="center"/>
          </w:tcPr>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1.交付使用时间：自签订合同之日起30个日历日内交付使用。</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2.交货地点：南宁市内广西艺术学院（相思湖校区）采购人指定地点。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投标样品（小样）</w:t>
            </w:r>
          </w:p>
          <w:p>
            <w:pPr>
              <w:widowControl/>
              <w:wordWrap w:val="0"/>
              <w:spacing w:line="264"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要求</w:t>
            </w:r>
          </w:p>
        </w:tc>
        <w:tc>
          <w:tcPr>
            <w:tcW w:w="8385" w:type="dxa"/>
            <w:gridSpan w:val="3"/>
            <w:tcBorders>
              <w:top w:val="single" w:color="auto" w:sz="4" w:space="0"/>
              <w:left w:val="single" w:color="auto" w:sz="4" w:space="0"/>
              <w:bottom w:val="single" w:color="auto" w:sz="4" w:space="0"/>
            </w:tcBorders>
            <w:vAlign w:val="center"/>
          </w:tcPr>
          <w:p>
            <w:pPr>
              <w:spacing w:line="360" w:lineRule="exact"/>
              <w:rPr>
                <w:color w:val="auto"/>
                <w:highlight w:val="none"/>
              </w:rPr>
            </w:pPr>
            <w:r>
              <w:rPr>
                <w:rFonts w:hint="eastAsia"/>
                <w:color w:val="auto"/>
                <w:highlight w:val="none"/>
                <w:lang w:val="en-US" w:eastAsia="zh-CN"/>
              </w:rPr>
              <w:t>投标时</w:t>
            </w:r>
            <w:r>
              <w:rPr>
                <w:rFonts w:hint="eastAsia"/>
                <w:color w:val="auto"/>
                <w:highlight w:val="none"/>
                <w:lang w:eastAsia="zh-CN"/>
              </w:rPr>
              <w:t>请</w:t>
            </w:r>
            <w:r>
              <w:rPr>
                <w:rFonts w:hint="eastAsia"/>
                <w:color w:val="auto"/>
                <w:highlight w:val="none"/>
              </w:rPr>
              <w:t>提供</w:t>
            </w:r>
            <w:r>
              <w:rPr>
                <w:rFonts w:hint="eastAsia"/>
                <w:color w:val="auto"/>
                <w:highlight w:val="none"/>
                <w:lang w:eastAsia="zh-CN"/>
              </w:rPr>
              <w:t>以下小样</w:t>
            </w:r>
            <w:r>
              <w:rPr>
                <w:rFonts w:hint="eastAsia"/>
                <w:color w:val="auto"/>
                <w:highlight w:val="none"/>
              </w:rPr>
              <w:t>：</w:t>
            </w:r>
          </w:p>
          <w:p>
            <w:pPr>
              <w:pStyle w:val="52"/>
              <w:ind w:firstLine="315" w:firstLineChars="150"/>
              <w:rPr>
                <w:color w:val="auto"/>
                <w:highlight w:val="none"/>
                <w:lang w:val="en"/>
              </w:rPr>
            </w:pPr>
            <w:r>
              <w:rPr>
                <w:color w:val="auto"/>
                <w:highlight w:val="none"/>
                <w:lang w:val="en"/>
              </w:rPr>
              <w:t>1</w:t>
            </w:r>
            <w:r>
              <w:rPr>
                <w:rFonts w:hint="eastAsia"/>
                <w:color w:val="auto"/>
                <w:highlight w:val="none"/>
                <w:lang w:val="en"/>
              </w:rPr>
              <w:t xml:space="preserve">.底盘小样  </w:t>
            </w:r>
            <w:r>
              <w:rPr>
                <w:color w:val="auto"/>
                <w:highlight w:val="none"/>
                <w:lang w:val="en"/>
              </w:rPr>
              <w:t xml:space="preserve">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color w:val="auto"/>
                <w:highlight w:val="none"/>
                <w:lang w:val="en"/>
              </w:rPr>
              <w:t>1</w:t>
            </w:r>
            <w:r>
              <w:rPr>
                <w:rFonts w:hint="eastAsia"/>
                <w:color w:val="auto"/>
                <w:highlight w:val="none"/>
                <w:lang w:val="en"/>
              </w:rPr>
              <w:t>块</w:t>
            </w:r>
            <w:r>
              <w:rPr>
                <w:color w:val="auto"/>
                <w:highlight w:val="none"/>
                <w:lang w:val="en"/>
              </w:rPr>
              <w:t xml:space="preserve">        </w:t>
            </w:r>
            <w:r>
              <w:rPr>
                <w:rFonts w:hint="eastAsia"/>
                <w:color w:val="auto"/>
                <w:highlight w:val="none"/>
                <w:lang w:val="en"/>
              </w:rPr>
              <w:t>长≥</w:t>
            </w:r>
            <w:r>
              <w:rPr>
                <w:color w:val="auto"/>
                <w:highlight w:val="none"/>
                <w:lang w:val="en"/>
              </w:rPr>
              <w:t xml:space="preserve">300mm         </w:t>
            </w:r>
          </w:p>
          <w:p>
            <w:pPr>
              <w:pStyle w:val="52"/>
              <w:ind w:firstLine="315" w:firstLineChars="150"/>
              <w:rPr>
                <w:color w:val="auto"/>
                <w:highlight w:val="none"/>
                <w:lang w:val="en"/>
              </w:rPr>
            </w:pPr>
            <w:r>
              <w:rPr>
                <w:color w:val="auto"/>
                <w:highlight w:val="none"/>
                <w:lang w:val="en"/>
              </w:rPr>
              <w:t>2</w:t>
            </w:r>
            <w:r>
              <w:rPr>
                <w:rFonts w:hint="eastAsia"/>
                <w:color w:val="auto"/>
                <w:highlight w:val="none"/>
                <w:lang w:val="en"/>
              </w:rPr>
              <w:t>.轨道小样</w:t>
            </w:r>
            <w:r>
              <w:rPr>
                <w:color w:val="auto"/>
                <w:highlight w:val="none"/>
                <w:lang w:val="en"/>
              </w:rPr>
              <w:t xml:space="preserve">  </w:t>
            </w:r>
            <w:r>
              <w:rPr>
                <w:rFonts w:hint="eastAsia"/>
                <w:color w:val="auto"/>
                <w:highlight w:val="none"/>
              </w:rPr>
              <w:t xml:space="preserve"> </w:t>
            </w:r>
            <w:r>
              <w:rPr>
                <w:color w:val="auto"/>
                <w:highlight w:val="none"/>
                <w:lang w:val="en"/>
              </w:rPr>
              <w:t xml:space="preserve"> </w:t>
            </w:r>
            <w:r>
              <w:rPr>
                <w:rFonts w:hint="eastAsia"/>
                <w:color w:val="auto"/>
                <w:highlight w:val="none"/>
                <w:lang w:val="en-US" w:eastAsia="zh-CN"/>
              </w:rPr>
              <w:t xml:space="preserve">       </w:t>
            </w:r>
            <w:r>
              <w:rPr>
                <w:color w:val="auto"/>
                <w:highlight w:val="none"/>
                <w:lang w:val="en"/>
              </w:rPr>
              <w:t>1</w:t>
            </w:r>
            <w:r>
              <w:rPr>
                <w:rFonts w:hint="eastAsia"/>
                <w:color w:val="auto"/>
                <w:highlight w:val="none"/>
                <w:lang w:val="en"/>
              </w:rPr>
              <w:t>块</w:t>
            </w:r>
            <w:r>
              <w:rPr>
                <w:color w:val="auto"/>
                <w:highlight w:val="none"/>
                <w:lang w:val="en"/>
              </w:rPr>
              <w:t xml:space="preserve">        </w:t>
            </w:r>
            <w:r>
              <w:rPr>
                <w:rFonts w:hint="eastAsia"/>
                <w:color w:val="auto"/>
                <w:highlight w:val="none"/>
                <w:lang w:val="en"/>
              </w:rPr>
              <w:t>长≥</w:t>
            </w:r>
            <w:r>
              <w:rPr>
                <w:color w:val="auto"/>
                <w:highlight w:val="none"/>
                <w:lang w:val="en"/>
              </w:rPr>
              <w:t xml:space="preserve">300mm         </w:t>
            </w:r>
          </w:p>
          <w:p>
            <w:pPr>
              <w:pStyle w:val="52"/>
              <w:ind w:firstLine="315" w:firstLineChars="150"/>
              <w:rPr>
                <w:color w:val="auto"/>
                <w:highlight w:val="none"/>
                <w:lang w:val="en"/>
              </w:rPr>
            </w:pPr>
            <w:r>
              <w:rPr>
                <w:color w:val="auto"/>
                <w:highlight w:val="none"/>
                <w:lang w:val="en"/>
              </w:rPr>
              <w:t>3</w:t>
            </w:r>
            <w:r>
              <w:rPr>
                <w:rFonts w:hint="eastAsia"/>
                <w:color w:val="auto"/>
                <w:highlight w:val="none"/>
                <w:lang w:val="en"/>
              </w:rPr>
              <w:t xml:space="preserve">.侧板小样  </w:t>
            </w:r>
            <w:r>
              <w:rPr>
                <w:color w:val="auto"/>
                <w:highlight w:val="none"/>
                <w:lang w:val="en"/>
              </w:rPr>
              <w:t xml:space="preserve"> </w:t>
            </w:r>
            <w:r>
              <w:rPr>
                <w:rFonts w:hint="eastAsia"/>
                <w:color w:val="auto"/>
                <w:highlight w:val="none"/>
              </w:rPr>
              <w:t xml:space="preserve"> </w:t>
            </w:r>
            <w:r>
              <w:rPr>
                <w:rFonts w:hint="eastAsia"/>
                <w:color w:val="auto"/>
                <w:highlight w:val="none"/>
                <w:lang w:val="en-US" w:eastAsia="zh-CN"/>
              </w:rPr>
              <w:t xml:space="preserve">       </w:t>
            </w:r>
            <w:r>
              <w:rPr>
                <w:color w:val="auto"/>
                <w:highlight w:val="none"/>
                <w:lang w:val="en"/>
              </w:rPr>
              <w:t>1</w:t>
            </w:r>
            <w:r>
              <w:rPr>
                <w:rFonts w:hint="eastAsia"/>
                <w:color w:val="auto"/>
                <w:highlight w:val="none"/>
                <w:lang w:val="en"/>
              </w:rPr>
              <w:t>块</w:t>
            </w:r>
            <w:r>
              <w:rPr>
                <w:color w:val="auto"/>
                <w:highlight w:val="none"/>
                <w:lang w:val="en"/>
              </w:rPr>
              <w:t xml:space="preserve">        </w:t>
            </w:r>
            <w:r>
              <w:rPr>
                <w:rFonts w:hint="eastAsia"/>
                <w:color w:val="auto"/>
                <w:highlight w:val="none"/>
                <w:lang w:val="en"/>
              </w:rPr>
              <w:t>长≥</w:t>
            </w:r>
            <w:r>
              <w:rPr>
                <w:color w:val="auto"/>
                <w:highlight w:val="none"/>
                <w:lang w:val="en"/>
              </w:rPr>
              <w:t xml:space="preserve">300mm         </w:t>
            </w:r>
          </w:p>
          <w:p>
            <w:pPr>
              <w:pStyle w:val="52"/>
              <w:ind w:firstLine="315" w:firstLineChars="150"/>
              <w:rPr>
                <w:color w:val="auto"/>
                <w:highlight w:val="none"/>
                <w:lang w:val="en"/>
              </w:rPr>
            </w:pPr>
            <w:r>
              <w:rPr>
                <w:color w:val="auto"/>
                <w:highlight w:val="none"/>
                <w:lang w:val="en"/>
              </w:rPr>
              <w:t>4</w:t>
            </w:r>
            <w:r>
              <w:rPr>
                <w:rFonts w:hint="eastAsia"/>
                <w:color w:val="auto"/>
                <w:highlight w:val="none"/>
                <w:lang w:val="en"/>
              </w:rPr>
              <w:t>.立柱小样</w:t>
            </w:r>
            <w:r>
              <w:rPr>
                <w:color w:val="auto"/>
                <w:highlight w:val="none"/>
                <w:lang w:val="en"/>
              </w:rPr>
              <w:t xml:space="preserve">   </w:t>
            </w:r>
            <w:r>
              <w:rPr>
                <w:rFonts w:hint="eastAsia"/>
                <w:color w:val="auto"/>
                <w:highlight w:val="none"/>
              </w:rPr>
              <w:t xml:space="preserve"> </w:t>
            </w:r>
            <w:r>
              <w:rPr>
                <w:rFonts w:hint="eastAsia"/>
                <w:color w:val="auto"/>
                <w:highlight w:val="none"/>
                <w:lang w:val="en-US" w:eastAsia="zh-CN"/>
              </w:rPr>
              <w:t xml:space="preserve">       </w:t>
            </w:r>
            <w:r>
              <w:rPr>
                <w:color w:val="auto"/>
                <w:highlight w:val="none"/>
                <w:lang w:val="en"/>
              </w:rPr>
              <w:t>1</w:t>
            </w:r>
            <w:r>
              <w:rPr>
                <w:rFonts w:hint="eastAsia"/>
                <w:color w:val="auto"/>
                <w:highlight w:val="none"/>
                <w:lang w:val="en"/>
              </w:rPr>
              <w:t>块</w:t>
            </w:r>
            <w:r>
              <w:rPr>
                <w:color w:val="auto"/>
                <w:highlight w:val="none"/>
                <w:lang w:val="en"/>
              </w:rPr>
              <w:t xml:space="preserve">        </w:t>
            </w:r>
            <w:r>
              <w:rPr>
                <w:rFonts w:hint="eastAsia"/>
                <w:color w:val="auto"/>
                <w:highlight w:val="none"/>
                <w:lang w:val="en"/>
              </w:rPr>
              <w:t>长≥</w:t>
            </w:r>
            <w:r>
              <w:rPr>
                <w:color w:val="auto"/>
                <w:highlight w:val="none"/>
                <w:lang w:val="en"/>
              </w:rPr>
              <w:t xml:space="preserve">300mm         </w:t>
            </w:r>
          </w:p>
          <w:p>
            <w:pPr>
              <w:pStyle w:val="52"/>
              <w:ind w:firstLine="315" w:firstLineChars="150"/>
              <w:rPr>
                <w:color w:val="auto"/>
                <w:highlight w:val="none"/>
                <w:lang w:val="en"/>
              </w:rPr>
            </w:pPr>
            <w:r>
              <w:rPr>
                <w:color w:val="auto"/>
                <w:highlight w:val="none"/>
                <w:lang w:val="en"/>
              </w:rPr>
              <w:t>5</w:t>
            </w:r>
            <w:r>
              <w:rPr>
                <w:rFonts w:hint="eastAsia"/>
                <w:color w:val="auto"/>
                <w:highlight w:val="none"/>
                <w:lang w:val="en"/>
              </w:rPr>
              <w:t>.</w:t>
            </w:r>
            <w:r>
              <w:rPr>
                <w:rFonts w:hint="eastAsia"/>
                <w:color w:val="auto"/>
                <w:highlight w:val="none"/>
              </w:rPr>
              <w:t>隔</w:t>
            </w:r>
            <w:r>
              <w:rPr>
                <w:rFonts w:hint="eastAsia"/>
                <w:color w:val="auto"/>
                <w:highlight w:val="none"/>
                <w:lang w:val="en"/>
              </w:rPr>
              <w:t>板小样</w:t>
            </w:r>
            <w:r>
              <w:rPr>
                <w:color w:val="auto"/>
                <w:highlight w:val="none"/>
                <w:lang w:val="en"/>
              </w:rPr>
              <w:t xml:space="preserve">   </w:t>
            </w:r>
            <w:r>
              <w:rPr>
                <w:rFonts w:hint="eastAsia"/>
                <w:color w:val="auto"/>
                <w:highlight w:val="none"/>
              </w:rPr>
              <w:t xml:space="preserve"> </w:t>
            </w:r>
            <w:r>
              <w:rPr>
                <w:rFonts w:hint="eastAsia"/>
                <w:color w:val="auto"/>
                <w:highlight w:val="none"/>
                <w:lang w:val="en-US" w:eastAsia="zh-CN"/>
              </w:rPr>
              <w:t xml:space="preserve">       </w:t>
            </w:r>
            <w:r>
              <w:rPr>
                <w:color w:val="auto"/>
                <w:highlight w:val="none"/>
                <w:lang w:val="en"/>
              </w:rPr>
              <w:t>1</w:t>
            </w:r>
            <w:r>
              <w:rPr>
                <w:rFonts w:hint="eastAsia"/>
                <w:color w:val="auto"/>
                <w:highlight w:val="none"/>
                <w:lang w:val="en"/>
              </w:rPr>
              <w:t>块</w:t>
            </w:r>
            <w:r>
              <w:rPr>
                <w:color w:val="auto"/>
                <w:highlight w:val="none"/>
                <w:lang w:val="en"/>
              </w:rPr>
              <w:t xml:space="preserve">        </w:t>
            </w:r>
            <w:r>
              <w:rPr>
                <w:rFonts w:hint="eastAsia"/>
                <w:color w:val="auto"/>
                <w:highlight w:val="none"/>
                <w:lang w:val="en"/>
              </w:rPr>
              <w:t>长≥</w:t>
            </w:r>
            <w:r>
              <w:rPr>
                <w:color w:val="auto"/>
                <w:highlight w:val="none"/>
                <w:lang w:val="en"/>
              </w:rPr>
              <w:t xml:space="preserve">300mm        </w:t>
            </w:r>
          </w:p>
          <w:p>
            <w:pPr>
              <w:pStyle w:val="52"/>
              <w:ind w:firstLine="315" w:firstLineChars="150"/>
              <w:rPr>
                <w:color w:val="auto"/>
                <w:highlight w:val="none"/>
                <w:lang w:val="en"/>
              </w:rPr>
            </w:pPr>
            <w:r>
              <w:rPr>
                <w:color w:val="auto"/>
                <w:highlight w:val="none"/>
                <w:lang w:val="en"/>
              </w:rPr>
              <w:t>6</w:t>
            </w:r>
            <w:r>
              <w:rPr>
                <w:rFonts w:hint="eastAsia"/>
                <w:color w:val="auto"/>
                <w:highlight w:val="none"/>
                <w:lang w:val="en"/>
              </w:rPr>
              <w:t>.防虫装置实物</w:t>
            </w:r>
            <w:r>
              <w:rPr>
                <w:rFonts w:hint="eastAsia"/>
                <w:color w:val="auto"/>
                <w:highlight w:val="none"/>
              </w:rPr>
              <w:t>小样</w:t>
            </w:r>
            <w:r>
              <w:rPr>
                <w:color w:val="auto"/>
                <w:highlight w:val="none"/>
                <w:lang w:val="en"/>
              </w:rPr>
              <w:t xml:space="preserve"> </w:t>
            </w:r>
            <w:r>
              <w:rPr>
                <w:rFonts w:hint="eastAsia"/>
                <w:color w:val="auto"/>
                <w:highlight w:val="none"/>
                <w:lang w:val="en-US" w:eastAsia="zh-CN"/>
              </w:rPr>
              <w:t xml:space="preserve">  </w:t>
            </w:r>
            <w:r>
              <w:rPr>
                <w:color w:val="auto"/>
                <w:highlight w:val="none"/>
                <w:lang w:val="en"/>
              </w:rPr>
              <w:t>1</w:t>
            </w:r>
            <w:r>
              <w:rPr>
                <w:rFonts w:hint="eastAsia"/>
                <w:color w:val="auto"/>
                <w:highlight w:val="none"/>
                <w:lang w:val="en"/>
              </w:rPr>
              <w:t>块</w:t>
            </w:r>
            <w:r>
              <w:rPr>
                <w:color w:val="auto"/>
                <w:highlight w:val="none"/>
                <w:lang w:val="en"/>
              </w:rPr>
              <w:t xml:space="preserve">   </w:t>
            </w:r>
            <w:r>
              <w:rPr>
                <w:rFonts w:hint="eastAsia"/>
                <w:color w:val="auto"/>
                <w:highlight w:val="none"/>
                <w:lang w:val="en-US" w:eastAsia="zh-CN"/>
              </w:rPr>
              <w:t xml:space="preserve">     </w:t>
            </w:r>
            <w:r>
              <w:rPr>
                <w:rFonts w:hint="eastAsia"/>
                <w:color w:val="auto"/>
                <w:highlight w:val="none"/>
              </w:rPr>
              <w:t>完整样品一个</w:t>
            </w:r>
            <w:r>
              <w:rPr>
                <w:color w:val="auto"/>
                <w:highlight w:val="none"/>
                <w:lang w:val="en"/>
              </w:rPr>
              <w:t xml:space="preserve">    </w:t>
            </w:r>
            <w:r>
              <w:rPr>
                <w:rFonts w:hint="eastAsia"/>
                <w:color w:val="auto"/>
                <w:highlight w:val="none"/>
                <w:lang w:val="en-US" w:eastAsia="zh-CN"/>
              </w:rPr>
              <w:t xml:space="preserve">   </w:t>
            </w:r>
          </w:p>
          <w:p>
            <w:pPr>
              <w:widowControl/>
              <w:jc w:val="left"/>
              <w:rPr>
                <w:rFonts w:ascii="宋体" w:hAnsi="宋体"/>
                <w:color w:val="auto"/>
                <w:szCs w:val="21"/>
                <w:highlight w:val="none"/>
              </w:rPr>
            </w:pPr>
            <w:r>
              <w:rPr>
                <w:rFonts w:hint="eastAsia" w:ascii="宋体" w:hAnsi="宋体"/>
                <w:b/>
                <w:bCs/>
                <w:color w:val="auto"/>
                <w:szCs w:val="21"/>
                <w:highlight w:val="none"/>
              </w:rPr>
              <w:t>备注：</w:t>
            </w:r>
          </w:p>
          <w:p>
            <w:pPr>
              <w:widowControl/>
              <w:numPr>
                <w:ilvl w:val="0"/>
                <w:numId w:val="11"/>
              </w:numPr>
              <w:jc w:val="left"/>
              <w:rPr>
                <w:rFonts w:ascii="宋体" w:hAnsi="宋体"/>
                <w:color w:val="auto"/>
                <w:szCs w:val="21"/>
                <w:highlight w:val="none"/>
              </w:rPr>
            </w:pPr>
            <w:r>
              <w:rPr>
                <w:rFonts w:hint="eastAsia" w:ascii="宋体" w:hAnsi="宋体"/>
                <w:color w:val="auto"/>
                <w:szCs w:val="21"/>
                <w:highlight w:val="none"/>
              </w:rPr>
              <w:t>小样只是作为加分项，不作为投标的必须要求；小样的规格尺寸只作参考规格。</w:t>
            </w:r>
          </w:p>
          <w:p>
            <w:pPr>
              <w:widowControl/>
              <w:numPr>
                <w:ilvl w:val="0"/>
                <w:numId w:val="12"/>
              </w:numPr>
              <w:jc w:val="left"/>
              <w:rPr>
                <w:rFonts w:hint="eastAsia" w:ascii="宋体" w:hAnsi="宋体"/>
                <w:color w:val="auto"/>
                <w:szCs w:val="21"/>
                <w:highlight w:val="none"/>
              </w:rPr>
            </w:pPr>
            <w:r>
              <w:rPr>
                <w:rFonts w:hint="eastAsia" w:ascii="宋体" w:hAnsi="宋体"/>
                <w:color w:val="auto"/>
                <w:szCs w:val="21"/>
                <w:highlight w:val="none"/>
              </w:rPr>
              <w:t>小样递交时间：为开标当天提交投标文件截止时间前；</w:t>
            </w:r>
          </w:p>
          <w:p>
            <w:pPr>
              <w:widowControl/>
              <w:numPr>
                <w:ilvl w:val="0"/>
                <w:numId w:val="12"/>
              </w:numPr>
              <w:jc w:val="left"/>
              <w:rPr>
                <w:rFonts w:ascii="宋体" w:hAnsi="宋体"/>
                <w:color w:val="auto"/>
                <w:szCs w:val="21"/>
                <w:highlight w:val="none"/>
              </w:rPr>
            </w:pPr>
            <w:r>
              <w:rPr>
                <w:rFonts w:hint="eastAsia" w:ascii="宋体" w:hAnsi="宋体"/>
                <w:color w:val="auto"/>
                <w:szCs w:val="21"/>
                <w:highlight w:val="none"/>
              </w:rPr>
              <w:t>提交小样的地点：南宁市星湖路22号南宁市星湖路22号评标楼4号楼303室。</w:t>
            </w:r>
          </w:p>
          <w:p>
            <w:pPr>
              <w:pStyle w:val="35"/>
              <w:rPr>
                <w:rFonts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）小样递交要求：</w:t>
            </w:r>
          </w:p>
          <w:p>
            <w:pPr>
              <w:pStyle w:val="35"/>
              <w:ind w:firstLine="105" w:firstLineChars="50"/>
              <w:rPr>
                <w:rFonts w:ascii="宋体" w:hAnsi="宋体"/>
                <w:color w:val="auto"/>
                <w:sz w:val="21"/>
                <w:szCs w:val="21"/>
                <w:highlight w:val="none"/>
              </w:rPr>
            </w:pPr>
            <w:r>
              <w:rPr>
                <w:rFonts w:hint="eastAsia" w:ascii="宋体" w:hAnsi="宋体"/>
                <w:color w:val="auto"/>
                <w:sz w:val="21"/>
                <w:szCs w:val="21"/>
                <w:highlight w:val="none"/>
              </w:rPr>
              <w:t>1）</w:t>
            </w:r>
            <w:r>
              <w:rPr>
                <w:rFonts w:ascii="宋体" w:hAnsi="宋体"/>
                <w:color w:val="auto"/>
                <w:sz w:val="21"/>
                <w:szCs w:val="21"/>
                <w:highlight w:val="none"/>
              </w:rPr>
              <w:t>提交</w:t>
            </w:r>
            <w:r>
              <w:rPr>
                <w:rFonts w:hint="eastAsia" w:ascii="宋体" w:hAnsi="宋体"/>
                <w:color w:val="auto"/>
                <w:sz w:val="21"/>
                <w:szCs w:val="21"/>
                <w:highlight w:val="none"/>
              </w:rPr>
              <w:t>小样</w:t>
            </w:r>
            <w:r>
              <w:rPr>
                <w:rFonts w:ascii="宋体" w:hAnsi="宋体"/>
                <w:color w:val="auto"/>
                <w:sz w:val="21"/>
                <w:szCs w:val="21"/>
                <w:highlight w:val="none"/>
              </w:rPr>
              <w:t>的代表须向采购代理机构工作人员</w:t>
            </w:r>
            <w:r>
              <w:rPr>
                <w:rFonts w:hint="eastAsia" w:ascii="宋体" w:hAnsi="宋体"/>
                <w:color w:val="auto"/>
                <w:sz w:val="21"/>
                <w:szCs w:val="21"/>
                <w:highlight w:val="none"/>
              </w:rPr>
              <w:t>提</w:t>
            </w:r>
            <w:r>
              <w:rPr>
                <w:rFonts w:ascii="宋体" w:hAnsi="宋体"/>
                <w:color w:val="auto"/>
                <w:sz w:val="21"/>
                <w:szCs w:val="21"/>
                <w:highlight w:val="none"/>
              </w:rPr>
              <w:t>交</w:t>
            </w:r>
            <w:r>
              <w:rPr>
                <w:rFonts w:hint="eastAsia" w:ascii="宋体" w:hAnsi="宋体"/>
                <w:color w:val="auto"/>
                <w:sz w:val="21"/>
                <w:szCs w:val="21"/>
                <w:highlight w:val="none"/>
              </w:rPr>
              <w:t>“小样</w:t>
            </w:r>
            <w:r>
              <w:rPr>
                <w:rFonts w:ascii="宋体" w:hAnsi="宋体"/>
                <w:color w:val="auto"/>
                <w:sz w:val="21"/>
                <w:szCs w:val="21"/>
                <w:highlight w:val="none"/>
              </w:rPr>
              <w:t>授权委托书</w:t>
            </w:r>
            <w:r>
              <w:rPr>
                <w:rFonts w:hint="eastAsia" w:ascii="宋体" w:hAnsi="宋体"/>
                <w:color w:val="auto"/>
                <w:sz w:val="21"/>
                <w:szCs w:val="21"/>
                <w:highlight w:val="none"/>
              </w:rPr>
              <w:t>”原件。</w:t>
            </w:r>
          </w:p>
          <w:p>
            <w:pPr>
              <w:pStyle w:val="35"/>
              <w:ind w:firstLine="105" w:firstLineChars="50"/>
              <w:rPr>
                <w:rFonts w:ascii="宋体" w:hAnsi="宋体"/>
                <w:color w:val="auto"/>
                <w:sz w:val="21"/>
                <w:szCs w:val="21"/>
                <w:highlight w:val="none"/>
              </w:rPr>
            </w:pPr>
            <w:r>
              <w:rPr>
                <w:rFonts w:hint="eastAsia" w:ascii="宋体" w:hAnsi="宋体"/>
                <w:color w:val="auto"/>
                <w:sz w:val="21"/>
                <w:szCs w:val="21"/>
                <w:highlight w:val="none"/>
              </w:rPr>
              <w:t xml:space="preserve">2）所有小样按以下规定要求密封（包装）：小样包装外面贴上项目名称和项目编号及投标人名称等信息；包装里面的各小样不能出现有关投标人的标识，如出现透露投标人的信息，小样不得进行评定。 </w:t>
            </w:r>
          </w:p>
          <w:p>
            <w:pPr>
              <w:pStyle w:val="35"/>
              <w:ind w:firstLine="105" w:firstLineChars="50"/>
              <w:rPr>
                <w:rFonts w:ascii="宋体" w:hAnsi="宋体"/>
                <w:color w:val="auto"/>
                <w:sz w:val="21"/>
                <w:szCs w:val="21"/>
                <w:highlight w:val="none"/>
              </w:rPr>
            </w:pPr>
            <w:r>
              <w:rPr>
                <w:rFonts w:hint="eastAsia" w:ascii="宋体" w:hAnsi="宋体"/>
                <w:color w:val="auto"/>
                <w:sz w:val="21"/>
                <w:szCs w:val="21"/>
                <w:highlight w:val="none"/>
              </w:rPr>
              <w:t>3）评标前由采购代理机构工作人员将对投标人的标签进行遮盖，评定小样时由采购代理机构工作人员及评委一起打开，待评定小样完毕后，再统一拆封所有投标人的标签。</w:t>
            </w:r>
          </w:p>
          <w:p>
            <w:pPr>
              <w:widowControl/>
              <w:jc w:val="left"/>
              <w:rPr>
                <w:color w:val="auto"/>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 xml:space="preserve">）采购结果公告后，中标人小样不退，作为验收依据之一。未中标的，在本项目评审结果（中标公告）发出（或接到广西壮族自治区政府采购中心电话通知）后五个工作日内，原路径领回样品，逾期未办理样品领取的，样品处置权交由广西壮族自治区政府采购中心。所造成的损失，由本公司自行承担。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widowControl/>
              <w:wordWrap w:val="0"/>
              <w:spacing w:line="264"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售后及服务要求</w:t>
            </w:r>
          </w:p>
        </w:tc>
        <w:tc>
          <w:tcPr>
            <w:tcW w:w="8385" w:type="dxa"/>
            <w:gridSpan w:val="3"/>
            <w:tcBorders>
              <w:top w:val="single" w:color="auto" w:sz="4" w:space="0"/>
              <w:left w:val="single" w:color="auto" w:sz="4" w:space="0"/>
              <w:bottom w:val="single" w:color="auto" w:sz="4" w:space="0"/>
            </w:tcBorders>
            <w:vAlign w:val="center"/>
          </w:tcPr>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1.设备必须是全新原厂正品。</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2.分项有质保要求的按分项质保要求，分项没有质保要求的按国家有关产品“三包”规定执行“三包”政策，质保期以通过项目最终验收的验收报告签字日开始计算。</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3.质保期内所有由于质量问题导致的软、硬件产品故障及设备损坏，中标供应商提供保修、人工及更换备件的上门服务，并提供终身维护。质保期内采购人不再支付任何费用。</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4．免费送货上门，免费安装调试合格；</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5．中标供应商必须负责项目设备送货、建设、安装调试与培训，免费提供设备操作培训，提供全套说明书；免费现场培训 2～3 名相关人员至掌握设备操作及日常维护；</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6．设备如出现故障在接到采购人通知后在30分钟内响应，2小时内上门服务，12小时内解决故障；未能在规定时间内排除故障的，必须在接到采购人通知后48小时内提供同档次的备用机并提交故障解决处理方案；</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7．提供定期回访及巡检服务；</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8．项目供货及安装过程中产生的残留物或垃圾，需由中标供应商自行清理至校外国家有关部门指定堆放处，产品包装箱及有关产品说明书等处置需经采购人确认后处理。</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9．对于软件系统存在的安全漏洞包括但不限于数据库安全的情形，中标供应商应提供终身免费系统升级补丁及做好安全策略。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widowControl/>
              <w:wordWrap w:val="0"/>
              <w:spacing w:line="264"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付款方式</w:t>
            </w:r>
          </w:p>
        </w:tc>
        <w:tc>
          <w:tcPr>
            <w:tcW w:w="8385" w:type="dxa"/>
            <w:gridSpan w:val="3"/>
            <w:tcBorders>
              <w:top w:val="single" w:color="auto" w:sz="4" w:space="0"/>
              <w:left w:val="single" w:color="auto" w:sz="4" w:space="0"/>
              <w:bottom w:val="single" w:color="auto" w:sz="4" w:space="0"/>
            </w:tcBorders>
            <w:vAlign w:val="center"/>
          </w:tcPr>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1.预付款：签订合同之日起10个工作日内，中标人开具合同总价款的 30%的等额价值保函(保函有效期应在 2025年 12月30日后)给采购人后，采购人支付合同总价款的30%作为预付款。进度款：全部设备到货后，经采购人确认后在十个工作日内向中标供应商付款方式支付合同价款的50%；所有货物安装调试完成、试运行正常且验收合格，并经采购人确认后，在十个工作日内向中标供应商支付合同价款的20%。</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2.若采购数量与实际使用数量不一致时，成交供应商应根据实际使用量供货，合同的最终结算金额按实际使用量乘以成交单价进行据实计算。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8385" w:type="dxa"/>
            <w:gridSpan w:val="3"/>
            <w:tcBorders>
              <w:top w:val="single" w:color="auto" w:sz="4" w:space="0"/>
              <w:left w:val="single" w:color="auto" w:sz="4" w:space="0"/>
              <w:bottom w:val="single" w:color="auto" w:sz="4" w:space="0"/>
            </w:tcBorders>
            <w:vAlign w:val="center"/>
          </w:tcPr>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1.按本项目中标总金额的5%（如中标供应商为中小企业的，按本项目中标总金额的2%）收取；中标供应商在签订合同前交至指定账户。</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2.履约保证金递交方式：支票、汇票、本票、</w:t>
            </w:r>
            <w:r>
              <w:rPr>
                <w:rFonts w:hint="eastAsia" w:ascii="宋体" w:hAnsi="宋体" w:cs="宋体"/>
                <w:color w:val="auto"/>
                <w:szCs w:val="21"/>
                <w:highlight w:val="none"/>
                <w:lang w:val="en"/>
              </w:rPr>
              <w:t>金融机构</w:t>
            </w:r>
            <w:r>
              <w:rPr>
                <w:rFonts w:hint="eastAsia" w:ascii="宋体" w:hAnsi="宋体" w:cs="宋体"/>
                <w:color w:val="auto"/>
                <w:szCs w:val="21"/>
                <w:highlight w:val="none"/>
              </w:rPr>
              <w:t>、担保机构出具的保函等非现金形式。</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履约保证金指定账户：</w:t>
            </w:r>
          </w:p>
          <w:p>
            <w:pPr>
              <w:snapToGrid w:val="0"/>
              <w:spacing w:line="360" w:lineRule="auto"/>
              <w:jc w:val="left"/>
              <w:rPr>
                <w:rFonts w:ascii="宋体" w:hAnsi="宋体" w:cs="宋体"/>
                <w:color w:val="auto"/>
                <w:szCs w:val="21"/>
                <w:highlight w:val="none"/>
                <w:lang w:val="en"/>
              </w:rPr>
            </w:pPr>
            <w:r>
              <w:rPr>
                <w:rFonts w:hint="eastAsia" w:ascii="宋体" w:hAnsi="宋体" w:cs="宋体"/>
                <w:color w:val="auto"/>
                <w:szCs w:val="21"/>
                <w:highlight w:val="none"/>
              </w:rPr>
              <w:t>开户名称：</w:t>
            </w:r>
            <w:r>
              <w:rPr>
                <w:rFonts w:hint="eastAsia" w:ascii="宋体" w:hAnsi="宋体" w:cs="宋体"/>
                <w:color w:val="auto"/>
                <w:szCs w:val="21"/>
                <w:highlight w:val="none"/>
                <w:lang w:val="en"/>
              </w:rPr>
              <w:t>广西艺术学院</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开户银行：建行南宁市桃源支行 </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银行账号：45001604559050500909 </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履约保证金退付方式、时间及条件：中标供应商按合同要求完全履约，项目验收合格后，待中标供应商履行完质保义务且无违约情况下后由采购人无息退还。合同履行期间，中标供应商存在违约的，采购人有权从履约保证金中先行抵扣，不足部分由中标供应商另行支付，采购人直接从履约保证金中扣除的，中标供应商应于接到采购人补足履约保证金通知之日起3个工作日内补足。</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由中标人向履约保证金收取单位提供《广西壮族自治区政府采购项目合同验收书》（详见桂财采〔2015〕22号），保证金收取单位在收到合格材料后5个工作日内办理退还手续（不计利息）。</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不予退还的情形：签订合同后，如中标人不按双方签订的合同规定履约，则其全部履约保证金不予退还。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验收要求</w:t>
            </w:r>
          </w:p>
        </w:tc>
        <w:tc>
          <w:tcPr>
            <w:tcW w:w="8385" w:type="dxa"/>
            <w:gridSpan w:val="3"/>
            <w:tcBorders>
              <w:top w:val="single" w:color="auto" w:sz="4" w:space="0"/>
              <w:left w:val="single" w:color="auto" w:sz="4" w:space="0"/>
              <w:bottom w:val="single" w:color="auto" w:sz="4" w:space="0"/>
            </w:tcBorders>
            <w:vAlign w:val="center"/>
          </w:tcPr>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投标产品须是按满足采购人需求配置提供的厂家出厂的整套全新，具备正规合法经销渠道，符合国家各项有关质量标准的合格产品。相关部件及服务须满足本表中各项要求。所有设备除满足招标文件要求及投标文件承诺的技术参数和配置外，其余均按国家标准及生产厂家出厂标准配置，若产品在运输过程中损坏须无偿调换同样产品。</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合同签订之后，采购人有权要求中标人提供所投所有产品进行功能核验，如有配置或功能不能满足招标要求，按违约处理，必要时采购人有权要求中标人提供有资质的第三方检测机构出具的检测报告，检测所需费用由中标人自行承担。</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投标人所提供的产品必须为原装正品的、全新的、完好无破损、且为未开箱状态、符合有关质量标准的产品；设备到货安装前，采购人现场根据招标文件要求及投标文件承诺逐条对应进行核验（必要时，采购人有权要求供应商对各项指标进行现场演示），核验不合格或中标供应商未按采购人要求提供现场演示或技术功能无法达到相应技术要求的，按违约处理，采购人有权全部退货，同时报相关监督管理部门处理，由此造成采购人经济损失的由中标供应商负责承担全部赔偿责任。</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4．验收方式和验收材料要求</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（1）采购人在项目完成且收到中标供应商验收申请后5个工作日内组织开展履约验收。</w:t>
            </w:r>
          </w:p>
          <w:p>
            <w:pPr>
              <w:snapToGrid w:val="0"/>
              <w:spacing w:line="360" w:lineRule="auto"/>
              <w:rPr>
                <w:rFonts w:ascii="宋体" w:hAnsi="宋体" w:cs="宋体"/>
                <w:color w:val="auto"/>
                <w:szCs w:val="21"/>
                <w:highlight w:val="none"/>
                <w:lang w:val="en"/>
              </w:rPr>
            </w:pPr>
            <w:r>
              <w:rPr>
                <w:rFonts w:hint="eastAsia" w:ascii="宋体" w:hAnsi="宋体" w:cs="宋体"/>
                <w:color w:val="auto"/>
                <w:szCs w:val="21"/>
                <w:highlight w:val="none"/>
              </w:rPr>
              <w:t>（2）中标供应商必须提供合格的验收材料，验收材料包括①验收申请书（原件）、②中标通知书复印件、③合同（包括附件加盖采购代理机构章的格式合同中规定的附件）复印件；④项目实施过程文件、⑤货物的证明文件、⑥货物的技术资料、⑦培训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widowControl/>
              <w:wordWrap w:val="0"/>
              <w:spacing w:line="264"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8385" w:type="dxa"/>
            <w:gridSpan w:val="3"/>
            <w:tcBorders>
              <w:top w:val="single" w:color="auto" w:sz="4" w:space="0"/>
              <w:left w:val="single" w:color="auto" w:sz="4" w:space="0"/>
              <w:bottom w:val="single" w:color="auto" w:sz="4" w:space="0"/>
            </w:tcBorders>
            <w:vAlign w:val="center"/>
          </w:tcPr>
          <w:p>
            <w:pPr>
              <w:snapToGrid w:val="0"/>
              <w:spacing w:line="360" w:lineRule="auto"/>
              <w:jc w:val="left"/>
              <w:rPr>
                <w:rFonts w:ascii="宋体" w:hAnsi="宋体" w:cs="宋体"/>
                <w:color w:val="auto"/>
                <w:szCs w:val="21"/>
                <w:highlight w:val="none"/>
                <w:lang w:val="en"/>
              </w:rPr>
            </w:pPr>
            <w:r>
              <w:rPr>
                <w:rFonts w:hint="eastAsia" w:ascii="宋体" w:hAnsi="宋体" w:cs="宋体"/>
                <w:color w:val="auto"/>
                <w:szCs w:val="21"/>
                <w:highlight w:val="none"/>
              </w:rPr>
              <w:t>1.</w:t>
            </w:r>
            <w:r>
              <w:rPr>
                <w:rFonts w:hint="eastAsia" w:ascii="宋体" w:hAnsi="宋体" w:cs="宋体"/>
                <w:color w:val="auto"/>
                <w:szCs w:val="21"/>
                <w:highlight w:val="none"/>
                <w:lang w:val="en"/>
              </w:rPr>
              <w:t>本分标货物不接受进口产品（即通过中国海关报关验放进入中国境内且产自关境外的产品）参与投标。</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投标人所提供的任何材料应当真实有效，如在评审过程中发现投标人在投标文件中提供任何虚假材料的，按投标无效处理，采购人有权汇报监督管理部门处理；中标后，采购人发现投标人在投标文件中提供任何虚假材料的，采购人有权汇报监督管理部门处理，且中标供应商须依照《中华人民共和国消费者权益保护法》赔偿采购人，民事赔偿并不免除违法中标供应商的法律责任。</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本项目采购的投标产品如有属于政府采购强制节能产品的，应根据《市场监管总局关于发布参与实施政府采购节能产品、环境标志产品认证机构名录的公告》2019年第16号、财库〔2019〕9号以及财库〔2019〕19号文规定，投标人的投标产品，投标时须提供国家确定的认证机构出具的、处于有效期之内的有效的节能产品认证证书复印件并加盖投标人公章。</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4.采购货物纳入强制性产品认证（3C认证）的，投标人所投产品必须从其规定。</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5.如投标人投标产品存在侵犯他人的知识产权或者专利成果行为的，由投标人自行承担相应法律责任。</w:t>
            </w:r>
          </w:p>
        </w:tc>
      </w:tr>
    </w:tbl>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pStyle w:val="52"/>
        <w:ind w:firstLine="240"/>
        <w:rPr>
          <w:color w:val="auto"/>
          <w:highlight w:val="none"/>
        </w:rPr>
      </w:pPr>
    </w:p>
    <w:p>
      <w:pPr>
        <w:spacing w:line="360" w:lineRule="auto"/>
        <w:ind w:firstLine="413" w:firstLineChars="196"/>
        <w:rPr>
          <w:rFonts w:hint="eastAsia" w:ascii="宋体" w:hAnsi="宋体"/>
          <w:b/>
          <w:color w:val="auto"/>
          <w:highlight w:val="none"/>
        </w:rPr>
      </w:pPr>
    </w:p>
    <w:p>
      <w:pPr>
        <w:spacing w:line="360" w:lineRule="auto"/>
        <w:ind w:firstLine="413" w:firstLineChars="196"/>
        <w:rPr>
          <w:rFonts w:hint="eastAsia" w:ascii="宋体" w:hAnsi="宋体"/>
          <w:b/>
          <w:color w:val="auto"/>
          <w:highlight w:val="none"/>
        </w:rPr>
      </w:pPr>
    </w:p>
    <w:p>
      <w:pPr>
        <w:spacing w:line="360" w:lineRule="auto"/>
        <w:ind w:firstLine="413" w:firstLineChars="196"/>
        <w:rPr>
          <w:rFonts w:ascii="宋体" w:hAnsi="Calibri"/>
          <w:b/>
          <w:color w:val="auto"/>
          <w:highlight w:val="none"/>
        </w:rPr>
      </w:pPr>
      <w:r>
        <w:rPr>
          <w:rFonts w:hint="eastAsia" w:ascii="宋体" w:hAnsi="宋体"/>
          <w:b/>
          <w:color w:val="auto"/>
          <w:highlight w:val="none"/>
        </w:rPr>
        <w:t>分标2：</w:t>
      </w:r>
    </w:p>
    <w:tbl>
      <w:tblPr>
        <w:tblStyle w:val="53"/>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4"/>
        <w:gridCol w:w="1110"/>
        <w:gridCol w:w="719"/>
        <w:gridCol w:w="759"/>
        <w:gridCol w:w="71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ascii="宋体" w:hAnsi="宋体" w:cs="宋体"/>
                <w:b/>
                <w:color w:val="auto"/>
                <w:szCs w:val="21"/>
                <w:highlight w:val="none"/>
              </w:rPr>
            </w:pPr>
            <w:r>
              <w:rPr>
                <w:rFonts w:hint="eastAsia" w:ascii="宋体" w:hAnsi="宋体" w:cs="宋体"/>
                <w:b/>
                <w:color w:val="auto"/>
                <w:szCs w:val="21"/>
                <w:highlight w:val="none"/>
              </w:rPr>
              <w:t>项号</w:t>
            </w:r>
          </w:p>
        </w:tc>
        <w:tc>
          <w:tcPr>
            <w:tcW w:w="1110"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ascii="宋体" w:hAnsi="宋体" w:cs="宋体"/>
                <w:b/>
                <w:color w:val="auto"/>
                <w:szCs w:val="21"/>
                <w:highlight w:val="none"/>
              </w:rPr>
            </w:pPr>
            <w:r>
              <w:rPr>
                <w:rFonts w:hint="eastAsia" w:ascii="宋体" w:hAnsi="宋体" w:cs="宋体"/>
                <w:b/>
                <w:color w:val="auto"/>
                <w:szCs w:val="21"/>
                <w:highlight w:val="none"/>
              </w:rPr>
              <w:t>货物名称</w:t>
            </w:r>
          </w:p>
        </w:tc>
        <w:tc>
          <w:tcPr>
            <w:tcW w:w="719"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759" w:type="dxa"/>
            <w:tcBorders>
              <w:top w:val="single" w:color="auto" w:sz="4" w:space="0"/>
              <w:left w:val="single" w:color="auto" w:sz="4" w:space="0"/>
              <w:bottom w:val="single" w:color="auto" w:sz="4" w:space="0"/>
              <w:right w:val="single" w:color="auto" w:sz="4" w:space="0"/>
            </w:tcBorders>
            <w:vAlign w:val="center"/>
          </w:tcPr>
          <w:p>
            <w:pPr>
              <w:spacing w:line="264" w:lineRule="auto"/>
              <w:jc w:val="center"/>
              <w:rPr>
                <w:rFonts w:ascii="宋体" w:hAnsi="宋体" w:cs="宋体"/>
                <w:b/>
                <w:color w:val="auto"/>
                <w:szCs w:val="21"/>
                <w:highlight w:val="none"/>
                <w:lang w:val="en"/>
              </w:rPr>
            </w:pPr>
            <w:r>
              <w:rPr>
                <w:rFonts w:hint="eastAsia" w:ascii="宋体" w:hAnsi="宋体" w:cs="宋体"/>
                <w:b/>
                <w:color w:val="auto"/>
                <w:szCs w:val="21"/>
                <w:highlight w:val="none"/>
              </w:rPr>
              <w:t>单位</w:t>
            </w:r>
          </w:p>
        </w:tc>
        <w:tc>
          <w:tcPr>
            <w:tcW w:w="7112" w:type="dxa"/>
            <w:tcBorders>
              <w:top w:val="single" w:color="auto" w:sz="4" w:space="0"/>
              <w:left w:val="single" w:color="auto" w:sz="4" w:space="0"/>
              <w:bottom w:val="single" w:color="auto" w:sz="4" w:space="0"/>
            </w:tcBorders>
            <w:vAlign w:val="center"/>
          </w:tcPr>
          <w:p>
            <w:pPr>
              <w:widowControl/>
              <w:spacing w:line="264"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主要技术参数及性能（配置）要求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LED屏</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rPr>
              <w:t>套</w:t>
            </w:r>
          </w:p>
        </w:tc>
        <w:tc>
          <w:tcPr>
            <w:tcW w:w="7112" w:type="dxa"/>
            <w:tcBorders>
              <w:top w:val="single" w:color="auto" w:sz="4" w:space="0"/>
              <w:left w:val="single" w:color="auto" w:sz="4" w:space="0"/>
              <w:bottom w:val="single" w:color="auto" w:sz="4" w:space="0"/>
            </w:tcBorders>
            <w:vAlign w:val="center"/>
          </w:tcPr>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LED总尺寸高度3.68m×10.24m（包含LED配套设备、音响功放等）</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b/>
                <w:bCs/>
                <w:color w:val="auto"/>
                <w:sz w:val="21"/>
                <w:szCs w:val="21"/>
                <w:highlight w:val="none"/>
              </w:rPr>
              <w:t>一、全彩LED显示屏</w:t>
            </w:r>
            <w:r>
              <w:rPr>
                <w:rFonts w:hint="eastAsia" w:ascii="宋体" w:hAnsi="宋体" w:cs="宋体"/>
                <w:color w:val="auto"/>
                <w:sz w:val="21"/>
                <w:szCs w:val="21"/>
                <w:highlight w:val="none"/>
              </w:rPr>
              <w:t>：</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产品规格：M1.53；</w:t>
            </w:r>
          </w:p>
          <w:p>
            <w:pPr>
              <w:pStyle w:val="52"/>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w:t>
            </w:r>
            <w:r>
              <w:rPr>
                <w:rFonts w:ascii="宋体" w:hAnsi="宋体" w:cs="宋体"/>
                <w:color w:val="auto"/>
                <w:sz w:val="21"/>
                <w:szCs w:val="21"/>
                <w:highlight w:val="none"/>
              </w:rPr>
              <w:t>.</w:t>
            </w:r>
            <w:r>
              <w:rPr>
                <w:rFonts w:hint="eastAsia" w:ascii="宋体" w:hAnsi="宋体" w:cs="宋体"/>
                <w:color w:val="auto"/>
                <w:sz w:val="21"/>
                <w:szCs w:val="21"/>
                <w:highlight w:val="none"/>
              </w:rPr>
              <w:t>像素点间距:≤1.53mm；屏幕分辨率不低于6656点*2392点</w:t>
            </w:r>
            <w:r>
              <w:rPr>
                <w:rFonts w:hint="eastAsia" w:ascii="宋体" w:hAnsi="宋体" w:cs="宋体"/>
                <w:color w:val="auto"/>
                <w:sz w:val="21"/>
                <w:szCs w:val="21"/>
                <w:highlight w:val="none"/>
                <w:lang w:eastAsia="zh-CN"/>
              </w:rPr>
              <w:t>；</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w:t>
            </w:r>
            <w:r>
              <w:rPr>
                <w:rFonts w:ascii="宋体" w:hAnsi="宋体" w:cs="宋体"/>
                <w:color w:val="auto"/>
                <w:sz w:val="21"/>
                <w:szCs w:val="21"/>
                <w:highlight w:val="none"/>
              </w:rPr>
              <w:t>.</w:t>
            </w:r>
            <w:r>
              <w:rPr>
                <w:rFonts w:hint="eastAsia" w:ascii="宋体" w:hAnsi="宋体" w:cs="宋体"/>
                <w:color w:val="auto"/>
                <w:sz w:val="21"/>
                <w:szCs w:val="21"/>
                <w:highlight w:val="none"/>
              </w:rPr>
              <w:t>像素密度≥422500/㎡；</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w:t>
            </w:r>
            <w:r>
              <w:rPr>
                <w:rFonts w:ascii="宋体" w:hAnsi="宋体" w:cs="宋体"/>
                <w:color w:val="auto"/>
                <w:sz w:val="21"/>
                <w:szCs w:val="21"/>
                <w:highlight w:val="none"/>
              </w:rPr>
              <w:t>.</w:t>
            </w:r>
            <w:r>
              <w:rPr>
                <w:rFonts w:hint="eastAsia" w:ascii="宋体" w:hAnsi="宋体" w:cs="宋体"/>
                <w:color w:val="auto"/>
                <w:sz w:val="21"/>
                <w:szCs w:val="21"/>
                <w:highlight w:val="none"/>
              </w:rPr>
              <w:t xml:space="preserve">单元模组尺寸：320mm×160mm；                                            </w:t>
            </w:r>
          </w:p>
          <w:p>
            <w:pPr>
              <w:pStyle w:val="52"/>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5</w:t>
            </w:r>
            <w:r>
              <w:rPr>
                <w:rFonts w:ascii="宋体" w:hAnsi="宋体" w:cs="宋体"/>
                <w:color w:val="auto"/>
                <w:sz w:val="21"/>
                <w:szCs w:val="21"/>
                <w:highlight w:val="none"/>
              </w:rPr>
              <w:t>.</w:t>
            </w:r>
            <w:r>
              <w:rPr>
                <w:rFonts w:hint="eastAsia" w:ascii="宋体" w:hAnsi="宋体" w:cs="宋体"/>
                <w:color w:val="auto"/>
                <w:sz w:val="21"/>
                <w:szCs w:val="21"/>
                <w:highlight w:val="none"/>
              </w:rPr>
              <w:t>灯珠配置：发光大芯片（亮度高）、铜线（导电性强）、铜支架（抗氧化）</w:t>
            </w:r>
            <w:r>
              <w:rPr>
                <w:rFonts w:hint="eastAsia" w:ascii="宋体" w:hAnsi="宋体" w:cs="宋体"/>
                <w:color w:val="auto"/>
                <w:sz w:val="21"/>
                <w:szCs w:val="21"/>
                <w:highlight w:val="none"/>
                <w:lang w:eastAsia="zh-CN"/>
              </w:rPr>
              <w:t>；</w:t>
            </w:r>
          </w:p>
          <w:p>
            <w:pPr>
              <w:pStyle w:val="52"/>
              <w:spacing w:line="264" w:lineRule="auto"/>
              <w:ind w:firstLine="0" w:firstLineChars="0"/>
              <w:rPr>
                <w:rFonts w:ascii="宋体" w:hAnsi="宋体" w:cs="宋体"/>
                <w:color w:val="auto"/>
                <w:sz w:val="21"/>
                <w:szCs w:val="21"/>
                <w:highlight w:val="none"/>
              </w:rPr>
            </w:pPr>
            <w:r>
              <w:rPr>
                <w:rFonts w:ascii="宋体" w:hAnsi="宋体" w:cs="宋体"/>
                <w:color w:val="auto"/>
                <w:sz w:val="21"/>
                <w:szCs w:val="21"/>
                <w:highlight w:val="none"/>
              </w:rPr>
              <w:t>6.</w:t>
            </w:r>
            <w:r>
              <w:rPr>
                <w:rFonts w:hint="eastAsia" w:ascii="宋体" w:hAnsi="宋体" w:cs="宋体"/>
                <w:color w:val="auto"/>
                <w:sz w:val="21"/>
                <w:szCs w:val="21"/>
                <w:highlight w:val="none"/>
              </w:rPr>
              <w:t>发光点颜色组合 1R1G1B；</w:t>
            </w:r>
          </w:p>
          <w:p>
            <w:pPr>
              <w:pStyle w:val="52"/>
              <w:spacing w:line="264" w:lineRule="auto"/>
              <w:ind w:firstLine="0" w:firstLineChars="0"/>
              <w:rPr>
                <w:rFonts w:ascii="宋体" w:hAnsi="宋体" w:cs="宋体"/>
                <w:color w:val="auto"/>
                <w:sz w:val="21"/>
                <w:szCs w:val="21"/>
                <w:highlight w:val="none"/>
              </w:rPr>
            </w:pPr>
            <w:r>
              <w:rPr>
                <w:rFonts w:ascii="宋体" w:hAnsi="宋体" w:cs="宋体"/>
                <w:color w:val="auto"/>
                <w:sz w:val="21"/>
                <w:szCs w:val="21"/>
                <w:highlight w:val="none"/>
              </w:rPr>
              <w:t>7.</w:t>
            </w:r>
            <w:r>
              <w:rPr>
                <w:rFonts w:hint="eastAsia" w:ascii="宋体" w:hAnsi="宋体" w:cs="宋体"/>
                <w:color w:val="auto"/>
                <w:sz w:val="21"/>
                <w:szCs w:val="21"/>
                <w:highlight w:val="none"/>
              </w:rPr>
              <w:t>发光芯片封装形式：SMD1212；</w:t>
            </w:r>
          </w:p>
          <w:p>
            <w:pPr>
              <w:pStyle w:val="52"/>
              <w:spacing w:line="264" w:lineRule="auto"/>
              <w:ind w:firstLine="0" w:firstLineChars="0"/>
              <w:rPr>
                <w:rFonts w:ascii="宋体" w:hAnsi="宋体" w:cs="宋体"/>
                <w:color w:val="auto"/>
                <w:sz w:val="21"/>
                <w:szCs w:val="21"/>
                <w:highlight w:val="none"/>
              </w:rPr>
            </w:pPr>
            <w:r>
              <w:rPr>
                <w:rFonts w:ascii="宋体" w:hAnsi="宋体" w:cs="宋体"/>
                <w:color w:val="auto"/>
                <w:sz w:val="21"/>
                <w:szCs w:val="21"/>
                <w:highlight w:val="none"/>
              </w:rPr>
              <w:t>8.</w:t>
            </w:r>
            <w:r>
              <w:rPr>
                <w:rFonts w:hint="eastAsia" w:ascii="宋体" w:hAnsi="宋体" w:cs="宋体"/>
                <w:color w:val="auto"/>
                <w:sz w:val="21"/>
                <w:szCs w:val="21"/>
                <w:highlight w:val="none"/>
              </w:rPr>
              <w:t>峰值功耗 620W/㎡，平均功耗≤160W/㎡；</w:t>
            </w:r>
          </w:p>
          <w:p>
            <w:pPr>
              <w:pStyle w:val="52"/>
              <w:spacing w:line="264" w:lineRule="auto"/>
              <w:ind w:firstLine="0" w:firstLineChars="0"/>
              <w:rPr>
                <w:rFonts w:ascii="宋体" w:hAnsi="宋体" w:cs="宋体"/>
                <w:color w:val="auto"/>
                <w:sz w:val="21"/>
                <w:szCs w:val="21"/>
                <w:highlight w:val="none"/>
              </w:rPr>
            </w:pPr>
            <w:r>
              <w:rPr>
                <w:rFonts w:ascii="宋体" w:hAnsi="宋体" w:cs="宋体"/>
                <w:color w:val="auto"/>
                <w:sz w:val="21"/>
                <w:szCs w:val="21"/>
                <w:highlight w:val="none"/>
              </w:rPr>
              <w:t>9.</w:t>
            </w:r>
            <w:r>
              <w:rPr>
                <w:rFonts w:hint="eastAsia" w:ascii="宋体" w:hAnsi="宋体" w:cs="宋体"/>
                <w:color w:val="auto"/>
                <w:sz w:val="21"/>
                <w:szCs w:val="21"/>
                <w:highlight w:val="none"/>
              </w:rPr>
              <w:t>使用寿命 100000 小时；</w:t>
            </w:r>
          </w:p>
          <w:p>
            <w:pPr>
              <w:pStyle w:val="52"/>
              <w:spacing w:line="264" w:lineRule="auto"/>
              <w:ind w:firstLine="0" w:firstLineChars="0"/>
              <w:rPr>
                <w:rFonts w:ascii="宋体" w:hAnsi="宋体" w:cs="宋体"/>
                <w:color w:val="auto"/>
                <w:sz w:val="21"/>
                <w:szCs w:val="21"/>
                <w:highlight w:val="none"/>
              </w:rPr>
            </w:pPr>
            <w:r>
              <w:rPr>
                <w:rFonts w:ascii="宋体" w:hAnsi="宋体" w:cs="宋体"/>
                <w:color w:val="auto"/>
                <w:sz w:val="21"/>
                <w:szCs w:val="21"/>
                <w:highlight w:val="none"/>
              </w:rPr>
              <w:t>10</w:t>
            </w:r>
            <w:r>
              <w:rPr>
                <w:rFonts w:hint="eastAsia" w:ascii="宋体" w:hAnsi="宋体" w:cs="宋体"/>
                <w:color w:val="auto"/>
                <w:sz w:val="21"/>
                <w:szCs w:val="21"/>
                <w:highlight w:val="none"/>
              </w:rPr>
              <w:t>.LED 像素失控率：≤0.0001；</w:t>
            </w:r>
          </w:p>
          <w:p>
            <w:pPr>
              <w:pStyle w:val="52"/>
              <w:spacing w:line="264" w:lineRule="auto"/>
              <w:ind w:firstLine="0" w:firstLineChars="0"/>
              <w:rPr>
                <w:rFonts w:ascii="宋体" w:hAnsi="宋体" w:cs="宋体"/>
                <w:color w:val="auto"/>
                <w:sz w:val="21"/>
                <w:szCs w:val="21"/>
                <w:highlight w:val="none"/>
              </w:rPr>
            </w:pPr>
            <w:r>
              <w:rPr>
                <w:rFonts w:ascii="宋体" w:hAnsi="宋体" w:cs="宋体"/>
                <w:color w:val="auto"/>
                <w:sz w:val="21"/>
                <w:szCs w:val="21"/>
                <w:highlight w:val="none"/>
              </w:rPr>
              <w:t>11</w:t>
            </w:r>
            <w:r>
              <w:rPr>
                <w:rFonts w:hint="eastAsia" w:ascii="宋体" w:hAnsi="宋体" w:cs="宋体"/>
                <w:color w:val="auto"/>
                <w:sz w:val="21"/>
                <w:szCs w:val="21"/>
                <w:highlight w:val="none"/>
              </w:rPr>
              <w:t>.色温：1000-18000K连续可调。色域大于110%NTSC；</w:t>
            </w:r>
          </w:p>
          <w:p>
            <w:pPr>
              <w:pStyle w:val="52"/>
              <w:spacing w:line="264" w:lineRule="auto"/>
              <w:ind w:firstLine="0" w:firstLineChars="0"/>
              <w:rPr>
                <w:rFonts w:ascii="宋体" w:hAnsi="宋体" w:cs="宋体"/>
                <w:color w:val="auto"/>
                <w:sz w:val="21"/>
                <w:szCs w:val="21"/>
                <w:highlight w:val="none"/>
              </w:rPr>
            </w:pPr>
            <w:r>
              <w:rPr>
                <w:rFonts w:ascii="宋体" w:hAnsi="宋体" w:cs="宋体"/>
                <w:color w:val="auto"/>
                <w:sz w:val="21"/>
                <w:szCs w:val="21"/>
                <w:highlight w:val="none"/>
              </w:rPr>
              <w:t>12</w:t>
            </w:r>
            <w:r>
              <w:rPr>
                <w:rFonts w:hint="eastAsia" w:ascii="宋体" w:hAnsi="宋体" w:cs="宋体"/>
                <w:color w:val="auto"/>
                <w:sz w:val="21"/>
                <w:szCs w:val="21"/>
                <w:highlight w:val="none"/>
              </w:rPr>
              <w:t>.驱动方式：恒流源驱动；</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w:t>
            </w:r>
            <w:r>
              <w:rPr>
                <w:rFonts w:ascii="宋体" w:hAnsi="宋体" w:cs="宋体"/>
                <w:color w:val="auto"/>
                <w:sz w:val="21"/>
                <w:szCs w:val="21"/>
                <w:highlight w:val="none"/>
              </w:rPr>
              <w:t>3.</w:t>
            </w:r>
            <w:r>
              <w:rPr>
                <w:rFonts w:hint="eastAsia" w:ascii="宋体" w:hAnsi="宋体" w:cs="宋体"/>
                <w:color w:val="auto"/>
                <w:sz w:val="21"/>
                <w:szCs w:val="21"/>
                <w:highlight w:val="none"/>
              </w:rPr>
              <w:t>刷新频率：7680；</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w:t>
            </w:r>
            <w:r>
              <w:rPr>
                <w:rFonts w:ascii="宋体" w:hAnsi="宋体" w:cs="宋体"/>
                <w:color w:val="auto"/>
                <w:sz w:val="21"/>
                <w:szCs w:val="21"/>
                <w:highlight w:val="none"/>
              </w:rPr>
              <w:t>4.</w:t>
            </w:r>
            <w:r>
              <w:rPr>
                <w:rFonts w:hint="eastAsia" w:ascii="宋体" w:hAnsi="宋体" w:cs="宋体"/>
                <w:color w:val="auto"/>
                <w:sz w:val="21"/>
                <w:szCs w:val="21"/>
                <w:highlight w:val="none"/>
              </w:rPr>
              <w:t>屏体供电 工作电压 220V±15%；</w:t>
            </w:r>
          </w:p>
          <w:p>
            <w:pPr>
              <w:pStyle w:val="52"/>
              <w:spacing w:line="264" w:lineRule="auto"/>
              <w:ind w:firstLine="0" w:firstLineChars="0"/>
              <w:rPr>
                <w:rFonts w:ascii="宋体" w:hAnsi="宋体" w:cs="宋体"/>
                <w:strike/>
                <w:color w:val="auto"/>
                <w:sz w:val="21"/>
                <w:szCs w:val="21"/>
                <w:highlight w:val="none"/>
              </w:rPr>
            </w:pPr>
            <w:r>
              <w:rPr>
                <w:rFonts w:hint="eastAsia" w:ascii="宋体" w:hAnsi="宋体" w:cs="宋体"/>
                <w:color w:val="auto"/>
                <w:sz w:val="21"/>
                <w:szCs w:val="21"/>
                <w:highlight w:val="none"/>
              </w:rPr>
              <w:t>1</w:t>
            </w:r>
            <w:r>
              <w:rPr>
                <w:rFonts w:ascii="宋体" w:hAnsi="宋体" w:cs="宋体"/>
                <w:color w:val="auto"/>
                <w:sz w:val="21"/>
                <w:szCs w:val="21"/>
                <w:highlight w:val="none"/>
              </w:rPr>
              <w:t>5.</w:t>
            </w:r>
            <w:r>
              <w:rPr>
                <w:rFonts w:hint="eastAsia" w:ascii="宋体" w:hAnsi="宋体" w:cs="宋体"/>
                <w:color w:val="auto"/>
                <w:sz w:val="21"/>
                <w:szCs w:val="21"/>
                <w:highlight w:val="none"/>
              </w:rPr>
              <w:t>操作系统:支持WIN</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w:t>
            </w:r>
            <w:r>
              <w:rPr>
                <w:rFonts w:ascii="宋体" w:hAnsi="宋体" w:cs="宋体"/>
                <w:color w:val="auto"/>
                <w:sz w:val="21"/>
                <w:szCs w:val="21"/>
                <w:highlight w:val="none"/>
              </w:rPr>
              <w:t>6.</w:t>
            </w:r>
            <w:r>
              <w:rPr>
                <w:rFonts w:hint="eastAsia" w:ascii="宋体" w:hAnsi="宋体" w:cs="宋体"/>
                <w:color w:val="auto"/>
                <w:sz w:val="21"/>
                <w:szCs w:val="21"/>
                <w:highlight w:val="none"/>
              </w:rPr>
              <w:t>可视角度：水平 &gt; 170度  垂直：&gt; 170度；</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w:t>
            </w:r>
            <w:r>
              <w:rPr>
                <w:rFonts w:ascii="宋体" w:hAnsi="宋体" w:cs="宋体"/>
                <w:color w:val="auto"/>
                <w:sz w:val="21"/>
                <w:szCs w:val="21"/>
                <w:highlight w:val="none"/>
              </w:rPr>
              <w:t>7.</w:t>
            </w:r>
            <w:r>
              <w:rPr>
                <w:rFonts w:hint="eastAsia" w:ascii="宋体" w:hAnsi="宋体" w:cs="宋体"/>
                <w:color w:val="auto"/>
                <w:sz w:val="21"/>
                <w:szCs w:val="21"/>
                <w:highlight w:val="none"/>
              </w:rPr>
              <w:t>显示亮度： &gt; 600cd/㎡，0-100%任意可调；</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w:t>
            </w:r>
            <w:r>
              <w:rPr>
                <w:rFonts w:ascii="宋体" w:hAnsi="宋体" w:cs="宋体"/>
                <w:color w:val="auto"/>
                <w:sz w:val="21"/>
                <w:szCs w:val="21"/>
                <w:highlight w:val="none"/>
              </w:rPr>
              <w:t>8.</w:t>
            </w:r>
            <w:r>
              <w:rPr>
                <w:rFonts w:hint="eastAsia" w:ascii="宋体" w:hAnsi="宋体" w:cs="宋体"/>
                <w:color w:val="auto"/>
                <w:sz w:val="21"/>
                <w:szCs w:val="21"/>
                <w:highlight w:val="none"/>
              </w:rPr>
              <w:t>换帧频率：50/60/120hz，支持3D显示；</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w:t>
            </w:r>
            <w:r>
              <w:rPr>
                <w:rFonts w:ascii="宋体" w:hAnsi="宋体" w:cs="宋体"/>
                <w:color w:val="auto"/>
                <w:sz w:val="21"/>
                <w:szCs w:val="21"/>
                <w:highlight w:val="none"/>
              </w:rPr>
              <w:t>9.</w:t>
            </w:r>
            <w:r>
              <w:rPr>
                <w:rFonts w:hint="eastAsia" w:ascii="宋体" w:hAnsi="宋体" w:cs="宋体"/>
                <w:color w:val="auto"/>
                <w:sz w:val="21"/>
                <w:szCs w:val="21"/>
                <w:highlight w:val="none"/>
              </w:rPr>
              <w:t>白平衡亮度：&gt; 800cd/㎡，并且50-1200亮度可调节；</w:t>
            </w:r>
          </w:p>
          <w:p>
            <w:pPr>
              <w:pStyle w:val="52"/>
              <w:spacing w:line="264" w:lineRule="auto"/>
              <w:ind w:firstLine="0" w:firstLineChars="0"/>
              <w:rPr>
                <w:rFonts w:ascii="宋体" w:hAnsi="宋体" w:cs="宋体"/>
                <w:color w:val="auto"/>
                <w:sz w:val="21"/>
                <w:szCs w:val="21"/>
                <w:highlight w:val="none"/>
              </w:rPr>
            </w:pPr>
            <w:r>
              <w:rPr>
                <w:rFonts w:ascii="宋体" w:hAnsi="宋体" w:cs="宋体"/>
                <w:color w:val="auto"/>
                <w:sz w:val="21"/>
                <w:szCs w:val="21"/>
                <w:highlight w:val="none"/>
              </w:rPr>
              <w:t>20.</w:t>
            </w:r>
            <w:r>
              <w:rPr>
                <w:rFonts w:hint="eastAsia" w:ascii="宋体" w:hAnsi="宋体" w:cs="宋体"/>
                <w:color w:val="auto"/>
                <w:sz w:val="21"/>
                <w:szCs w:val="21"/>
                <w:highlight w:val="none"/>
              </w:rPr>
              <w:t>对比度：&gt; 8000；1；</w:t>
            </w:r>
          </w:p>
          <w:p>
            <w:pPr>
              <w:pStyle w:val="52"/>
              <w:spacing w:line="264" w:lineRule="auto"/>
              <w:ind w:firstLine="0" w:firstLineChars="0"/>
              <w:rPr>
                <w:rFonts w:ascii="宋体" w:hAnsi="宋体" w:cs="宋体"/>
                <w:color w:val="auto"/>
                <w:sz w:val="21"/>
                <w:szCs w:val="21"/>
                <w:highlight w:val="none"/>
              </w:rPr>
            </w:pPr>
            <w:r>
              <w:rPr>
                <w:rFonts w:ascii="宋体" w:hAnsi="宋体" w:cs="宋体"/>
                <w:color w:val="auto"/>
                <w:sz w:val="21"/>
                <w:szCs w:val="21"/>
                <w:highlight w:val="none"/>
              </w:rPr>
              <w:t>21.</w:t>
            </w:r>
            <w:r>
              <w:rPr>
                <w:rFonts w:hint="eastAsia" w:ascii="宋体" w:hAnsi="宋体" w:cs="宋体"/>
                <w:color w:val="auto"/>
                <w:sz w:val="21"/>
                <w:szCs w:val="21"/>
                <w:highlight w:val="none"/>
              </w:rPr>
              <w:t>均匀性：色度均匀性（校正后）0.002Cx，Cy；</w:t>
            </w:r>
          </w:p>
          <w:p>
            <w:pPr>
              <w:pStyle w:val="52"/>
              <w:spacing w:line="264" w:lineRule="auto"/>
              <w:ind w:firstLine="0" w:firstLineChars="0"/>
              <w:rPr>
                <w:rFonts w:ascii="宋体" w:hAnsi="宋体" w:cs="宋体"/>
                <w:color w:val="auto"/>
                <w:sz w:val="21"/>
                <w:szCs w:val="21"/>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HDR技术：支持HDR3.0高动态范围图像技术；</w:t>
            </w:r>
          </w:p>
          <w:p>
            <w:pPr>
              <w:pStyle w:val="52"/>
              <w:spacing w:line="264" w:lineRule="auto"/>
              <w:ind w:firstLine="0" w:firstLineChars="0"/>
              <w:rPr>
                <w:rFonts w:ascii="宋体" w:hAnsi="宋体" w:cs="宋体"/>
                <w:color w:val="auto"/>
                <w:sz w:val="21"/>
                <w:szCs w:val="21"/>
                <w:highlight w:val="none"/>
              </w:rPr>
            </w:pPr>
            <w:r>
              <w:rPr>
                <w:rFonts w:ascii="宋体" w:hAnsi="宋体" w:cs="宋体"/>
                <w:color w:val="auto"/>
                <w:sz w:val="21"/>
                <w:szCs w:val="21"/>
                <w:highlight w:val="none"/>
              </w:rPr>
              <w:t>23.</w:t>
            </w:r>
            <w:r>
              <w:rPr>
                <w:rFonts w:hint="eastAsia" w:ascii="宋体" w:hAnsi="宋体" w:cs="宋体"/>
                <w:color w:val="auto"/>
                <w:sz w:val="21"/>
                <w:szCs w:val="21"/>
                <w:highlight w:val="none"/>
              </w:rPr>
              <w:t>灰度等级：支持软件实现0-100%不同亮度情况下，灰度8-16bit任意设置，精细灰阶管理，精准呈现图像暗部的细节，低亮高灰；</w:t>
            </w:r>
          </w:p>
          <w:p>
            <w:pPr>
              <w:pStyle w:val="52"/>
              <w:spacing w:line="264" w:lineRule="auto"/>
              <w:ind w:firstLine="0" w:firstLineChars="0"/>
              <w:rPr>
                <w:rFonts w:ascii="宋体" w:hAnsi="宋体" w:cs="宋体"/>
                <w:color w:val="auto"/>
                <w:sz w:val="21"/>
                <w:szCs w:val="21"/>
                <w:highlight w:val="none"/>
              </w:rPr>
            </w:pPr>
            <w:r>
              <w:rPr>
                <w:rFonts w:ascii="宋体" w:hAnsi="宋体" w:cs="宋体"/>
                <w:color w:val="auto"/>
                <w:sz w:val="21"/>
                <w:szCs w:val="21"/>
                <w:highlight w:val="none"/>
              </w:rPr>
              <w:t>24.</w:t>
            </w:r>
            <w:r>
              <w:rPr>
                <w:rFonts w:hint="eastAsia" w:ascii="宋体" w:hAnsi="宋体" w:cs="宋体"/>
                <w:color w:val="auto"/>
                <w:sz w:val="21"/>
                <w:szCs w:val="21"/>
                <w:highlight w:val="none"/>
              </w:rPr>
              <w:t>校正功能：逐点校正，可对单点或整屏的亮度色度进行校正；</w:t>
            </w:r>
          </w:p>
          <w:p>
            <w:pPr>
              <w:pStyle w:val="52"/>
              <w:spacing w:line="264" w:lineRule="auto"/>
              <w:ind w:firstLine="0" w:firstLineChars="0"/>
              <w:rPr>
                <w:rFonts w:ascii="宋体" w:hAnsi="宋体" w:cs="宋体"/>
                <w:color w:val="auto"/>
                <w:sz w:val="21"/>
                <w:szCs w:val="21"/>
                <w:highlight w:val="none"/>
              </w:rPr>
            </w:pPr>
            <w:r>
              <w:rPr>
                <w:rFonts w:ascii="宋体" w:hAnsi="宋体" w:cs="宋体"/>
                <w:color w:val="auto"/>
                <w:sz w:val="21"/>
                <w:szCs w:val="21"/>
                <w:highlight w:val="none"/>
              </w:rPr>
              <w:t>25.</w:t>
            </w:r>
            <w:r>
              <w:rPr>
                <w:rFonts w:hint="eastAsia" w:ascii="宋体" w:hAnsi="宋体" w:cs="宋体"/>
                <w:color w:val="auto"/>
                <w:sz w:val="21"/>
                <w:szCs w:val="21"/>
                <w:highlight w:val="none"/>
              </w:rPr>
              <w:t>存储功能；具有智能AI单模组数据存储功能校正数据自动回读技术，同时具有智能AI连屏功能，智能AI色温调节。</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b/>
                <w:bCs/>
                <w:color w:val="auto"/>
                <w:sz w:val="21"/>
                <w:szCs w:val="21"/>
                <w:highlight w:val="none"/>
              </w:rPr>
              <w:t>二、节能电源：</w:t>
            </w:r>
            <w:r>
              <w:rPr>
                <w:rFonts w:hint="eastAsia" w:ascii="宋体" w:hAnsi="宋体" w:cs="宋体"/>
                <w:color w:val="auto"/>
                <w:sz w:val="21"/>
                <w:szCs w:val="21"/>
                <w:highlight w:val="none"/>
              </w:rPr>
              <w:t>V40A-200W 节能、过流、过压、过载、过温保护.</w:t>
            </w:r>
          </w:p>
          <w:p>
            <w:pPr>
              <w:pStyle w:val="52"/>
              <w:spacing w:line="264" w:lineRule="auto"/>
              <w:ind w:firstLine="0" w:firstLineChars="0"/>
              <w:rPr>
                <w:rFonts w:ascii="宋体" w:hAnsi="宋体" w:cs="宋体"/>
                <w:strike/>
                <w:color w:val="auto"/>
                <w:sz w:val="21"/>
                <w:szCs w:val="21"/>
                <w:highlight w:val="none"/>
              </w:rPr>
            </w:pP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过载保护：额定负载的范围内电源保护，去载恢复正常输出</w:t>
            </w:r>
            <w:r>
              <w:rPr>
                <w:rFonts w:ascii="宋体" w:hAnsi="宋体" w:cs="宋体"/>
                <w:color w:val="auto"/>
                <w:sz w:val="21"/>
                <w:szCs w:val="21"/>
                <w:highlight w:val="none"/>
              </w:rPr>
              <w:t>;</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2.短路保护：输出端短路时电源保护,去掉短路恢复正常输出</w:t>
            </w:r>
            <w:r>
              <w:rPr>
                <w:rFonts w:ascii="宋体" w:hAnsi="宋体" w:cs="宋体"/>
                <w:color w:val="auto"/>
                <w:sz w:val="21"/>
                <w:szCs w:val="21"/>
                <w:highlight w:val="none"/>
              </w:rPr>
              <w:t>;</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3.安全标准：符合 GB4943-2001，UL1012 </w:t>
            </w:r>
            <w:r>
              <w:rPr>
                <w:rFonts w:ascii="宋体" w:hAnsi="宋体" w:cs="宋体"/>
                <w:color w:val="auto"/>
                <w:sz w:val="21"/>
                <w:szCs w:val="21"/>
                <w:highlight w:val="none"/>
              </w:rPr>
              <w:t>;</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4.抗电强度：I/P-O/P、I/P-FG：1.5KVAC O/P-FG：0.5KVAC,绝缘电阻 100MΩ/500VDC（电磁干扰）传导和辐射：符合 EN55022，Class B</w:t>
            </w:r>
            <w:r>
              <w:rPr>
                <w:rFonts w:ascii="宋体" w:hAnsi="宋体" w:cs="宋体"/>
                <w:color w:val="auto"/>
                <w:sz w:val="21"/>
                <w:szCs w:val="21"/>
                <w:highlight w:val="none"/>
              </w:rPr>
              <w:t>;</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5、平均无故障工作时间（MTBF）：≥100，000 小时</w:t>
            </w:r>
            <w:r>
              <w:rPr>
                <w:rFonts w:ascii="宋体" w:hAnsi="宋体" w:cs="宋体"/>
                <w:color w:val="auto"/>
                <w:sz w:val="21"/>
                <w:szCs w:val="21"/>
                <w:highlight w:val="none"/>
              </w:rPr>
              <w:t>;</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b/>
                <w:bCs/>
                <w:color w:val="auto"/>
                <w:sz w:val="21"/>
                <w:szCs w:val="21"/>
                <w:highlight w:val="none"/>
              </w:rPr>
              <w:t>三、智能传输系统设备(接收卡）</w:t>
            </w:r>
            <w:r>
              <w:rPr>
                <w:rFonts w:hint="eastAsia" w:ascii="宋体" w:hAnsi="宋体" w:cs="宋体"/>
                <w:color w:val="auto"/>
                <w:sz w:val="21"/>
                <w:szCs w:val="21"/>
                <w:highlight w:val="none"/>
              </w:rPr>
              <w:t>：</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控制系统参数</w:t>
            </w:r>
          </w:p>
          <w:p>
            <w:pPr>
              <w:pStyle w:val="52"/>
              <w:spacing w:line="264" w:lineRule="auto"/>
              <w:ind w:firstLine="0" w:firstLineChars="0"/>
              <w:rPr>
                <w:rFonts w:ascii="宋体" w:hAnsi="宋体" w:cs="宋体"/>
                <w:color w:val="auto"/>
                <w:sz w:val="21"/>
                <w:szCs w:val="21"/>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常规：128×1024像素点，PWM：192×1024像素点，视芯：162×1024像素</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单卡控制面积</w:t>
            </w:r>
          </w:p>
          <w:p>
            <w:pPr>
              <w:pStyle w:val="52"/>
              <w:spacing w:line="264" w:lineRule="auto"/>
              <w:ind w:firstLine="0" w:firstLineChars="0"/>
              <w:rPr>
                <w:rFonts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网口任意交换支持，不分输入输出，任意使用</w:t>
            </w:r>
          </w:p>
          <w:p>
            <w:pPr>
              <w:pStyle w:val="52"/>
              <w:spacing w:line="264" w:lineRule="auto"/>
              <w:ind w:firstLine="0" w:firstLineChars="0"/>
              <w:rPr>
                <w:rFonts w:ascii="宋体" w:hAnsi="宋体" w:cs="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灰度等级最高65536级灰度</w:t>
            </w:r>
          </w:p>
          <w:p>
            <w:pPr>
              <w:pStyle w:val="52"/>
              <w:spacing w:line="264" w:lineRule="auto"/>
              <w:ind w:firstLine="0" w:firstLineChars="0"/>
              <w:rPr>
                <w:rFonts w:ascii="宋体" w:hAnsi="宋体" w:cs="宋体"/>
                <w:color w:val="auto"/>
                <w:sz w:val="21"/>
                <w:szCs w:val="21"/>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显示屏模组兼容性</w:t>
            </w:r>
          </w:p>
          <w:p>
            <w:pPr>
              <w:pStyle w:val="52"/>
              <w:spacing w:line="264" w:lineRule="auto"/>
              <w:ind w:firstLine="0" w:firstLineChars="0"/>
              <w:rPr>
                <w:rFonts w:ascii="宋体" w:hAnsi="宋体" w:cs="宋体"/>
                <w:color w:val="auto"/>
                <w:sz w:val="21"/>
                <w:szCs w:val="21"/>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芯片支持常规芯片、PWM芯片、视芯芯片</w:t>
            </w:r>
          </w:p>
          <w:p>
            <w:pPr>
              <w:pStyle w:val="52"/>
              <w:spacing w:line="264" w:lineRule="auto"/>
              <w:ind w:firstLine="0" w:firstLineChars="0"/>
              <w:rPr>
                <w:rFonts w:ascii="宋体" w:hAnsi="宋体" w:cs="宋体"/>
                <w:color w:val="auto"/>
                <w:sz w:val="21"/>
                <w:szCs w:val="21"/>
                <w:highlight w:val="none"/>
              </w:rPr>
            </w:pPr>
            <w:r>
              <w:rPr>
                <w:rFonts w:ascii="宋体" w:hAnsi="宋体" w:cs="宋体"/>
                <w:color w:val="auto"/>
                <w:sz w:val="21"/>
                <w:szCs w:val="21"/>
                <w:highlight w:val="none"/>
              </w:rPr>
              <w:t>6.</w:t>
            </w:r>
            <w:r>
              <w:rPr>
                <w:rFonts w:hint="eastAsia" w:ascii="宋体" w:hAnsi="宋体" w:cs="宋体"/>
                <w:color w:val="auto"/>
                <w:sz w:val="21"/>
                <w:szCs w:val="21"/>
                <w:highlight w:val="none"/>
              </w:rPr>
              <w:t>扫描类型静态到128扫描之间的任意扫描类型</w:t>
            </w:r>
          </w:p>
          <w:p>
            <w:pPr>
              <w:pStyle w:val="52"/>
              <w:spacing w:line="264" w:lineRule="auto"/>
              <w:ind w:firstLine="0" w:firstLineChars="0"/>
              <w:rPr>
                <w:rFonts w:ascii="宋体" w:hAnsi="宋体" w:cs="宋体"/>
                <w:color w:val="auto"/>
                <w:sz w:val="21"/>
                <w:szCs w:val="21"/>
                <w:highlight w:val="none"/>
              </w:rPr>
            </w:pPr>
            <w:r>
              <w:rPr>
                <w:rFonts w:ascii="宋体" w:hAnsi="宋体" w:cs="宋体"/>
                <w:color w:val="auto"/>
                <w:sz w:val="21"/>
                <w:szCs w:val="21"/>
                <w:highlight w:val="none"/>
              </w:rPr>
              <w:t>7.</w:t>
            </w:r>
            <w:r>
              <w:rPr>
                <w:rFonts w:hint="eastAsia" w:ascii="宋体" w:hAnsi="宋体" w:cs="宋体"/>
                <w:color w:val="auto"/>
                <w:sz w:val="21"/>
                <w:szCs w:val="21"/>
                <w:highlight w:val="none"/>
              </w:rPr>
              <w:t>模组规格单组数据可支持13312像素点以内任意走线</w:t>
            </w:r>
          </w:p>
          <w:p>
            <w:pPr>
              <w:pStyle w:val="52"/>
              <w:spacing w:line="264" w:lineRule="auto"/>
              <w:ind w:firstLine="0" w:firstLineChars="0"/>
              <w:rPr>
                <w:rFonts w:ascii="宋体" w:hAnsi="宋体" w:cs="宋体"/>
                <w:color w:val="auto"/>
                <w:sz w:val="21"/>
                <w:szCs w:val="21"/>
                <w:highlight w:val="none"/>
              </w:rPr>
            </w:pPr>
            <w:r>
              <w:rPr>
                <w:rFonts w:ascii="宋体" w:hAnsi="宋体" w:cs="宋体"/>
                <w:color w:val="auto"/>
                <w:sz w:val="21"/>
                <w:szCs w:val="21"/>
                <w:highlight w:val="none"/>
              </w:rPr>
              <w:t>8.</w:t>
            </w:r>
            <w:r>
              <w:rPr>
                <w:rFonts w:hint="eastAsia" w:ascii="宋体" w:hAnsi="宋体" w:cs="宋体"/>
                <w:color w:val="auto"/>
                <w:sz w:val="21"/>
                <w:szCs w:val="21"/>
                <w:highlight w:val="none"/>
              </w:rPr>
              <w:t>排线方向支持从左到右、从右到左、从上到下、从下到上级联</w:t>
            </w:r>
          </w:p>
          <w:p>
            <w:pPr>
              <w:spacing w:line="264" w:lineRule="auto"/>
              <w:rPr>
                <w:rFonts w:ascii="宋体" w:hAns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24组并行RGB全彩数据或32组串行RGB数据，可扩展128组串行RGB数据</w:t>
            </w:r>
          </w:p>
          <w:p>
            <w:pPr>
              <w:pStyle w:val="52"/>
              <w:spacing w:line="240" w:lineRule="auto"/>
              <w:ind w:firstLine="0" w:firstLineChars="0"/>
              <w:rPr>
                <w:rFonts w:ascii="宋体" w:hAnsi="宋体" w:cs="宋体"/>
                <w:color w:val="auto"/>
                <w:sz w:val="21"/>
                <w:szCs w:val="21"/>
                <w:highlight w:val="none"/>
              </w:rPr>
            </w:pPr>
            <w:r>
              <w:rPr>
                <w:rFonts w:ascii="宋体" w:hAnsi="宋体" w:cs="宋体"/>
                <w:color w:val="auto"/>
                <w:sz w:val="21"/>
                <w:szCs w:val="21"/>
                <w:highlight w:val="none"/>
              </w:rPr>
              <w:t>10.</w:t>
            </w:r>
            <w:r>
              <w:rPr>
                <w:rFonts w:hint="eastAsia" w:ascii="宋体" w:hAnsi="宋体" w:cs="宋体"/>
                <w:color w:val="auto"/>
                <w:sz w:val="21"/>
                <w:szCs w:val="21"/>
                <w:highlight w:val="none"/>
              </w:rPr>
              <w:t>数据打折支持水平2~8折，垂直2~4折</w:t>
            </w:r>
          </w:p>
          <w:p>
            <w:pPr>
              <w:pStyle w:val="52"/>
              <w:spacing w:line="240" w:lineRule="auto"/>
              <w:ind w:firstLine="0" w:firstLineChars="0"/>
              <w:rPr>
                <w:rFonts w:ascii="宋体" w:hAnsi="宋体" w:cs="宋体"/>
                <w:color w:val="auto"/>
                <w:sz w:val="21"/>
                <w:szCs w:val="21"/>
                <w:highlight w:val="none"/>
              </w:rPr>
            </w:pPr>
            <w:r>
              <w:rPr>
                <w:rFonts w:ascii="宋体" w:hAnsi="宋体" w:cs="宋体"/>
                <w:color w:val="auto"/>
                <w:sz w:val="21"/>
                <w:szCs w:val="21"/>
                <w:highlight w:val="none"/>
              </w:rPr>
              <w:t>11.</w:t>
            </w:r>
            <w:r>
              <w:rPr>
                <w:rFonts w:hint="eastAsia" w:ascii="宋体" w:hAnsi="宋体" w:cs="宋体"/>
                <w:color w:val="auto"/>
                <w:sz w:val="21"/>
                <w:szCs w:val="21"/>
                <w:highlight w:val="none"/>
              </w:rPr>
              <w:t>模组抽点、抽行抽列支持任意抽点、任意抽行抽列</w:t>
            </w:r>
          </w:p>
          <w:p>
            <w:pPr>
              <w:widowControl/>
              <w:jc w:val="left"/>
              <w:rPr>
                <w:rFonts w:ascii="宋体" w:hAnsi="宋体" w:cs="宋体"/>
                <w:color w:val="auto"/>
                <w:szCs w:val="21"/>
                <w:highlight w:val="none"/>
              </w:rPr>
            </w:pPr>
            <w:r>
              <w:rPr>
                <w:rFonts w:hint="eastAsia" w:ascii="宋体" w:hAnsi="宋体" w:cs="宋体"/>
                <w:color w:val="auto"/>
                <w:szCs w:val="21"/>
                <w:highlight w:val="none"/>
              </w:rPr>
              <w:t>12.全面监控网线监测数据包总数、错误包数，协助检查网络质量，排除隐患,逐点校正</w:t>
            </w:r>
          </w:p>
          <w:p>
            <w:pPr>
              <w:widowControl/>
              <w:jc w:val="left"/>
              <w:rPr>
                <w:rFonts w:ascii="宋体" w:hAnsi="宋体" w:cs="宋体"/>
                <w:color w:val="auto"/>
                <w:szCs w:val="21"/>
                <w:highlight w:val="none"/>
              </w:rPr>
            </w:pPr>
            <w:r>
              <w:rPr>
                <w:rFonts w:hint="eastAsia" w:ascii="宋体" w:hAnsi="宋体" w:cs="宋体"/>
                <w:color w:val="auto"/>
                <w:szCs w:val="21"/>
                <w:highlight w:val="none"/>
              </w:rPr>
              <w:t>13.亮度校正支持,色度校正支持</w:t>
            </w:r>
          </w:p>
          <w:p>
            <w:pPr>
              <w:widowControl/>
              <w:jc w:val="left"/>
              <w:rPr>
                <w:rFonts w:ascii="宋体" w:hAnsi="宋体" w:cs="宋体"/>
                <w:color w:val="auto"/>
                <w:szCs w:val="21"/>
                <w:highlight w:val="none"/>
              </w:rPr>
            </w:pPr>
            <w:r>
              <w:rPr>
                <w:rFonts w:hint="eastAsia" w:ascii="宋体" w:hAnsi="宋体" w:cs="宋体"/>
                <w:color w:val="auto"/>
                <w:szCs w:val="21"/>
                <w:highlight w:val="none"/>
              </w:rPr>
              <w:t>14.其他功能</w:t>
            </w:r>
          </w:p>
          <w:p>
            <w:pPr>
              <w:widowControl/>
              <w:jc w:val="left"/>
              <w:rPr>
                <w:rFonts w:ascii="宋体" w:hAnsi="宋体" w:cs="宋体"/>
                <w:color w:val="auto"/>
                <w:szCs w:val="21"/>
                <w:highlight w:val="none"/>
              </w:rPr>
            </w:pPr>
            <w:r>
              <w:rPr>
                <w:rFonts w:hint="eastAsia" w:ascii="宋体" w:hAnsi="宋体" w:cs="宋体"/>
                <w:color w:val="auto"/>
                <w:szCs w:val="21"/>
                <w:highlight w:val="none"/>
              </w:rPr>
              <w:t>冗余备份支持环路备份、固件程序备份</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选配功能异形构造</w:t>
            </w:r>
          </w:p>
          <w:p>
            <w:pPr>
              <w:pStyle w:val="52"/>
              <w:spacing w:line="264" w:lineRule="auto"/>
              <w:ind w:firstLine="0" w:firstLineChars="0"/>
              <w:rPr>
                <w:rFonts w:ascii="宋体" w:hAnsi="宋体" w:cs="宋体"/>
                <w:b/>
                <w:bCs/>
                <w:color w:val="auto"/>
                <w:sz w:val="21"/>
                <w:szCs w:val="21"/>
                <w:highlight w:val="none"/>
              </w:rPr>
            </w:pPr>
            <w:r>
              <w:rPr>
                <w:rFonts w:hint="eastAsia" w:ascii="宋体" w:hAnsi="宋体" w:cs="宋体"/>
                <w:b/>
                <w:bCs/>
                <w:color w:val="auto"/>
                <w:sz w:val="21"/>
                <w:szCs w:val="21"/>
                <w:highlight w:val="none"/>
              </w:rPr>
              <w:t>四、视频处理器：</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1.输入</w:t>
            </w:r>
          </w:p>
          <w:p>
            <w:pPr>
              <w:pStyle w:val="52"/>
              <w:spacing w:line="264" w:lineRule="auto"/>
              <w:ind w:firstLine="0" w:firstLineChars="0"/>
              <w:rPr>
                <w:rFonts w:ascii="宋体" w:hAnsi="宋体" w:cs="宋体"/>
                <w:color w:val="auto"/>
                <w:sz w:val="21"/>
                <w:szCs w:val="21"/>
                <w:highlight w:val="none"/>
              </w:rPr>
            </w:pPr>
            <w:r>
              <w:rPr>
                <w:rFonts w:ascii="宋体" w:hAnsi="宋体" w:cs="宋体"/>
                <w:color w:val="auto"/>
                <w:sz w:val="21"/>
                <w:szCs w:val="21"/>
                <w:highlight w:val="none"/>
              </w:rPr>
              <w:t></w:t>
            </w:r>
            <w:r>
              <w:rPr>
                <w:rFonts w:hint="eastAsia" w:ascii="宋体" w:hAnsi="宋体" w:cs="宋体"/>
                <w:color w:val="auto"/>
                <w:sz w:val="21"/>
                <w:szCs w:val="21"/>
                <w:highlight w:val="none"/>
              </w:rPr>
              <w:t>最大</w:t>
            </w:r>
            <w:r>
              <w:rPr>
                <w:rFonts w:ascii="宋体" w:hAnsi="宋体" w:cs="宋体"/>
                <w:color w:val="auto"/>
                <w:sz w:val="21"/>
                <w:szCs w:val="21"/>
                <w:highlight w:val="none"/>
              </w:rPr>
              <w:t>4096×2160@60Hz</w:t>
            </w:r>
            <w:r>
              <w:rPr>
                <w:rFonts w:hint="eastAsia" w:ascii="宋体" w:hAnsi="宋体" w:cs="宋体"/>
                <w:color w:val="auto"/>
                <w:sz w:val="21"/>
                <w:szCs w:val="21"/>
                <w:highlight w:val="none"/>
              </w:rPr>
              <w:t>输入分辨率</w:t>
            </w:r>
          </w:p>
          <w:p>
            <w:pPr>
              <w:pStyle w:val="52"/>
              <w:spacing w:line="264" w:lineRule="auto"/>
              <w:ind w:firstLine="0" w:firstLineChars="0"/>
              <w:rPr>
                <w:rFonts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路</w:t>
            </w:r>
            <w:r>
              <w:rPr>
                <w:rFonts w:ascii="宋体" w:hAnsi="宋体" w:cs="宋体"/>
                <w:color w:val="auto"/>
                <w:sz w:val="21"/>
                <w:szCs w:val="21"/>
                <w:highlight w:val="none"/>
              </w:rPr>
              <w:t>4K</w:t>
            </w:r>
            <w:r>
              <w:rPr>
                <w:rFonts w:hint="eastAsia" w:ascii="宋体" w:hAnsi="宋体" w:cs="宋体"/>
                <w:color w:val="auto"/>
                <w:sz w:val="21"/>
                <w:szCs w:val="21"/>
                <w:highlight w:val="none"/>
              </w:rPr>
              <w:t>输入：</w:t>
            </w:r>
            <w:r>
              <w:rPr>
                <w:rFonts w:ascii="宋体" w:hAnsi="宋体" w:cs="宋体"/>
                <w:color w:val="auto"/>
                <w:sz w:val="21"/>
                <w:szCs w:val="21"/>
                <w:highlight w:val="none"/>
              </w:rPr>
              <w:t>1×DP1.2</w:t>
            </w:r>
            <w:r>
              <w:rPr>
                <w:rFonts w:hint="eastAsia" w:ascii="宋体" w:hAnsi="宋体" w:cs="宋体"/>
                <w:color w:val="auto"/>
                <w:sz w:val="21"/>
                <w:szCs w:val="21"/>
                <w:highlight w:val="none"/>
              </w:rPr>
              <w:t>，</w:t>
            </w:r>
            <w:r>
              <w:rPr>
                <w:rFonts w:ascii="宋体" w:hAnsi="宋体" w:cs="宋体"/>
                <w:color w:val="auto"/>
                <w:sz w:val="21"/>
                <w:szCs w:val="21"/>
                <w:highlight w:val="none"/>
              </w:rPr>
              <w:t>1×HDMI2.0</w:t>
            </w:r>
          </w:p>
          <w:p>
            <w:pPr>
              <w:pStyle w:val="52"/>
              <w:spacing w:line="264" w:lineRule="auto"/>
              <w:ind w:firstLine="0" w:firstLineChars="0"/>
              <w:rPr>
                <w:rFonts w:ascii="宋体" w:hAnsi="宋体" w:cs="宋体"/>
                <w:color w:val="auto"/>
                <w:sz w:val="21"/>
                <w:szCs w:val="21"/>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路</w:t>
            </w:r>
            <w:r>
              <w:rPr>
                <w:rFonts w:ascii="宋体" w:hAnsi="宋体" w:cs="宋体"/>
                <w:color w:val="auto"/>
                <w:sz w:val="21"/>
                <w:szCs w:val="21"/>
                <w:highlight w:val="none"/>
              </w:rPr>
              <w:t>2K</w:t>
            </w:r>
            <w:r>
              <w:rPr>
                <w:rFonts w:hint="eastAsia" w:ascii="宋体" w:hAnsi="宋体" w:cs="宋体"/>
                <w:color w:val="auto"/>
                <w:sz w:val="21"/>
                <w:szCs w:val="21"/>
                <w:highlight w:val="none"/>
              </w:rPr>
              <w:t>输入：</w:t>
            </w:r>
            <w:r>
              <w:rPr>
                <w:rFonts w:ascii="宋体" w:hAnsi="宋体" w:cs="宋体"/>
                <w:color w:val="auto"/>
                <w:sz w:val="21"/>
                <w:szCs w:val="21"/>
                <w:highlight w:val="none"/>
              </w:rPr>
              <w:t>2×HDMI1.4</w:t>
            </w:r>
            <w:r>
              <w:rPr>
                <w:rFonts w:hint="eastAsia" w:ascii="宋体" w:hAnsi="宋体" w:cs="宋体"/>
                <w:color w:val="auto"/>
                <w:sz w:val="21"/>
                <w:szCs w:val="21"/>
                <w:highlight w:val="none"/>
              </w:rPr>
              <w:t>，</w:t>
            </w:r>
            <w:r>
              <w:rPr>
                <w:rFonts w:ascii="宋体" w:hAnsi="宋体" w:cs="宋体"/>
                <w:color w:val="auto"/>
                <w:sz w:val="21"/>
                <w:szCs w:val="21"/>
                <w:highlight w:val="none"/>
              </w:rPr>
              <w:t>2×DVI</w:t>
            </w:r>
          </w:p>
          <w:p>
            <w:pPr>
              <w:pStyle w:val="52"/>
              <w:spacing w:line="264" w:lineRule="auto"/>
              <w:ind w:firstLine="0" w:firstLineChars="0"/>
              <w:rPr>
                <w:rFonts w:ascii="宋体" w:hAnsi="宋体" w:cs="宋体"/>
                <w:color w:val="auto"/>
                <w:sz w:val="21"/>
                <w:szCs w:val="21"/>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路</w:t>
            </w:r>
            <w:r>
              <w:rPr>
                <w:rFonts w:ascii="宋体" w:hAnsi="宋体" w:cs="宋体"/>
                <w:color w:val="auto"/>
                <w:sz w:val="21"/>
                <w:szCs w:val="21"/>
                <w:highlight w:val="none"/>
              </w:rPr>
              <w:t>U</w:t>
            </w:r>
            <w:r>
              <w:rPr>
                <w:rFonts w:hint="eastAsia" w:ascii="宋体" w:hAnsi="宋体" w:cs="宋体"/>
                <w:color w:val="auto"/>
                <w:sz w:val="21"/>
                <w:szCs w:val="21"/>
                <w:highlight w:val="none"/>
              </w:rPr>
              <w:t>盘接口</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2.输出</w:t>
            </w:r>
          </w:p>
          <w:p>
            <w:pPr>
              <w:pStyle w:val="52"/>
              <w:spacing w:line="264" w:lineRule="auto"/>
              <w:ind w:firstLine="0" w:firstLineChars="0"/>
              <w:rPr>
                <w:rFonts w:ascii="宋体" w:hAnsi="宋体" w:cs="宋体"/>
                <w:color w:val="auto"/>
                <w:sz w:val="21"/>
                <w:szCs w:val="21"/>
                <w:highlight w:val="none"/>
              </w:rPr>
            </w:pPr>
            <w:r>
              <w:rPr>
                <w:rFonts w:ascii="宋体" w:hAnsi="宋体" w:cs="宋体"/>
                <w:color w:val="auto"/>
                <w:sz w:val="21"/>
                <w:szCs w:val="21"/>
                <w:highlight w:val="none"/>
              </w:rPr>
              <w:t></w:t>
            </w:r>
            <w:r>
              <w:rPr>
                <w:rFonts w:hint="eastAsia" w:ascii="宋体" w:hAnsi="宋体" w:cs="宋体"/>
                <w:color w:val="auto"/>
                <w:sz w:val="21"/>
                <w:szCs w:val="21"/>
                <w:highlight w:val="none"/>
              </w:rPr>
              <w:t>最大带载</w:t>
            </w:r>
            <w:r>
              <w:rPr>
                <w:rFonts w:ascii="宋体" w:hAnsi="宋体" w:cs="宋体"/>
                <w:color w:val="auto"/>
                <w:sz w:val="21"/>
                <w:szCs w:val="21"/>
                <w:highlight w:val="none"/>
              </w:rPr>
              <w:t>2621</w:t>
            </w:r>
            <w:r>
              <w:rPr>
                <w:rFonts w:hint="eastAsia" w:ascii="宋体" w:hAnsi="宋体" w:cs="宋体"/>
                <w:color w:val="auto"/>
                <w:sz w:val="21"/>
                <w:szCs w:val="21"/>
                <w:highlight w:val="none"/>
              </w:rPr>
              <w:t>万像素</w:t>
            </w:r>
          </w:p>
          <w:p>
            <w:pPr>
              <w:pStyle w:val="52"/>
              <w:spacing w:line="264" w:lineRule="auto"/>
              <w:ind w:firstLine="0" w:firstLineChars="0"/>
              <w:rPr>
                <w:rFonts w:ascii="宋体" w:hAnsi="宋体" w:cs="宋体"/>
                <w:color w:val="auto"/>
                <w:sz w:val="21"/>
                <w:szCs w:val="21"/>
                <w:highlight w:val="none"/>
              </w:rPr>
            </w:pPr>
            <w:r>
              <w:rPr>
                <w:rFonts w:ascii="宋体" w:hAnsi="宋体" w:cs="宋体"/>
                <w:color w:val="auto"/>
                <w:sz w:val="21"/>
                <w:szCs w:val="21"/>
                <w:highlight w:val="none"/>
              </w:rPr>
              <w:t>40</w:t>
            </w:r>
            <w:r>
              <w:rPr>
                <w:rFonts w:hint="eastAsia" w:ascii="宋体" w:hAnsi="宋体" w:cs="宋体"/>
                <w:color w:val="auto"/>
                <w:sz w:val="21"/>
                <w:szCs w:val="21"/>
                <w:highlight w:val="none"/>
              </w:rPr>
              <w:t>路千兆网口输出或</w:t>
            </w:r>
            <w:r>
              <w:rPr>
                <w:rFonts w:ascii="宋体" w:hAnsi="宋体" w:cs="宋体"/>
                <w:color w:val="auto"/>
                <w:sz w:val="21"/>
                <w:szCs w:val="21"/>
                <w:highlight w:val="none"/>
              </w:rPr>
              <w:t>4</w:t>
            </w:r>
            <w:r>
              <w:rPr>
                <w:rFonts w:hint="eastAsia" w:ascii="宋体" w:hAnsi="宋体" w:cs="宋体"/>
                <w:color w:val="auto"/>
                <w:sz w:val="21"/>
                <w:szCs w:val="21"/>
                <w:highlight w:val="none"/>
              </w:rPr>
              <w:t>路万兆光口输出，任选一种</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3.音频</w:t>
            </w:r>
          </w:p>
          <w:p>
            <w:pPr>
              <w:pStyle w:val="52"/>
              <w:spacing w:line="264" w:lineRule="auto"/>
              <w:ind w:firstLine="0" w:firstLineChars="0"/>
              <w:rPr>
                <w:rFonts w:ascii="宋体" w:hAnsi="宋体" w:cs="宋体"/>
                <w:color w:val="auto"/>
                <w:sz w:val="21"/>
                <w:szCs w:val="21"/>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路独立音频输入</w:t>
            </w:r>
          </w:p>
          <w:p>
            <w:pPr>
              <w:pStyle w:val="52"/>
              <w:spacing w:line="264" w:lineRule="auto"/>
              <w:ind w:firstLine="0" w:firstLineChars="0"/>
              <w:rPr>
                <w:rFonts w:ascii="宋体" w:hAnsi="宋体" w:cs="宋体"/>
                <w:color w:val="auto"/>
                <w:sz w:val="21"/>
                <w:szCs w:val="21"/>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路独立音频输出</w:t>
            </w:r>
          </w:p>
          <w:p>
            <w:pPr>
              <w:pStyle w:val="52"/>
              <w:spacing w:line="264" w:lineRule="auto"/>
              <w:ind w:firstLine="0" w:firstLineChars="0"/>
              <w:rPr>
                <w:rFonts w:ascii="宋体" w:hAnsi="宋体" w:cs="宋体"/>
                <w:color w:val="auto"/>
                <w:sz w:val="21"/>
                <w:szCs w:val="21"/>
                <w:highlight w:val="none"/>
              </w:rPr>
            </w:pPr>
            <w:r>
              <w:rPr>
                <w:rFonts w:ascii="宋体" w:hAnsi="宋体" w:cs="宋体"/>
                <w:color w:val="auto"/>
                <w:sz w:val="21"/>
                <w:szCs w:val="21"/>
                <w:highlight w:val="none"/>
              </w:rPr>
              <w:t></w:t>
            </w:r>
            <w:r>
              <w:rPr>
                <w:rFonts w:hint="eastAsia" w:ascii="宋体" w:hAnsi="宋体" w:cs="宋体"/>
                <w:color w:val="auto"/>
                <w:sz w:val="21"/>
                <w:szCs w:val="21"/>
                <w:highlight w:val="none"/>
              </w:rPr>
              <w:t>支持</w:t>
            </w:r>
            <w:r>
              <w:rPr>
                <w:rFonts w:ascii="宋体" w:hAnsi="宋体" w:cs="宋体"/>
                <w:color w:val="auto"/>
                <w:sz w:val="21"/>
                <w:szCs w:val="21"/>
                <w:highlight w:val="none"/>
              </w:rPr>
              <w:t>HDMI</w:t>
            </w:r>
            <w:r>
              <w:rPr>
                <w:rFonts w:hint="eastAsia" w:ascii="宋体" w:hAnsi="宋体" w:cs="宋体"/>
                <w:color w:val="auto"/>
                <w:sz w:val="21"/>
                <w:szCs w:val="21"/>
                <w:highlight w:val="none"/>
              </w:rPr>
              <w:t>和</w:t>
            </w:r>
            <w:r>
              <w:rPr>
                <w:rFonts w:ascii="宋体" w:hAnsi="宋体" w:cs="宋体"/>
                <w:color w:val="auto"/>
                <w:sz w:val="21"/>
                <w:szCs w:val="21"/>
                <w:highlight w:val="none"/>
              </w:rPr>
              <w:t>DP</w:t>
            </w:r>
            <w:r>
              <w:rPr>
                <w:rFonts w:hint="eastAsia" w:ascii="宋体" w:hAnsi="宋体" w:cs="宋体"/>
                <w:color w:val="auto"/>
                <w:sz w:val="21"/>
                <w:szCs w:val="21"/>
                <w:highlight w:val="none"/>
              </w:rPr>
              <w:t>音频解析输出</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4.功能说明</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4.1最多</w:t>
            </w:r>
            <w:r>
              <w:rPr>
                <w:rFonts w:ascii="宋体" w:hAnsi="宋体" w:cs="宋体"/>
                <w:color w:val="auto"/>
                <w:sz w:val="21"/>
                <w:szCs w:val="21"/>
                <w:highlight w:val="none"/>
              </w:rPr>
              <w:t>6</w:t>
            </w:r>
            <w:r>
              <w:rPr>
                <w:rFonts w:hint="eastAsia" w:ascii="宋体" w:hAnsi="宋体" w:cs="宋体"/>
                <w:color w:val="auto"/>
                <w:sz w:val="21"/>
                <w:szCs w:val="21"/>
                <w:highlight w:val="none"/>
              </w:rPr>
              <w:t>窗口显示，每个窗口</w:t>
            </w:r>
            <w:r>
              <w:rPr>
                <w:rFonts w:ascii="宋体" w:hAnsi="宋体" w:cs="宋体"/>
                <w:color w:val="auto"/>
                <w:sz w:val="21"/>
                <w:szCs w:val="21"/>
                <w:highlight w:val="none"/>
              </w:rPr>
              <w:t>1</w:t>
            </w:r>
            <w:r>
              <w:rPr>
                <w:rFonts w:hint="eastAsia" w:ascii="宋体" w:hAnsi="宋体" w:cs="宋体"/>
                <w:color w:val="auto"/>
                <w:sz w:val="21"/>
                <w:szCs w:val="21"/>
                <w:highlight w:val="none"/>
              </w:rPr>
              <w:t>个图层，图层之间相互覆盖（</w:t>
            </w:r>
            <w:r>
              <w:rPr>
                <w:rFonts w:ascii="宋体" w:hAnsi="宋体" w:cs="宋体"/>
                <w:color w:val="auto"/>
                <w:sz w:val="21"/>
                <w:szCs w:val="21"/>
                <w:highlight w:val="none"/>
              </w:rPr>
              <w:t>1</w:t>
            </w:r>
            <w:r>
              <w:rPr>
                <w:rFonts w:hint="eastAsia" w:ascii="宋体" w:hAnsi="宋体" w:cs="宋体"/>
                <w:color w:val="auto"/>
                <w:sz w:val="21"/>
                <w:szCs w:val="21"/>
                <w:highlight w:val="none"/>
              </w:rPr>
              <w:t>个</w:t>
            </w:r>
            <w:r>
              <w:rPr>
                <w:rFonts w:ascii="宋体" w:hAnsi="宋体" w:cs="宋体"/>
                <w:color w:val="auto"/>
                <w:sz w:val="21"/>
                <w:szCs w:val="21"/>
                <w:highlight w:val="none"/>
              </w:rPr>
              <w:t>4K</w:t>
            </w:r>
            <w:r>
              <w:rPr>
                <w:rFonts w:hint="eastAsia" w:ascii="宋体" w:hAnsi="宋体" w:cs="宋体"/>
                <w:color w:val="auto"/>
                <w:sz w:val="21"/>
                <w:szCs w:val="21"/>
                <w:highlight w:val="none"/>
              </w:rPr>
              <w:t>输入信号时，同时可支持4路高清输入，支持5个窗口；2个4K输入信号时，只支持2个窗口）</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4.2窗口任意漫游、自由缩放窗口，最小</w:t>
            </w:r>
            <w:r>
              <w:rPr>
                <w:rFonts w:ascii="宋体" w:hAnsi="宋体" w:cs="宋体"/>
                <w:color w:val="auto"/>
                <w:sz w:val="21"/>
                <w:szCs w:val="21"/>
                <w:highlight w:val="none"/>
              </w:rPr>
              <w:t>64×64</w:t>
            </w:r>
            <w:r>
              <w:rPr>
                <w:rFonts w:hint="eastAsia" w:ascii="宋体" w:hAnsi="宋体" w:cs="宋体"/>
                <w:color w:val="auto"/>
                <w:sz w:val="21"/>
                <w:szCs w:val="21"/>
                <w:highlight w:val="none"/>
              </w:rPr>
              <w:t>分辨率</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4.3视频信号任意裁剪、无缝切换，裁剪框大小可自由调节，最小</w:t>
            </w:r>
            <w:r>
              <w:rPr>
                <w:rFonts w:ascii="宋体" w:hAnsi="宋体" w:cs="宋体"/>
                <w:color w:val="auto"/>
                <w:sz w:val="21"/>
                <w:szCs w:val="21"/>
                <w:highlight w:val="none"/>
              </w:rPr>
              <w:t>64×64</w:t>
            </w:r>
            <w:r>
              <w:rPr>
                <w:rFonts w:hint="eastAsia" w:ascii="宋体" w:hAnsi="宋体" w:cs="宋体"/>
                <w:color w:val="auto"/>
                <w:sz w:val="21"/>
                <w:szCs w:val="21"/>
                <w:highlight w:val="none"/>
              </w:rPr>
              <w:t>分辨率，精确颜色管理，可调节显示屏色域，需对应型号接收卡支持</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4.4视频同步锁相技术，支持锁定内部</w:t>
            </w:r>
            <w:r>
              <w:rPr>
                <w:rFonts w:ascii="宋体" w:hAnsi="宋体" w:cs="宋体"/>
                <w:color w:val="auto"/>
                <w:sz w:val="21"/>
                <w:szCs w:val="21"/>
                <w:highlight w:val="none"/>
              </w:rPr>
              <w:t>vsync</w:t>
            </w:r>
            <w:r>
              <w:rPr>
                <w:rFonts w:hint="eastAsia" w:ascii="宋体" w:hAnsi="宋体" w:cs="宋体"/>
                <w:color w:val="auto"/>
                <w:sz w:val="21"/>
                <w:szCs w:val="21"/>
                <w:highlight w:val="none"/>
              </w:rPr>
              <w:t>、输入信号源、自动锁相（按照图层锁相）</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4.5支持亮度和色温调节，支持精确色温</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4.6支持</w:t>
            </w:r>
            <w:r>
              <w:rPr>
                <w:rFonts w:ascii="宋体" w:hAnsi="宋体" w:cs="宋体"/>
                <w:color w:val="auto"/>
                <w:sz w:val="21"/>
                <w:szCs w:val="21"/>
                <w:highlight w:val="none"/>
              </w:rPr>
              <w:t>3D</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4.7低亮高灰，可有效保持低亮度下灰阶的完整显示</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4.8支持</w:t>
            </w:r>
            <w:r>
              <w:rPr>
                <w:rFonts w:ascii="宋体" w:hAnsi="宋体" w:cs="宋体"/>
                <w:color w:val="auto"/>
                <w:sz w:val="21"/>
                <w:szCs w:val="21"/>
                <w:highlight w:val="none"/>
              </w:rPr>
              <w:t>128</w:t>
            </w:r>
            <w:r>
              <w:rPr>
                <w:rFonts w:hint="eastAsia" w:ascii="宋体" w:hAnsi="宋体" w:cs="宋体"/>
                <w:color w:val="auto"/>
                <w:sz w:val="21"/>
                <w:szCs w:val="21"/>
                <w:highlight w:val="none"/>
              </w:rPr>
              <w:t>个场景保存和调用</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4.9支持</w:t>
            </w:r>
            <w:r>
              <w:rPr>
                <w:rFonts w:ascii="宋体" w:hAnsi="宋体" w:cs="宋体"/>
                <w:color w:val="auto"/>
                <w:sz w:val="21"/>
                <w:szCs w:val="21"/>
                <w:highlight w:val="none"/>
              </w:rPr>
              <w:t>U</w:t>
            </w:r>
            <w:r>
              <w:rPr>
                <w:rFonts w:hint="eastAsia" w:ascii="宋体" w:hAnsi="宋体" w:cs="宋体"/>
                <w:color w:val="auto"/>
                <w:sz w:val="21"/>
                <w:szCs w:val="21"/>
                <w:highlight w:val="none"/>
              </w:rPr>
              <w:t>盘播放和升级</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4.10支持</w:t>
            </w:r>
            <w:r>
              <w:rPr>
                <w:rFonts w:ascii="宋体" w:hAnsi="宋体" w:cs="宋体"/>
                <w:color w:val="auto"/>
                <w:sz w:val="21"/>
                <w:szCs w:val="21"/>
                <w:highlight w:val="none"/>
              </w:rPr>
              <w:t>OSD</w:t>
            </w:r>
            <w:r>
              <w:rPr>
                <w:rFonts w:hint="eastAsia" w:ascii="宋体" w:hAnsi="宋体" w:cs="宋体"/>
                <w:color w:val="auto"/>
                <w:sz w:val="21"/>
                <w:szCs w:val="21"/>
                <w:highlight w:val="none"/>
              </w:rPr>
              <w:t>控制</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4.11</w:t>
            </w:r>
            <w:r>
              <w:rPr>
                <w:rFonts w:ascii="宋体" w:hAnsi="宋体" w:cs="宋体"/>
                <w:color w:val="auto"/>
                <w:sz w:val="21"/>
                <w:szCs w:val="21"/>
                <w:highlight w:val="none"/>
              </w:rPr>
              <w:t>USB</w:t>
            </w:r>
            <w:r>
              <w:rPr>
                <w:rFonts w:hint="eastAsia" w:ascii="宋体" w:hAnsi="宋体" w:cs="宋体"/>
                <w:color w:val="auto"/>
                <w:sz w:val="21"/>
                <w:szCs w:val="21"/>
                <w:highlight w:val="none"/>
              </w:rPr>
              <w:t>接口控制及级联</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4.12</w:t>
            </w:r>
            <w:r>
              <w:rPr>
                <w:rFonts w:ascii="宋体" w:hAnsi="宋体" w:cs="宋体"/>
                <w:color w:val="auto"/>
                <w:sz w:val="21"/>
                <w:szCs w:val="21"/>
                <w:highlight w:val="none"/>
              </w:rPr>
              <w:t>RS232</w:t>
            </w:r>
            <w:r>
              <w:rPr>
                <w:rFonts w:hint="eastAsia" w:ascii="宋体" w:hAnsi="宋体" w:cs="宋体"/>
                <w:color w:val="auto"/>
                <w:sz w:val="21"/>
                <w:szCs w:val="21"/>
                <w:highlight w:val="none"/>
              </w:rPr>
              <w:t>串口协议控制</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4.13支持</w:t>
            </w:r>
            <w:r>
              <w:rPr>
                <w:rFonts w:ascii="宋体" w:hAnsi="宋体" w:cs="宋体"/>
                <w:color w:val="auto"/>
                <w:sz w:val="21"/>
                <w:szCs w:val="21"/>
                <w:highlight w:val="none"/>
              </w:rPr>
              <w:t>LAN</w:t>
            </w:r>
            <w:r>
              <w:rPr>
                <w:rFonts w:hint="eastAsia" w:ascii="宋体" w:hAnsi="宋体" w:cs="宋体"/>
                <w:color w:val="auto"/>
                <w:sz w:val="21"/>
                <w:szCs w:val="21"/>
                <w:highlight w:val="none"/>
              </w:rPr>
              <w:t>口控制</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4.14支持手机</w:t>
            </w:r>
            <w:r>
              <w:rPr>
                <w:rFonts w:ascii="宋体" w:hAnsi="宋体" w:cs="宋体"/>
                <w:color w:val="auto"/>
                <w:sz w:val="21"/>
                <w:szCs w:val="21"/>
                <w:highlight w:val="none"/>
              </w:rPr>
              <w:t>APP</w:t>
            </w:r>
            <w:r>
              <w:rPr>
                <w:rFonts w:hint="eastAsia" w:ascii="宋体" w:hAnsi="宋体" w:cs="宋体"/>
                <w:color w:val="auto"/>
                <w:sz w:val="21"/>
                <w:szCs w:val="21"/>
                <w:highlight w:val="none"/>
              </w:rPr>
              <w:t>控制</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b/>
                <w:bCs/>
                <w:color w:val="auto"/>
                <w:sz w:val="21"/>
                <w:szCs w:val="21"/>
                <w:highlight w:val="none"/>
              </w:rPr>
              <w:t>▲五、核心备品：</w:t>
            </w:r>
            <w:r>
              <w:rPr>
                <w:rFonts w:hint="eastAsia" w:ascii="宋体" w:hAnsi="宋体" w:cs="宋体"/>
                <w:color w:val="auto"/>
                <w:sz w:val="21"/>
                <w:szCs w:val="21"/>
                <w:highlight w:val="none"/>
              </w:rPr>
              <w:t>同规格、同批次：单元板+控制系统+电源</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注明：针对本项目 LED 屏的，单元模块，控制电源，控制系统卡，</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备用产品，出现故障时，备品直接更换</w:t>
            </w:r>
          </w:p>
          <w:p>
            <w:pPr>
              <w:pStyle w:val="52"/>
              <w:spacing w:line="264" w:lineRule="auto"/>
              <w:ind w:firstLine="0" w:firstLineChars="0"/>
              <w:rPr>
                <w:rFonts w:ascii="宋体" w:hAnsi="宋体" w:cs="宋体"/>
                <w:b/>
                <w:bCs/>
                <w:color w:val="auto"/>
                <w:sz w:val="21"/>
                <w:szCs w:val="21"/>
                <w:highlight w:val="none"/>
              </w:rPr>
            </w:pPr>
            <w:r>
              <w:rPr>
                <w:rFonts w:hint="eastAsia" w:ascii="宋体" w:hAnsi="宋体" w:cs="宋体"/>
                <w:b/>
                <w:bCs/>
                <w:color w:val="auto"/>
                <w:sz w:val="21"/>
                <w:szCs w:val="21"/>
                <w:highlight w:val="none"/>
              </w:rPr>
              <w:t>六、钢结构及安装调试：</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角铁/方通/槽钢/五金件等钢构材料</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包边尺寸：定制包边；结构焊接/安装调试/手把手培训</w:t>
            </w:r>
          </w:p>
          <w:p>
            <w:pPr>
              <w:pStyle w:val="52"/>
              <w:spacing w:line="264" w:lineRule="auto"/>
              <w:ind w:firstLine="0" w:firstLineChars="0"/>
              <w:rPr>
                <w:rFonts w:ascii="宋体" w:hAnsi="宋体" w:cs="宋体"/>
                <w:b/>
                <w:bCs/>
                <w:color w:val="auto"/>
                <w:sz w:val="21"/>
                <w:szCs w:val="21"/>
                <w:highlight w:val="none"/>
              </w:rPr>
            </w:pPr>
            <w:r>
              <w:rPr>
                <w:rFonts w:hint="eastAsia" w:ascii="宋体" w:hAnsi="宋体" w:cs="宋体"/>
                <w:b/>
                <w:bCs/>
                <w:color w:val="auto"/>
                <w:sz w:val="21"/>
                <w:szCs w:val="21"/>
                <w:highlight w:val="none"/>
              </w:rPr>
              <w:t>七、全频阵列扬声器：</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单元结构:1 x 1.3” 音圈驱动器用于 90° x 90º 覆盖范围和 4 x 3.3” 碳纤维锥盆低音驱动器</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180 W RMS 功率处理</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IP65 等级，适用于室外或潮湿环境，采用铝制箱体、M22- 2P 防水连接、防锈螺丝和防水扬声器布</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轻质铝柜，提供金属钢板配件，用于固定壁挂式安装</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5</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支持垂直和水平安装</w:t>
            </w:r>
          </w:p>
          <w:p>
            <w:pPr>
              <w:pStyle w:val="52"/>
              <w:spacing w:line="264" w:lineRule="auto"/>
              <w:ind w:firstLine="0" w:firstLineChars="0"/>
              <w:rPr>
                <w:rFonts w:ascii="宋体" w:hAnsi="宋体" w:cs="宋体"/>
                <w:b/>
                <w:bCs/>
                <w:color w:val="auto"/>
                <w:sz w:val="21"/>
                <w:szCs w:val="21"/>
                <w:highlight w:val="none"/>
              </w:rPr>
            </w:pPr>
            <w:r>
              <w:rPr>
                <w:rFonts w:hint="eastAsia" w:ascii="宋体" w:hAnsi="宋体" w:cs="宋体"/>
                <w:b/>
                <w:bCs/>
                <w:color w:val="auto"/>
                <w:sz w:val="21"/>
                <w:szCs w:val="21"/>
                <w:highlight w:val="none"/>
              </w:rPr>
              <w:t>八、规格参数：</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1.驱动程序 ：</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1 x 1.3</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音圈驱动器和</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4 x 3.3</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碳纤维锥盆低音驱动器 </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2.频率响应 ：(+/-3 dB) 110 赫兹 – 18 赫兹 </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3.覆盖角度 ：90° x 90°标称 </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4.交叉模式 ：被动 </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5.灵敏度 ：87分贝声压级 </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6.阻抗：8 欧姆 </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7.额定功率：（连续/程序/峰值） 180 瓦 / 360 瓦 / 720 瓦 </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8.最大声压级 ：(2π) 113 dB SPL 连续（119 dB SPL 峰值） </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9.外壳 ：铝 </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10.网罩：黑色防尘漆和防水扬声器布 </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11.户外能力：IP65 等级，适用于户外或潮湿应用，具有铝制箱体、M22-2P 扬声器连接、防锈螺钉和防水扬声器布。 </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12.装配：支持垂直和水平安装。提供金属钢板配件用于固定壁挂式安装。 </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13.输入连接器：M22-2P </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14.尺寸：约（高 x 宽 x 厚）500 x 126.6 x 160 毫米（19.6 x 4.98 x 6.29 英寸） </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15.净重量：约6.3公斤 </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16.随附配件：垂直和水平安装的特殊安装。</w:t>
            </w:r>
          </w:p>
          <w:p>
            <w:pPr>
              <w:pStyle w:val="52"/>
              <w:spacing w:line="264" w:lineRule="auto"/>
              <w:ind w:firstLine="0" w:firstLineChars="0"/>
              <w:rPr>
                <w:rFonts w:ascii="宋体" w:hAnsi="宋体" w:cs="宋体"/>
                <w:b/>
                <w:bCs/>
                <w:color w:val="auto"/>
                <w:sz w:val="21"/>
                <w:szCs w:val="21"/>
                <w:highlight w:val="none"/>
              </w:rPr>
            </w:pPr>
            <w:r>
              <w:rPr>
                <w:rFonts w:hint="eastAsia" w:ascii="宋体" w:hAnsi="宋体" w:cs="宋体"/>
                <w:b/>
                <w:bCs/>
                <w:color w:val="auto"/>
                <w:sz w:val="21"/>
                <w:szCs w:val="21"/>
                <w:highlight w:val="none"/>
              </w:rPr>
              <w:t>九、数字功率放大器：</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1.技术规格</w:t>
            </w:r>
          </w:p>
          <w:p>
            <w:pPr>
              <w:pStyle w:val="52"/>
              <w:spacing w:line="264" w:lineRule="auto"/>
              <w:ind w:firstLine="0" w:firstLineChars="0"/>
              <w:rPr>
                <w:rFonts w:ascii="宋体" w:hAnsi="宋体" w:cs="宋体"/>
                <w:color w:val="auto"/>
                <w:sz w:val="21"/>
                <w:szCs w:val="21"/>
                <w:highlight w:val="none"/>
              </w:rPr>
            </w:pPr>
            <w:r>
              <w:rPr>
                <w:rFonts w:ascii="宋体" w:hAnsi="宋体" w:cs="宋体"/>
                <w:color w:val="auto"/>
                <w:sz w:val="21"/>
                <w:szCs w:val="21"/>
                <w:highlight w:val="none"/>
              </w:rPr>
              <w:t xml:space="preserve">1kHz(EIA),0.5%THD </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 4 ohms 立体声（每通道）：640W </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 8 ohms 立体声（每通道）：500W </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 8 ohms 桥接 ：1280W </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2.频率响应 (1W)：20Hz-20KHz，+0/ -1dB </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3.总谐波失真(THD)： &lt;0.5%, 20Hz - 20kHz </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4.互调失真(IMD) ：&lt;0.6% </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5.转换速度 ： &gt;10V/us </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6.电压增益 ：36dB </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7.阻尼系数(8 ohms), 10Hz - 400Hz ：&gt;200 </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8.信噪比（以额定输出功率为参考，20Hz to 20 kHz, A计权）： &gt;100dB </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9.串扰（以额定输出功率为参考）:At 1kHz/-75dB ,At 20kHz/-59dB</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10.输入灵敏度（额定功率， 8ohms）：0.775V </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11.输入阻抗（额定）平衡/非平衡 ：20k ohms/10k ohms </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12.信号输入输出连接器: 每通道一路平衡XLR输入及一路XLR LINK输出.    </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13.前面板控制: 电源开关、通道增益旋钮</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14.后面板控制: 输出模式开关：立体声、并联、桥接</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15.保护:防止短路、空载、开/关机噪音、无线电干扰保护电路、温度保护</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16.通风: 由前往后的空气对流机制</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17.冷却: 内部空气强排散热，风扇冷却，快速调节                                                                                                                             </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18.尺寸(W×H×D)约 482×88×238.5mm</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19.净重约 11Kg</w:t>
            </w:r>
          </w:p>
          <w:p>
            <w:pPr>
              <w:pStyle w:val="52"/>
              <w:spacing w:line="264" w:lineRule="auto"/>
              <w:ind w:firstLine="0" w:firstLineChars="0"/>
              <w:rPr>
                <w:rFonts w:ascii="宋体" w:hAnsi="宋体" w:cs="宋体"/>
                <w:b/>
                <w:bCs/>
                <w:color w:val="auto"/>
                <w:sz w:val="21"/>
                <w:szCs w:val="21"/>
                <w:highlight w:val="none"/>
              </w:rPr>
            </w:pPr>
            <w:r>
              <w:rPr>
                <w:rFonts w:hint="eastAsia" w:ascii="宋体" w:hAnsi="宋体" w:cs="宋体"/>
                <w:b/>
                <w:bCs/>
                <w:color w:val="auto"/>
                <w:sz w:val="21"/>
                <w:szCs w:val="21"/>
                <w:highlight w:val="none"/>
              </w:rPr>
              <w:t>十、数字媒体音频处理器：</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▲1.96k24BIT采样率</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▲2.输入15段PEQ，输出10段PEQ，高低通滤波器</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▲3.全通滤波器AIIpass</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▲4.带FIR相位校正功能，输入通道标配4*512Taps，输出通道标配8*512Taps</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▲5.标配DEQ动态均衡</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▲6.支持存档加密功能，方便出厂预设参数</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▲7.支持动态均衡器</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▲8.可配置Dante网络数字音频输入输出</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▲9.USB免驱自动连接软件，支持RS232中控控制，支持TCPIP有线和无线控制</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▲10.支持安卓APP无线控制</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▲11.支持多台机器组网联调，远程监控</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▲12.软件带密码锁，方便管理                                                                                                                         </w:t>
            </w:r>
          </w:p>
          <w:p>
            <w:pPr>
              <w:pStyle w:val="52"/>
              <w:spacing w:line="264" w:lineRule="auto"/>
              <w:ind w:firstLine="0" w:firstLineChars="0"/>
              <w:rPr>
                <w:rFonts w:ascii="宋体" w:hAnsi="宋体" w:cs="宋体"/>
                <w:b/>
                <w:bCs/>
                <w:color w:val="auto"/>
                <w:sz w:val="21"/>
                <w:szCs w:val="21"/>
                <w:highlight w:val="none"/>
              </w:rPr>
            </w:pPr>
            <w:r>
              <w:rPr>
                <w:rFonts w:hint="eastAsia" w:ascii="宋体" w:hAnsi="宋体" w:cs="宋体"/>
                <w:b/>
                <w:bCs/>
                <w:color w:val="auto"/>
                <w:sz w:val="21"/>
                <w:szCs w:val="21"/>
                <w:highlight w:val="none"/>
              </w:rPr>
              <w:t>十一、DSP芯片：</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1.音频系统延迟: 2.8ms</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2.数模转换: 24-bit</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3.采样率: 96kHz</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4.输入通道: 4路平衡输入. line level</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5.音频接口:卡侬头公母</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6.输入阻抗: 22kΩ</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7.最大输入电平: 20dBu/Line</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8.输出通道: 8路平衡输出, line level</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9.输出阻抗: 150Ω</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10.频响曲线: 20Hz-40kHz(±0.5dB)/Line</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11.底噪: 20Hz-20kHz，A-wt,-93dBu</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12.</w:t>
            </w:r>
            <w:r>
              <w:rPr>
                <w:rFonts w:ascii="宋体" w:hAnsi="宋体" w:cs="宋体"/>
                <w:color w:val="auto"/>
                <w:sz w:val="21"/>
                <w:szCs w:val="21"/>
                <w:highlight w:val="none"/>
              </w:rPr>
              <w:t>THD+N: -90dB(@0dBu,1kHz,A-wt)/Line</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13.信噪比: 110dB(@16dBu,1kHz,A-wt)/Line</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14.USB Micro-B type, 免驱</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15.RS232 Serial port communication串口通信</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16.TCP/IP网口: RJ-45</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17.指示灯: CLIP,LEVEL,EDIT,MUTE</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18.供电范围: AC90V---264V  50/60 Hz</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19.尺寸( 长*宽*高): 483*215*44.5mm</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20.净重: 3.2kg</w:t>
            </w:r>
          </w:p>
          <w:p>
            <w:pPr>
              <w:pStyle w:val="52"/>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21.工作温度: -20℃--80℃</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LED屏</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套</w:t>
            </w:r>
          </w:p>
        </w:tc>
        <w:tc>
          <w:tcPr>
            <w:tcW w:w="7112" w:type="dxa"/>
            <w:tcBorders>
              <w:top w:val="single" w:color="auto" w:sz="4" w:space="0"/>
              <w:left w:val="single" w:color="auto" w:sz="4" w:space="0"/>
              <w:bottom w:val="single" w:color="auto" w:sz="4" w:space="0"/>
            </w:tcBorders>
            <w:vAlign w:val="center"/>
          </w:tcPr>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屏体尺寸：约332.08cm*186.80cm</w:t>
            </w:r>
          </w:p>
          <w:p>
            <w:pPr>
              <w:pStyle w:val="52"/>
              <w:spacing w:line="264" w:lineRule="auto"/>
              <w:ind w:firstLine="0" w:firstLineChars="0"/>
              <w:rPr>
                <w:rFonts w:ascii="宋体" w:hAnsi="宋体" w:cs="宋体"/>
                <w:b/>
                <w:bCs/>
                <w:color w:val="auto"/>
                <w:sz w:val="21"/>
                <w:szCs w:val="21"/>
                <w:highlight w:val="none"/>
              </w:rPr>
            </w:pPr>
            <w:r>
              <w:rPr>
                <w:rFonts w:hint="eastAsia" w:ascii="宋体" w:hAnsi="宋体" w:cs="宋体"/>
                <w:b/>
                <w:bCs/>
                <w:color w:val="auto"/>
                <w:sz w:val="21"/>
                <w:szCs w:val="21"/>
                <w:highlight w:val="none"/>
              </w:rPr>
              <w:t>一、全彩LED显示屏：</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1.产品规格：M1.53；</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▲2.像素点间距:≤1.53mm；屏幕分辨率不低于6656点*2392点</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3.像素密度≥422500/㎡；</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4.单元模组尺寸：320mm×160mm；                                            </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5.灯珠配置：发光大芯片（亮度高）、铜线（导电性强）、铜支架（抗氧化）</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6.发光点颜色组合 1R1G1B；</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7.发光芯片封装形式：SMD1212；</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8..峰值功耗 620W/㎡，平均功耗≤160W/㎡；</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9.使用寿命 100000 小时；</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10.LED 像素失控率：≤0.0001；</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11.色温：1000-18000K连续可调。色域大于110%NTSC；</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12.驱动方式：恒流源驱动；</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▲13.刷新频率：7680；</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14.屏体供电 工作电压 220V±15%；</w:t>
            </w:r>
          </w:p>
          <w:p>
            <w:pPr>
              <w:pStyle w:val="52"/>
              <w:spacing w:line="264" w:lineRule="auto"/>
              <w:ind w:firstLine="0" w:firstLineChars="0"/>
              <w:rPr>
                <w:rFonts w:ascii="宋体" w:hAnsi="宋体" w:cs="宋体"/>
                <w:strike/>
                <w:color w:val="auto"/>
                <w:sz w:val="21"/>
                <w:szCs w:val="21"/>
                <w:highlight w:val="none"/>
              </w:rPr>
            </w:pPr>
            <w:r>
              <w:rPr>
                <w:rFonts w:hint="eastAsia" w:ascii="宋体" w:hAnsi="宋体" w:cs="宋体"/>
                <w:color w:val="auto"/>
                <w:sz w:val="21"/>
                <w:szCs w:val="21"/>
                <w:highlight w:val="none"/>
              </w:rPr>
              <w:t>15.操作系统：支持WIN</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16.可视角度：水平 &gt; 170度  垂直：&gt; 170度；</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17.显示亮度： &gt; 600cd/㎡，0-100%任意可调；</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18.换帧频率：50/60/120hz，支持3D显示；</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19.白平衡亮度：&gt; 800cd/㎡，并且50-1200亮度可调节；</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20.对比度：&gt; 8000；1；</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21.均匀性：色度均匀性（校正后）0.002Cx，Cy；</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22.HDR技术：支持HDR3.0高动态范围图像技术；</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23.灰度等级：支持软件实现0-100%不同亮度情况下，灰度8-16bit任意设置，精细灰阶管理，精准呈现图像暗部的细节，低亮高灰；</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24.校正功能：逐点校正，可对单点或整屏的亮度色度进行校正；</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25.存储功能；具有智能AI单模组数据存储功能校正数据自动回读技术，同时具有智能AI连屏功能，智能AI色温调节。</w:t>
            </w:r>
          </w:p>
          <w:p>
            <w:pPr>
              <w:pStyle w:val="52"/>
              <w:spacing w:line="264" w:lineRule="auto"/>
              <w:ind w:firstLine="0" w:firstLineChars="0"/>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rPr>
              <w:t>二、节能电源：V40A-200W 节能、过流、过压、过载、过温保护</w:t>
            </w:r>
            <w:r>
              <w:rPr>
                <w:rFonts w:hint="eastAsia" w:ascii="宋体" w:hAnsi="宋体" w:cs="宋体"/>
                <w:b/>
                <w:bCs/>
                <w:color w:val="auto"/>
                <w:sz w:val="21"/>
                <w:szCs w:val="21"/>
                <w:highlight w:val="none"/>
                <w:lang w:eastAsia="zh-CN"/>
              </w:rPr>
              <w:t>。</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1.过载保护：额定负载的范围内电源保护，去载恢复正常输出;</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2..短路保护：输出端短路时电源保护,去掉短路恢复正常输出;</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3.安全标准：符合 GB4943-2001，UL1012 ;</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4.抗电强度：I/P-O/P、I/P-FG：1.5KVAC O/P-FG：0.5KVAC,绝缘电阻 100MΩ/500VDC（电磁干扰）传导和辐射：符合 EN55022，Class B;</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5、平均无故障工作时间（MTBF）：≥100，000 小时;</w:t>
            </w:r>
          </w:p>
          <w:p>
            <w:pPr>
              <w:pStyle w:val="52"/>
              <w:spacing w:line="264" w:lineRule="auto"/>
              <w:ind w:firstLine="0" w:firstLineChars="0"/>
              <w:rPr>
                <w:rFonts w:ascii="宋体" w:hAnsi="宋体" w:cs="宋体"/>
                <w:b/>
                <w:bCs/>
                <w:color w:val="auto"/>
                <w:sz w:val="21"/>
                <w:szCs w:val="21"/>
                <w:highlight w:val="none"/>
              </w:rPr>
            </w:pPr>
            <w:r>
              <w:rPr>
                <w:rFonts w:hint="eastAsia" w:ascii="宋体" w:hAnsi="宋体" w:cs="宋体"/>
                <w:b/>
                <w:bCs/>
                <w:color w:val="auto"/>
                <w:sz w:val="21"/>
                <w:szCs w:val="21"/>
                <w:highlight w:val="none"/>
              </w:rPr>
              <w:t>三、智能传输系统设备(接收卡）：</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控制系统参数</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1.常规：128×1024像素点，PWM：192×1024像素点，视芯：162×1024像素</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单卡控制面积</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2.网口任意交换支持，不分输入输出，任意使用</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3.灰度等级最高65536级灰度</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4.显示屏模组兼容性</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5.芯片支持常规芯片、PWM芯片、视芯芯片</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6.扫描类型静态到128扫描之间的任意扫描类型</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7.模组规格单组数据可支持13312像素点以内任意走线</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8.排线方向支持从左到右、从右到左、从上到下、从下到上级联</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9.24组并行RGB全彩数据或32组串行RGB数据，可扩展128组串行RGB数据</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10.数据打折支持水平2~8折，垂直2~4折</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11.模组抽点、抽行抽列支持任意抽点、任意抽行抽列</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12.全面监控网线监测数据包总数、错误包数，协助检查网络质量，排除隐患,逐点校正</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13.亮度校正支持,色度校正支持</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14.其他功能</w:t>
            </w:r>
          </w:p>
          <w:p>
            <w:pPr>
              <w:pStyle w:val="52"/>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冗余备份支持环路备份、固件程序备份选配功能异形构造</w:t>
            </w:r>
            <w:r>
              <w:rPr>
                <w:rFonts w:hint="eastAsia" w:ascii="宋体" w:hAnsi="宋体" w:cs="宋体"/>
                <w:color w:val="auto"/>
                <w:sz w:val="21"/>
                <w:szCs w:val="21"/>
                <w:highlight w:val="none"/>
                <w:lang w:eastAsia="zh-CN"/>
              </w:rPr>
              <w:t>。</w:t>
            </w:r>
          </w:p>
          <w:p>
            <w:pPr>
              <w:pStyle w:val="52"/>
              <w:spacing w:line="264" w:lineRule="auto"/>
              <w:ind w:firstLine="0" w:firstLineChars="0"/>
              <w:rPr>
                <w:rFonts w:ascii="宋体" w:hAnsi="宋体" w:cs="宋体"/>
                <w:b/>
                <w:bCs/>
                <w:color w:val="auto"/>
                <w:sz w:val="21"/>
                <w:szCs w:val="21"/>
                <w:highlight w:val="none"/>
              </w:rPr>
            </w:pPr>
            <w:r>
              <w:rPr>
                <w:rFonts w:hint="eastAsia" w:ascii="宋体" w:hAnsi="宋体" w:cs="宋体"/>
                <w:b/>
                <w:bCs/>
                <w:color w:val="auto"/>
                <w:sz w:val="21"/>
                <w:szCs w:val="21"/>
                <w:highlight w:val="none"/>
              </w:rPr>
              <w:t>四、视频处理器：</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1.输入</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最大4096×2160@60Hz输入分辨率</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2路4K输入：1×DP1.2，1×HDMI2.0</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4路2K输入：2×HDMI1.4，2×DVI</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1路U盘接口</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2.输出</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最大带载2621万像素</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40路千兆网口输出或4路万兆光口输出，任选一种</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3.音频</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1路独立音频输入</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1路独立音频输出</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支持HDMI和DP音频解析输出</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4.功能说明</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4.1最多6窗口显示，每个窗口1个图层，图层之间相互覆盖（1个4K输入信号时，同时可支持4路高清输入，支持5个窗口；2个4K输入信号时，只支持2个窗口）</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4.2窗口任意漫游、自由缩放窗口，最小64×64分辨率</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4.3视频信号任意裁剪、无缝切换，裁剪框大小可自由调节，最小64×64分辨率，精确颜色管理，可调节显示屏色域，需对应型号接收卡支持</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4.4视频同步锁相技术，支持锁定内部vsync、输入信号源、自动锁相（按照图层锁相）</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4.5支持亮度和色温调节，支持精确色温</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4.6支持3D</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4.7低亮高灰，可有效保持低亮度下灰阶的完整显示</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4.8支持128个场景保存和调用</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4.9支持U盘播放和升级</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4.10支持OSD控制</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4.11USB接口控制及级联</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4.12RS232串口协议控制</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4.13支持LAN口控制</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4.14支持手机APP控制</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▲五、核心备品：同规格、同批次：单元板+控制系统+电源</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注明：针对本项目 LED 屏的，单元模块，控制电源，控制系统卡，</w:t>
            </w:r>
          </w:p>
          <w:p>
            <w:pPr>
              <w:pStyle w:val="52"/>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备用产品，出现故障时，备品直接更换</w:t>
            </w:r>
            <w:r>
              <w:rPr>
                <w:rFonts w:hint="eastAsia" w:ascii="宋体" w:hAnsi="宋体" w:cs="宋体"/>
                <w:color w:val="auto"/>
                <w:sz w:val="21"/>
                <w:szCs w:val="21"/>
                <w:highlight w:val="none"/>
                <w:lang w:eastAsia="zh-CN"/>
              </w:rPr>
              <w:t>。</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六、钢结构及安装调试：</w:t>
            </w:r>
          </w:p>
          <w:p>
            <w:pPr>
              <w:pStyle w:val="52"/>
              <w:spacing w:line="264"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角铁/方通/槽钢/五金件等钢构材料</w:t>
            </w:r>
          </w:p>
          <w:p>
            <w:pPr>
              <w:pStyle w:val="52"/>
              <w:spacing w:line="264" w:lineRule="auto"/>
              <w:ind w:firstLine="0" w:firstLineChars="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包边尺寸：定制包边；结构焊接/安装调试/手把手培训</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电子</w:t>
            </w:r>
          </w:p>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防潮柜</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lang w:val="en"/>
              </w:rPr>
              <w:t>套</w:t>
            </w:r>
          </w:p>
        </w:tc>
        <w:tc>
          <w:tcPr>
            <w:tcW w:w="7112" w:type="dxa"/>
            <w:tcBorders>
              <w:top w:val="single" w:color="auto" w:sz="4" w:space="0"/>
              <w:left w:val="single" w:color="auto" w:sz="4" w:space="0"/>
              <w:bottom w:val="single" w:color="auto" w:sz="4" w:space="0"/>
            </w:tcBorders>
            <w:vAlign w:val="center"/>
          </w:tcPr>
          <w:p>
            <w:pPr>
              <w:pStyle w:val="7"/>
              <w:ind w:firstLine="0"/>
              <w:rPr>
                <w:rFonts w:ascii="宋体" w:hAnsi="宋体" w:cs="宋体"/>
                <w:color w:val="auto"/>
                <w:szCs w:val="21"/>
                <w:highlight w:val="none"/>
              </w:rPr>
            </w:pPr>
            <w:r>
              <w:rPr>
                <w:rFonts w:hint="eastAsia" w:ascii="宋体" w:hAnsi="宋体" w:cs="宋体"/>
                <w:color w:val="auto"/>
                <w:szCs w:val="21"/>
                <w:highlight w:val="none"/>
              </w:rPr>
              <w:t>1.除湿容积：约1160L</w:t>
            </w:r>
          </w:p>
          <w:p>
            <w:pPr>
              <w:pStyle w:val="7"/>
              <w:ind w:firstLine="0"/>
              <w:rPr>
                <w:rFonts w:ascii="宋体" w:hAnsi="宋体" w:cs="宋体"/>
                <w:color w:val="auto"/>
                <w:szCs w:val="21"/>
                <w:highlight w:val="none"/>
              </w:rPr>
            </w:pPr>
            <w:r>
              <w:rPr>
                <w:rFonts w:hint="eastAsia" w:ascii="宋体" w:hAnsi="宋体" w:cs="宋体"/>
                <w:color w:val="auto"/>
                <w:szCs w:val="21"/>
                <w:highlight w:val="none"/>
              </w:rPr>
              <w:t>2.外尺寸：约宽 1200mm× 深 670mm× 高 1840mm</w:t>
            </w:r>
          </w:p>
          <w:p>
            <w:pPr>
              <w:pStyle w:val="7"/>
              <w:ind w:firstLine="0"/>
              <w:rPr>
                <w:rFonts w:ascii="宋体" w:hAnsi="宋体" w:cs="宋体"/>
                <w:color w:val="auto"/>
                <w:szCs w:val="21"/>
                <w:highlight w:val="none"/>
              </w:rPr>
            </w:pPr>
            <w:r>
              <w:rPr>
                <w:rFonts w:hint="eastAsia" w:ascii="宋体" w:hAnsi="宋体" w:cs="宋体"/>
                <w:color w:val="auto"/>
                <w:szCs w:val="21"/>
                <w:highlight w:val="none"/>
              </w:rPr>
              <w:t>3.内尺寸：约宽 1190mm× 深 623mm× 高 1560mm</w:t>
            </w:r>
          </w:p>
          <w:p>
            <w:pPr>
              <w:pStyle w:val="7"/>
              <w:ind w:firstLine="0"/>
              <w:rPr>
                <w:rFonts w:ascii="宋体" w:hAnsi="宋体" w:cs="宋体"/>
                <w:color w:val="auto"/>
                <w:szCs w:val="21"/>
                <w:highlight w:val="none"/>
              </w:rPr>
            </w:pPr>
            <w:r>
              <w:rPr>
                <w:rFonts w:hint="eastAsia" w:ascii="宋体" w:hAnsi="宋体" w:cs="宋体"/>
                <w:color w:val="auto"/>
                <w:szCs w:val="21"/>
                <w:highlight w:val="none"/>
              </w:rPr>
              <w:t>4.活动层板：5 块</w:t>
            </w:r>
          </w:p>
          <w:p>
            <w:pPr>
              <w:pStyle w:val="7"/>
              <w:ind w:firstLine="0"/>
              <w:rPr>
                <w:rFonts w:ascii="宋体" w:hAnsi="宋体" w:cs="宋体"/>
                <w:color w:val="auto"/>
                <w:szCs w:val="21"/>
                <w:highlight w:val="none"/>
              </w:rPr>
            </w:pPr>
            <w:r>
              <w:rPr>
                <w:rFonts w:hint="eastAsia" w:ascii="宋体" w:hAnsi="宋体" w:cs="宋体"/>
                <w:color w:val="auto"/>
                <w:szCs w:val="21"/>
                <w:highlight w:val="none"/>
              </w:rPr>
              <w:t>5.重量：约185KG</w:t>
            </w:r>
          </w:p>
          <w:p>
            <w:pPr>
              <w:pStyle w:val="7"/>
              <w:ind w:firstLine="0"/>
              <w:rPr>
                <w:rFonts w:ascii="宋体" w:hAnsi="宋体" w:cs="宋体"/>
                <w:color w:val="auto"/>
                <w:szCs w:val="21"/>
                <w:highlight w:val="none"/>
              </w:rPr>
            </w:pPr>
            <w:r>
              <w:rPr>
                <w:rFonts w:hint="eastAsia" w:ascii="宋体" w:hAnsi="宋体" w:cs="宋体"/>
                <w:color w:val="auto"/>
                <w:szCs w:val="21"/>
                <w:highlight w:val="none"/>
              </w:rPr>
              <w:t>6.功率：约404W</w:t>
            </w:r>
          </w:p>
          <w:p>
            <w:pPr>
              <w:pStyle w:val="7"/>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7.额定功率：约31.2W/H</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显示器</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vAlign w:val="center"/>
          </w:tcPr>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27英寸4K显示器，Type-C版 节能版，带升降旋转支架</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1.电源输入：24V 5A</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2.额定功率：120W</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3.屏幕尺寸：27英寸</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4.点距：0.1554(H)X0.1554(V)mm：</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5.亮度300nits(典型值)</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6.对比度：1200:1(典型值)</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7.色彩：10.7亿</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8.显示比例：16:9</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9.分辨率：3840x2160</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10.最大刷新率：60Hz</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11.响应时间：6ms(典型值)</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12.产品尺寸(含底座)：613*185*511mm</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13.产品净重(含底座)：约5.5 Kg</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14.壁挂尺寸支持：(VESA 75*75)</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15.前倾后仰：前5°后21°</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便携式</w:t>
            </w:r>
          </w:p>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电脑</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c>
          <w:tcPr>
            <w:tcW w:w="7112" w:type="dxa"/>
            <w:tcBorders>
              <w:top w:val="single" w:color="auto" w:sz="4" w:space="0"/>
              <w:left w:val="single" w:color="auto" w:sz="4" w:space="0"/>
              <w:bottom w:val="single" w:color="auto" w:sz="4" w:space="0"/>
            </w:tcBorders>
            <w:vAlign w:val="center"/>
          </w:tcPr>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一、处理器</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1.核心/线程：24 核心 32 线程（8 性能核 + 16 能效核）</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2.主频/睿频：2.2GHz 基础频率，最高 5.8GHz 睿频</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3.三级缓存：36MB</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4.架构：Raptor Lake（第14代酷睿）</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二、显卡</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1.显存：</w:t>
            </w:r>
            <w:r>
              <w:rPr>
                <w:rFonts w:hint="eastAsia" w:ascii="宋体" w:hAnsi="宋体" w:cs="宋体"/>
                <w:color w:val="auto"/>
                <w:szCs w:val="21"/>
                <w:highlight w:val="none"/>
              </w:rPr>
              <w:t>≥</w:t>
            </w:r>
            <w:r>
              <w:rPr>
                <w:rFonts w:ascii="宋体" w:hAnsi="宋体" w:cs="宋体"/>
                <w:color w:val="auto"/>
                <w:szCs w:val="21"/>
                <w:highlight w:val="none"/>
              </w:rPr>
              <w:t>32</w:t>
            </w:r>
            <w:r>
              <w:rPr>
                <w:rFonts w:hint="eastAsia" w:ascii="宋体" w:hAnsi="宋体" w:cs="宋体"/>
                <w:color w:val="auto"/>
                <w:kern w:val="0"/>
                <w:szCs w:val="21"/>
                <w:highlight w:val="none"/>
              </w:rPr>
              <w:t>GB GDDR7</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rPr>
              <w:t>2.位宽：约128bit</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3.特性：支持光线追踪、DLSS 3.5、DirectX 12 Ultimate</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三、内存与存储</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1.内存：</w:t>
            </w:r>
            <w:r>
              <w:rPr>
                <w:rFonts w:hint="eastAsia" w:ascii="宋体" w:hAnsi="宋体" w:cs="宋体"/>
                <w:color w:val="auto"/>
                <w:szCs w:val="21"/>
                <w:highlight w:val="none"/>
              </w:rPr>
              <w:t>≥</w:t>
            </w:r>
            <w:r>
              <w:rPr>
                <w:rFonts w:hint="eastAsia" w:ascii="宋体" w:hAnsi="宋体" w:cs="宋体"/>
                <w:color w:val="auto"/>
                <w:kern w:val="0"/>
                <w:szCs w:val="21"/>
                <w:highlight w:val="none"/>
              </w:rPr>
              <w:t>32GB DDR5 5600MHz</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2.硬盘：</w:t>
            </w:r>
            <w:r>
              <w:rPr>
                <w:rFonts w:hint="eastAsia" w:ascii="宋体" w:hAnsi="宋体" w:cs="宋体"/>
                <w:color w:val="auto"/>
                <w:szCs w:val="21"/>
                <w:highlight w:val="none"/>
              </w:rPr>
              <w:t>≥</w:t>
            </w:r>
            <w:r>
              <w:rPr>
                <w:rFonts w:hint="eastAsia" w:ascii="宋体" w:hAnsi="宋体" w:cs="宋体"/>
                <w:color w:val="auto"/>
                <w:kern w:val="0"/>
                <w:szCs w:val="21"/>
                <w:highlight w:val="none"/>
              </w:rPr>
              <w:t>1TB PCIe 4.0 NVMe SSD（支持双 M.2 插槽扩展）</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四、显示屏</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1.尺寸：16 英寸</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2.分辨率：2560×1600（2.5K）</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3.刷新率：240Hz（旗舰款）/ 165Hz（基础款）</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4.色域：100% DCI-P3（旗舰款）/ 100% sRGB（基础款）</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5.比例：16:10</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6.技术：IPS 面板、DC 调光、低蓝光认证</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五、散热与续航</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1.型号：参照或等于乾坤散热系统4.0</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2.风扇：双风扇（0.3mm 超薄扇叶）</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3.热管：5根复合式热管+均热板</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4.功耗：双烤稳定200W（i9+RTX 5070 版本）</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5.噪音：≤45dB</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6.容量：约80Wh</w:t>
            </w:r>
          </w:p>
          <w:p>
            <w:pPr>
              <w:pStyle w:val="7"/>
              <w:spacing w:line="264" w:lineRule="auto"/>
              <w:ind w:firstLine="0"/>
              <w:rPr>
                <w:rFonts w:ascii="宋体" w:hAnsi="宋体" w:cs="宋体"/>
                <w:color w:val="auto"/>
                <w:kern w:val="0"/>
                <w:szCs w:val="21"/>
                <w:highlight w:val="none"/>
              </w:rPr>
            </w:pPr>
            <w:r>
              <w:rPr>
                <w:rFonts w:hint="eastAsia" w:ascii="宋体" w:hAnsi="宋体" w:cs="宋体"/>
                <w:color w:val="auto"/>
                <w:kern w:val="0"/>
                <w:szCs w:val="21"/>
                <w:highlight w:val="none"/>
              </w:rPr>
              <w:t>7.续航：混合模式约4小时</w:t>
            </w:r>
          </w:p>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8.快充：支持140W PD快充</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桌椅</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套</w:t>
            </w:r>
          </w:p>
        </w:tc>
        <w:tc>
          <w:tcPr>
            <w:tcW w:w="7112" w:type="dxa"/>
            <w:tcBorders>
              <w:top w:val="single" w:color="auto" w:sz="4" w:space="0"/>
              <w:left w:val="single" w:color="auto" w:sz="4" w:space="0"/>
              <w:bottom w:val="single" w:color="auto" w:sz="4" w:space="0"/>
            </w:tcBorders>
            <w:vAlign w:val="center"/>
          </w:tcPr>
          <w:p>
            <w:pPr>
              <w:pStyle w:val="7"/>
              <w:spacing w:line="264" w:lineRule="auto"/>
              <w:ind w:firstLine="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根据场地面积大小，定制颜色尺寸，</w:t>
            </w:r>
            <w:r>
              <w:rPr>
                <w:rFonts w:ascii="宋体" w:hAnsi="宋体" w:cs="宋体"/>
                <w:color w:val="auto"/>
                <w:kern w:val="0"/>
                <w:szCs w:val="21"/>
                <w:highlight w:val="none"/>
              </w:rPr>
              <w:t>20</w:t>
            </w:r>
            <w:r>
              <w:rPr>
                <w:rFonts w:hint="eastAsia" w:ascii="宋体" w:hAnsi="宋体" w:cs="宋体"/>
                <w:color w:val="auto"/>
                <w:kern w:val="0"/>
                <w:szCs w:val="21"/>
                <w:highlight w:val="none"/>
              </w:rPr>
              <w:t>人位，烤漆工艺，带电脑主机箱柜</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激光</w:t>
            </w:r>
          </w:p>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工程</w:t>
            </w:r>
          </w:p>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投影机</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vAlign w:val="center"/>
          </w:tcPr>
          <w:p>
            <w:pPr>
              <w:pStyle w:val="7"/>
              <w:spacing w:line="264" w:lineRule="auto"/>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包含：工程投影机、原装镜头、总控系统、多媒体服务器（控制端）、信号线等</w:t>
            </w:r>
            <w:r>
              <w:rPr>
                <w:rFonts w:hint="eastAsia" w:ascii="宋体" w:hAnsi="宋体" w:cs="宋体"/>
                <w:color w:val="auto"/>
                <w:szCs w:val="21"/>
                <w:highlight w:val="none"/>
                <w:lang w:eastAsia="zh-CN"/>
              </w:rPr>
              <w:t>；</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一、工程投影机：</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★1.DLP芯片：3片DMD芯片≥0.96"（不接受1DLP或1DMD及3LCD技术）；</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★2.亮度输出：标称光源寿命条件下标准模式亮度≥31000流明（ISO标准，不接受高亮模式缩减光源寿命后的亮度）(</w:t>
            </w:r>
            <w:r>
              <w:rPr>
                <w:rFonts w:hint="eastAsia" w:ascii="宋体" w:hAnsi="宋体" w:cs="宋体"/>
                <w:color w:val="auto"/>
                <w:szCs w:val="21"/>
                <w:highlight w:val="none"/>
                <w:lang w:eastAsia="zh-CN"/>
              </w:rPr>
              <w:t>(需提供同时具有CMA或CNAS标志，由国家权威机构出具的检测报告佐证，需加盖投标人公章)</w:t>
            </w:r>
            <w:r>
              <w:rPr>
                <w:rFonts w:hint="eastAsia" w:ascii="宋体" w:hAnsi="宋体" w:cs="宋体"/>
                <w:color w:val="auto"/>
                <w:szCs w:val="21"/>
                <w:highlight w:val="none"/>
              </w:rPr>
              <w:t>；</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★3.输出分辨率：≥1920x1200(</w:t>
            </w:r>
            <w:r>
              <w:rPr>
                <w:rFonts w:hint="eastAsia" w:ascii="宋体" w:hAnsi="宋体" w:cs="宋体"/>
                <w:color w:val="auto"/>
                <w:szCs w:val="21"/>
                <w:highlight w:val="none"/>
                <w:lang w:eastAsia="zh-CN"/>
              </w:rPr>
              <w:t>(需提供同时具有CMA或CNAS标志，由国家权威机构出具的检测报告佐证，需加盖投标人公章)</w:t>
            </w:r>
            <w:r>
              <w:rPr>
                <w:rFonts w:hint="eastAsia" w:ascii="宋体" w:hAnsi="宋体" w:cs="宋体"/>
                <w:color w:val="auto"/>
                <w:szCs w:val="21"/>
                <w:highlight w:val="none"/>
              </w:rPr>
              <w:t>;</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★4.原生对比度：≥2200:1（无限定条件，不接受动态或其它限定测试条件下的对比度）(</w:t>
            </w:r>
            <w:r>
              <w:rPr>
                <w:rFonts w:hint="eastAsia" w:ascii="宋体" w:hAnsi="宋体" w:cs="宋体"/>
                <w:color w:val="auto"/>
                <w:szCs w:val="21"/>
                <w:highlight w:val="none"/>
                <w:lang w:eastAsia="zh-CN"/>
              </w:rPr>
              <w:t>(需提供同时具有CMA或CNAS标志，由国家权威机构出具的检测报告佐证，需加盖投标人公章)</w:t>
            </w:r>
            <w:r>
              <w:rPr>
                <w:rFonts w:hint="eastAsia" w:ascii="宋体" w:hAnsi="宋体" w:cs="宋体"/>
                <w:color w:val="auto"/>
                <w:szCs w:val="21"/>
                <w:highlight w:val="none"/>
              </w:rPr>
              <w:t>;</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▲5.亮度均匀性：≥93%;</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★6.光源寿命：标称亮度条件下光源寿命≥寿命20000小时(提供官网截图链接和彩页，需加盖投标人公章）；</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★7.光源技术：激光；</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▲8.光源挡光板提供：数字+机械内部</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▲9.整机重量：≤48KG</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▲10.整机功耗：≤2200W</w:t>
            </w:r>
          </w:p>
          <w:p>
            <w:pPr>
              <w:rPr>
                <w:color w:val="auto"/>
                <w:highlight w:val="none"/>
              </w:rPr>
            </w:pPr>
            <w:r>
              <w:rPr>
                <w:rFonts w:hint="eastAsia" w:ascii="宋体" w:hAnsi="宋体" w:cs="宋体"/>
                <w:color w:val="auto"/>
                <w:szCs w:val="21"/>
                <w:highlight w:val="none"/>
              </w:rPr>
              <w:t>▲11.提供11款原装选配镜头：0.37；0.65-0.85；0.73:1；1.2:1；0.8-1.16；1.25-1.6:1；1.5-2.0:1；2.0-2.8:1；2.8-4.5:1；</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4.5-7.5:1；7.5-11.5:1(提供官网截图链接和彩页需加盖投标人公章）；</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▲12.中心边角比：≥90%(</w:t>
            </w:r>
            <w:r>
              <w:rPr>
                <w:rFonts w:hint="eastAsia" w:ascii="宋体" w:hAnsi="宋体" w:cs="宋体"/>
                <w:color w:val="auto"/>
                <w:szCs w:val="21"/>
                <w:highlight w:val="none"/>
                <w:lang w:eastAsia="zh-CN"/>
              </w:rPr>
              <w:t>(需提供同时具有CMA或CNAS标志，由国家权威机构出具的检测报告佐证，需加盖投标人公章)</w:t>
            </w:r>
            <w:r>
              <w:rPr>
                <w:rFonts w:hint="eastAsia" w:ascii="宋体" w:hAnsi="宋体" w:cs="宋体"/>
                <w:color w:val="auto"/>
                <w:szCs w:val="21"/>
                <w:highlight w:val="none"/>
              </w:rPr>
              <w:t>；</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▲13.BT.709 色域覆盖率:≥136%(</w:t>
            </w:r>
            <w:r>
              <w:rPr>
                <w:rFonts w:hint="eastAsia" w:ascii="宋体" w:hAnsi="宋体" w:cs="宋体"/>
                <w:color w:val="auto"/>
                <w:szCs w:val="21"/>
                <w:highlight w:val="none"/>
                <w:lang w:eastAsia="zh-CN"/>
              </w:rPr>
              <w:t>(需提供同时具有CMA或CNAS标志，由国家权威机构出具的检测报告佐证，需加盖投标人公章)</w:t>
            </w:r>
            <w:r>
              <w:rPr>
                <w:rFonts w:hint="eastAsia" w:ascii="宋体" w:hAnsi="宋体" w:cs="宋体"/>
                <w:color w:val="auto"/>
                <w:szCs w:val="21"/>
                <w:highlight w:val="none"/>
              </w:rPr>
              <w:t>；</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▲14.支持虚拟远程控制:可从任何智能手机或平板进行无线操作；</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▲15.支持单机DLP-Link 3D、IR 3D及蓝光3D：具备3D-Sync in及out接口，实现3D同步；</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▲16.标配信号输入端口：2x12GSDI，1xHDMITM2.0，1xDisplayPortTM1.2，1 x Christie Link (QSFP+ Fiber) ，1 x HDBaseT；刷新速率：高达60Hz；视频格式；高达 2048 x 1080，4:4:4，12bpc；(提供官网截图链接和彩页需加盖投标人公章）。</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二、应用功能要求：</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▲1.标配内置基于云技术的IoT物联网功能，支持有线、无线和云联网三种方式实时在线；</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▲2.机身配备全彩色液晶显示面板，便于系统调试及运行状态监控；</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▲3.支持主动3D和被动3D圆形偏振;</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▲4.全封闭DLP光学引擎，避免粉尘进入；</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▲5.内置冷却系统采用液体冷却方式；</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▲6.持选配外置液体冷却单元降低本体噪音，分离冷却最远可达8米；</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▲7.内置几何校正和边缘融合引擎,几何校正支持最大33x33点校正</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▲8.具有恒定光输出功能（CLO），能够在长时间内产生恒定亮度和色彩，多通道融合时保证亮度一致性；</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▲9.P7RealColor真彩管理系统，便于色彩一致性的调整；</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▲10.可实现7*24小时不间断工作；</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三、标配信号端口要求：</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▲1.标配信号接口：HDMI2.0x1（HDCP2.2，HDR10）、DP1.2x1、HDBaseTx1、SDIx4（支持3G、12G输入）</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▲2.标配控制接口：DMX输入/输出、RS232×1、RJ45×1、3.5mm遥控器有线接口×1；</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▲3.原装镜头：4.17-6.95:1 for WUXGA ; 4.43-7.39:1 for WQXGA/4KUHD ; 4.5-7.5:1 for SXGA+</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四、总控系统：</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1.时间线、窗口双模式编辑，无限图层</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2.支持多边形切片，实现各种异形创意显示需求</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3.DMX录制</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4.视频加密</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5.Spout播放互动程序</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6.支持特定抠像、支持图像的任意分割重组、几何变形与旋转，完成不同形状、角度的拼接显示</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7.支持顶点变换，可配合轨道镜</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8.支持动画模式和图片模式PPT播放</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9.支持网格模板，几何变形切换；也可实现多种效果切换</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10.支持多种特效，闪屏、模糊、边框、走马灯等添加滤镜强大的灯库模式</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11.支持虚拟屏幕，实现摄像拼接，摄像特写,直播截取,异形屏播放等效果</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12.支持预监模式，在不影响主画面输出的情况下查看其它待播放节目</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13多通道融合，多主机拼接融合，并同步支持多个节目的播放计划任务，可实现每周固定循环或固定时间切换节目播放内容自动开机启动、自动播放，14.支持主备模式</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15支持将输出屏幕中的画面，通过RTMP协议进行推流</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16.支持中控控制（支持TCP/UDP等协议，可以对媒体服务器进行控制。）</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17.支持移动控制端APP-ccMAX</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18.支持视频及图片播放，多点几何校正、全局色域统一、边缘消隐、投影亮度倍增。</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 xml:space="preserve">19.支持平面幕、弧幕、环幕、双曲面幕、柱体幕融合 </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20.支持NDI网络流采集</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21.单机最高支持8K×4K输出带载，并支持超大分辨率的视频解码，单个视频分辨率上限16384 x 16384；</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22.支持多路信号的输入（HDMI，DVI，SDI，YPbPr，NDI等）</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23.声道输出：支持5.1，7.1声道输出</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五、多媒体服务器（控制端）</w:t>
            </w:r>
          </w:p>
          <w:p>
            <w:pPr>
              <w:pStyle w:val="7"/>
              <w:spacing w:line="264" w:lineRule="auto"/>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1.NTEL I7处理器/16G内存/512G SSD固态硬盘，P2200专业独立显卡4输出以上，无线键鼠/22.5寸显示器</w:t>
            </w:r>
            <w:r>
              <w:rPr>
                <w:rFonts w:hint="eastAsia" w:ascii="宋体" w:hAnsi="宋体" w:cs="宋体"/>
                <w:color w:val="auto"/>
                <w:szCs w:val="21"/>
                <w:highlight w:val="none"/>
                <w:lang w:eastAsia="zh-CN"/>
              </w:rPr>
              <w:t>；</w:t>
            </w:r>
          </w:p>
          <w:p>
            <w:pPr>
              <w:pStyle w:val="7"/>
              <w:spacing w:line="264" w:lineRule="auto"/>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2.服务器支持对投影设备、DMX协议灯光产品进行联动控制，服务器含硬件、显示器、软件及数据同步</w:t>
            </w:r>
            <w:r>
              <w:rPr>
                <w:rFonts w:hint="eastAsia" w:ascii="宋体" w:hAnsi="宋体" w:cs="宋体"/>
                <w:color w:val="auto"/>
                <w:szCs w:val="21"/>
                <w:highlight w:val="none"/>
                <w:lang w:eastAsia="zh-CN"/>
              </w:rPr>
              <w:t>；</w:t>
            </w:r>
          </w:p>
          <w:p>
            <w:pPr>
              <w:pStyle w:val="7"/>
              <w:spacing w:line="264" w:lineRule="auto"/>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3.含一个控制管理软件</w:t>
            </w:r>
            <w:r>
              <w:rPr>
                <w:rFonts w:hint="eastAsia" w:ascii="宋体" w:hAnsi="宋体" w:cs="宋体"/>
                <w:color w:val="auto"/>
                <w:szCs w:val="21"/>
                <w:highlight w:val="none"/>
                <w:lang w:eastAsia="zh-CN"/>
              </w:rPr>
              <w:t>；</w:t>
            </w:r>
          </w:p>
          <w:p>
            <w:pPr>
              <w:pStyle w:val="7"/>
              <w:spacing w:line="264" w:lineRule="auto"/>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六、30米信号线，网传转换器一套，转换头等等</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工业</w:t>
            </w:r>
          </w:p>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3D打印机</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lang w:val="en"/>
              </w:rPr>
              <w:t>台</w:t>
            </w:r>
          </w:p>
        </w:tc>
        <w:tc>
          <w:tcPr>
            <w:tcW w:w="7112" w:type="dxa"/>
            <w:tcBorders>
              <w:top w:val="single" w:color="auto" w:sz="4" w:space="0"/>
              <w:left w:val="single" w:color="auto" w:sz="4" w:space="0"/>
              <w:bottom w:val="single" w:color="auto" w:sz="4" w:space="0"/>
            </w:tcBorders>
            <w:vAlign w:val="center"/>
          </w:tcPr>
          <w:p>
            <w:pPr>
              <w:pStyle w:val="7"/>
              <w:spacing w:line="264" w:lineRule="auto"/>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1.成型原理：FDM熔融积成型型</w:t>
            </w:r>
            <w:r>
              <w:rPr>
                <w:rFonts w:hint="eastAsia" w:ascii="宋体" w:hAnsi="宋体" w:cs="宋体"/>
                <w:color w:val="auto"/>
                <w:szCs w:val="21"/>
                <w:highlight w:val="none"/>
                <w:lang w:eastAsia="zh-CN"/>
              </w:rPr>
              <w:t>；</w:t>
            </w:r>
          </w:p>
          <w:p>
            <w:pPr>
              <w:pStyle w:val="7"/>
              <w:spacing w:line="264" w:lineRule="auto"/>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2.耗材类型：abs</w:t>
            </w:r>
            <w:r>
              <w:rPr>
                <w:rFonts w:hint="eastAsia" w:ascii="宋体" w:hAnsi="宋体" w:cs="宋体"/>
                <w:color w:val="auto"/>
                <w:szCs w:val="21"/>
                <w:highlight w:val="none"/>
                <w:lang w:eastAsia="zh-CN"/>
              </w:rPr>
              <w:t>；</w:t>
            </w:r>
          </w:p>
          <w:p>
            <w:pPr>
              <w:pStyle w:val="7"/>
              <w:spacing w:line="264" w:lineRule="auto"/>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3.打印速度：35-600m/s</w:t>
            </w:r>
            <w:r>
              <w:rPr>
                <w:rFonts w:hint="eastAsia" w:ascii="宋体" w:hAnsi="宋体" w:cs="宋体"/>
                <w:color w:val="auto"/>
                <w:szCs w:val="21"/>
                <w:highlight w:val="none"/>
                <w:lang w:eastAsia="zh-CN"/>
              </w:rPr>
              <w:t>；</w:t>
            </w:r>
          </w:p>
          <w:p>
            <w:pPr>
              <w:pStyle w:val="7"/>
              <w:spacing w:line="264" w:lineRule="auto"/>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4.打印尺寸：约</w:t>
            </w:r>
            <w:r>
              <w:rPr>
                <w:rFonts w:ascii="宋体" w:hAnsi="宋体" w:cs="宋体"/>
                <w:color w:val="auto"/>
                <w:szCs w:val="21"/>
                <w:highlight w:val="none"/>
              </w:rPr>
              <w:t>4</w:t>
            </w:r>
            <w:r>
              <w:rPr>
                <w:rFonts w:hint="eastAsia" w:ascii="宋体" w:hAnsi="宋体" w:cs="宋体"/>
                <w:color w:val="auto"/>
                <w:szCs w:val="21"/>
                <w:highlight w:val="none"/>
              </w:rPr>
              <w:t>00x</w:t>
            </w:r>
            <w:r>
              <w:rPr>
                <w:rFonts w:ascii="宋体" w:hAnsi="宋体" w:cs="宋体"/>
                <w:color w:val="auto"/>
                <w:szCs w:val="21"/>
                <w:highlight w:val="none"/>
              </w:rPr>
              <w:t>4</w:t>
            </w:r>
            <w:r>
              <w:rPr>
                <w:rFonts w:hint="eastAsia" w:ascii="宋体" w:hAnsi="宋体" w:cs="宋体"/>
                <w:color w:val="auto"/>
                <w:szCs w:val="21"/>
                <w:highlight w:val="none"/>
              </w:rPr>
              <w:t>00x</w:t>
            </w:r>
            <w:r>
              <w:rPr>
                <w:rFonts w:ascii="宋体" w:hAnsi="宋体" w:cs="宋体"/>
                <w:color w:val="auto"/>
                <w:szCs w:val="21"/>
                <w:highlight w:val="none"/>
              </w:rPr>
              <w:t>5</w:t>
            </w:r>
            <w:r>
              <w:rPr>
                <w:rFonts w:hint="eastAsia" w:ascii="宋体" w:hAnsi="宋体" w:cs="宋体"/>
                <w:color w:val="auto"/>
                <w:szCs w:val="21"/>
                <w:highlight w:val="none"/>
              </w:rPr>
              <w:t>00mm</w:t>
            </w:r>
            <w:r>
              <w:rPr>
                <w:rFonts w:hint="eastAsia" w:ascii="宋体" w:hAnsi="宋体" w:cs="宋体"/>
                <w:color w:val="auto"/>
                <w:szCs w:val="21"/>
                <w:highlight w:val="none"/>
                <w:lang w:eastAsia="zh-CN"/>
              </w:rPr>
              <w:t>；</w:t>
            </w:r>
          </w:p>
          <w:p>
            <w:pPr>
              <w:pStyle w:val="7"/>
              <w:spacing w:line="264" w:lineRule="auto"/>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5.打印精度：0.1mm</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3D打印机</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lang w:val="en"/>
              </w:rPr>
              <w:t>套</w:t>
            </w:r>
          </w:p>
        </w:tc>
        <w:tc>
          <w:tcPr>
            <w:tcW w:w="7112" w:type="dxa"/>
            <w:tcBorders>
              <w:top w:val="single" w:color="auto" w:sz="4" w:space="0"/>
              <w:left w:val="single" w:color="auto" w:sz="4" w:space="0"/>
              <w:bottom w:val="single" w:color="auto" w:sz="4" w:space="0"/>
            </w:tcBorders>
            <w:vAlign w:val="center"/>
          </w:tcPr>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▲1.热床支持最高温度：100℃ 适合打印的耗材（原装喷嘴）：PLA，PETG，TPU，PVA (更换硬化钢喷嘴)：PLA-CF、PETG-CF等</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2.最大功率：130ow@220V |350W@110V</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▲3.显示屏：3.5英寸 320*240分辨率触摸屏</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4.成型技术：熔融沉积成型</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5.框架：钢材+铝型材</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6.热端：全金属</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pPr>
              <w:pStyle w:val="7"/>
              <w:spacing w:line="264" w:lineRule="auto"/>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7.挤出机齿轮：钢材</w:t>
            </w:r>
            <w:r>
              <w:rPr>
                <w:rFonts w:hint="eastAsia" w:ascii="宋体" w:hAnsi="宋体" w:cs="宋体"/>
                <w:color w:val="auto"/>
                <w:szCs w:val="21"/>
                <w:highlight w:val="none"/>
                <w:lang w:eastAsia="zh-CN"/>
              </w:rPr>
              <w:t>；</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8.喷嘴：不锈钢</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pPr>
              <w:pStyle w:val="7"/>
              <w:spacing w:line="264" w:lineRule="auto"/>
              <w:ind w:firstLine="0"/>
              <w:rPr>
                <w:rFonts w:ascii="宋体" w:hAnsi="宋体" w:cs="宋体"/>
                <w:color w:val="auto"/>
                <w:szCs w:val="21"/>
                <w:highlight w:val="none"/>
              </w:rPr>
            </w:pPr>
            <w:r>
              <w:rPr>
                <w:rFonts w:hint="eastAsia" w:ascii="宋体" w:hAnsi="宋体" w:cs="宋体"/>
                <w:color w:val="auto"/>
                <w:szCs w:val="21"/>
                <w:highlight w:val="none"/>
              </w:rPr>
              <w:t>9.喷嘴最高温度：300 ℃</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pPr>
              <w:pStyle w:val="7"/>
              <w:spacing w:line="264" w:lineRule="auto"/>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10.喷嘴直径(自带)：0.4 mm </w:t>
            </w:r>
            <w:r>
              <w:rPr>
                <w:rFonts w:hint="eastAsia" w:ascii="宋体" w:hAnsi="宋体" w:cs="宋体"/>
                <w:color w:val="auto"/>
                <w:szCs w:val="21"/>
                <w:highlight w:val="none"/>
                <w:lang w:eastAsia="zh-CN"/>
              </w:rPr>
              <w:t>；</w:t>
            </w:r>
          </w:p>
          <w:p>
            <w:pPr>
              <w:pStyle w:val="7"/>
              <w:spacing w:line="264" w:lineRule="auto"/>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▲11.可支持的打印面板：低温打印面板、高温打印面板、纹理PEI打印面板，ams lite 3d 打印机智能自动供料系统，4色打印</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化妆</w:t>
            </w:r>
          </w:p>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工作台</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lang w:val="en"/>
              </w:rPr>
            </w:pPr>
            <w:r>
              <w:rPr>
                <w:rFonts w:hint="eastAsia" w:ascii="宋体" w:hAnsi="宋体" w:cs="宋体"/>
                <w:color w:val="auto"/>
                <w:kern w:val="0"/>
                <w:szCs w:val="21"/>
                <w:highlight w:val="none"/>
                <w:lang w:val="en"/>
              </w:rPr>
              <w:t>个</w:t>
            </w:r>
          </w:p>
        </w:tc>
        <w:tc>
          <w:tcPr>
            <w:tcW w:w="7112" w:type="dxa"/>
            <w:tcBorders>
              <w:top w:val="single" w:color="auto" w:sz="4" w:space="0"/>
              <w:left w:val="single" w:color="auto" w:sz="4" w:space="0"/>
              <w:bottom w:val="single" w:color="auto" w:sz="4" w:space="0"/>
            </w:tcBorders>
            <w:vAlign w:val="center"/>
          </w:tcPr>
          <w:p>
            <w:pPr>
              <w:pStyle w:val="7"/>
              <w:spacing w:line="264" w:lineRule="auto"/>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1.钢架台</w:t>
            </w:r>
            <w:r>
              <w:rPr>
                <w:rFonts w:hint="eastAsia" w:ascii="宋体" w:hAnsi="宋体" w:cs="宋体"/>
                <w:color w:val="auto"/>
                <w:szCs w:val="21"/>
                <w:highlight w:val="none"/>
                <w:lang w:eastAsia="zh-CN"/>
              </w:rPr>
              <w:t>；</w:t>
            </w:r>
          </w:p>
          <w:p>
            <w:pPr>
              <w:pStyle w:val="7"/>
              <w:spacing w:line="264" w:lineRule="auto"/>
              <w:ind w:firstLine="0"/>
              <w:rPr>
                <w:rFonts w:hint="eastAsia" w:ascii="宋体" w:hAnsi="宋体" w:eastAsia="宋体" w:cs="宋体"/>
                <w:color w:val="auto"/>
                <w:szCs w:val="21"/>
                <w:highlight w:val="none"/>
                <w:lang w:eastAsia="zh-CN"/>
              </w:rPr>
            </w:pPr>
            <w:r>
              <w:rPr>
                <w:rFonts w:ascii="宋体" w:hAnsi="宋体" w:cs="宋体"/>
                <w:color w:val="auto"/>
                <w:szCs w:val="21"/>
                <w:highlight w:val="none"/>
              </w:rPr>
              <w:t>2.</w:t>
            </w:r>
            <w:r>
              <w:rPr>
                <w:rFonts w:hint="eastAsia" w:ascii="宋体" w:hAnsi="宋体" w:cs="宋体"/>
                <w:color w:val="auto"/>
                <w:szCs w:val="21"/>
                <w:highlight w:val="none"/>
              </w:rPr>
              <w:t>约</w:t>
            </w:r>
            <w:r>
              <w:rPr>
                <w:rFonts w:ascii="宋体" w:hAnsi="宋体" w:cs="宋体"/>
                <w:color w:val="auto"/>
                <w:szCs w:val="21"/>
                <w:highlight w:val="none"/>
              </w:rPr>
              <w:t>1200*750*800mm</w:t>
            </w:r>
            <w:r>
              <w:rPr>
                <w:rFonts w:hint="eastAsia" w:ascii="宋体" w:hAnsi="宋体" w:cs="宋体"/>
                <w:color w:val="auto"/>
                <w:szCs w:val="21"/>
                <w:highlight w:val="none"/>
                <w:lang w:eastAsia="zh-CN"/>
              </w:rPr>
              <w:t>；</w:t>
            </w:r>
          </w:p>
          <w:p>
            <w:pPr>
              <w:pStyle w:val="7"/>
              <w:spacing w:line="264" w:lineRule="auto"/>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3.每桌预留3个三孔插座（带过载保护）</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trPr>
        <w:tc>
          <w:tcPr>
            <w:tcW w:w="614" w:type="dxa"/>
            <w:tcBorders>
              <w:top w:val="single" w:color="auto" w:sz="4" w:space="0"/>
              <w:bottom w:val="single" w:color="auto" w:sz="4" w:space="0"/>
              <w:right w:val="single" w:color="auto" w:sz="4" w:space="0"/>
            </w:tcBorders>
            <w:vAlign w:val="center"/>
          </w:tcPr>
          <w:p>
            <w:pPr>
              <w:spacing w:line="264"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工作站</w:t>
            </w:r>
          </w:p>
        </w:tc>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59" w:type="dxa"/>
            <w:tcBorders>
              <w:top w:val="single" w:color="auto" w:sz="4" w:space="0"/>
              <w:left w:val="single" w:color="auto" w:sz="4" w:space="0"/>
              <w:bottom w:val="single" w:color="auto" w:sz="4" w:space="0"/>
              <w:right w:val="single" w:color="auto" w:sz="4" w:space="0"/>
            </w:tcBorders>
            <w:vAlign w:val="center"/>
          </w:tcPr>
          <w:p>
            <w:pPr>
              <w:widowControl/>
              <w:spacing w:line="264" w:lineRule="auto"/>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c>
          <w:tcPr>
            <w:tcW w:w="7112" w:type="dxa"/>
            <w:tcBorders>
              <w:top w:val="single" w:color="auto" w:sz="4" w:space="0"/>
              <w:left w:val="single" w:color="auto" w:sz="4" w:space="0"/>
              <w:bottom w:val="single" w:color="auto" w:sz="4" w:space="0"/>
            </w:tcBorders>
            <w:vAlign w:val="center"/>
          </w:tcPr>
          <w:p>
            <w:pPr>
              <w:pStyle w:val="7"/>
              <w:spacing w:line="264" w:lineRule="auto"/>
              <w:ind w:firstLine="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配置不低于13代 i7-13620H 10核心 16线程处理器 4.9GHz 24MB缓存；</w:t>
            </w:r>
            <w:r>
              <w:rPr>
                <w:rFonts w:hint="eastAsia" w:ascii="宋体" w:hAnsi="宋体" w:cs="宋体"/>
                <w:color w:val="auto"/>
                <w:szCs w:val="21"/>
                <w:highlight w:val="none"/>
              </w:rPr>
              <w:br w:type="textWrapping"/>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配置不低于64EU锐炬Xe核芯显卡；16G内存；512GSSD硬盘；</w:t>
            </w:r>
            <w:r>
              <w:rPr>
                <w:rFonts w:hint="eastAsia" w:ascii="宋体" w:hAnsi="宋体" w:cs="宋体"/>
                <w:color w:val="auto"/>
                <w:szCs w:val="21"/>
                <w:highlight w:val="none"/>
              </w:rPr>
              <w:br w:type="textWrapping"/>
            </w: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 xml:space="preserve">显示器配置不低于32寸 1080P(FHD) 60Hz 高清显示器 </w:t>
            </w:r>
            <w:r>
              <w:rPr>
                <w:rFonts w:hint="eastAsia" w:ascii="宋体" w:hAnsi="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14" w:type="dxa"/>
            <w:gridSpan w:val="5"/>
            <w:tcBorders>
              <w:top w:val="single" w:color="auto" w:sz="4" w:space="0"/>
              <w:bottom w:val="single" w:color="auto" w:sz="4" w:space="0"/>
            </w:tcBorders>
            <w:vAlign w:val="center"/>
          </w:tcPr>
          <w:p>
            <w:pPr>
              <w:widowControl/>
              <w:spacing w:line="264" w:lineRule="auto"/>
              <w:rPr>
                <w:rFonts w:ascii="宋体" w:hAnsi="宋体" w:cs="宋体"/>
                <w:b/>
                <w:color w:val="auto"/>
                <w:kern w:val="0"/>
                <w:szCs w:val="21"/>
                <w:highlight w:val="none"/>
                <w:lang w:eastAsia="en-US"/>
              </w:rPr>
            </w:pPr>
            <w:r>
              <w:rPr>
                <w:rFonts w:hint="eastAsia" w:ascii="宋体" w:hAnsi="宋体" w:cs="宋体"/>
                <w:color w:val="auto"/>
                <w:szCs w:val="21"/>
                <w:highlight w:val="none"/>
              </w:rPr>
              <w:t>▲</w:t>
            </w:r>
            <w:r>
              <w:rPr>
                <w:rFonts w:hint="eastAsia" w:ascii="宋体" w:hAnsi="宋体" w:cs="宋体"/>
                <w:b/>
                <w:color w:val="auto"/>
                <w:kern w:val="0"/>
                <w:szCs w:val="21"/>
                <w:highlight w:val="none"/>
                <w:lang w:eastAsia="en-US"/>
              </w:rPr>
              <w:t>商务及其他要求表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报价要求</w:t>
            </w:r>
          </w:p>
        </w:tc>
        <w:tc>
          <w:tcPr>
            <w:tcW w:w="8590" w:type="dxa"/>
            <w:gridSpan w:val="3"/>
            <w:tcBorders>
              <w:top w:val="single" w:color="auto" w:sz="4" w:space="0"/>
              <w:left w:val="single" w:color="auto" w:sz="4" w:space="0"/>
              <w:bottom w:val="single" w:color="auto" w:sz="4" w:space="0"/>
            </w:tcBorders>
            <w:vAlign w:val="center"/>
          </w:tcPr>
          <w:p>
            <w:pPr>
              <w:adjustRightInd w:val="0"/>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投标报价是履行合同的最终价格，包括但不限于：</w:t>
            </w:r>
          </w:p>
          <w:p>
            <w:pPr>
              <w:adjustRightInd w:val="0"/>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（1）货物的价格；</w:t>
            </w:r>
          </w:p>
          <w:p>
            <w:pPr>
              <w:adjustRightInd w:val="0"/>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（2）货物的标准附件、备品备件、专用工具的价格；</w:t>
            </w:r>
          </w:p>
          <w:p>
            <w:pPr>
              <w:adjustRightInd w:val="0"/>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（3）运输、装卸、软硬件安装调试、培训、技术支持、售后服务、上门等费用；</w:t>
            </w:r>
          </w:p>
          <w:p>
            <w:pPr>
              <w:adjustRightInd w:val="0"/>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（4）必要的保险费用和各项税费；</w:t>
            </w:r>
          </w:p>
          <w:p>
            <w:pPr>
              <w:adjustRightInd w:val="0"/>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（5）施工（安装）费用；</w:t>
            </w:r>
          </w:p>
          <w:p>
            <w:pPr>
              <w:adjustRightInd w:val="0"/>
              <w:snapToGrid w:val="0"/>
              <w:spacing w:line="264" w:lineRule="auto"/>
              <w:rPr>
                <w:rFonts w:ascii="宋体" w:hAnsi="宋体" w:cs="宋体"/>
                <w:color w:val="auto"/>
                <w:szCs w:val="21"/>
                <w:highlight w:val="none"/>
              </w:rPr>
            </w:pPr>
            <w:r>
              <w:rPr>
                <w:rFonts w:hint="eastAsia" w:ascii="宋体" w:hAnsi="宋体" w:cs="宋体"/>
                <w:color w:val="auto"/>
                <w:szCs w:val="21"/>
                <w:highlight w:val="none"/>
              </w:rPr>
              <w:t>（6）设备零配件、项目安装、调试、检测、试验及验收、现场卫生清理、线缆、管材、开孔、开槽及埋管和招标文件中有关的全部内容并完成所有工程和服务，所有成本费用的总和，采购人不再支付其它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核心产品</w:t>
            </w:r>
          </w:p>
        </w:tc>
        <w:tc>
          <w:tcPr>
            <w:tcW w:w="8590" w:type="dxa"/>
            <w:gridSpan w:val="3"/>
            <w:tcBorders>
              <w:top w:val="single" w:color="auto" w:sz="4" w:space="0"/>
              <w:left w:val="single" w:color="auto" w:sz="4" w:space="0"/>
              <w:bottom w:val="single" w:color="auto" w:sz="4" w:space="0"/>
            </w:tcBorders>
            <w:vAlign w:val="center"/>
          </w:tcPr>
          <w:p>
            <w:pPr>
              <w:adjustRightInd w:val="0"/>
              <w:snapToGrid w:val="0"/>
              <w:spacing w:line="264" w:lineRule="auto"/>
              <w:rPr>
                <w:rFonts w:hint="eastAsia" w:ascii="宋体" w:hAnsi="宋体" w:eastAsia="宋体" w:cs="宋体"/>
                <w:color w:val="auto"/>
                <w:szCs w:val="21"/>
                <w:highlight w:val="none"/>
                <w:lang w:eastAsia="zh-CN"/>
              </w:rPr>
            </w:pPr>
            <w:r>
              <w:rPr>
                <w:rFonts w:hint="eastAsia"/>
                <w:b/>
                <w:bCs/>
                <w:color w:val="auto"/>
                <w:highlight w:val="none"/>
              </w:rPr>
              <w:t>第1项</w:t>
            </w:r>
            <w:r>
              <w:rPr>
                <w:rFonts w:hint="eastAsia"/>
                <w:b/>
                <w:bCs/>
                <w:color w:val="auto"/>
                <w:highlight w:val="none"/>
                <w:lang w:eastAsia="zh-CN"/>
              </w:rPr>
              <w:t>“</w:t>
            </w:r>
            <w:r>
              <w:rPr>
                <w:b/>
                <w:bCs/>
                <w:color w:val="auto"/>
                <w:highlight w:val="none"/>
              </w:rPr>
              <w:t>LED</w:t>
            </w:r>
            <w:r>
              <w:rPr>
                <w:rFonts w:hint="eastAsia"/>
                <w:b/>
                <w:bCs/>
                <w:color w:val="auto"/>
                <w:highlight w:val="none"/>
              </w:rPr>
              <w:t>屏</w:t>
            </w:r>
            <w:r>
              <w:rPr>
                <w:rFonts w:hint="eastAsia"/>
                <w:b/>
                <w:bCs/>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合同签订时间</w:t>
            </w:r>
          </w:p>
        </w:tc>
        <w:tc>
          <w:tcPr>
            <w:tcW w:w="8590" w:type="dxa"/>
            <w:gridSpan w:val="3"/>
            <w:tcBorders>
              <w:top w:val="single" w:color="auto" w:sz="4" w:space="0"/>
              <w:left w:val="single" w:color="auto" w:sz="4" w:space="0"/>
              <w:bottom w:val="single" w:color="auto" w:sz="4" w:space="0"/>
            </w:tcBorders>
            <w:vAlign w:val="center"/>
          </w:tcPr>
          <w:p>
            <w:pPr>
              <w:adjustRightInd w:val="0"/>
              <w:snapToGrid w:val="0"/>
              <w:spacing w:line="264" w:lineRule="auto"/>
              <w:rPr>
                <w:rFonts w:ascii="宋体" w:hAnsi="宋体" w:cs="宋体"/>
                <w:bCs/>
                <w:color w:val="auto"/>
                <w:szCs w:val="21"/>
                <w:highlight w:val="none"/>
              </w:rPr>
            </w:pPr>
            <w:r>
              <w:rPr>
                <w:rFonts w:hint="eastAsia" w:ascii="宋体" w:hAnsi="宋体" w:cs="宋体"/>
                <w:bCs/>
                <w:color w:val="auto"/>
                <w:szCs w:val="21"/>
                <w:highlight w:val="none"/>
              </w:rPr>
              <w:t>自中标通知书发出之日起10个日历日内签订采购合同。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widowControl/>
              <w:wordWrap w:val="0"/>
              <w:spacing w:line="264"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交货时间及地点</w:t>
            </w:r>
          </w:p>
        </w:tc>
        <w:tc>
          <w:tcPr>
            <w:tcW w:w="8590" w:type="dxa"/>
            <w:gridSpan w:val="3"/>
            <w:tcBorders>
              <w:top w:val="single" w:color="auto" w:sz="4" w:space="0"/>
              <w:left w:val="single" w:color="auto" w:sz="4" w:space="0"/>
              <w:bottom w:val="single" w:color="auto" w:sz="4" w:space="0"/>
            </w:tcBorders>
            <w:vAlign w:val="center"/>
          </w:tcPr>
          <w:p>
            <w:pPr>
              <w:snapToGrid w:val="0"/>
              <w:spacing w:line="264" w:lineRule="auto"/>
              <w:rPr>
                <w:rFonts w:ascii="宋体" w:hAnsi="宋体" w:cs="宋体"/>
                <w:color w:val="auto"/>
                <w:spacing w:val="7"/>
                <w:szCs w:val="21"/>
                <w:highlight w:val="none"/>
              </w:rPr>
            </w:pPr>
            <w:r>
              <w:rPr>
                <w:rFonts w:hint="eastAsia" w:ascii="宋体" w:hAnsi="宋体" w:cs="宋体"/>
                <w:color w:val="auto"/>
                <w:spacing w:val="7"/>
                <w:szCs w:val="21"/>
                <w:highlight w:val="none"/>
              </w:rPr>
              <w:t>1.交付使用时间：</w:t>
            </w:r>
            <w:r>
              <w:rPr>
                <w:rFonts w:hint="eastAsia" w:ascii="宋体" w:hAnsi="宋体" w:cs="宋体"/>
                <w:color w:val="auto"/>
                <w:szCs w:val="21"/>
                <w:highlight w:val="none"/>
              </w:rPr>
              <w:t>自合同签订后，接到采购人通知之日起30日内完成设备安装调试验收等</w:t>
            </w:r>
            <w:r>
              <w:rPr>
                <w:rFonts w:hint="eastAsia" w:ascii="宋体" w:hAnsi="宋体" w:cs="宋体"/>
                <w:color w:val="auto"/>
                <w:spacing w:val="7"/>
                <w:szCs w:val="21"/>
                <w:highlight w:val="none"/>
              </w:rPr>
              <w:t>。</w:t>
            </w:r>
          </w:p>
          <w:p>
            <w:pPr>
              <w:snapToGrid w:val="0"/>
              <w:spacing w:line="264" w:lineRule="auto"/>
              <w:rPr>
                <w:rFonts w:ascii="宋体" w:hAnsi="宋体" w:cs="宋体"/>
                <w:color w:val="auto"/>
                <w:szCs w:val="21"/>
                <w:highlight w:val="none"/>
              </w:rPr>
            </w:pPr>
            <w:r>
              <w:rPr>
                <w:rFonts w:hint="eastAsia" w:ascii="宋体" w:hAnsi="宋体" w:cs="宋体"/>
                <w:color w:val="auto"/>
                <w:spacing w:val="7"/>
                <w:szCs w:val="21"/>
                <w:highlight w:val="none"/>
              </w:rPr>
              <w:t>2.交货地点：</w:t>
            </w:r>
            <w:r>
              <w:rPr>
                <w:rFonts w:hint="eastAsia" w:ascii="宋体" w:hAnsi="宋体" w:cs="宋体"/>
                <w:color w:val="auto"/>
                <w:szCs w:val="21"/>
                <w:highlight w:val="none"/>
              </w:rPr>
              <w:t>南宁市内广西艺术学院（南湖校区）采购人指定地点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widowControl/>
              <w:wordWrap w:val="0"/>
              <w:spacing w:line="264"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售后及服务要求</w:t>
            </w:r>
          </w:p>
        </w:tc>
        <w:tc>
          <w:tcPr>
            <w:tcW w:w="8590" w:type="dxa"/>
            <w:gridSpan w:val="3"/>
            <w:tcBorders>
              <w:top w:val="single" w:color="auto" w:sz="4" w:space="0"/>
              <w:left w:val="single" w:color="auto" w:sz="4" w:space="0"/>
              <w:bottom w:val="single" w:color="auto" w:sz="4" w:space="0"/>
            </w:tcBorders>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1.设备必须是全新原厂正品。</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2.分项有质保要求的按分项质保要求，分项没有质保要求的按国家有关产品“三包”规定执行“三包”政策，质保期以通过项目最终验收的验收报告签字日开始计算。</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3.质保期内所有由于质量问题导致的软、硬件产品故障及设备损坏，中标供应商提供保修、人工及更换备件的上门服务，并提供终身维护。质保期内采购人不再支付任何费用。</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4．免费送货上门，免费安装调试合格；</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5．中标供应商必须负责项目设备送货、建设、安装调试与培训，免费提供设备操作培训，提供全套说明书；免费现场培训 2～3 名相关人员至掌握设备操作及日常维护；</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6．设备如出现故障在接到采购人通知后在30分钟内响应，2小时内上门服务，12小时内解决故障；未能在规定时间内排除故障的，必须在接到采购人通知后48小时内提供同档次的备用机并提交故障解决处理方案；</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7．提供定期回访及巡检服务；</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8．项目供货及安装过程中产生的残留物或垃圾，需由中标供应商自行清理至校外国家有关部门指定堆放处，产品包装箱及有关产品说明书等处置需经采购人确认后处理。</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9．对于软件系统存在的安全漏洞包括但不限于数据库安全的情形，中标供应商应提供终身免费系统升级补丁及做好安全策略。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widowControl/>
              <w:wordWrap w:val="0"/>
              <w:spacing w:line="264" w:lineRule="auto"/>
              <w:jc w:val="center"/>
              <w:textAlignment w:val="center"/>
              <w:rPr>
                <w:rFonts w:ascii="宋体" w:hAnsi="宋体" w:cs="宋体"/>
                <w:color w:val="auto"/>
                <w:szCs w:val="21"/>
                <w:highlight w:val="none"/>
              </w:rPr>
            </w:pPr>
            <w:r>
              <w:rPr>
                <w:rFonts w:hint="eastAsia" w:ascii="宋体" w:hAnsi="宋体" w:cs="宋体"/>
                <w:color w:val="auto"/>
                <w:szCs w:val="21"/>
                <w:highlight w:val="none"/>
              </w:rPr>
              <w:t>付款方式</w:t>
            </w:r>
          </w:p>
        </w:tc>
        <w:tc>
          <w:tcPr>
            <w:tcW w:w="8590" w:type="dxa"/>
            <w:gridSpan w:val="3"/>
            <w:tcBorders>
              <w:top w:val="single" w:color="auto" w:sz="4" w:space="0"/>
              <w:left w:val="single" w:color="auto" w:sz="4" w:space="0"/>
              <w:bottom w:val="single" w:color="auto" w:sz="4" w:space="0"/>
            </w:tcBorders>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1.预付款：签订合同之日起10个工作日内，中标人开具合同总价款的 30%的等额价值保函(保函有效期应在 2025年 12月30日后)给采购人后，采购人支付合同总价款的30%作为预付款。进度款：全部设备到货后，经采购人确认后在十个工作日内向中标供应商付款方式支付合同价款的50%；所有货物安装调试完成、试运行正常且验收合格，并经采购人确认后，在十个工作日内向中标供应商支付合同价款的20%。</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2.若采购数量与实际使用数量不一致时，成交供应商应根据实际使用量供货，合同的最终结算金额按实际使用量乘以成交单价进行据实计算。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spacing w:line="264"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8590" w:type="dxa"/>
            <w:gridSpan w:val="3"/>
            <w:tcBorders>
              <w:top w:val="single" w:color="auto" w:sz="4" w:space="0"/>
              <w:left w:val="single" w:color="auto" w:sz="4" w:space="0"/>
              <w:bottom w:val="single" w:color="auto" w:sz="4" w:space="0"/>
            </w:tcBorders>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1.按本项目中标总金额的5%（如中标供应商为中小企业的，按本项目中标总金额的2%）收取；中标供应商在签订合同前交至指定账户。</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2.履约保证金递交方式：支票、汇票、本票、</w:t>
            </w:r>
            <w:r>
              <w:rPr>
                <w:rFonts w:hint="eastAsia" w:ascii="宋体" w:hAnsi="宋体" w:cs="宋体"/>
                <w:color w:val="auto"/>
                <w:szCs w:val="21"/>
                <w:highlight w:val="none"/>
                <w:lang w:val="en"/>
              </w:rPr>
              <w:t>金融机构</w:t>
            </w:r>
            <w:r>
              <w:rPr>
                <w:rFonts w:hint="eastAsia" w:ascii="宋体" w:hAnsi="宋体" w:cs="宋体"/>
                <w:color w:val="auto"/>
                <w:szCs w:val="21"/>
                <w:highlight w:val="none"/>
              </w:rPr>
              <w:t>、担保机构出具的保函等非现金形式。</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履约保证金指定账户：</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开户名称：广西艺术学院</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开户银行：建行南宁市桃源支行</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银行账号：45001604559050500909</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3.履约保证金退付方式、时间及条件：中标供应商按合同要求完全履约，项目验收合格后，待中标供应商履行完质保义务且无违约情况下后由采购人无息退还。合同履行期间，中标供应商存在违约的，采购人有权从履约保证金中先行抵扣，不足部分由中标供应商另行支付，采购人直接从履约保证金中扣除的，中标供应商应于接到采购人补足履约保证金通知之日起3个工作日内补足。</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由中标人向履约保证金收取单位提供《广西壮族自治区政府采购项目合同验收书》（详见桂财采〔2015〕22号），保证金收取单位在收到合格材料后5个工作日内办理退还手续（不计利息）。</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不予退还的情形：签订合同后，如中标人不按双方签订的合同规定履约，则其全部履约保证金不予退还。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验收要求</w:t>
            </w:r>
          </w:p>
        </w:tc>
        <w:tc>
          <w:tcPr>
            <w:tcW w:w="8590" w:type="dxa"/>
            <w:gridSpan w:val="3"/>
            <w:tcBorders>
              <w:top w:val="single" w:color="auto" w:sz="4" w:space="0"/>
              <w:left w:val="single" w:color="auto" w:sz="4" w:space="0"/>
              <w:bottom w:val="single" w:color="auto" w:sz="4" w:space="0"/>
            </w:tcBorders>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投标产品须是按满足采购人需求配置提供的厂家出厂的整套全新，具备正规合法经销渠道，符合国家各项有关质量标准的合格产品。相关部件及服务须满足本表中各项要求。所有设备除满足招标文件要求及投标文件承诺的技术参数和配置外，其余均按国家标准及生产厂家出厂标准配置，若产品在运输过程中损坏须无偿调换同样产品。</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合同签订之后，采购人有权要求中标人提供所投所有产品进行功能核验，如有配置或功能不能满足招标要求，按违约处理，必要时采购人有权要求中标人提供有资质的第三方检测机构出具的检测报告，检测所需费用由中标人自行承担。</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3．投标人所提供的产品必须为原装正品的、全新的、完好无破损、且为未开箱状态、符合有关质量标准的产品；设备到货安装前，采购人现场根据招标文件要求及投标文件承诺逐条对应进行核验（必要时，采购人有权要求供应商对各项指标进行现场演示），核验不合格或中标供应商未按采购人要求提供现场演示或技术功能无法达到相应技术要求的，按违约处理，采购人有权全部退货，同时报相关监督管理部门处理，由此造成采购人经济损失的由中标供应商负责承担全部赔偿责任。</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4．验收方式和验收材料要求</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（1）采购人在项目完成且收到中标供应商验收申请后5个工作日内组织开展履约验收。</w:t>
            </w:r>
          </w:p>
          <w:p>
            <w:pPr>
              <w:snapToGrid w:val="0"/>
              <w:spacing w:line="360" w:lineRule="auto"/>
              <w:rPr>
                <w:rFonts w:ascii="宋体" w:hAnsi="宋体" w:cs="宋体"/>
                <w:color w:val="auto"/>
                <w:szCs w:val="21"/>
                <w:highlight w:val="none"/>
                <w:lang w:val="en"/>
              </w:rPr>
            </w:pPr>
            <w:r>
              <w:rPr>
                <w:rFonts w:hint="eastAsia" w:ascii="宋体" w:hAnsi="宋体" w:cs="宋体"/>
                <w:color w:val="auto"/>
                <w:szCs w:val="21"/>
                <w:highlight w:val="none"/>
              </w:rPr>
              <w:t>（2）中标供应商必须提供合格的验收材料，验收材料包括①验收申请书（原件）、②中标通知书复印件、③合同（包括附件加盖采购代理机构章的格式合同中规定的附件）复印件；④项目实施过程文件、⑤货物的证明文件、⑥货物的技术资料、⑦培训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724" w:type="dxa"/>
            <w:gridSpan w:val="2"/>
            <w:tcBorders>
              <w:top w:val="single" w:color="auto" w:sz="4" w:space="0"/>
              <w:bottom w:val="single" w:color="auto" w:sz="4" w:space="0"/>
              <w:right w:val="single" w:color="auto" w:sz="4" w:space="0"/>
            </w:tcBorders>
            <w:vAlign w:val="center"/>
          </w:tcPr>
          <w:p>
            <w:pPr>
              <w:widowControl/>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其他要求</w:t>
            </w:r>
          </w:p>
        </w:tc>
        <w:tc>
          <w:tcPr>
            <w:tcW w:w="8590" w:type="dxa"/>
            <w:gridSpan w:val="3"/>
            <w:tcBorders>
              <w:top w:val="single" w:color="auto" w:sz="4" w:space="0"/>
              <w:left w:val="single" w:color="auto" w:sz="4" w:space="0"/>
              <w:bottom w:val="single" w:color="auto" w:sz="4" w:space="0"/>
            </w:tcBorders>
            <w:vAlign w:val="center"/>
          </w:tcPr>
          <w:p>
            <w:pPr>
              <w:snapToGrid w:val="0"/>
              <w:spacing w:line="360" w:lineRule="auto"/>
              <w:jc w:val="left"/>
              <w:rPr>
                <w:rFonts w:ascii="宋体" w:hAnsi="宋体" w:cs="宋体"/>
                <w:color w:val="auto"/>
                <w:szCs w:val="21"/>
                <w:highlight w:val="none"/>
                <w:lang w:val="en"/>
              </w:rPr>
            </w:pPr>
            <w:r>
              <w:rPr>
                <w:rFonts w:hint="eastAsia" w:ascii="宋体" w:hAnsi="宋体" w:cs="宋体"/>
                <w:color w:val="auto"/>
                <w:szCs w:val="21"/>
                <w:highlight w:val="none"/>
              </w:rPr>
              <w:t>1.</w:t>
            </w:r>
            <w:r>
              <w:rPr>
                <w:rFonts w:hint="eastAsia" w:ascii="宋体" w:hAnsi="宋体" w:cs="宋体"/>
                <w:color w:val="auto"/>
                <w:szCs w:val="21"/>
                <w:highlight w:val="none"/>
                <w:lang w:val="en"/>
              </w:rPr>
              <w:t>本分标货物不接受进口产品（即通过中国海关报关验放进入中国境内且产自关境外的产品）参与投标。</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投标人所提供的任何材料应当真实有效，如在评审过程中发现投标人在投标文件中提供任何虚假材料的，按投标无效处理，采购人有权汇报监督管理部门处理；中标后，采购人发现投标人在投标文件中提供任何虚假材料的，采购人有权汇报监督管理部门处理，且中标供应商须依照《中华人民共和国消费者权益保护法》赔偿采购人，民事赔偿并不免除违法中标供应商的法律责任。</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3.本项目货物涉及的产品及其配件包括但不限于各类芯片等必须符合国家有关政策规定，不得使用国家禁止使用范围内的产品及其配件，否则投标无效。</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4.本项目采购的投标产品如有属于政府采购强制节能产品的，应根据《市场监管总局关于发布参与实施政府采购节能产品、环境标志产品认证机构名录的公告》2019年第16号、财库〔2019〕9号以及财库〔2019〕19号文规定，投标人的投标产品，投标时须提供国家确定的认证机构出具的、处于有效期之内的有效的节能产品认证证书复印件并加盖投标人公章。</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5.采购货物纳入强制性产品认证（3C认证）的，投标人所投产品必须从其规定。</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6.如投标人投标产品存在侵犯他人的知识产权或者专利成果行为的，由投标人自行承担相应法律责任。</w:t>
            </w:r>
          </w:p>
        </w:tc>
      </w:tr>
    </w:tbl>
    <w:p>
      <w:pPr>
        <w:snapToGrid w:val="0"/>
        <w:spacing w:line="360" w:lineRule="auto"/>
        <w:rPr>
          <w:rFonts w:ascii="宋体" w:hAnsi="宋体" w:cs="宋体"/>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pStyle w:val="100"/>
        <w:rPr>
          <w:rFonts w:ascii="仿宋_GB2312" w:eastAsia="仿宋_GB2312"/>
          <w:b/>
          <w:color w:val="auto"/>
          <w:szCs w:val="21"/>
          <w:highlight w:val="none"/>
        </w:rPr>
      </w:pPr>
    </w:p>
    <w:p>
      <w:pPr>
        <w:pStyle w:val="21"/>
        <w:rPr>
          <w:rFonts w:ascii="仿宋_GB2312" w:eastAsia="仿宋_GB2312"/>
          <w:b/>
          <w:color w:val="auto"/>
          <w:szCs w:val="21"/>
          <w:highlight w:val="none"/>
        </w:rPr>
      </w:pPr>
    </w:p>
    <w:p>
      <w:pPr>
        <w:pStyle w:val="21"/>
        <w:rPr>
          <w:rFonts w:ascii="仿宋_GB2312" w:eastAsia="仿宋_GB2312"/>
          <w:b/>
          <w:color w:val="auto"/>
          <w:szCs w:val="21"/>
          <w:highlight w:val="none"/>
        </w:rPr>
      </w:pPr>
    </w:p>
    <w:p>
      <w:pPr>
        <w:pStyle w:val="21"/>
        <w:rPr>
          <w:rFonts w:ascii="仿宋_GB2312" w:eastAsia="仿宋_GB2312"/>
          <w:b/>
          <w:color w:val="auto"/>
          <w:szCs w:val="21"/>
          <w:highlight w:val="none"/>
        </w:rPr>
      </w:pPr>
    </w:p>
    <w:p>
      <w:pPr>
        <w:pStyle w:val="21"/>
        <w:rPr>
          <w:rFonts w:ascii="仿宋_GB2312" w:eastAsia="仿宋_GB2312"/>
          <w:b/>
          <w:color w:val="auto"/>
          <w:szCs w:val="21"/>
          <w:highlight w:val="none"/>
        </w:rPr>
      </w:pPr>
    </w:p>
    <w:p>
      <w:pPr>
        <w:pStyle w:val="21"/>
        <w:rPr>
          <w:rFonts w:ascii="仿宋_GB2312" w:eastAsia="仿宋_GB2312"/>
          <w:b/>
          <w:color w:val="auto"/>
          <w:szCs w:val="21"/>
          <w:highlight w:val="none"/>
        </w:rPr>
      </w:pPr>
    </w:p>
    <w:p>
      <w:pPr>
        <w:pStyle w:val="21"/>
        <w:rPr>
          <w:rFonts w:ascii="仿宋_GB2312" w:eastAsia="仿宋_GB2312"/>
          <w:b/>
          <w:color w:val="auto"/>
          <w:szCs w:val="21"/>
          <w:highlight w:val="none"/>
        </w:rPr>
      </w:pPr>
    </w:p>
    <w:p>
      <w:pPr>
        <w:pStyle w:val="21"/>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rPr>
          <w:rFonts w:ascii="仿宋_GB2312" w:eastAsia="仿宋_GB2312"/>
          <w:b/>
          <w:color w:val="auto"/>
          <w:szCs w:val="21"/>
          <w:highlight w:val="none"/>
        </w:rPr>
      </w:pPr>
    </w:p>
    <w:p>
      <w:pPr>
        <w:pStyle w:val="52"/>
        <w:ind w:firstLine="241"/>
        <w:rPr>
          <w:rFonts w:ascii="仿宋_GB2312" w:eastAsia="仿宋_GB2312"/>
          <w:b/>
          <w:color w:val="auto"/>
          <w:szCs w:val="21"/>
          <w:highlight w:val="none"/>
        </w:rPr>
      </w:pPr>
    </w:p>
    <w:p>
      <w:pPr>
        <w:pStyle w:val="52"/>
        <w:ind w:firstLine="241"/>
        <w:rPr>
          <w:rFonts w:ascii="仿宋_GB2312" w:eastAsia="仿宋_GB2312"/>
          <w:b/>
          <w:color w:val="auto"/>
          <w:szCs w:val="21"/>
          <w:highlight w:val="none"/>
        </w:rPr>
      </w:pPr>
    </w:p>
    <w:p>
      <w:pPr>
        <w:pStyle w:val="52"/>
        <w:ind w:firstLine="241"/>
        <w:rPr>
          <w:rFonts w:ascii="仿宋_GB2312" w:eastAsia="仿宋_GB2312"/>
          <w:b/>
          <w:color w:val="auto"/>
          <w:szCs w:val="21"/>
          <w:highlight w:val="none"/>
        </w:rPr>
      </w:pPr>
    </w:p>
    <w:p>
      <w:pPr>
        <w:pStyle w:val="52"/>
        <w:ind w:firstLine="241"/>
        <w:rPr>
          <w:rFonts w:ascii="仿宋_GB2312" w:eastAsia="仿宋_GB2312"/>
          <w:b/>
          <w:color w:val="auto"/>
          <w:szCs w:val="21"/>
          <w:highlight w:val="none"/>
        </w:rPr>
      </w:pPr>
    </w:p>
    <w:p>
      <w:pPr>
        <w:pStyle w:val="52"/>
        <w:ind w:firstLine="241"/>
        <w:rPr>
          <w:rFonts w:ascii="仿宋_GB2312" w:eastAsia="仿宋_GB2312"/>
          <w:b/>
          <w:color w:val="auto"/>
          <w:szCs w:val="21"/>
          <w:highlight w:val="none"/>
        </w:rPr>
      </w:pPr>
    </w:p>
    <w:p>
      <w:pPr>
        <w:pStyle w:val="52"/>
        <w:ind w:firstLine="241"/>
        <w:rPr>
          <w:rFonts w:ascii="仿宋_GB2312" w:eastAsia="仿宋_GB2312"/>
          <w:b/>
          <w:color w:val="auto"/>
          <w:szCs w:val="21"/>
          <w:highlight w:val="none"/>
        </w:rPr>
      </w:pPr>
    </w:p>
    <w:p>
      <w:pPr>
        <w:pStyle w:val="52"/>
        <w:ind w:firstLine="241"/>
        <w:rPr>
          <w:rFonts w:ascii="仿宋_GB2312" w:eastAsia="仿宋_GB2312"/>
          <w:b/>
          <w:color w:val="auto"/>
          <w:szCs w:val="21"/>
          <w:highlight w:val="none"/>
        </w:rPr>
      </w:pPr>
    </w:p>
    <w:p>
      <w:pPr>
        <w:pStyle w:val="52"/>
        <w:ind w:firstLine="241"/>
        <w:rPr>
          <w:rFonts w:ascii="仿宋_GB2312" w:eastAsia="仿宋_GB2312"/>
          <w:b/>
          <w:color w:val="auto"/>
          <w:szCs w:val="21"/>
          <w:highlight w:val="none"/>
        </w:rPr>
      </w:pPr>
    </w:p>
    <w:p>
      <w:pPr>
        <w:pStyle w:val="52"/>
        <w:ind w:firstLine="241"/>
        <w:rPr>
          <w:rFonts w:ascii="仿宋_GB2312" w:eastAsia="仿宋_GB2312"/>
          <w:b/>
          <w:color w:val="auto"/>
          <w:szCs w:val="21"/>
          <w:highlight w:val="none"/>
        </w:rPr>
      </w:pPr>
    </w:p>
    <w:p>
      <w:pPr>
        <w:pStyle w:val="52"/>
        <w:ind w:firstLine="241"/>
        <w:rPr>
          <w:rFonts w:ascii="仿宋_GB2312" w:eastAsia="仿宋_GB2312"/>
          <w:b/>
          <w:color w:val="auto"/>
          <w:szCs w:val="21"/>
          <w:highlight w:val="none"/>
        </w:rPr>
      </w:pPr>
    </w:p>
    <w:p>
      <w:pPr>
        <w:pStyle w:val="52"/>
        <w:ind w:firstLine="241"/>
        <w:rPr>
          <w:rFonts w:ascii="仿宋_GB2312" w:eastAsia="仿宋_GB2312"/>
          <w:b/>
          <w:color w:val="auto"/>
          <w:szCs w:val="21"/>
          <w:highlight w:val="none"/>
        </w:rPr>
      </w:pPr>
    </w:p>
    <w:p>
      <w:pPr>
        <w:pStyle w:val="52"/>
        <w:ind w:firstLine="241"/>
        <w:rPr>
          <w:rFonts w:ascii="仿宋_GB2312" w:eastAsia="仿宋_GB2312"/>
          <w:b/>
          <w:color w:val="auto"/>
          <w:szCs w:val="21"/>
          <w:highlight w:val="none"/>
        </w:rPr>
      </w:pPr>
    </w:p>
    <w:p>
      <w:pPr>
        <w:pStyle w:val="52"/>
        <w:ind w:firstLine="241"/>
        <w:rPr>
          <w:rFonts w:ascii="仿宋_GB2312" w:eastAsia="仿宋_GB2312"/>
          <w:b/>
          <w:color w:val="auto"/>
          <w:szCs w:val="21"/>
          <w:highlight w:val="none"/>
        </w:rPr>
      </w:pPr>
    </w:p>
    <w:p>
      <w:pPr>
        <w:snapToGrid w:val="0"/>
        <w:rPr>
          <w:rFonts w:ascii="仿宋_GB2312" w:eastAsia="仿宋_GB2312"/>
          <w:b/>
          <w:color w:val="auto"/>
          <w:szCs w:val="21"/>
          <w:highlight w:val="none"/>
        </w:rPr>
      </w:pPr>
    </w:p>
    <w:p>
      <w:pPr>
        <w:snapToGrid w:val="0"/>
        <w:jc w:val="center"/>
        <w:rPr>
          <w:rFonts w:ascii="宋体" w:hAnsi="宋体" w:cs="Courier New"/>
          <w:b/>
          <w:color w:val="auto"/>
          <w:sz w:val="44"/>
          <w:szCs w:val="44"/>
          <w:highlight w:val="none"/>
        </w:rPr>
      </w:pPr>
      <w:r>
        <w:rPr>
          <w:rFonts w:hint="eastAsia" w:ascii="宋体" w:hAnsi="宋体" w:cs="Courier New"/>
          <w:b/>
          <w:color w:val="auto"/>
          <w:sz w:val="44"/>
          <w:szCs w:val="44"/>
          <w:highlight w:val="none"/>
        </w:rPr>
        <w:t>第三章  投标人须知</w:t>
      </w:r>
    </w:p>
    <w:p>
      <w:pPr>
        <w:spacing w:line="360" w:lineRule="exact"/>
        <w:jc w:val="center"/>
        <w:rPr>
          <w:rFonts w:ascii="仿宋_GB2312" w:eastAsia="仿宋_GB2312"/>
          <w:b/>
          <w:color w:val="auto"/>
          <w:szCs w:val="21"/>
          <w:highlight w:val="none"/>
        </w:rPr>
      </w:pPr>
      <w:r>
        <w:rPr>
          <w:rFonts w:ascii="仿宋_GB2312" w:eastAsia="仿宋_GB2312"/>
          <w:b/>
          <w:color w:val="auto"/>
          <w:szCs w:val="21"/>
          <w:highlight w:val="none"/>
        </w:rPr>
        <w:br w:type="page"/>
      </w:r>
    </w:p>
    <w:p>
      <w:pPr>
        <w:spacing w:line="360" w:lineRule="exact"/>
        <w:jc w:val="center"/>
        <w:rPr>
          <w:rFonts w:ascii="仿宋_GB2312" w:eastAsia="仿宋_GB2312"/>
          <w:b/>
          <w:color w:val="auto"/>
          <w:sz w:val="32"/>
          <w:szCs w:val="32"/>
          <w:highlight w:val="none"/>
        </w:rPr>
      </w:pPr>
      <w:r>
        <w:rPr>
          <w:rFonts w:hint="eastAsia" w:ascii="仿宋_GB2312" w:eastAsia="仿宋_GB2312"/>
          <w:b/>
          <w:color w:val="auto"/>
          <w:sz w:val="32"/>
          <w:szCs w:val="32"/>
          <w:highlight w:val="none"/>
        </w:rPr>
        <w:t>投标</w:t>
      </w:r>
      <w:bookmarkStart w:id="2" w:name="_Toc254970667"/>
      <w:bookmarkStart w:id="3" w:name="_Toc254970526"/>
      <w:r>
        <w:rPr>
          <w:rFonts w:hint="eastAsia" w:ascii="仿宋_GB2312" w:eastAsia="仿宋_GB2312"/>
          <w:b/>
          <w:color w:val="auto"/>
          <w:sz w:val="32"/>
          <w:szCs w:val="32"/>
          <w:highlight w:val="none"/>
        </w:rPr>
        <w:t>人须知及前附表</w:t>
      </w:r>
      <w:bookmarkEnd w:id="2"/>
      <w:bookmarkEnd w:id="3"/>
    </w:p>
    <w:p>
      <w:pPr>
        <w:spacing w:line="360" w:lineRule="exact"/>
        <w:jc w:val="center"/>
        <w:rPr>
          <w:rFonts w:ascii="仿宋_GB2312" w:eastAsia="仿宋_GB2312"/>
          <w:b/>
          <w:color w:val="auto"/>
          <w:szCs w:val="21"/>
          <w:highlight w:val="none"/>
        </w:rPr>
      </w:pPr>
    </w:p>
    <w:tbl>
      <w:tblPr>
        <w:tblStyle w:val="5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88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b/>
                <w:bCs/>
                <w:color w:val="auto"/>
                <w:szCs w:val="21"/>
                <w:highlight w:val="none"/>
              </w:rPr>
            </w:pPr>
            <w:r>
              <w:rPr>
                <w:rFonts w:hint="eastAsia" w:ascii="宋体"/>
                <w:b/>
                <w:bCs/>
                <w:color w:val="auto"/>
                <w:szCs w:val="21"/>
                <w:highlight w:val="none"/>
              </w:rPr>
              <w:t>序号</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b/>
                <w:bCs/>
                <w:color w:val="auto"/>
                <w:szCs w:val="21"/>
                <w:highlight w:val="none"/>
              </w:rPr>
            </w:pPr>
            <w:r>
              <w:rPr>
                <w:rFonts w:hint="eastAsia" w:ascii="宋体"/>
                <w:b/>
                <w:bCs/>
                <w:color w:val="auto"/>
                <w:szCs w:val="21"/>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bCs/>
                <w:color w:val="auto"/>
                <w:szCs w:val="21"/>
                <w:highlight w:val="none"/>
              </w:rPr>
            </w:pPr>
            <w:r>
              <w:rPr>
                <w:rFonts w:hint="eastAsia" w:ascii="宋体"/>
                <w:bCs/>
                <w:color w:val="auto"/>
                <w:szCs w:val="21"/>
                <w:highlight w:val="none"/>
              </w:rPr>
              <w:t>1</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color w:val="auto"/>
                <w:szCs w:val="21"/>
                <w:highlight w:val="none"/>
                <w:lang w:val="en"/>
              </w:rPr>
            </w:pPr>
            <w:r>
              <w:rPr>
                <w:rFonts w:hint="eastAsia" w:ascii="宋体"/>
                <w:color w:val="auto"/>
                <w:szCs w:val="21"/>
                <w:highlight w:val="none"/>
              </w:rPr>
              <w:t>项目名称</w:t>
            </w:r>
            <w:r>
              <w:rPr>
                <w:rFonts w:hint="eastAsia" w:ascii="宋体"/>
                <w:b/>
                <w:bCs/>
                <w:color w:val="auto"/>
                <w:szCs w:val="21"/>
                <w:highlight w:val="none"/>
              </w:rPr>
              <w:t>：广西艺术学院图书馆密集书架及数智影视传媒艺术实验教学中心设备采购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bCs/>
                <w:color w:val="auto"/>
                <w:szCs w:val="21"/>
                <w:highlight w:val="none"/>
              </w:rPr>
            </w:pPr>
            <w:r>
              <w:rPr>
                <w:rFonts w:hint="eastAsia" w:ascii="宋体"/>
                <w:bCs/>
                <w:color w:val="auto"/>
                <w:szCs w:val="21"/>
                <w:highlight w:val="none"/>
              </w:rPr>
              <w:t>2</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color w:val="auto"/>
                <w:szCs w:val="21"/>
                <w:highlight w:val="none"/>
              </w:rPr>
            </w:pPr>
            <w:r>
              <w:rPr>
                <w:rFonts w:hint="eastAsia" w:ascii="宋体"/>
                <w:color w:val="auto"/>
                <w:szCs w:val="21"/>
                <w:highlight w:val="none"/>
              </w:rPr>
              <w:t>投标报价及费用：1.本项目投标应以人民币报价；2.不论投标结果如何，投标人均应自行承担所有与投标有关的全部费用；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bCs/>
                <w:color w:val="auto"/>
                <w:highlight w:val="none"/>
              </w:rPr>
            </w:pPr>
            <w:r>
              <w:rPr>
                <w:rFonts w:hint="eastAsia"/>
                <w:bCs/>
                <w:color w:val="auto"/>
                <w:highlight w:val="none"/>
              </w:rPr>
              <w:t>3</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bCs/>
                <w:color w:val="auto"/>
                <w:highlight w:val="none"/>
              </w:rPr>
            </w:pPr>
            <w:r>
              <w:rPr>
                <w:rFonts w:hint="eastAsia"/>
                <w:bCs/>
                <w:color w:val="auto"/>
                <w:highlight w:val="none"/>
              </w:rPr>
              <w:t>详见公开招标公告</w:t>
            </w:r>
          </w:p>
          <w:p>
            <w:pPr>
              <w:snapToGrid w:val="0"/>
              <w:spacing w:line="300" w:lineRule="exact"/>
              <w:rPr>
                <w:bCs/>
                <w:color w:val="auto"/>
                <w:highlight w:val="none"/>
              </w:rPr>
            </w:pPr>
            <w:r>
              <w:rPr>
                <w:rFonts w:hint="eastAsia"/>
                <w:bCs/>
                <w:color w:val="auto"/>
                <w:highlight w:val="none"/>
              </w:rPr>
              <w:t>实际交纳的保证金须按要求交纳，否则视为未交纳保证金。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bCs/>
                <w:color w:val="auto"/>
                <w:highlight w:val="none"/>
              </w:rPr>
            </w:pPr>
            <w:r>
              <w:rPr>
                <w:rFonts w:hint="eastAsia"/>
                <w:bCs/>
                <w:color w:val="auto"/>
                <w:highlight w:val="none"/>
              </w:rPr>
              <w:t>4</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b/>
                <w:bCs/>
                <w:color w:val="auto"/>
                <w:highlight w:val="none"/>
              </w:rPr>
            </w:pPr>
            <w:r>
              <w:rPr>
                <w:rFonts w:hint="eastAsia" w:ascii="宋体"/>
                <w:b/>
                <w:color w:val="auto"/>
                <w:szCs w:val="21"/>
                <w:highlight w:val="none"/>
              </w:rPr>
              <w:t>现场勘查：详见采购需求</w:t>
            </w:r>
            <w:r>
              <w:rPr>
                <w:rFonts w:hint="eastAsia" w:ascii="宋体"/>
                <w:b/>
                <w:color w:val="auto"/>
                <w:szCs w:val="21"/>
                <w:highlight w:val="none"/>
                <w:lang w:eastAsia="zh-CN"/>
              </w:rPr>
              <w:t>（如有）</w:t>
            </w:r>
            <w:r>
              <w:rPr>
                <w:rFonts w:hint="eastAsia" w:ascii="宋体"/>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color w:val="auto"/>
                <w:szCs w:val="21"/>
                <w:highlight w:val="none"/>
              </w:rPr>
            </w:pPr>
            <w:r>
              <w:rPr>
                <w:rFonts w:hint="eastAsia" w:ascii="宋体"/>
                <w:color w:val="auto"/>
                <w:szCs w:val="21"/>
                <w:highlight w:val="none"/>
              </w:rPr>
              <w:t>5</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color w:val="auto"/>
                <w:szCs w:val="21"/>
                <w:highlight w:val="none"/>
              </w:rPr>
            </w:pPr>
            <w:r>
              <w:rPr>
                <w:rFonts w:hint="eastAsia" w:ascii="宋体"/>
                <w:color w:val="auto"/>
                <w:szCs w:val="21"/>
                <w:highlight w:val="none"/>
              </w:rPr>
              <w:t>演示时间及地点：无</w:t>
            </w:r>
            <w:r>
              <w:rPr>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color w:val="auto"/>
                <w:szCs w:val="21"/>
                <w:highlight w:val="none"/>
              </w:rPr>
            </w:pPr>
            <w:r>
              <w:rPr>
                <w:rFonts w:hint="eastAsia" w:ascii="宋体"/>
                <w:color w:val="auto"/>
                <w:szCs w:val="21"/>
                <w:highlight w:val="none"/>
              </w:rPr>
              <w:t>6</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color w:val="auto"/>
                <w:szCs w:val="21"/>
                <w:highlight w:val="none"/>
              </w:rPr>
            </w:pPr>
            <w:r>
              <w:rPr>
                <w:rFonts w:hint="eastAsia"/>
                <w:color w:val="auto"/>
                <w:szCs w:val="21"/>
                <w:highlight w:val="none"/>
              </w:rPr>
              <w:t>（1）答疑、澄清：</w:t>
            </w:r>
            <w:r>
              <w:rPr>
                <w:rFonts w:hint="eastAsia"/>
                <w:b/>
                <w:color w:val="auto"/>
                <w:szCs w:val="21"/>
                <w:highlight w:val="none"/>
                <w:u w:val="single"/>
              </w:rPr>
              <w:t>投标人如认为招标文件表述不清晰、</w:t>
            </w:r>
            <w:r>
              <w:rPr>
                <w:rFonts w:hint="eastAsia"/>
                <w:b/>
                <w:bCs/>
                <w:color w:val="auto"/>
                <w:highlight w:val="none"/>
                <w:u w:val="single"/>
              </w:rPr>
              <w:t>有误或有不合理要求的</w:t>
            </w:r>
            <w:r>
              <w:rPr>
                <w:rFonts w:hint="eastAsia"/>
                <w:color w:val="auto"/>
                <w:szCs w:val="21"/>
                <w:highlight w:val="none"/>
              </w:rPr>
              <w:t>，</w:t>
            </w:r>
            <w:r>
              <w:rPr>
                <w:color w:val="auto"/>
                <w:szCs w:val="21"/>
                <w:highlight w:val="none"/>
              </w:rPr>
              <w:t>应当以书面形式要求采购人或者本中心作出书面答疑、澄清</w:t>
            </w:r>
            <w:r>
              <w:rPr>
                <w:rFonts w:hint="eastAsia"/>
                <w:color w:val="auto"/>
                <w:szCs w:val="21"/>
                <w:highlight w:val="none"/>
              </w:rPr>
              <w:t>；</w:t>
            </w:r>
          </w:p>
          <w:p>
            <w:pPr>
              <w:snapToGrid w:val="0"/>
              <w:spacing w:line="300" w:lineRule="exact"/>
              <w:rPr>
                <w:rFonts w:hAnsi="宋体"/>
                <w:color w:val="auto"/>
                <w:szCs w:val="21"/>
                <w:highlight w:val="none"/>
              </w:rPr>
            </w:pPr>
            <w:r>
              <w:rPr>
                <w:rFonts w:hint="eastAsia" w:hAnsi="宋体"/>
                <w:color w:val="auto"/>
                <w:szCs w:val="21"/>
                <w:highlight w:val="none"/>
              </w:rPr>
              <w:t>（2）询问、质疑：</w:t>
            </w:r>
            <w:r>
              <w:rPr>
                <w:rFonts w:hint="eastAsia" w:hAnsi="宋体"/>
                <w:b/>
                <w:color w:val="auto"/>
                <w:szCs w:val="21"/>
                <w:highlight w:val="none"/>
                <w:u w:val="single"/>
              </w:rPr>
              <w:t>如投标人认为招标文件存在歧视性、排他性或者其他违法内容的</w:t>
            </w:r>
            <w:r>
              <w:rPr>
                <w:rFonts w:hint="eastAsia" w:hAnsi="宋体"/>
                <w:color w:val="auto"/>
                <w:szCs w:val="21"/>
                <w:highlight w:val="none"/>
              </w:rPr>
              <w:t>，按投标人须知“一、总则（九）询问、质疑和投诉”中的要求向</w:t>
            </w:r>
            <w:r>
              <w:rPr>
                <w:rFonts w:ascii="宋体" w:hAnsi="宋体"/>
                <w:color w:val="auto"/>
                <w:szCs w:val="21"/>
                <w:highlight w:val="none"/>
              </w:rPr>
              <w:t>采购人或者采购代理机构</w:t>
            </w:r>
            <w:r>
              <w:rPr>
                <w:rFonts w:hint="eastAsia" w:hAnsi="宋体"/>
                <w:color w:val="auto"/>
                <w:szCs w:val="21"/>
                <w:highlight w:val="none"/>
              </w:rPr>
              <w:t>提出书面询问、质疑，并提供必要的证明材料。</w:t>
            </w:r>
          </w:p>
          <w:p>
            <w:pPr>
              <w:snapToGrid w:val="0"/>
              <w:spacing w:line="300" w:lineRule="exact"/>
              <w:ind w:firstLine="420" w:firstLineChars="200"/>
              <w:rPr>
                <w:rFonts w:ascii="宋体"/>
                <w:color w:val="auto"/>
                <w:szCs w:val="21"/>
                <w:highlight w:val="none"/>
              </w:rPr>
            </w:pPr>
            <w:r>
              <w:rPr>
                <w:rFonts w:hint="eastAsia" w:hAnsi="宋体"/>
                <w:color w:val="auto"/>
                <w:szCs w:val="21"/>
                <w:highlight w:val="none"/>
              </w:rPr>
              <w:t>答疑、澄清内容是招标文件的组成部份，本中心将以书面形式送达所有已报名的投标人。</w:t>
            </w:r>
            <w:r>
              <w:rPr>
                <w:rFonts w:hint="eastAsia" w:hAnsi="宋体"/>
                <w:color w:val="auto"/>
                <w:highlight w:val="none"/>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color w:val="auto"/>
                <w:szCs w:val="21"/>
                <w:highlight w:val="none"/>
              </w:rPr>
            </w:pPr>
            <w:r>
              <w:rPr>
                <w:rFonts w:hint="eastAsia" w:ascii="宋体"/>
                <w:color w:val="auto"/>
                <w:szCs w:val="21"/>
                <w:highlight w:val="none"/>
              </w:rPr>
              <w:t>7</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napToGrid w:val="0"/>
                <w:color w:val="auto"/>
                <w:sz w:val="22"/>
                <w:highlight w:val="none"/>
              </w:rPr>
            </w:pPr>
            <w:r>
              <w:rPr>
                <w:rFonts w:hint="eastAsia" w:ascii="宋体" w:hAnsi="宋体"/>
                <w:color w:val="auto"/>
                <w:szCs w:val="21"/>
                <w:highlight w:val="none"/>
              </w:rPr>
              <w:t>投标文件形式：</w:t>
            </w:r>
            <w:r>
              <w:rPr>
                <w:rFonts w:hint="eastAsia" w:ascii="宋体"/>
                <w:snapToGrid w:val="0"/>
                <w:color w:val="auto"/>
                <w:sz w:val="22"/>
                <w:highlight w:val="none"/>
              </w:rPr>
              <w:t>投标供应商应准备电子投标文件。</w:t>
            </w:r>
          </w:p>
          <w:p>
            <w:pPr>
              <w:autoSpaceDE w:val="0"/>
              <w:autoSpaceDN w:val="0"/>
              <w:snapToGrid w:val="0"/>
              <w:spacing w:line="300" w:lineRule="exact"/>
              <w:textAlignment w:val="bottom"/>
              <w:rPr>
                <w:rFonts w:ascii="宋体"/>
                <w:color w:val="auto"/>
                <w:szCs w:val="21"/>
                <w:highlight w:val="none"/>
              </w:rPr>
            </w:pPr>
            <w:r>
              <w:rPr>
                <w:rFonts w:hint="eastAsia" w:ascii="宋体"/>
                <w:snapToGrid w:val="0"/>
                <w:color w:val="auto"/>
                <w:sz w:val="22"/>
                <w:highlight w:val="none"/>
              </w:rPr>
              <w:t>电子投标文件是指通过“</w:t>
            </w:r>
            <w:r>
              <w:rPr>
                <w:rFonts w:ascii="宋体"/>
                <w:snapToGrid w:val="0"/>
                <w:color w:val="auto"/>
                <w:sz w:val="22"/>
                <w:highlight w:val="none"/>
                <w:lang w:val="en"/>
              </w:rPr>
              <w:t>广西政府采购云</w:t>
            </w:r>
            <w:r>
              <w:rPr>
                <w:color w:val="auto"/>
                <w:highlight w:val="none"/>
              </w:rPr>
              <w:t>电子投标</w:t>
            </w:r>
            <w:r>
              <w:rPr>
                <w:rFonts w:hint="eastAsia" w:ascii="宋体"/>
                <w:snapToGrid w:val="0"/>
                <w:color w:val="auto"/>
                <w:sz w:val="22"/>
                <w:highlight w:val="none"/>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8</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olor w:val="auto"/>
                <w:szCs w:val="21"/>
                <w:highlight w:val="none"/>
              </w:rPr>
            </w:pPr>
            <w:r>
              <w:rPr>
                <w:rFonts w:hint="eastAsia" w:ascii="宋体"/>
                <w:snapToGrid w:val="0"/>
                <w:color w:val="auto"/>
                <w:sz w:val="22"/>
                <w:highlight w:val="none"/>
              </w:rPr>
              <w:t>投标文件的编制：供应商应先安装“</w:t>
            </w:r>
            <w:r>
              <w:rPr>
                <w:rFonts w:ascii="宋体"/>
                <w:snapToGrid w:val="0"/>
                <w:color w:val="auto"/>
                <w:sz w:val="22"/>
                <w:highlight w:val="none"/>
                <w:lang w:val="en"/>
              </w:rPr>
              <w:t>广西政府采购云</w:t>
            </w:r>
            <w:r>
              <w:rPr>
                <w:color w:val="auto"/>
                <w:highlight w:val="none"/>
              </w:rPr>
              <w:t>电子投标</w:t>
            </w:r>
            <w:r>
              <w:rPr>
                <w:rFonts w:hint="eastAsia" w:ascii="宋体"/>
                <w:snapToGrid w:val="0"/>
                <w:color w:val="auto"/>
                <w:sz w:val="22"/>
                <w:highlight w:val="none"/>
              </w:rPr>
              <w:t>客户端”，并按照本招标文件和“</w:t>
            </w:r>
            <w:r>
              <w:rPr>
                <w:rFonts w:ascii="宋体"/>
                <w:snapToGrid w:val="0"/>
                <w:color w:val="auto"/>
                <w:sz w:val="22"/>
                <w:highlight w:val="none"/>
                <w:lang w:val="en"/>
              </w:rPr>
              <w:t>广西政府采购云平台</w:t>
            </w:r>
            <w:r>
              <w:rPr>
                <w:rFonts w:hint="eastAsia" w:ascii="宋体"/>
                <w:snapToGrid w:val="0"/>
                <w:color w:val="auto"/>
                <w:sz w:val="22"/>
                <w:highlight w:val="none"/>
              </w:rPr>
              <w:t>”的要求，通过“</w:t>
            </w:r>
            <w:r>
              <w:rPr>
                <w:rFonts w:ascii="宋体"/>
                <w:snapToGrid w:val="0"/>
                <w:color w:val="auto"/>
                <w:sz w:val="22"/>
                <w:highlight w:val="none"/>
                <w:lang w:val="en"/>
              </w:rPr>
              <w:t>广西政府采购云</w:t>
            </w:r>
            <w:r>
              <w:rPr>
                <w:color w:val="auto"/>
                <w:highlight w:val="none"/>
              </w:rPr>
              <w:t>电子投标</w:t>
            </w:r>
            <w:r>
              <w:rPr>
                <w:rFonts w:hint="eastAsia" w:ascii="宋体"/>
                <w:snapToGrid w:val="0"/>
                <w:color w:val="auto"/>
                <w:sz w:val="22"/>
                <w:highlight w:val="none"/>
              </w:rPr>
              <w:t>客户端”编制并加密投标文件。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9</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napToGrid w:val="0"/>
                <w:color w:val="auto"/>
                <w:sz w:val="22"/>
                <w:highlight w:val="none"/>
              </w:rPr>
            </w:pPr>
            <w:r>
              <w:rPr>
                <w:rFonts w:hint="eastAsia" w:ascii="宋体"/>
                <w:snapToGrid w:val="0"/>
                <w:color w:val="auto"/>
                <w:sz w:val="22"/>
                <w:highlight w:val="none"/>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10</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napToGrid w:val="0"/>
                <w:color w:val="auto"/>
                <w:sz w:val="22"/>
                <w:highlight w:val="none"/>
              </w:rPr>
            </w:pPr>
            <w:r>
              <w:rPr>
                <w:rFonts w:hint="eastAsia" w:ascii="宋体"/>
                <w:snapToGrid w:val="0"/>
                <w:color w:val="auto"/>
                <w:sz w:val="22"/>
                <w:highlight w:val="none"/>
              </w:rPr>
              <w:t>法定代表人或其授权代表签字或盖章：本招标文件所涉及的法定代表人或其授权代表签字或盖章的内容，如果投标单位没有法定代表人电子签章，涉及到法定代表人或其授权代表签字或盖章的内容，投标单位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11</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napToGrid w:val="0"/>
                <w:color w:val="auto"/>
                <w:sz w:val="22"/>
                <w:highlight w:val="none"/>
              </w:rPr>
            </w:pPr>
            <w:r>
              <w:rPr>
                <w:rFonts w:hint="eastAsia" w:ascii="宋体"/>
                <w:snapToGrid w:val="0"/>
                <w:color w:val="auto"/>
                <w:sz w:val="22"/>
                <w:highlight w:val="none"/>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12</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napToGrid w:val="0"/>
                <w:color w:val="auto"/>
                <w:sz w:val="22"/>
                <w:highlight w:val="none"/>
              </w:rPr>
            </w:pPr>
            <w:r>
              <w:rPr>
                <w:rFonts w:hint="eastAsia" w:ascii="宋体"/>
                <w:snapToGrid w:val="0"/>
                <w:color w:val="auto"/>
                <w:sz w:val="22"/>
                <w:highlight w:val="none"/>
              </w:rPr>
              <w:t>投标文件的上传和提交：本项目通过“</w:t>
            </w:r>
            <w:r>
              <w:rPr>
                <w:rFonts w:ascii="宋体"/>
                <w:snapToGrid w:val="0"/>
                <w:color w:val="auto"/>
                <w:sz w:val="22"/>
                <w:highlight w:val="none"/>
                <w:lang w:val="en"/>
              </w:rPr>
              <w:t>广西政府采购云平台（http://www.gcy.zfcg.gxzf.gov.cn）</w:t>
            </w:r>
            <w:r>
              <w:rPr>
                <w:rFonts w:ascii="宋体"/>
                <w:snapToGrid w:val="0"/>
                <w:color w:val="auto"/>
                <w:sz w:val="22"/>
                <w:highlight w:val="none"/>
              </w:rPr>
              <w:t>”实行在线投标响应（电子投标），投标供应商应当在投标截止时间前，将生成的“电子加密投标文件”上传提交至“</w:t>
            </w:r>
            <w:r>
              <w:rPr>
                <w:rFonts w:hint="eastAsia" w:ascii="宋体"/>
                <w:snapToGrid w:val="0"/>
                <w:color w:val="auto"/>
                <w:sz w:val="22"/>
                <w:highlight w:val="none"/>
              </w:rPr>
              <w:t>广西政府采购云平台</w:t>
            </w:r>
            <w:r>
              <w:rPr>
                <w:rFonts w:ascii="宋体"/>
                <w:snapToGrid w:val="0"/>
                <w:color w:val="auto"/>
                <w:sz w:val="22"/>
                <w:highlight w:val="none"/>
              </w:rPr>
              <w:t>”。</w:t>
            </w:r>
          </w:p>
          <w:p>
            <w:pPr>
              <w:spacing w:line="300" w:lineRule="exact"/>
              <w:rPr>
                <w:rFonts w:ascii="宋体"/>
                <w:snapToGrid w:val="0"/>
                <w:color w:val="auto"/>
                <w:sz w:val="22"/>
                <w:highlight w:val="none"/>
              </w:rPr>
            </w:pPr>
            <w:r>
              <w:rPr>
                <w:rFonts w:hint="eastAsia" w:ascii="宋体"/>
                <w:snapToGrid w:val="0"/>
                <w:color w:val="auto"/>
                <w:sz w:val="22"/>
                <w:highlight w:val="none"/>
              </w:rPr>
              <w:t>“电子加密投标文件”的上传、提交：</w:t>
            </w:r>
          </w:p>
          <w:p>
            <w:pPr>
              <w:spacing w:line="300" w:lineRule="exact"/>
              <w:rPr>
                <w:rFonts w:ascii="宋体"/>
                <w:snapToGrid w:val="0"/>
                <w:color w:val="auto"/>
                <w:sz w:val="22"/>
                <w:highlight w:val="none"/>
              </w:rPr>
            </w:pPr>
            <w:r>
              <w:rPr>
                <w:rFonts w:hint="eastAsia" w:ascii="宋体"/>
                <w:snapToGrid w:val="0"/>
                <w:color w:val="auto"/>
                <w:sz w:val="22"/>
                <w:highlight w:val="none"/>
              </w:rPr>
              <w:t>a.投标供应商应在投标截止时间前将“电子加密投标文件”成功上传提交至“广西政府采购云平台”，否则投标无效。</w:t>
            </w:r>
          </w:p>
          <w:p>
            <w:pPr>
              <w:spacing w:line="300" w:lineRule="exact"/>
              <w:rPr>
                <w:rFonts w:ascii="宋体"/>
                <w:snapToGrid w:val="0"/>
                <w:color w:val="auto"/>
                <w:sz w:val="22"/>
                <w:highlight w:val="none"/>
              </w:rPr>
            </w:pPr>
            <w:r>
              <w:rPr>
                <w:rFonts w:hint="eastAsia" w:ascii="宋体"/>
                <w:snapToGrid w:val="0"/>
                <w:color w:val="auto"/>
                <w:sz w:val="22"/>
                <w:highlight w:val="none"/>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13</w:t>
            </w:r>
          </w:p>
        </w:tc>
        <w:tc>
          <w:tcPr>
            <w:tcW w:w="88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snapToGrid w:val="0"/>
                <w:color w:val="auto"/>
                <w:sz w:val="22"/>
                <w:highlight w:val="none"/>
              </w:rPr>
            </w:pPr>
            <w:r>
              <w:rPr>
                <w:rFonts w:hint="eastAsia" w:ascii="宋体"/>
                <w:snapToGrid w:val="0"/>
                <w:color w:val="auto"/>
                <w:sz w:val="22"/>
                <w:highlight w:val="none"/>
              </w:rPr>
              <w:t>电子加密投标文件的解密：</w:t>
            </w:r>
          </w:p>
          <w:p>
            <w:pPr>
              <w:spacing w:line="300" w:lineRule="exact"/>
              <w:rPr>
                <w:rFonts w:ascii="宋体"/>
                <w:snapToGrid w:val="0"/>
                <w:color w:val="auto"/>
                <w:sz w:val="22"/>
                <w:highlight w:val="none"/>
              </w:rPr>
            </w:pPr>
            <w:r>
              <w:rPr>
                <w:rFonts w:hint="eastAsia" w:ascii="宋体"/>
                <w:snapToGrid w:val="0"/>
                <w:color w:val="auto"/>
                <w:sz w:val="22"/>
                <w:highlight w:val="none"/>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14</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szCs w:val="21"/>
                <w:highlight w:val="none"/>
              </w:rPr>
              <w:t>投标截止时间及地点：</w:t>
            </w:r>
            <w:r>
              <w:rPr>
                <w:rFonts w:hint="eastAsia"/>
                <w:color w:val="auto"/>
                <w:highlight w:val="none"/>
              </w:rPr>
              <w:t xml:space="preserve"> </w:t>
            </w:r>
            <w:r>
              <w:rPr>
                <w:b/>
                <w:bCs/>
                <w:color w:val="auto"/>
                <w:highlight w:val="none"/>
                <w:lang w:val="en"/>
              </w:rPr>
              <w:t>2025年</w:t>
            </w:r>
            <w:r>
              <w:rPr>
                <w:rFonts w:hint="eastAsia"/>
                <w:b/>
                <w:bCs/>
                <w:color w:val="auto"/>
                <w:highlight w:val="none"/>
                <w:lang w:val="en-US" w:eastAsia="zh-CN"/>
              </w:rPr>
              <w:t>11</w:t>
            </w:r>
            <w:r>
              <w:rPr>
                <w:b/>
                <w:bCs/>
                <w:color w:val="auto"/>
                <w:highlight w:val="none"/>
                <w:lang w:val="en"/>
              </w:rPr>
              <w:t>月</w:t>
            </w:r>
            <w:r>
              <w:rPr>
                <w:rFonts w:hint="eastAsia"/>
                <w:b/>
                <w:bCs/>
                <w:color w:val="auto"/>
                <w:highlight w:val="none"/>
                <w:lang w:val="en-US" w:eastAsia="zh-CN"/>
              </w:rPr>
              <w:t>3</w:t>
            </w:r>
            <w:r>
              <w:rPr>
                <w:b/>
                <w:bCs/>
                <w:color w:val="auto"/>
                <w:highlight w:val="none"/>
                <w:lang w:val="en"/>
              </w:rPr>
              <w:t>日</w:t>
            </w:r>
            <w:r>
              <w:rPr>
                <w:rFonts w:hint="eastAsia"/>
                <w:b/>
                <w:color w:val="auto"/>
                <w:highlight w:val="none"/>
              </w:rPr>
              <w:t>上午10时整，</w:t>
            </w:r>
            <w:r>
              <w:rPr>
                <w:rFonts w:ascii="宋体" w:hAnsi="宋体" w:cs="Arial"/>
                <w:b/>
                <w:color w:val="auto"/>
                <w:szCs w:val="21"/>
                <w:highlight w:val="none"/>
                <w:u w:val="single"/>
                <w:lang w:val="en"/>
              </w:rPr>
              <w:t>南宁市星湖路22号</w:t>
            </w:r>
            <w:r>
              <w:rPr>
                <w:rFonts w:hint="eastAsia" w:ascii="宋体" w:hAnsi="宋体" w:cs="Arial"/>
                <w:b/>
                <w:color w:val="auto"/>
                <w:szCs w:val="21"/>
                <w:highlight w:val="none"/>
                <w:u w:val="single"/>
              </w:rPr>
              <w:t>广西壮族自治区政府采购中心开标大厅</w:t>
            </w:r>
            <w:r>
              <w:rPr>
                <w:rFonts w:hint="eastAsia"/>
                <w:b/>
                <w:color w:val="auto"/>
                <w:highlight w:val="none"/>
                <w:u w:val="single"/>
              </w:rPr>
              <w:t>。</w:t>
            </w:r>
            <w:r>
              <w:rPr>
                <w:rFonts w:hint="eastAsia"/>
                <w:b/>
                <w:color w:val="auto"/>
                <w:highlight w:val="none"/>
              </w:rPr>
              <w:t>（</w:t>
            </w:r>
            <w:r>
              <w:rPr>
                <w:rFonts w:hint="eastAsia" w:ascii="宋体"/>
                <w:color w:val="auto"/>
                <w:sz w:val="22"/>
                <w:highlight w:val="none"/>
              </w:rPr>
              <w:t>本项目采用在线开评标方式，投标供应商无须前往开标现场</w:t>
            </w:r>
            <w:r>
              <w:rPr>
                <w:rFonts w:hint="eastAsia"/>
                <w:b/>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15</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auto"/>
                <w:szCs w:val="21"/>
                <w:highlight w:val="none"/>
              </w:rPr>
            </w:pPr>
            <w:r>
              <w:rPr>
                <w:rFonts w:hint="eastAsia" w:ascii="宋体" w:hAnsi="宋体"/>
                <w:color w:val="auto"/>
                <w:szCs w:val="21"/>
                <w:highlight w:val="none"/>
              </w:rPr>
              <w:t>开标时间及地点：</w:t>
            </w:r>
            <w:r>
              <w:rPr>
                <w:rFonts w:hint="eastAsia"/>
                <w:color w:val="auto"/>
                <w:highlight w:val="none"/>
              </w:rPr>
              <w:t xml:space="preserve"> </w:t>
            </w:r>
            <w:r>
              <w:rPr>
                <w:b/>
                <w:bCs/>
                <w:color w:val="auto"/>
                <w:highlight w:val="none"/>
                <w:lang w:val="en"/>
              </w:rPr>
              <w:t>2025年</w:t>
            </w:r>
            <w:r>
              <w:rPr>
                <w:rFonts w:hint="eastAsia"/>
                <w:b/>
                <w:bCs/>
                <w:color w:val="auto"/>
                <w:highlight w:val="none"/>
                <w:lang w:val="en-US" w:eastAsia="zh-CN"/>
              </w:rPr>
              <w:t>11</w:t>
            </w:r>
            <w:r>
              <w:rPr>
                <w:b/>
                <w:bCs/>
                <w:color w:val="auto"/>
                <w:highlight w:val="none"/>
                <w:lang w:val="en"/>
              </w:rPr>
              <w:t>月</w:t>
            </w:r>
            <w:r>
              <w:rPr>
                <w:rFonts w:hint="eastAsia"/>
                <w:b/>
                <w:bCs/>
                <w:color w:val="auto"/>
                <w:highlight w:val="none"/>
                <w:lang w:val="en-US" w:eastAsia="zh-CN"/>
              </w:rPr>
              <w:t>3</w:t>
            </w:r>
            <w:r>
              <w:rPr>
                <w:b/>
                <w:bCs/>
                <w:color w:val="auto"/>
                <w:highlight w:val="none"/>
                <w:lang w:val="en"/>
              </w:rPr>
              <w:t>日</w:t>
            </w:r>
            <w:r>
              <w:rPr>
                <w:rFonts w:hint="eastAsia"/>
                <w:b/>
                <w:color w:val="auto"/>
                <w:highlight w:val="none"/>
              </w:rPr>
              <w:t>上午10时整，</w:t>
            </w:r>
            <w:r>
              <w:rPr>
                <w:rFonts w:ascii="宋体" w:hAnsi="宋体" w:cs="Arial"/>
                <w:b/>
                <w:color w:val="auto"/>
                <w:szCs w:val="21"/>
                <w:highlight w:val="none"/>
                <w:u w:val="single"/>
                <w:lang w:val="en"/>
              </w:rPr>
              <w:t>南宁市星湖路22号</w:t>
            </w:r>
            <w:r>
              <w:rPr>
                <w:rFonts w:hint="eastAsia" w:ascii="宋体" w:hAnsi="宋体" w:cs="Arial"/>
                <w:b/>
                <w:color w:val="auto"/>
                <w:szCs w:val="21"/>
                <w:highlight w:val="none"/>
                <w:u w:val="single"/>
              </w:rPr>
              <w:t>广西壮族自治区政府采购中心开标大厅</w:t>
            </w:r>
            <w:r>
              <w:rPr>
                <w:rFonts w:hint="eastAsia"/>
                <w:b/>
                <w:color w:val="auto"/>
                <w:highlight w:val="none"/>
                <w:u w:val="single"/>
              </w:rPr>
              <w:t>。</w:t>
            </w:r>
            <w:r>
              <w:rPr>
                <w:rFonts w:hint="eastAsia"/>
                <w:b/>
                <w:color w:val="auto"/>
                <w:highlight w:val="none"/>
              </w:rPr>
              <w:t>（</w:t>
            </w:r>
            <w:r>
              <w:rPr>
                <w:rFonts w:hint="eastAsia" w:ascii="宋体"/>
                <w:color w:val="auto"/>
                <w:sz w:val="22"/>
                <w:highlight w:val="none"/>
              </w:rPr>
              <w:t>本项目采用在线开评标方式，投标供应商无须前往开标现场</w:t>
            </w:r>
            <w:r>
              <w:rPr>
                <w:rFonts w:hint="eastAsia"/>
                <w:b/>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16</w:t>
            </w:r>
          </w:p>
        </w:tc>
        <w:tc>
          <w:tcPr>
            <w:tcW w:w="882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ascii="宋体" w:hAnsi="宋体"/>
                <w:color w:val="auto"/>
                <w:szCs w:val="21"/>
                <w:highlight w:val="none"/>
              </w:rPr>
            </w:pPr>
            <w:r>
              <w:rPr>
                <w:rFonts w:hint="eastAsia" w:ascii="宋体" w:hAnsi="宋体"/>
                <w:color w:val="auto"/>
                <w:szCs w:val="21"/>
                <w:highlight w:val="none"/>
              </w:rPr>
              <w:t>评标方法：综合评分法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17</w:t>
            </w:r>
          </w:p>
        </w:tc>
        <w:tc>
          <w:tcPr>
            <w:tcW w:w="882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textAlignment w:val="bottom"/>
              <w:rPr>
                <w:rFonts w:ascii="宋体" w:hAnsi="宋体"/>
                <w:color w:val="auto"/>
                <w:szCs w:val="21"/>
                <w:highlight w:val="none"/>
              </w:rPr>
            </w:pPr>
            <w:r>
              <w:rPr>
                <w:rFonts w:hint="eastAsia" w:ascii="宋体" w:hAnsi="宋体"/>
                <w:color w:val="auto"/>
                <w:szCs w:val="21"/>
                <w:highlight w:val="none"/>
              </w:rPr>
              <w:t>中标公告及中标通知书：本中心在采购人依法确认中标人后二个工作日内发布中标公告和中标通知书，中标公告发布于上述媒体</w:t>
            </w:r>
            <w:r>
              <w:rPr>
                <w:rFonts w:hint="eastAsia" w:ascii="宋体" w:hAnsi="宋体" w:cs="Courier New"/>
                <w:color w:val="auto"/>
                <w:szCs w:val="21"/>
                <w:highlight w:val="none"/>
              </w:rPr>
              <w:t>（详细见公告中公布的网站）</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18</w:t>
            </w:r>
          </w:p>
        </w:tc>
        <w:tc>
          <w:tcPr>
            <w:tcW w:w="882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textAlignment w:val="bottom"/>
              <w:rPr>
                <w:rFonts w:ascii="宋体" w:hAnsi="宋体"/>
                <w:color w:val="auto"/>
                <w:szCs w:val="21"/>
                <w:highlight w:val="none"/>
              </w:rPr>
            </w:pPr>
            <w:r>
              <w:rPr>
                <w:rFonts w:hint="eastAsia" w:ascii="宋体" w:hAnsi="宋体"/>
                <w:color w:val="auto"/>
                <w:szCs w:val="21"/>
                <w:highlight w:val="none"/>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19</w:t>
            </w:r>
          </w:p>
        </w:tc>
        <w:tc>
          <w:tcPr>
            <w:tcW w:w="88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auto"/>
                <w:kern w:val="0"/>
                <w:szCs w:val="21"/>
                <w:highlight w:val="none"/>
              </w:rPr>
            </w:pPr>
            <w:r>
              <w:rPr>
                <w:rFonts w:hint="eastAsia" w:ascii="宋体" w:hAnsi="宋体"/>
                <w:color w:val="auto"/>
                <w:szCs w:val="21"/>
                <w:highlight w:val="none"/>
              </w:rPr>
              <w:t>付款方式：</w:t>
            </w:r>
            <w:r>
              <w:rPr>
                <w:rFonts w:hint="eastAsia" w:ascii="宋体" w:hAnsi="宋体" w:cs="宋体"/>
                <w:color w:val="auto"/>
                <w:kern w:val="0"/>
                <w:szCs w:val="21"/>
                <w:highlight w:val="none"/>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20</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auto"/>
                <w:szCs w:val="21"/>
                <w:highlight w:val="none"/>
              </w:rPr>
            </w:pPr>
            <w:r>
              <w:rPr>
                <w:rFonts w:hint="eastAsia" w:ascii="宋体" w:hAnsi="宋体"/>
                <w:color w:val="auto"/>
                <w:szCs w:val="21"/>
                <w:highlight w:val="none"/>
              </w:rPr>
              <w:t>投标文件有效期：</w:t>
            </w:r>
            <w:r>
              <w:rPr>
                <w:rFonts w:hint="eastAsia" w:ascii="宋体" w:hAnsi="宋体" w:cs="Arial"/>
                <w:color w:val="auto"/>
                <w:szCs w:val="21"/>
                <w:highlight w:val="none"/>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lang w:val="en"/>
              </w:rPr>
            </w:pPr>
            <w:r>
              <w:rPr>
                <w:rFonts w:ascii="宋体" w:hAnsi="宋体"/>
                <w:color w:val="auto"/>
                <w:szCs w:val="21"/>
                <w:highlight w:val="none"/>
                <w:lang w:val="en"/>
              </w:rPr>
              <w:t>21</w:t>
            </w:r>
          </w:p>
        </w:tc>
        <w:tc>
          <w:tcPr>
            <w:tcW w:w="8820" w:type="dxa"/>
            <w:tcBorders>
              <w:top w:val="single" w:color="auto" w:sz="4" w:space="0"/>
              <w:left w:val="single" w:color="auto" w:sz="4" w:space="0"/>
              <w:bottom w:val="single" w:color="auto" w:sz="4" w:space="0"/>
              <w:right w:val="single" w:color="auto" w:sz="4" w:space="0"/>
            </w:tcBorders>
            <w:vAlign w:val="center"/>
          </w:tcPr>
          <w:p>
            <w:pPr>
              <w:rPr>
                <w:rFonts w:ascii="宋体" w:hAnsi="宋体"/>
                <w:b/>
                <w:bCs/>
                <w:snapToGrid w:val="0"/>
                <w:color w:val="auto"/>
                <w:szCs w:val="21"/>
                <w:highlight w:val="none"/>
              </w:rPr>
            </w:pPr>
            <w:r>
              <w:rPr>
                <w:rFonts w:hint="eastAsia" w:ascii="宋体" w:hAnsi="宋体"/>
                <w:b/>
                <w:bCs/>
                <w:snapToGrid w:val="0"/>
                <w:color w:val="auto"/>
                <w:szCs w:val="21"/>
                <w:highlight w:val="none"/>
              </w:rPr>
              <w:t>对招标文件、采购过程或者中标结果的质疑由采购人接收或采购代理机构代为接收，由采购人负责答复。</w:t>
            </w:r>
          </w:p>
          <w:p>
            <w:pPr>
              <w:rPr>
                <w:rFonts w:ascii="宋体" w:hAnsi="宋体"/>
                <w:b/>
                <w:bCs/>
                <w:snapToGrid w:val="0"/>
                <w:color w:val="auto"/>
                <w:szCs w:val="21"/>
                <w:highlight w:val="none"/>
              </w:rPr>
            </w:pPr>
            <w:r>
              <w:rPr>
                <w:rFonts w:hint="eastAsia" w:ascii="宋体" w:hAnsi="宋体"/>
                <w:b/>
                <w:bCs/>
                <w:snapToGrid w:val="0"/>
                <w:color w:val="auto"/>
                <w:szCs w:val="21"/>
                <w:highlight w:val="none"/>
              </w:rPr>
              <w:t>接收质疑函方式：以书面形式。</w:t>
            </w:r>
          </w:p>
          <w:p>
            <w:pPr>
              <w:rPr>
                <w:rFonts w:ascii="宋体" w:hAnsi="宋体"/>
                <w:b/>
                <w:bCs/>
                <w:snapToGrid w:val="0"/>
                <w:color w:val="auto"/>
                <w:szCs w:val="21"/>
                <w:highlight w:val="none"/>
              </w:rPr>
            </w:pPr>
            <w:r>
              <w:rPr>
                <w:rFonts w:hint="eastAsia" w:ascii="宋体" w:hAnsi="宋体"/>
                <w:b/>
                <w:bCs/>
                <w:snapToGrid w:val="0"/>
                <w:color w:val="auto"/>
                <w:szCs w:val="21"/>
                <w:highlight w:val="none"/>
              </w:rPr>
              <w:t>质疑联系部门及联系方式：</w:t>
            </w:r>
          </w:p>
          <w:p>
            <w:pPr>
              <w:snapToGrid w:val="0"/>
              <w:spacing w:line="360" w:lineRule="exact"/>
              <w:rPr>
                <w:rFonts w:hint="eastAsia"/>
                <w:color w:val="auto"/>
                <w:highlight w:val="none"/>
              </w:rPr>
            </w:pPr>
            <w:r>
              <w:rPr>
                <w:rFonts w:hint="eastAsia"/>
                <w:color w:val="auto"/>
                <w:highlight w:val="none"/>
              </w:rPr>
              <w:t xml:space="preserve">（1）广西壮族自治区政府采购中心内审科     </w:t>
            </w:r>
          </w:p>
          <w:p>
            <w:pPr>
              <w:snapToGrid w:val="0"/>
              <w:spacing w:line="360" w:lineRule="exact"/>
              <w:ind w:firstLine="420" w:firstLineChars="200"/>
              <w:rPr>
                <w:rFonts w:hint="eastAsia"/>
                <w:color w:val="auto"/>
                <w:highlight w:val="none"/>
              </w:rPr>
            </w:pPr>
            <w:r>
              <w:rPr>
                <w:rFonts w:hint="eastAsia"/>
                <w:color w:val="auto"/>
                <w:highlight w:val="none"/>
              </w:rPr>
              <w:t>电话：0771-8600453</w:t>
            </w:r>
          </w:p>
          <w:p>
            <w:pPr>
              <w:snapToGrid w:val="0"/>
              <w:spacing w:line="360" w:lineRule="exact"/>
              <w:ind w:firstLine="420" w:firstLineChars="200"/>
              <w:rPr>
                <w:rFonts w:hint="eastAsia"/>
                <w:color w:val="auto"/>
                <w:highlight w:val="none"/>
              </w:rPr>
            </w:pPr>
            <w:r>
              <w:rPr>
                <w:rFonts w:hint="eastAsia"/>
                <w:color w:val="auto"/>
                <w:highlight w:val="none"/>
              </w:rPr>
              <w:t>地址：广西南宁市星湖路22号</w:t>
            </w:r>
          </w:p>
          <w:p>
            <w:pPr>
              <w:snapToGrid w:val="0"/>
              <w:spacing w:line="360" w:lineRule="exact"/>
              <w:rPr>
                <w:color w:val="auto"/>
                <w:highlight w:val="none"/>
                <w:lang w:val="en"/>
              </w:rPr>
            </w:pPr>
            <w:r>
              <w:rPr>
                <w:rFonts w:hint="eastAsia"/>
                <w:color w:val="auto"/>
                <w:highlight w:val="none"/>
              </w:rPr>
              <w:t>（2）</w:t>
            </w:r>
            <w:r>
              <w:rPr>
                <w:rFonts w:hint="eastAsia" w:hAnsi="宋体"/>
                <w:b/>
                <w:color w:val="auto"/>
                <w:highlight w:val="none"/>
              </w:rPr>
              <w:t xml:space="preserve"> 广西艺术学院</w:t>
            </w:r>
          </w:p>
          <w:p>
            <w:pPr>
              <w:snapToGrid w:val="0"/>
              <w:spacing w:line="360" w:lineRule="exact"/>
              <w:ind w:firstLine="420" w:firstLineChars="200"/>
              <w:rPr>
                <w:rFonts w:hint="eastAsia"/>
                <w:color w:val="auto"/>
                <w:highlight w:val="none"/>
              </w:rPr>
            </w:pPr>
            <w:r>
              <w:rPr>
                <w:rFonts w:hint="eastAsia"/>
                <w:color w:val="auto"/>
                <w:highlight w:val="none"/>
              </w:rPr>
              <w:t>电话：</w:t>
            </w:r>
            <w:r>
              <w:rPr>
                <w:rFonts w:hint="eastAsia" w:hAnsi="宋体"/>
                <w:b/>
                <w:color w:val="auto"/>
                <w:highlight w:val="none"/>
              </w:rPr>
              <w:t xml:space="preserve">0771-5317987 </w:t>
            </w:r>
          </w:p>
          <w:p>
            <w:pPr>
              <w:snapToGrid w:val="0"/>
              <w:spacing w:line="360" w:lineRule="exact"/>
              <w:ind w:firstLine="420" w:firstLineChars="200"/>
              <w:rPr>
                <w:rFonts w:hint="eastAsia"/>
                <w:color w:val="auto"/>
                <w:highlight w:val="none"/>
              </w:rPr>
            </w:pPr>
            <w:r>
              <w:rPr>
                <w:rFonts w:hint="eastAsia"/>
                <w:color w:val="auto"/>
                <w:highlight w:val="none"/>
              </w:rPr>
              <w:t>地址：</w:t>
            </w:r>
            <w:r>
              <w:rPr>
                <w:rFonts w:hint="eastAsia" w:hAnsi="宋体"/>
                <w:b/>
                <w:color w:val="auto"/>
                <w:highlight w:val="none"/>
              </w:rPr>
              <w:t xml:space="preserve"> 广西南宁市教育路7号</w:t>
            </w:r>
          </w:p>
          <w:p>
            <w:pPr>
              <w:rPr>
                <w:rFonts w:ascii="宋体" w:hAnsi="宋体"/>
                <w:color w:val="auto"/>
                <w:szCs w:val="21"/>
                <w:highlight w:val="none"/>
              </w:rPr>
            </w:pPr>
            <w:r>
              <w:rPr>
                <w:rFonts w:hint="eastAsia" w:ascii="宋体" w:hAnsi="宋体"/>
                <w:color w:val="auto"/>
                <w:szCs w:val="21"/>
                <w:highlight w:val="none"/>
              </w:rPr>
              <w:t>现场提交质疑办理业务时间：质疑期内每个工作日采购人或采购代理机构正常工作时间（其中采购代理机构为9：00到12：00，14：00到17：00）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auto"/>
                <w:szCs w:val="21"/>
                <w:highlight w:val="none"/>
                <w:lang w:val="en"/>
              </w:rPr>
            </w:pPr>
            <w:r>
              <w:rPr>
                <w:rFonts w:hint="eastAsia" w:ascii="宋体" w:hAnsi="宋体"/>
                <w:color w:val="auto"/>
                <w:szCs w:val="21"/>
                <w:highlight w:val="none"/>
              </w:rPr>
              <w:t>2</w:t>
            </w:r>
            <w:r>
              <w:rPr>
                <w:rFonts w:ascii="宋体" w:hAnsi="宋体"/>
                <w:color w:val="auto"/>
                <w:szCs w:val="21"/>
                <w:highlight w:val="none"/>
                <w:lang w:val="en"/>
              </w:rPr>
              <w:t>2</w:t>
            </w:r>
          </w:p>
        </w:tc>
        <w:tc>
          <w:tcPr>
            <w:tcW w:w="88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auto"/>
                <w:szCs w:val="21"/>
                <w:highlight w:val="none"/>
              </w:rPr>
            </w:pPr>
            <w:r>
              <w:rPr>
                <w:rFonts w:hint="eastAsia" w:hAnsi="宋体"/>
                <w:color w:val="auto"/>
                <w:highlight w:val="none"/>
              </w:rPr>
              <w:t>本招标文件解释权属广西壮族自治区政府采购中心。</w:t>
            </w:r>
          </w:p>
        </w:tc>
      </w:tr>
    </w:tbl>
    <w:p>
      <w:pPr>
        <w:pStyle w:val="29"/>
        <w:snapToGrid w:val="0"/>
        <w:spacing w:before="120" w:after="120" w:line="360" w:lineRule="exact"/>
        <w:jc w:val="center"/>
        <w:rPr>
          <w:rFonts w:ascii="仿宋_GB2312" w:eastAsia="仿宋_GB2312"/>
          <w:b/>
          <w:color w:val="auto"/>
          <w:sz w:val="32"/>
          <w:szCs w:val="32"/>
          <w:highlight w:val="none"/>
        </w:rPr>
      </w:pPr>
    </w:p>
    <w:p>
      <w:pPr>
        <w:pStyle w:val="29"/>
        <w:snapToGrid w:val="0"/>
        <w:spacing w:before="120" w:after="120" w:line="360" w:lineRule="exact"/>
        <w:jc w:val="center"/>
        <w:rPr>
          <w:b/>
          <w:color w:val="auto"/>
          <w:highlight w:val="none"/>
        </w:rPr>
      </w:pPr>
      <w:r>
        <w:rPr>
          <w:rFonts w:ascii="仿宋_GB2312" w:eastAsia="仿宋_GB2312"/>
          <w:b/>
          <w:color w:val="auto"/>
          <w:sz w:val="32"/>
          <w:szCs w:val="32"/>
          <w:highlight w:val="none"/>
        </w:rPr>
        <w:br w:type="page"/>
      </w:r>
      <w:r>
        <w:rPr>
          <w:rFonts w:hint="eastAsia" w:ascii="仿宋_GB2312" w:eastAsia="仿宋_GB2312"/>
          <w:b/>
          <w:color w:val="auto"/>
          <w:sz w:val="32"/>
          <w:szCs w:val="32"/>
          <w:highlight w:val="none"/>
        </w:rPr>
        <w:t>投标人须知</w:t>
      </w:r>
    </w:p>
    <w:p>
      <w:pPr>
        <w:pStyle w:val="29"/>
        <w:snapToGrid w:val="0"/>
        <w:spacing w:before="120" w:after="120" w:line="360" w:lineRule="exact"/>
        <w:rPr>
          <w:b/>
          <w:color w:val="auto"/>
          <w:highlight w:val="none"/>
        </w:rPr>
      </w:pPr>
      <w:r>
        <w:rPr>
          <w:rFonts w:hint="eastAsia"/>
          <w:b/>
          <w:color w:val="auto"/>
          <w:highlight w:val="none"/>
        </w:rPr>
        <w:t>一、总  则</w:t>
      </w:r>
    </w:p>
    <w:p>
      <w:pPr>
        <w:snapToGrid w:val="0"/>
        <w:spacing w:line="360" w:lineRule="exact"/>
        <w:ind w:firstLine="411" w:firstLineChars="196"/>
        <w:jc w:val="left"/>
        <w:outlineLvl w:val="1"/>
        <w:rPr>
          <w:rFonts w:ascii="宋体"/>
          <w:color w:val="auto"/>
          <w:szCs w:val="21"/>
          <w:highlight w:val="none"/>
        </w:rPr>
      </w:pPr>
      <w:r>
        <w:rPr>
          <w:rFonts w:hint="eastAsia" w:ascii="宋体"/>
          <w:color w:val="auto"/>
          <w:szCs w:val="21"/>
          <w:highlight w:val="none"/>
        </w:rPr>
        <w:t>（一） 适用范围</w:t>
      </w:r>
    </w:p>
    <w:p>
      <w:pPr>
        <w:snapToGrid w:val="0"/>
        <w:spacing w:line="360" w:lineRule="exact"/>
        <w:ind w:firstLine="420" w:firstLineChars="200"/>
        <w:jc w:val="left"/>
        <w:rPr>
          <w:rFonts w:ascii="宋体"/>
          <w:color w:val="auto"/>
          <w:szCs w:val="21"/>
          <w:highlight w:val="none"/>
        </w:rPr>
      </w:pPr>
      <w:r>
        <w:rPr>
          <w:rFonts w:hint="eastAsia" w:ascii="宋体"/>
          <w:color w:val="auto"/>
          <w:szCs w:val="21"/>
          <w:highlight w:val="none"/>
        </w:rPr>
        <w:t>本招标文件适用本项目的招标、投标、评标、定标、验收、合同履约、付款等行为（法律、法规另有规定的，从其规定）。</w:t>
      </w:r>
    </w:p>
    <w:p>
      <w:pPr>
        <w:snapToGrid w:val="0"/>
        <w:spacing w:before="156" w:beforeLines="50" w:line="360" w:lineRule="exact"/>
        <w:ind w:firstLine="309" w:firstLineChars="147"/>
        <w:jc w:val="left"/>
        <w:outlineLvl w:val="0"/>
        <w:rPr>
          <w:b/>
          <w:color w:val="auto"/>
          <w:highlight w:val="none"/>
        </w:rPr>
      </w:pPr>
      <w:r>
        <w:rPr>
          <w:rFonts w:hint="eastAsia"/>
          <w:b/>
          <w:color w:val="auto"/>
          <w:highlight w:val="none"/>
        </w:rPr>
        <w:t>（二）定义</w:t>
      </w:r>
    </w:p>
    <w:p>
      <w:pPr>
        <w:snapToGrid w:val="0"/>
        <w:spacing w:line="360" w:lineRule="exact"/>
        <w:ind w:firstLine="420" w:firstLineChars="200"/>
        <w:jc w:val="left"/>
        <w:rPr>
          <w:rFonts w:hAnsi="宋体"/>
          <w:color w:val="auto"/>
          <w:highlight w:val="none"/>
        </w:rPr>
      </w:pPr>
      <w:r>
        <w:rPr>
          <w:rFonts w:hint="eastAsia" w:ascii="宋体" w:hAnsi="宋体"/>
          <w:color w:val="auto"/>
          <w:szCs w:val="21"/>
          <w:highlight w:val="none"/>
        </w:rPr>
        <w:t>1.</w:t>
      </w:r>
      <w:r>
        <w:rPr>
          <w:rFonts w:hint="eastAsia" w:hAnsi="宋体"/>
          <w:color w:val="auto"/>
          <w:highlight w:val="none"/>
        </w:rPr>
        <w:t xml:space="preserve"> “采购人”系指组织本次招标的采购单位。</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hAnsi="宋体"/>
          <w:color w:val="auto"/>
          <w:highlight w:val="none"/>
        </w:rPr>
        <w:t xml:space="preserve"> “采购代理机构”系指广西壮族自治区政府采购中心（以下简称“本中心</w:t>
      </w:r>
      <w:r>
        <w:rPr>
          <w:rFonts w:hAnsi="宋体"/>
          <w:color w:val="auto"/>
          <w:highlight w:val="none"/>
        </w:rPr>
        <w:t>”</w:t>
      </w:r>
      <w:r>
        <w:rPr>
          <w:rFonts w:hint="eastAsia" w:hAnsi="宋体"/>
          <w:color w:val="auto"/>
          <w:highlight w:val="none"/>
        </w:rPr>
        <w:t>）。</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hAnsi="宋体"/>
          <w:color w:val="auto"/>
          <w:highlight w:val="none"/>
        </w:rPr>
        <w:t xml:space="preserve"> “投标人”系指响应招标、参加投标竞争的法人、其他组织或者自然人。</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4. “产品”系指供方按招标文件规定，须向采购人提供的一切设备、保险、税金、备品备件、工具、手册及其它有关技术资料和材料。</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5.“服务”系指招标文件规定投标人须承担的安装、调试、技术协助、校准、培训、技术指导以及其他类似的义务。</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6.“项目”系指投标人按招标文件规定向采购人提供的产品和服务。</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7.“书面形式”包括信函、传真、电报等。</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8.“▲”系指在投标人须知中的实质性要求条款。</w:t>
      </w:r>
    </w:p>
    <w:p>
      <w:pPr>
        <w:snapToGrid w:val="0"/>
        <w:spacing w:before="156" w:beforeLines="50" w:line="360" w:lineRule="exact"/>
        <w:ind w:firstLine="413" w:firstLineChars="196"/>
        <w:jc w:val="left"/>
        <w:outlineLvl w:val="1"/>
        <w:rPr>
          <w:rFonts w:ascii="宋体"/>
          <w:b/>
          <w:color w:val="auto"/>
          <w:szCs w:val="21"/>
          <w:highlight w:val="none"/>
        </w:rPr>
      </w:pPr>
      <w:r>
        <w:rPr>
          <w:rFonts w:hint="eastAsia" w:ascii="宋体"/>
          <w:b/>
          <w:color w:val="auto"/>
          <w:szCs w:val="21"/>
          <w:highlight w:val="none"/>
        </w:rPr>
        <w:t>（三）招标方式</w:t>
      </w:r>
    </w:p>
    <w:p>
      <w:pPr>
        <w:snapToGrid w:val="0"/>
        <w:spacing w:line="360" w:lineRule="exact"/>
        <w:ind w:firstLine="420" w:firstLineChars="200"/>
        <w:jc w:val="left"/>
        <w:rPr>
          <w:rFonts w:ascii="宋体"/>
          <w:color w:val="auto"/>
          <w:szCs w:val="21"/>
          <w:highlight w:val="none"/>
        </w:rPr>
      </w:pPr>
      <w:r>
        <w:rPr>
          <w:rFonts w:hint="eastAsia" w:ascii="宋体"/>
          <w:color w:val="auto"/>
          <w:szCs w:val="21"/>
          <w:highlight w:val="none"/>
        </w:rPr>
        <w:t>公开招标方式。</w:t>
      </w:r>
    </w:p>
    <w:p>
      <w:pPr>
        <w:snapToGrid w:val="0"/>
        <w:spacing w:before="156" w:beforeLines="50" w:line="360" w:lineRule="exact"/>
        <w:ind w:firstLine="413" w:firstLineChars="196"/>
        <w:jc w:val="left"/>
        <w:outlineLvl w:val="0"/>
        <w:rPr>
          <w:rFonts w:ascii="宋体"/>
          <w:b/>
          <w:color w:val="auto"/>
          <w:szCs w:val="21"/>
          <w:highlight w:val="none"/>
        </w:rPr>
      </w:pPr>
      <w:r>
        <w:rPr>
          <w:rFonts w:hint="eastAsia" w:ascii="宋体"/>
          <w:b/>
          <w:color w:val="auto"/>
          <w:szCs w:val="21"/>
          <w:highlight w:val="none"/>
        </w:rPr>
        <w:t>（四）投标委托</w:t>
      </w:r>
    </w:p>
    <w:p>
      <w:pPr>
        <w:pStyle w:val="22"/>
        <w:snapToGrid w:val="0"/>
        <w:spacing w:line="360" w:lineRule="exact"/>
        <w:ind w:firstLine="420" w:firstLineChars="200"/>
        <w:jc w:val="left"/>
        <w:rPr>
          <w:rFonts w:ascii="宋体" w:eastAsia="宋体"/>
          <w:color w:val="auto"/>
          <w:sz w:val="21"/>
          <w:szCs w:val="21"/>
          <w:highlight w:val="none"/>
        </w:rPr>
      </w:pPr>
      <w:r>
        <w:rPr>
          <w:rFonts w:hint="eastAsia" w:ascii="宋体" w:hAnsi="宋体" w:eastAsia="宋体"/>
          <w:color w:val="auto"/>
          <w:sz w:val="21"/>
          <w:szCs w:val="21"/>
          <w:highlight w:val="none"/>
        </w:rPr>
        <w:t>如投标人代表不是法定代表人(负责人)，须有法定代表人(负责人)出具的授权委托书，格式见第六章《投标文件格式》。</w:t>
      </w:r>
    </w:p>
    <w:p>
      <w:pPr>
        <w:snapToGrid w:val="0"/>
        <w:spacing w:before="156" w:beforeLines="50" w:line="360" w:lineRule="exact"/>
        <w:ind w:firstLine="413" w:firstLineChars="196"/>
        <w:jc w:val="left"/>
        <w:outlineLvl w:val="0"/>
        <w:rPr>
          <w:rFonts w:ascii="宋体"/>
          <w:b/>
          <w:color w:val="auto"/>
          <w:szCs w:val="21"/>
          <w:highlight w:val="none"/>
        </w:rPr>
      </w:pPr>
      <w:r>
        <w:rPr>
          <w:rFonts w:hint="eastAsia" w:ascii="宋体"/>
          <w:b/>
          <w:color w:val="auto"/>
          <w:szCs w:val="21"/>
          <w:highlight w:val="none"/>
        </w:rPr>
        <w:t>（五）投标费用</w:t>
      </w:r>
    </w:p>
    <w:p>
      <w:pPr>
        <w:snapToGrid w:val="0"/>
        <w:spacing w:line="360" w:lineRule="exact"/>
        <w:ind w:firstLine="420" w:firstLineChars="200"/>
        <w:jc w:val="left"/>
        <w:rPr>
          <w:rFonts w:ascii="宋体"/>
          <w:color w:val="auto"/>
          <w:szCs w:val="21"/>
          <w:highlight w:val="none"/>
        </w:rPr>
      </w:pPr>
      <w:r>
        <w:rPr>
          <w:rFonts w:hint="eastAsia" w:ascii="宋体"/>
          <w:color w:val="auto"/>
          <w:szCs w:val="21"/>
          <w:highlight w:val="none"/>
        </w:rPr>
        <w:t>投标人均应自行承担所有与投标有关的全部费用（招标文件有相关的规定除外）。</w:t>
      </w:r>
    </w:p>
    <w:p>
      <w:pPr>
        <w:snapToGrid w:val="0"/>
        <w:spacing w:line="360" w:lineRule="exact"/>
        <w:ind w:firstLine="421" w:firstLineChars="200"/>
        <w:jc w:val="left"/>
        <w:rPr>
          <w:rFonts w:ascii="宋体"/>
          <w:b/>
          <w:bCs w:val="0"/>
          <w:color w:val="auto"/>
          <w:szCs w:val="21"/>
          <w:highlight w:val="none"/>
        </w:rPr>
      </w:pPr>
      <w:r>
        <w:rPr>
          <w:rFonts w:hint="eastAsia" w:ascii="宋体"/>
          <w:b/>
          <w:bCs w:val="0"/>
          <w:color w:val="auto"/>
          <w:szCs w:val="21"/>
          <w:highlight w:val="none"/>
        </w:rPr>
        <w:t>（六）</w:t>
      </w:r>
      <w:r>
        <w:rPr>
          <w:rFonts w:hint="eastAsia"/>
          <w:b/>
          <w:bCs w:val="0"/>
          <w:color w:val="auto"/>
          <w:highlight w:val="none"/>
        </w:rPr>
        <w:t>本项目不接受联合体投标</w:t>
      </w:r>
    </w:p>
    <w:p>
      <w:pPr>
        <w:snapToGrid w:val="0"/>
        <w:spacing w:before="156" w:beforeLines="50" w:line="360" w:lineRule="exact"/>
        <w:ind w:firstLine="413" w:firstLineChars="196"/>
        <w:outlineLvl w:val="0"/>
        <w:rPr>
          <w:rFonts w:ascii="宋体" w:cs="宋体"/>
          <w:b/>
          <w:color w:val="auto"/>
          <w:kern w:val="0"/>
          <w:szCs w:val="21"/>
          <w:highlight w:val="none"/>
        </w:rPr>
      </w:pPr>
      <w:r>
        <w:rPr>
          <w:rFonts w:hint="eastAsia" w:ascii="宋体"/>
          <w:b/>
          <w:color w:val="auto"/>
          <w:szCs w:val="21"/>
          <w:highlight w:val="none"/>
        </w:rPr>
        <w:t>（七）</w:t>
      </w:r>
      <w:r>
        <w:rPr>
          <w:rFonts w:hint="eastAsia" w:ascii="宋体" w:cs="宋体"/>
          <w:b/>
          <w:color w:val="auto"/>
          <w:kern w:val="0"/>
          <w:szCs w:val="21"/>
          <w:highlight w:val="none"/>
        </w:rPr>
        <w:t>转包与分包</w:t>
      </w:r>
    </w:p>
    <w:p>
      <w:pPr>
        <w:snapToGrid w:val="0"/>
        <w:spacing w:line="360" w:lineRule="exact"/>
        <w:ind w:firstLine="420" w:firstLineChars="200"/>
        <w:rPr>
          <w:rFonts w:ascii="宋体" w:cs="宋体"/>
          <w:color w:val="auto"/>
          <w:kern w:val="0"/>
          <w:szCs w:val="21"/>
          <w:highlight w:val="none"/>
        </w:rPr>
      </w:pPr>
      <w:r>
        <w:rPr>
          <w:rFonts w:hint="eastAsia" w:ascii="宋体" w:cs="宋体"/>
          <w:color w:val="auto"/>
          <w:kern w:val="0"/>
          <w:szCs w:val="21"/>
          <w:highlight w:val="none"/>
        </w:rPr>
        <w:t>1.本项目不允许转包。</w:t>
      </w:r>
    </w:p>
    <w:p>
      <w:pPr>
        <w:snapToGrid w:val="0"/>
        <w:spacing w:line="360" w:lineRule="exact"/>
        <w:ind w:firstLine="420" w:firstLineChars="200"/>
        <w:rPr>
          <w:rFonts w:ascii="宋体"/>
          <w:color w:val="auto"/>
          <w:szCs w:val="21"/>
          <w:highlight w:val="none"/>
        </w:rPr>
      </w:pPr>
      <w:r>
        <w:rPr>
          <w:rFonts w:hint="eastAsia" w:ascii="宋体" w:cs="宋体"/>
          <w:color w:val="auto"/>
          <w:kern w:val="0"/>
          <w:szCs w:val="21"/>
          <w:highlight w:val="none"/>
        </w:rPr>
        <w:t>2.本项目不可以分包。</w:t>
      </w:r>
    </w:p>
    <w:p>
      <w:pPr>
        <w:snapToGrid w:val="0"/>
        <w:spacing w:before="156" w:beforeLines="50" w:line="360" w:lineRule="exact"/>
        <w:ind w:firstLine="413" w:firstLineChars="196"/>
        <w:jc w:val="left"/>
        <w:outlineLvl w:val="0"/>
        <w:rPr>
          <w:rFonts w:ascii="宋体" w:hAnsi="宋体"/>
          <w:b/>
          <w:color w:val="auto"/>
          <w:szCs w:val="21"/>
          <w:highlight w:val="none"/>
        </w:rPr>
      </w:pPr>
      <w:r>
        <w:rPr>
          <w:rFonts w:hint="eastAsia" w:ascii="宋体" w:hAnsi="宋体"/>
          <w:b/>
          <w:color w:val="auto"/>
          <w:szCs w:val="21"/>
          <w:highlight w:val="none"/>
        </w:rPr>
        <w:t>（八）特别说明：</w:t>
      </w:r>
    </w:p>
    <w:p>
      <w:pPr>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▲1.单位负责人为同一人或者存在直接控股、管理关系的不同供应商，不得参加同一合同项下的政府采购活动。</w:t>
      </w:r>
    </w:p>
    <w:p>
      <w:pPr>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olor w:val="auto"/>
          <w:szCs w:val="21"/>
          <w:highlight w:val="none"/>
        </w:rPr>
        <w:t>使用综合评分法的采购项目，</w:t>
      </w:r>
      <w:r>
        <w:rPr>
          <w:rFonts w:hint="eastAsia"/>
          <w:color w:val="auto"/>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定标准》中的推荐原则确定一个投标人获得中标人推荐资格，其他同品牌投标人不作为中标候选人。</w:t>
      </w:r>
    </w:p>
    <w:p>
      <w:pPr>
        <w:rPr>
          <w:rFonts w:ascii="宋体" w:hAnsi="宋体" w:cs="宋体"/>
          <w:color w:val="auto"/>
          <w:kern w:val="0"/>
          <w:szCs w:val="21"/>
          <w:highlight w:val="none"/>
        </w:rPr>
      </w:pPr>
      <w:r>
        <w:rPr>
          <w:rFonts w:hint="eastAsia" w:ascii="宋体" w:hAnsi="宋体" w:cs="宋体"/>
          <w:color w:val="auto"/>
          <w:kern w:val="0"/>
          <w:szCs w:val="21"/>
          <w:highlight w:val="none"/>
        </w:rPr>
        <w:t xml:space="preserve">    非单一产品采购项目中，多家投标人提供的招标文件中载明的核心产品品牌相同的，视为提供相同品牌产品。</w:t>
      </w:r>
    </w:p>
    <w:p>
      <w:pPr>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▲3.投标人应仔细阅读招标文件的所有内容，按照招标文件的要求提交投标文件，并对所提供的全部资料的真实性承担法律责任。</w:t>
      </w:r>
    </w:p>
    <w:p>
      <w:pPr>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▲4.投标人在投标活动中提供任何虚假材料、互相串通投标，其投标无效，并报监管部门查处。</w:t>
      </w:r>
    </w:p>
    <w:p>
      <w:pPr>
        <w:pStyle w:val="29"/>
        <w:snapToGrid w:val="0"/>
        <w:spacing w:line="360" w:lineRule="exact"/>
        <w:ind w:left="2" w:leftChars="1" w:firstLine="420" w:firstLineChars="200"/>
        <w:rPr>
          <w:rFonts w:hAnsi="宋体" w:cs="宋体"/>
          <w:color w:val="auto"/>
          <w:kern w:val="0"/>
          <w:highlight w:val="none"/>
        </w:rPr>
      </w:pPr>
      <w:r>
        <w:rPr>
          <w:rFonts w:hint="eastAsia" w:hAnsi="宋体" w:cs="宋体"/>
          <w:color w:val="auto"/>
          <w:kern w:val="0"/>
          <w:highlight w:val="none"/>
        </w:rPr>
        <w:t>▲5.投标截止时间前三天，报名登记的供应商不足三家的，本中心将延迟截标和开标时间不少于十日，并书面通知已报名登记的供应商，并在财政部门指定的政府采购信息发布媒体及本中心网站上发布变更公告。</w:t>
      </w:r>
    </w:p>
    <w:p>
      <w:pPr>
        <w:pStyle w:val="29"/>
        <w:snapToGrid w:val="0"/>
        <w:spacing w:line="360" w:lineRule="exact"/>
        <w:ind w:firstLine="309" w:firstLineChars="147"/>
        <w:outlineLvl w:val="0"/>
        <w:rPr>
          <w:b/>
          <w:bCs/>
          <w:color w:val="auto"/>
          <w:highlight w:val="none"/>
        </w:rPr>
      </w:pPr>
      <w:r>
        <w:rPr>
          <w:rFonts w:hint="eastAsia"/>
          <w:b/>
          <w:bCs/>
          <w:color w:val="auto"/>
          <w:highlight w:val="none"/>
        </w:rPr>
        <w:t>（九）</w:t>
      </w:r>
      <w:r>
        <w:rPr>
          <w:rFonts w:hint="eastAsia"/>
          <w:b/>
          <w:color w:val="auto"/>
          <w:highlight w:val="none"/>
        </w:rPr>
        <w:t>询问、质疑和投诉</w:t>
      </w:r>
    </w:p>
    <w:p>
      <w:pPr>
        <w:pStyle w:val="29"/>
        <w:snapToGrid w:val="0"/>
        <w:spacing w:line="360" w:lineRule="exact"/>
        <w:ind w:firstLine="420" w:firstLineChars="200"/>
        <w:rPr>
          <w:color w:val="auto"/>
          <w:highlight w:val="none"/>
        </w:rPr>
      </w:pPr>
      <w:r>
        <w:rPr>
          <w:rFonts w:hint="eastAsia"/>
          <w:color w:val="auto"/>
          <w:highlight w:val="none"/>
        </w:rPr>
        <w:t>1．投标人对政府采购活动事项有疑问的，可以向采购人、采购代理机构提出询问。</w:t>
      </w:r>
    </w:p>
    <w:p>
      <w:pPr>
        <w:pStyle w:val="29"/>
        <w:snapToGrid w:val="0"/>
        <w:spacing w:line="360" w:lineRule="exact"/>
        <w:ind w:firstLine="420" w:firstLineChars="200"/>
        <w:rPr>
          <w:color w:val="auto"/>
          <w:highlight w:val="none"/>
        </w:rPr>
      </w:pPr>
      <w:r>
        <w:rPr>
          <w:rFonts w:hint="eastAsia"/>
          <w:color w:val="auto"/>
          <w:highlight w:val="none"/>
        </w:rPr>
        <w:t>2.投标人认为招标文件、招标过程或中标结果使自己的合法权益受到损害的，应当在知道或者应知其权益受到损害之日起七个工作日内，以书面形式向采购人提出质疑。具体计算时间如下：</w:t>
      </w:r>
    </w:p>
    <w:p>
      <w:pPr>
        <w:pStyle w:val="29"/>
        <w:snapToGrid w:val="0"/>
        <w:spacing w:line="360" w:lineRule="exact"/>
        <w:ind w:firstLine="309" w:firstLineChars="147"/>
        <w:rPr>
          <w:bCs/>
          <w:color w:val="auto"/>
          <w:highlight w:val="none"/>
        </w:rPr>
      </w:pPr>
      <w:r>
        <w:rPr>
          <w:rFonts w:hint="eastAsia"/>
          <w:b/>
          <w:color w:val="auto"/>
          <w:highlight w:val="none"/>
        </w:rPr>
        <w:t>（一）对可以质疑的招标采购文件提出质疑的，为收到采购文件之日；</w:t>
      </w:r>
    </w:p>
    <w:p>
      <w:pPr>
        <w:widowControl/>
        <w:spacing w:line="360" w:lineRule="exact"/>
        <w:jc w:val="left"/>
        <w:rPr>
          <w:rFonts w:ascii="宋体" w:cs="Courier New"/>
          <w:b/>
          <w:color w:val="auto"/>
          <w:szCs w:val="21"/>
          <w:highlight w:val="none"/>
        </w:rPr>
      </w:pPr>
      <w:r>
        <w:rPr>
          <w:rFonts w:hint="eastAsia" w:ascii="宋体" w:cs="Courier New"/>
          <w:color w:val="auto"/>
          <w:szCs w:val="21"/>
          <w:highlight w:val="none"/>
        </w:rPr>
        <w:t xml:space="preserve">　 </w:t>
      </w:r>
      <w:r>
        <w:rPr>
          <w:rFonts w:hint="eastAsia" w:ascii="宋体" w:cs="Courier New"/>
          <w:b/>
          <w:color w:val="auto"/>
          <w:szCs w:val="21"/>
          <w:highlight w:val="none"/>
        </w:rPr>
        <w:t>（二）对招标采购过程提出质疑的，为各采购程序环节结束之日；</w:t>
      </w:r>
    </w:p>
    <w:p>
      <w:pPr>
        <w:widowControl/>
        <w:spacing w:line="360" w:lineRule="exact"/>
        <w:ind w:firstLine="309" w:firstLineChars="147"/>
        <w:jc w:val="left"/>
        <w:rPr>
          <w:rFonts w:ascii="宋体" w:cs="Courier New"/>
          <w:b/>
          <w:color w:val="auto"/>
          <w:szCs w:val="21"/>
          <w:highlight w:val="none"/>
        </w:rPr>
      </w:pPr>
      <w:r>
        <w:rPr>
          <w:rFonts w:hint="eastAsia" w:cs="Courier New"/>
          <w:b/>
          <w:color w:val="auto"/>
          <w:szCs w:val="21"/>
          <w:highlight w:val="none"/>
        </w:rPr>
        <w:t>（三）对中标结果提出质疑的，为中标结果公告期限届满之日。投标人对采购单位的质疑答复不满意或者</w:t>
      </w:r>
      <w:r>
        <w:rPr>
          <w:rFonts w:hint="eastAsia" w:ascii="宋体" w:hAnsi="宋体" w:cs="Courier New"/>
          <w:b/>
          <w:color w:val="auto"/>
          <w:szCs w:val="21"/>
          <w:highlight w:val="none"/>
        </w:rPr>
        <w:t>采购人</w:t>
      </w:r>
      <w:r>
        <w:rPr>
          <w:rFonts w:hint="eastAsia" w:cs="Courier New"/>
          <w:b/>
          <w:color w:val="auto"/>
          <w:szCs w:val="21"/>
          <w:highlight w:val="none"/>
        </w:rPr>
        <w:t>未在规定时间内作出答复的，可以在答复期满后十五个工作日内向同级采购监管部门投诉。</w:t>
      </w:r>
    </w:p>
    <w:p>
      <w:pPr>
        <w:pStyle w:val="29"/>
        <w:snapToGrid w:val="0"/>
        <w:spacing w:line="360" w:lineRule="exact"/>
        <w:ind w:firstLine="420" w:firstLineChars="200"/>
        <w:rPr>
          <w:bCs/>
          <w:color w:val="auto"/>
          <w:highlight w:val="none"/>
        </w:rPr>
      </w:pPr>
      <w:r>
        <w:rPr>
          <w:rFonts w:hint="eastAsia"/>
          <w:bCs/>
          <w:color w:val="auto"/>
          <w:highlight w:val="none"/>
        </w:rPr>
        <w:t>3.质疑、投诉应当采用书面形式，质疑书、投诉书均应明确阐述招标采购文件、招标采购过程、中标结果中使自己合法权益受到损害的实质性内容，提供相关事实、明确的请求、必要的证明材料，便于有关单位调查、答复和处理。</w:t>
      </w:r>
    </w:p>
    <w:p>
      <w:pPr>
        <w:pStyle w:val="29"/>
        <w:spacing w:line="360" w:lineRule="exact"/>
        <w:ind w:firstLine="421" w:firstLineChars="200"/>
        <w:rPr>
          <w:b/>
          <w:color w:val="auto"/>
          <w:highlight w:val="none"/>
          <w:lang w:val="en"/>
        </w:rPr>
      </w:pPr>
      <w:r>
        <w:rPr>
          <w:b/>
          <w:color w:val="auto"/>
          <w:highlight w:val="none"/>
          <w:lang w:val="en"/>
        </w:rPr>
        <w:t>4.采购人、采购代理机构接收质疑函的方式、联系部门、联系电话和地址等信息详见“投标人须知前附表”。</w:t>
      </w:r>
    </w:p>
    <w:p>
      <w:pPr>
        <w:pStyle w:val="29"/>
        <w:snapToGrid w:val="0"/>
        <w:spacing w:line="360" w:lineRule="auto"/>
        <w:ind w:firstLine="421" w:firstLineChars="200"/>
        <w:rPr>
          <w:rFonts w:hAnsi="宋体"/>
          <w:color w:val="auto"/>
          <w:highlight w:val="none"/>
        </w:rPr>
      </w:pPr>
      <w:r>
        <w:rPr>
          <w:rFonts w:hint="eastAsia"/>
          <w:b/>
          <w:color w:val="auto"/>
          <w:highlight w:val="none"/>
        </w:rPr>
        <w:t>5.</w:t>
      </w:r>
      <w:r>
        <w:rPr>
          <w:rFonts w:hint="eastAsia" w:hAnsi="宋体"/>
          <w:color w:val="auto"/>
          <w:highlight w:val="none"/>
        </w:rPr>
        <w:t>质疑供应商提起质疑应当符合下列条件：</w:t>
      </w:r>
    </w:p>
    <w:p>
      <w:pPr>
        <w:pStyle w:val="29"/>
        <w:snapToGrid w:val="0"/>
        <w:spacing w:line="360" w:lineRule="auto"/>
        <w:ind w:firstLine="420" w:firstLineChars="200"/>
        <w:rPr>
          <w:rFonts w:hAnsi="宋体"/>
          <w:color w:val="auto"/>
          <w:highlight w:val="none"/>
        </w:rPr>
      </w:pPr>
      <w:r>
        <w:rPr>
          <w:rFonts w:hint="eastAsia" w:hAnsi="宋体"/>
          <w:color w:val="auto"/>
          <w:highlight w:val="none"/>
        </w:rPr>
        <w:t>（1）质疑供应商是参与所质疑项目采购活动的供应商（潜在供应商已依法获取所质疑的采购文件的，可以对该采购文件质疑）；</w:t>
      </w:r>
    </w:p>
    <w:p>
      <w:pPr>
        <w:pStyle w:val="29"/>
        <w:snapToGrid w:val="0"/>
        <w:spacing w:line="360" w:lineRule="auto"/>
        <w:ind w:firstLine="420" w:firstLineChars="200"/>
        <w:rPr>
          <w:rFonts w:hAnsi="宋体"/>
          <w:color w:val="auto"/>
          <w:highlight w:val="none"/>
        </w:rPr>
      </w:pPr>
      <w:r>
        <w:rPr>
          <w:rFonts w:hint="eastAsia" w:hAnsi="宋体"/>
          <w:color w:val="auto"/>
          <w:highlight w:val="none"/>
        </w:rPr>
        <w:t>（2）质疑函内容符合本章第3项的规定；</w:t>
      </w:r>
    </w:p>
    <w:p>
      <w:pPr>
        <w:pStyle w:val="29"/>
        <w:snapToGrid w:val="0"/>
        <w:spacing w:line="360" w:lineRule="auto"/>
        <w:ind w:firstLine="420" w:firstLineChars="200"/>
        <w:rPr>
          <w:rFonts w:hAnsi="宋体"/>
          <w:color w:val="auto"/>
          <w:highlight w:val="none"/>
        </w:rPr>
      </w:pPr>
      <w:r>
        <w:rPr>
          <w:rFonts w:hint="eastAsia" w:hAnsi="宋体"/>
          <w:color w:val="auto"/>
          <w:highlight w:val="none"/>
        </w:rPr>
        <w:t>（3）在质疑有效期限内提起质疑；</w:t>
      </w:r>
    </w:p>
    <w:p>
      <w:pPr>
        <w:pStyle w:val="29"/>
        <w:snapToGrid w:val="0"/>
        <w:spacing w:line="360" w:lineRule="auto"/>
        <w:ind w:firstLine="420" w:firstLineChars="200"/>
        <w:rPr>
          <w:rFonts w:hAnsi="宋体"/>
          <w:color w:val="auto"/>
          <w:highlight w:val="none"/>
        </w:rPr>
      </w:pPr>
      <w:r>
        <w:rPr>
          <w:rFonts w:hint="eastAsia" w:hAnsi="宋体"/>
          <w:color w:val="auto"/>
          <w:highlight w:val="none"/>
        </w:rPr>
        <w:t>（4）属于所质疑的采购人或采购人委托的采购代理机构组织的采购活动；</w:t>
      </w:r>
    </w:p>
    <w:p>
      <w:pPr>
        <w:pStyle w:val="29"/>
        <w:snapToGrid w:val="0"/>
        <w:spacing w:line="360" w:lineRule="auto"/>
        <w:ind w:firstLine="420" w:firstLineChars="200"/>
        <w:rPr>
          <w:rFonts w:hAnsi="宋体"/>
          <w:color w:val="auto"/>
          <w:highlight w:val="none"/>
        </w:rPr>
      </w:pPr>
      <w:r>
        <w:rPr>
          <w:rFonts w:hint="eastAsia" w:hAnsi="宋体"/>
          <w:color w:val="auto"/>
          <w:highlight w:val="none"/>
        </w:rPr>
        <w:t xml:space="preserve">（5）同一质疑事项未经采购人或采购人委托的采购代理机构质疑处理； </w:t>
      </w:r>
    </w:p>
    <w:p>
      <w:pPr>
        <w:pStyle w:val="29"/>
        <w:snapToGrid w:val="0"/>
        <w:spacing w:line="360" w:lineRule="auto"/>
        <w:ind w:firstLine="420" w:firstLineChars="200"/>
        <w:rPr>
          <w:rFonts w:hAnsi="宋体"/>
          <w:color w:val="auto"/>
          <w:highlight w:val="none"/>
        </w:rPr>
      </w:pPr>
      <w:r>
        <w:rPr>
          <w:rFonts w:hint="eastAsia" w:hAnsi="宋体"/>
          <w:color w:val="auto"/>
          <w:highlight w:val="none"/>
        </w:rPr>
        <w:t>（6）供应商对同一采购程序环节的质疑应当在质疑有效期内一次性提出；</w:t>
      </w:r>
    </w:p>
    <w:p>
      <w:pPr>
        <w:pStyle w:val="29"/>
        <w:snapToGrid w:val="0"/>
        <w:spacing w:line="360" w:lineRule="auto"/>
        <w:ind w:firstLine="420" w:firstLineChars="200"/>
        <w:rPr>
          <w:rFonts w:hAnsi="宋体"/>
          <w:color w:val="auto"/>
          <w:highlight w:val="none"/>
        </w:rPr>
      </w:pPr>
      <w:r>
        <w:rPr>
          <w:rFonts w:hint="eastAsia" w:hAnsi="宋体"/>
          <w:color w:val="auto"/>
          <w:highlight w:val="none"/>
        </w:rPr>
        <w:t>（7）供应商提交质疑应当提交必要的证明材料，证明材料应以合法手段取得；</w:t>
      </w:r>
    </w:p>
    <w:p>
      <w:pPr>
        <w:pStyle w:val="29"/>
        <w:spacing w:line="360" w:lineRule="exact"/>
        <w:ind w:firstLine="420" w:firstLineChars="200"/>
        <w:rPr>
          <w:b/>
          <w:color w:val="auto"/>
          <w:highlight w:val="none"/>
        </w:rPr>
      </w:pPr>
      <w:r>
        <w:rPr>
          <w:rFonts w:hint="eastAsia" w:hAnsi="宋体"/>
          <w:color w:val="auto"/>
          <w:highlight w:val="none"/>
        </w:rPr>
        <w:t>（8）财政部门规定的其他条件。</w:t>
      </w:r>
    </w:p>
    <w:p>
      <w:pPr>
        <w:pStyle w:val="29"/>
        <w:snapToGrid w:val="0"/>
        <w:spacing w:line="360" w:lineRule="exact"/>
        <w:ind w:firstLine="413" w:firstLineChars="196"/>
        <w:outlineLvl w:val="0"/>
        <w:rPr>
          <w:b/>
          <w:color w:val="auto"/>
          <w:highlight w:val="none"/>
        </w:rPr>
      </w:pPr>
      <w:r>
        <w:rPr>
          <w:rFonts w:hint="eastAsia"/>
          <w:b/>
          <w:color w:val="auto"/>
          <w:highlight w:val="none"/>
        </w:rPr>
        <w:t>二、招标文件</w:t>
      </w:r>
    </w:p>
    <w:p>
      <w:pPr>
        <w:snapToGrid w:val="0"/>
        <w:spacing w:line="360" w:lineRule="exact"/>
        <w:ind w:firstLine="413" w:firstLineChars="196"/>
        <w:jc w:val="left"/>
        <w:outlineLvl w:val="0"/>
        <w:rPr>
          <w:rFonts w:ascii="宋体"/>
          <w:b/>
          <w:color w:val="auto"/>
          <w:szCs w:val="21"/>
          <w:highlight w:val="none"/>
        </w:rPr>
      </w:pPr>
      <w:r>
        <w:rPr>
          <w:rFonts w:hint="eastAsia" w:ascii="宋体"/>
          <w:b/>
          <w:color w:val="auto"/>
          <w:szCs w:val="21"/>
          <w:highlight w:val="none"/>
        </w:rPr>
        <w:t>（一）招标文件的构成。</w:t>
      </w:r>
    </w:p>
    <w:p>
      <w:pPr>
        <w:snapToGrid w:val="0"/>
        <w:spacing w:line="360" w:lineRule="exact"/>
        <w:ind w:firstLine="420" w:firstLineChars="200"/>
        <w:jc w:val="left"/>
        <w:rPr>
          <w:rFonts w:ascii="宋体"/>
          <w:color w:val="auto"/>
          <w:szCs w:val="21"/>
          <w:highlight w:val="none"/>
        </w:rPr>
      </w:pPr>
      <w:r>
        <w:rPr>
          <w:rFonts w:hint="eastAsia" w:ascii="宋体"/>
          <w:color w:val="auto"/>
          <w:szCs w:val="21"/>
          <w:highlight w:val="none"/>
        </w:rPr>
        <w:t>1.公开招标公告；</w:t>
      </w:r>
    </w:p>
    <w:p>
      <w:pPr>
        <w:snapToGrid w:val="0"/>
        <w:spacing w:line="360" w:lineRule="exact"/>
        <w:ind w:firstLine="420" w:firstLineChars="200"/>
        <w:jc w:val="left"/>
        <w:rPr>
          <w:rFonts w:ascii="宋体"/>
          <w:color w:val="auto"/>
          <w:szCs w:val="21"/>
          <w:highlight w:val="none"/>
        </w:rPr>
      </w:pPr>
      <w:r>
        <w:rPr>
          <w:rFonts w:hint="eastAsia" w:ascii="宋体"/>
          <w:color w:val="auto"/>
          <w:szCs w:val="21"/>
          <w:highlight w:val="none"/>
        </w:rPr>
        <w:t>2.招标项目采购需求</w:t>
      </w:r>
    </w:p>
    <w:p>
      <w:pPr>
        <w:snapToGrid w:val="0"/>
        <w:spacing w:line="360" w:lineRule="exact"/>
        <w:ind w:firstLine="420" w:firstLineChars="200"/>
        <w:jc w:val="left"/>
        <w:rPr>
          <w:rFonts w:ascii="宋体"/>
          <w:color w:val="auto"/>
          <w:szCs w:val="21"/>
          <w:highlight w:val="none"/>
        </w:rPr>
      </w:pPr>
      <w:r>
        <w:rPr>
          <w:rFonts w:hint="eastAsia" w:ascii="宋体"/>
          <w:color w:val="auto"/>
          <w:szCs w:val="21"/>
          <w:highlight w:val="none"/>
        </w:rPr>
        <w:t>3.投标人须知；</w:t>
      </w:r>
    </w:p>
    <w:p>
      <w:pPr>
        <w:snapToGrid w:val="0"/>
        <w:spacing w:line="360" w:lineRule="exact"/>
        <w:ind w:firstLine="420" w:firstLineChars="200"/>
        <w:jc w:val="left"/>
        <w:rPr>
          <w:rFonts w:ascii="宋体"/>
          <w:color w:val="auto"/>
          <w:szCs w:val="21"/>
          <w:highlight w:val="none"/>
        </w:rPr>
      </w:pPr>
      <w:r>
        <w:rPr>
          <w:rFonts w:hint="eastAsia" w:ascii="宋体"/>
          <w:color w:val="auto"/>
          <w:szCs w:val="21"/>
          <w:highlight w:val="none"/>
        </w:rPr>
        <w:t>4.评标方法及评定标准；</w:t>
      </w:r>
    </w:p>
    <w:p>
      <w:pPr>
        <w:snapToGrid w:val="0"/>
        <w:spacing w:line="360" w:lineRule="exact"/>
        <w:ind w:firstLine="420" w:firstLineChars="200"/>
        <w:jc w:val="left"/>
        <w:rPr>
          <w:rFonts w:ascii="宋体"/>
          <w:color w:val="auto"/>
          <w:szCs w:val="21"/>
          <w:highlight w:val="none"/>
        </w:rPr>
      </w:pPr>
      <w:r>
        <w:rPr>
          <w:rFonts w:hint="eastAsia" w:ascii="宋体"/>
          <w:color w:val="auto"/>
          <w:szCs w:val="21"/>
          <w:highlight w:val="none"/>
        </w:rPr>
        <w:t>5.政府采购合同主要条款；</w:t>
      </w:r>
    </w:p>
    <w:p>
      <w:pPr>
        <w:snapToGrid w:val="0"/>
        <w:spacing w:line="360" w:lineRule="exact"/>
        <w:ind w:firstLine="420" w:firstLineChars="200"/>
        <w:jc w:val="left"/>
        <w:rPr>
          <w:rFonts w:ascii="宋体"/>
          <w:color w:val="auto"/>
          <w:szCs w:val="21"/>
          <w:highlight w:val="none"/>
        </w:rPr>
      </w:pPr>
      <w:r>
        <w:rPr>
          <w:rFonts w:hint="eastAsia" w:ascii="宋体"/>
          <w:color w:val="auto"/>
          <w:szCs w:val="21"/>
          <w:highlight w:val="none"/>
        </w:rPr>
        <w:t>6.投标文件格式。</w:t>
      </w:r>
    </w:p>
    <w:p>
      <w:pPr>
        <w:snapToGrid w:val="0"/>
        <w:spacing w:before="156" w:beforeLines="50" w:line="360" w:lineRule="exact"/>
        <w:ind w:firstLine="413" w:firstLineChars="196"/>
        <w:jc w:val="left"/>
        <w:outlineLvl w:val="0"/>
        <w:rPr>
          <w:rFonts w:ascii="宋体"/>
          <w:b/>
          <w:color w:val="auto"/>
          <w:szCs w:val="21"/>
          <w:highlight w:val="none"/>
        </w:rPr>
      </w:pPr>
      <w:r>
        <w:rPr>
          <w:rFonts w:hint="eastAsia" w:ascii="宋体"/>
          <w:b/>
          <w:color w:val="auto"/>
          <w:szCs w:val="21"/>
          <w:highlight w:val="none"/>
        </w:rPr>
        <w:t>（二）投标人的风险</w:t>
      </w:r>
    </w:p>
    <w:p>
      <w:pPr>
        <w:tabs>
          <w:tab w:val="left" w:pos="180"/>
          <w:tab w:val="left" w:pos="1620"/>
        </w:tabs>
        <w:spacing w:line="400" w:lineRule="exact"/>
        <w:ind w:firstLine="420" w:firstLineChars="200"/>
        <w:rPr>
          <w:rFonts w:ascii="宋体" w:cs="Courier New"/>
          <w:color w:val="auto"/>
          <w:szCs w:val="21"/>
          <w:highlight w:val="none"/>
        </w:rPr>
      </w:pPr>
      <w:r>
        <w:rPr>
          <w:rFonts w:hint="eastAsia" w:ascii="宋体" w:hAnsi="宋体" w:cs="Courier New"/>
          <w:color w:val="auto"/>
          <w:szCs w:val="21"/>
          <w:highlight w:val="none"/>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r>
        <w:rPr>
          <w:rFonts w:hint="eastAsia" w:ascii="宋体" w:hAnsi="宋体" w:cs="Courier New"/>
          <w:color w:val="auto"/>
          <w:szCs w:val="21"/>
          <w:highlight w:val="none"/>
        </w:rPr>
        <w:cr/>
      </w:r>
      <w:r>
        <w:rPr>
          <w:rFonts w:hint="eastAsia" w:ascii="宋体" w:hAnsi="宋体" w:cs="Courier New"/>
          <w:color w:val="auto"/>
          <w:szCs w:val="21"/>
          <w:highlight w:val="none"/>
        </w:rPr>
        <w:t xml:space="preserve">   2.对招标文件提出的实质性要求和条件作出明确响应是指投标人必须对招标文件中涉及招标项目的价格、采购货物的主要技术参数和性能配置、数量、交货（或竣工）时间、售后服务及其它要求、合同主要条款等内容作出明确响应。</w:t>
      </w:r>
      <w:r>
        <w:rPr>
          <w:rFonts w:hint="eastAsia" w:ascii="宋体" w:cs="Courier New"/>
          <w:color w:val="auto"/>
          <w:szCs w:val="21"/>
          <w:highlight w:val="none"/>
        </w:rPr>
        <w:t xml:space="preserve"> </w:t>
      </w:r>
    </w:p>
    <w:p>
      <w:pPr>
        <w:pStyle w:val="14"/>
        <w:widowControl w:val="0"/>
        <w:tabs>
          <w:tab w:val="clear" w:pos="454"/>
        </w:tabs>
        <w:snapToGrid w:val="0"/>
        <w:spacing w:before="156" w:beforeLines="50" w:afterLines="0" w:line="400" w:lineRule="exact"/>
        <w:ind w:left="0" w:firstLine="411" w:firstLineChars="196"/>
        <w:rPr>
          <w:rFonts w:ascii="宋体" w:cs="Courier New"/>
          <w:color w:val="auto"/>
          <w:kern w:val="2"/>
          <w:sz w:val="21"/>
          <w:szCs w:val="21"/>
          <w:highlight w:val="none"/>
        </w:rPr>
      </w:pPr>
      <w:r>
        <w:rPr>
          <w:rFonts w:hint="eastAsia" w:ascii="宋体" w:cs="Courier New"/>
          <w:color w:val="auto"/>
          <w:kern w:val="2"/>
          <w:sz w:val="21"/>
          <w:szCs w:val="21"/>
          <w:highlight w:val="none"/>
        </w:rPr>
        <w:t xml:space="preserve"> 3.采购货物的主要技术参数和性能配置由评标委员会在评标前评定，但不能改变实质性内容。</w:t>
      </w:r>
    </w:p>
    <w:p>
      <w:pPr>
        <w:pStyle w:val="14"/>
        <w:widowControl w:val="0"/>
        <w:tabs>
          <w:tab w:val="clear" w:pos="454"/>
        </w:tabs>
        <w:snapToGrid w:val="0"/>
        <w:spacing w:before="156" w:beforeLines="50" w:afterLines="0" w:line="360" w:lineRule="exact"/>
        <w:ind w:left="0" w:firstLine="413" w:firstLineChars="196"/>
        <w:outlineLvl w:val="0"/>
        <w:rPr>
          <w:rFonts w:ascii="宋体"/>
          <w:b/>
          <w:color w:val="auto"/>
          <w:sz w:val="21"/>
          <w:szCs w:val="21"/>
          <w:highlight w:val="none"/>
        </w:rPr>
      </w:pPr>
      <w:r>
        <w:rPr>
          <w:rFonts w:hint="eastAsia" w:ascii="宋体"/>
          <w:b/>
          <w:color w:val="auto"/>
          <w:sz w:val="21"/>
          <w:szCs w:val="21"/>
          <w:highlight w:val="none"/>
        </w:rPr>
        <w:t xml:space="preserve">（三）招标文件的澄清与修改 </w:t>
      </w:r>
    </w:p>
    <w:p>
      <w:pPr>
        <w:pStyle w:val="29"/>
        <w:snapToGrid w:val="0"/>
        <w:spacing w:line="360" w:lineRule="exact"/>
        <w:ind w:firstLine="420" w:firstLineChars="200"/>
        <w:rPr>
          <w:rFonts w:hAnsi="宋体"/>
          <w:color w:val="auto"/>
          <w:highlight w:val="none"/>
        </w:rPr>
      </w:pPr>
      <w:r>
        <w:rPr>
          <w:rFonts w:hint="eastAsia" w:hAnsi="宋体"/>
          <w:color w:val="auto"/>
          <w:highlight w:val="none"/>
        </w:rPr>
        <w:t>1.</w:t>
      </w:r>
      <w:r>
        <w:rPr>
          <w:rFonts w:hint="eastAsia" w:hAnsi="宋体"/>
          <w:bCs/>
          <w:color w:val="auto"/>
          <w:highlight w:val="none"/>
        </w:rPr>
        <w:t xml:space="preserve"> 投标人应认真阅读本招标文件，发现其中有误或有不合理要求的，投标人</w:t>
      </w:r>
      <w:r>
        <w:rPr>
          <w:rFonts w:hint="eastAsia" w:hAnsi="宋体"/>
          <w:b/>
          <w:bCs/>
          <w:color w:val="auto"/>
          <w:highlight w:val="none"/>
        </w:rPr>
        <w:t>应当</w:t>
      </w:r>
      <w:r>
        <w:rPr>
          <w:rFonts w:hint="eastAsia" w:hAnsi="宋体"/>
          <w:bCs/>
          <w:color w:val="auto"/>
          <w:highlight w:val="none"/>
        </w:rPr>
        <w:t>在</w:t>
      </w:r>
      <w:r>
        <w:rPr>
          <w:rFonts w:hint="eastAsia" w:hAnsi="宋体"/>
          <w:bCs/>
          <w:color w:val="auto"/>
          <w:highlight w:val="none"/>
          <w:u w:val="single"/>
        </w:rPr>
        <w:t>“采购文件：第三章 《投标人须知及前附表》序号6”规定的时间</w:t>
      </w:r>
      <w:r>
        <w:rPr>
          <w:rFonts w:hint="eastAsia" w:hAnsi="宋体"/>
          <w:bCs/>
          <w:color w:val="auto"/>
          <w:highlight w:val="none"/>
        </w:rPr>
        <w:t>前以书面形式要求招标采购单位</w:t>
      </w:r>
      <w:r>
        <w:rPr>
          <w:rFonts w:hint="eastAsia" w:hAnsi="宋体"/>
          <w:color w:val="auto"/>
          <w:highlight w:val="none"/>
        </w:rPr>
        <w:t>答疑、澄清</w:t>
      </w:r>
      <w:r>
        <w:rPr>
          <w:rFonts w:hint="eastAsia" w:hAnsi="宋体"/>
          <w:bCs/>
          <w:color w:val="auto"/>
          <w:highlight w:val="none"/>
        </w:rPr>
        <w:t>。本中心对已发出的招标文件进行必要澄清或者修改</w:t>
      </w:r>
      <w:r>
        <w:rPr>
          <w:rFonts w:hint="eastAsia" w:hAnsi="宋体"/>
          <w:b/>
          <w:bCs/>
          <w:color w:val="auto"/>
          <w:highlight w:val="none"/>
        </w:rPr>
        <w:t>可能影响投标文件编制的</w:t>
      </w:r>
      <w:r>
        <w:rPr>
          <w:rFonts w:hint="eastAsia" w:hAnsi="宋体"/>
          <w:bCs/>
          <w:color w:val="auto"/>
          <w:highlight w:val="none"/>
        </w:rPr>
        <w:t>，应当在招标文件要求提交投标文件截止时间15日前，在财政部门指定的政府采购信息发布媒体及本中心网站上发布更正公告，并以书面形式通知所有招标文件收受人。该澄清或者修改的内容为招标文件的组成部分</w:t>
      </w:r>
      <w:r>
        <w:rPr>
          <w:rFonts w:hint="eastAsia" w:hAnsi="宋体"/>
          <w:color w:val="auto"/>
          <w:highlight w:val="none"/>
        </w:rPr>
        <w:t>。</w:t>
      </w:r>
    </w:p>
    <w:p>
      <w:pPr>
        <w:pStyle w:val="29"/>
        <w:snapToGrid w:val="0"/>
        <w:spacing w:line="360" w:lineRule="exact"/>
        <w:ind w:firstLine="420" w:firstLineChars="200"/>
        <w:rPr>
          <w:rFonts w:hAnsi="宋体"/>
          <w:color w:val="auto"/>
          <w:highlight w:val="none"/>
        </w:rPr>
      </w:pPr>
      <w:r>
        <w:rPr>
          <w:rFonts w:hint="eastAsia" w:hAnsi="宋体"/>
          <w:color w:val="auto"/>
          <w:highlight w:val="none"/>
        </w:rPr>
        <w:t>2.本中心必须以书面形式答复投标人要求澄清的问题，并将不包含问题来源的答复书面通知所有报名登记的投标人；除书面答复以外的其他澄清方式及澄清内容均无效。</w:t>
      </w:r>
    </w:p>
    <w:p>
      <w:pPr>
        <w:pStyle w:val="29"/>
        <w:snapToGrid w:val="0"/>
        <w:spacing w:line="360" w:lineRule="exact"/>
        <w:ind w:firstLine="420" w:firstLineChars="200"/>
        <w:rPr>
          <w:rFonts w:hAnsi="宋体"/>
          <w:color w:val="auto"/>
          <w:highlight w:val="none"/>
        </w:rPr>
      </w:pPr>
      <w:r>
        <w:rPr>
          <w:rFonts w:hint="eastAsia" w:hAnsi="宋体"/>
          <w:color w:val="auto"/>
          <w:highlight w:val="none"/>
        </w:rPr>
        <w:t>3.招标文件的答疑、澄清、修改、补充的内容为招标文件的组成部分。当招标文件与招标文件的答疑、澄清、修改、补充通知就同一内容的表述不一致时，以最后发出的书面文件为准。</w:t>
      </w:r>
    </w:p>
    <w:p>
      <w:pPr>
        <w:pStyle w:val="29"/>
        <w:snapToGrid w:val="0"/>
        <w:spacing w:line="360" w:lineRule="exact"/>
        <w:ind w:firstLine="420" w:firstLineChars="200"/>
        <w:rPr>
          <w:rFonts w:hAnsi="宋体"/>
          <w:color w:val="auto"/>
          <w:highlight w:val="none"/>
        </w:rPr>
      </w:pPr>
      <w:r>
        <w:rPr>
          <w:rFonts w:hint="eastAsia" w:hAnsi="宋体"/>
          <w:color w:val="auto"/>
          <w:highlight w:val="none"/>
        </w:rPr>
        <w:t>4.招标文件的答疑、澄清、修改、补充都应该通过本中心以法定形式发布，采购人非通过本机构，不得擅自答疑、澄清、修改、补充招标文件。</w:t>
      </w:r>
    </w:p>
    <w:p>
      <w:pPr>
        <w:pStyle w:val="29"/>
        <w:snapToGrid w:val="0"/>
        <w:spacing w:line="360" w:lineRule="exact"/>
        <w:ind w:firstLine="420" w:firstLineChars="200"/>
        <w:rPr>
          <w:color w:val="auto"/>
          <w:highlight w:val="none"/>
        </w:rPr>
      </w:pPr>
      <w:r>
        <w:rPr>
          <w:rFonts w:hint="eastAsia" w:hAnsi="宋体"/>
          <w:color w:val="auto"/>
          <w:highlight w:val="none"/>
        </w:rPr>
        <w:t>5.本中心可以视采购具体情况，延长招标文件或者资格预审文件提供期限，并在财政部门指定的政府采购信息发布媒体及本中心网站上发布公告。</w:t>
      </w:r>
    </w:p>
    <w:p>
      <w:pPr>
        <w:pStyle w:val="29"/>
        <w:snapToGrid w:val="0"/>
        <w:spacing w:line="360" w:lineRule="exact"/>
        <w:ind w:firstLine="413" w:firstLineChars="196"/>
        <w:outlineLvl w:val="1"/>
        <w:rPr>
          <w:b/>
          <w:color w:val="auto"/>
          <w:highlight w:val="none"/>
        </w:rPr>
      </w:pPr>
      <w:r>
        <w:rPr>
          <w:rFonts w:hint="eastAsia"/>
          <w:b/>
          <w:color w:val="auto"/>
          <w:highlight w:val="none"/>
        </w:rPr>
        <w:t>三、投标文件的编制</w:t>
      </w:r>
    </w:p>
    <w:p>
      <w:pPr>
        <w:snapToGrid w:val="0"/>
        <w:spacing w:line="360" w:lineRule="exact"/>
        <w:ind w:firstLine="413" w:firstLineChars="196"/>
        <w:jc w:val="left"/>
        <w:outlineLvl w:val="0"/>
        <w:rPr>
          <w:rFonts w:ascii="宋体" w:hAnsi="宋体"/>
          <w:b/>
          <w:color w:val="auto"/>
          <w:szCs w:val="21"/>
          <w:highlight w:val="none"/>
        </w:rPr>
      </w:pPr>
      <w:r>
        <w:rPr>
          <w:rFonts w:hint="eastAsia" w:ascii="宋体" w:hAnsi="宋体"/>
          <w:b/>
          <w:color w:val="auto"/>
          <w:szCs w:val="21"/>
          <w:highlight w:val="none"/>
        </w:rPr>
        <w:t>（一）投标文件的组成</w:t>
      </w:r>
    </w:p>
    <w:p>
      <w:pPr>
        <w:snapToGrid w:val="0"/>
        <w:spacing w:line="360" w:lineRule="exact"/>
        <w:ind w:firstLine="420" w:firstLineChars="200"/>
        <w:jc w:val="left"/>
        <w:rPr>
          <w:rFonts w:ascii="宋体" w:hAnsi="宋体"/>
          <w:color w:val="auto"/>
          <w:szCs w:val="21"/>
          <w:highlight w:val="none"/>
        </w:rPr>
      </w:pPr>
      <w:r>
        <w:rPr>
          <w:rFonts w:hint="eastAsia" w:ascii="宋体"/>
          <w:color w:val="auto"/>
          <w:szCs w:val="21"/>
          <w:highlight w:val="none"/>
        </w:rPr>
        <w:t>投标文件由资格文件、资信及商务文件、技术文件、投标报价文件</w:t>
      </w:r>
      <w:r>
        <w:rPr>
          <w:rFonts w:hint="eastAsia" w:ascii="宋体"/>
          <w:b/>
          <w:color w:val="auto"/>
          <w:szCs w:val="21"/>
          <w:highlight w:val="none"/>
        </w:rPr>
        <w:t>四部份</w:t>
      </w:r>
      <w:r>
        <w:rPr>
          <w:rFonts w:hint="eastAsia" w:ascii="宋体"/>
          <w:color w:val="auto"/>
          <w:szCs w:val="21"/>
          <w:highlight w:val="none"/>
        </w:rPr>
        <w:t>组成。</w:t>
      </w:r>
    </w:p>
    <w:p>
      <w:pPr>
        <w:snapToGrid w:val="0"/>
        <w:spacing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1.资格文件：</w:t>
      </w:r>
    </w:p>
    <w:p>
      <w:pPr>
        <w:snapToGrid w:val="0"/>
        <w:spacing w:line="360" w:lineRule="exact"/>
        <w:ind w:firstLine="413" w:firstLineChars="196"/>
        <w:jc w:val="left"/>
        <w:rPr>
          <w:rFonts w:ascii="宋体" w:hAnsi="宋体"/>
          <w:color w:val="auto"/>
          <w:szCs w:val="21"/>
          <w:highlight w:val="none"/>
        </w:rPr>
      </w:pPr>
      <w:r>
        <w:rPr>
          <w:rFonts w:hint="eastAsia" w:ascii="宋体" w:hAnsi="宋体"/>
          <w:b/>
          <w:color w:val="auto"/>
          <w:szCs w:val="21"/>
          <w:highlight w:val="none"/>
        </w:rPr>
        <w:t>（1）</w:t>
      </w:r>
      <w:r>
        <w:rPr>
          <w:rFonts w:hint="eastAsia" w:ascii="宋体" w:hAnsi="宋体"/>
          <w:color w:val="auto"/>
          <w:szCs w:val="21"/>
          <w:highlight w:val="none"/>
        </w:rPr>
        <w:t>有效的营业执照等证明文件复印件；</w:t>
      </w:r>
    </w:p>
    <w:p>
      <w:pPr>
        <w:pStyle w:val="29"/>
        <w:adjustRightInd w:val="0"/>
        <w:snapToGrid w:val="0"/>
        <w:spacing w:line="400" w:lineRule="exact"/>
        <w:ind w:firstLine="424" w:firstLineChars="202"/>
        <w:rPr>
          <w:rFonts w:hAnsi="宋体"/>
          <w:b/>
          <w:color w:val="auto"/>
          <w:highlight w:val="none"/>
        </w:rPr>
      </w:pPr>
      <w:r>
        <w:rPr>
          <w:rFonts w:hint="eastAsia" w:hAnsi="宋体"/>
          <w:color w:val="auto"/>
          <w:highlight w:val="none"/>
        </w:rPr>
        <w:t>①投标人有效的营业执照等证明文件扫描件或其他电子文件，同时要加盖单位公章</w:t>
      </w:r>
      <w:r>
        <w:rPr>
          <w:rFonts w:hint="eastAsia" w:hAnsi="宋体"/>
          <w:b/>
          <w:color w:val="auto"/>
          <w:highlight w:val="none"/>
        </w:rPr>
        <w:t>（必须提供）</w:t>
      </w:r>
      <w:r>
        <w:rPr>
          <w:rFonts w:hint="eastAsia" w:hAnsi="宋体"/>
          <w:color w:val="auto"/>
          <w:highlight w:val="none"/>
        </w:rPr>
        <w:t>；</w:t>
      </w:r>
    </w:p>
    <w:p>
      <w:pPr>
        <w:snapToGrid w:val="0"/>
        <w:spacing w:line="360" w:lineRule="exact"/>
        <w:ind w:firstLine="424" w:firstLineChars="202"/>
        <w:jc w:val="left"/>
        <w:rPr>
          <w:rFonts w:hAnsi="宋体"/>
          <w:b/>
          <w:color w:val="auto"/>
          <w:highlight w:val="none"/>
        </w:rPr>
      </w:pPr>
      <w:r>
        <w:rPr>
          <w:rFonts w:hint="eastAsia" w:hAnsi="宋体"/>
          <w:color w:val="auto"/>
          <w:highlight w:val="none"/>
        </w:rPr>
        <w:t>②对于有经营资质要求的，投标人必须提供有效的经营资质证书副本内页扫描件或其他电子文件，同时要加盖单位公章。</w:t>
      </w:r>
    </w:p>
    <w:p>
      <w:pPr>
        <w:snapToGrid w:val="0"/>
        <w:spacing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（2）</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b/>
          <w:color w:val="auto"/>
          <w:szCs w:val="21"/>
          <w:highlight w:val="none"/>
        </w:rPr>
        <w:t>和信用记录查询方法；</w:t>
      </w:r>
    </w:p>
    <w:p>
      <w:pPr>
        <w:snapToGrid w:val="0"/>
        <w:spacing w:line="360" w:lineRule="exact"/>
        <w:ind w:firstLine="411" w:firstLineChars="196"/>
        <w:jc w:val="left"/>
        <w:rPr>
          <w:rFonts w:ascii="宋体" w:hAnsi="宋体"/>
          <w:color w:val="auto"/>
          <w:szCs w:val="21"/>
          <w:highlight w:val="none"/>
        </w:rPr>
      </w:pPr>
      <w:r>
        <w:rPr>
          <w:rFonts w:hint="eastAsia" w:ascii="宋体" w:hAnsi="宋体"/>
          <w:color w:val="auto"/>
          <w:szCs w:val="21"/>
          <w:highlight w:val="none"/>
        </w:rPr>
        <w:t>①</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color w:val="auto"/>
          <w:szCs w:val="21"/>
          <w:highlight w:val="none"/>
        </w:rPr>
        <w:t>（格式自拟，必须提供）；</w:t>
      </w:r>
    </w:p>
    <w:p>
      <w:pPr>
        <w:snapToGrid w:val="0"/>
        <w:spacing w:line="360" w:lineRule="exact"/>
        <w:ind w:firstLine="411" w:firstLineChars="196"/>
        <w:jc w:val="left"/>
        <w:rPr>
          <w:rFonts w:ascii="宋体" w:hAnsi="宋体"/>
          <w:color w:val="auto"/>
          <w:szCs w:val="21"/>
          <w:highlight w:val="none"/>
        </w:rPr>
      </w:pPr>
      <w:r>
        <w:rPr>
          <w:rFonts w:hint="eastAsia" w:ascii="宋体" w:hAnsi="宋体"/>
          <w:color w:val="auto"/>
          <w:szCs w:val="21"/>
          <w:highlight w:val="none"/>
        </w:rPr>
        <w:t>②供应商可在“信用中国”网站（www.creditchina.gov.cn）、中国政府采购网（www.ccgp.gov.cn）查询相关供应商主体信用记录。</w:t>
      </w:r>
    </w:p>
    <w:p>
      <w:pPr>
        <w:snapToGrid w:val="0"/>
        <w:spacing w:line="360" w:lineRule="exact"/>
        <w:ind w:firstLine="411" w:firstLineChars="196"/>
        <w:jc w:val="left"/>
        <w:rPr>
          <w:rFonts w:ascii="宋体" w:hAnsi="宋体"/>
          <w:color w:val="auto"/>
          <w:szCs w:val="21"/>
          <w:highlight w:val="none"/>
        </w:rPr>
      </w:pPr>
      <w:r>
        <w:rPr>
          <w:rFonts w:hint="eastAsia" w:ascii="宋体" w:hAnsi="宋体"/>
          <w:color w:val="auto"/>
          <w:szCs w:val="21"/>
          <w:highlight w:val="none"/>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ascii="宋体" w:hAnsi="宋体"/>
          <w:color w:val="auto"/>
          <w:szCs w:val="21"/>
          <w:highlight w:val="none"/>
        </w:rPr>
      </w:pPr>
      <w:r>
        <w:rPr>
          <w:rFonts w:hint="eastAsia" w:ascii="宋体" w:hAnsi="宋体"/>
          <w:color w:val="auto"/>
          <w:szCs w:val="21"/>
          <w:highlight w:val="none"/>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snapToGrid w:val="0"/>
        <w:spacing w:line="360" w:lineRule="exact"/>
        <w:ind w:firstLine="411" w:firstLineChars="196"/>
        <w:jc w:val="left"/>
        <w:rPr>
          <w:rFonts w:hAnsi="宋体"/>
          <w:b/>
          <w:color w:val="auto"/>
          <w:highlight w:val="none"/>
        </w:rPr>
      </w:pPr>
      <w:r>
        <w:rPr>
          <w:rFonts w:hint="eastAsia" w:ascii="宋体" w:hAnsi="宋体"/>
          <w:color w:val="auto"/>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156" w:beforeLines="50"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2.资信及商务文件：</w:t>
      </w:r>
    </w:p>
    <w:p>
      <w:pPr>
        <w:snapToGrid w:val="0"/>
        <w:spacing w:line="360" w:lineRule="exact"/>
        <w:ind w:firstLine="413" w:firstLineChars="196"/>
        <w:jc w:val="left"/>
        <w:rPr>
          <w:rFonts w:ascii="宋体" w:hAnsi="宋体"/>
          <w:color w:val="auto"/>
          <w:szCs w:val="21"/>
          <w:highlight w:val="none"/>
        </w:rPr>
      </w:pPr>
      <w:r>
        <w:rPr>
          <w:rFonts w:hint="eastAsia" w:ascii="宋体" w:hAnsi="宋体"/>
          <w:b/>
          <w:color w:val="auto"/>
          <w:szCs w:val="21"/>
          <w:highlight w:val="none"/>
        </w:rPr>
        <w:t>（1）投标保证金的相关证明扫描件或其他电子文件（</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w:t>
      </w:r>
    </w:p>
    <w:p>
      <w:pPr>
        <w:snapToGrid w:val="0"/>
        <w:spacing w:line="360" w:lineRule="exact"/>
        <w:ind w:firstLine="413" w:firstLineChars="196"/>
        <w:jc w:val="left"/>
        <w:rPr>
          <w:rFonts w:ascii="宋体" w:hAnsi="宋体"/>
          <w:color w:val="auto"/>
          <w:szCs w:val="21"/>
          <w:highlight w:val="none"/>
        </w:rPr>
      </w:pPr>
      <w:r>
        <w:rPr>
          <w:rFonts w:hint="eastAsia" w:ascii="宋体" w:hAnsi="宋体"/>
          <w:b/>
          <w:color w:val="auto"/>
          <w:szCs w:val="21"/>
          <w:highlight w:val="none"/>
          <w:u w:val="single"/>
        </w:rPr>
        <w:t>（2）投标声明书 (格式见第六章)（必须提供）</w:t>
      </w:r>
      <w:r>
        <w:rPr>
          <w:rFonts w:hint="eastAsia" w:ascii="宋体" w:hAnsi="宋体"/>
          <w:color w:val="auto"/>
          <w:szCs w:val="21"/>
          <w:highlight w:val="none"/>
        </w:rPr>
        <w:t>；</w:t>
      </w:r>
    </w:p>
    <w:p>
      <w:pPr>
        <w:snapToGrid w:val="0"/>
        <w:spacing w:line="360" w:lineRule="exact"/>
        <w:ind w:firstLine="413" w:firstLineChars="196"/>
        <w:jc w:val="left"/>
        <w:rPr>
          <w:rFonts w:ascii="宋体" w:hAnsi="宋体"/>
          <w:color w:val="auto"/>
          <w:szCs w:val="21"/>
          <w:highlight w:val="none"/>
        </w:rPr>
      </w:pPr>
      <w:r>
        <w:rPr>
          <w:rFonts w:hint="eastAsia" w:ascii="宋体" w:hAnsi="宋体"/>
          <w:b/>
          <w:color w:val="auto"/>
          <w:szCs w:val="21"/>
          <w:highlight w:val="none"/>
        </w:rPr>
        <w:t>（3）法定代表人授权委托书和委托代理人身份证扫描件或其他电子文件（格式见第六章)（必须提供）</w:t>
      </w:r>
      <w:r>
        <w:rPr>
          <w:rFonts w:hint="eastAsia" w:ascii="宋体" w:hAnsi="宋体"/>
          <w:color w:val="auto"/>
          <w:szCs w:val="21"/>
          <w:highlight w:val="none"/>
        </w:rPr>
        <w:t>；（格式见第六章)；</w:t>
      </w:r>
      <w:r>
        <w:rPr>
          <w:rFonts w:hint="eastAsia" w:ascii="宋体" w:hAnsi="宋体"/>
          <w:b/>
          <w:color w:val="auto"/>
          <w:szCs w:val="21"/>
          <w:highlight w:val="none"/>
        </w:rPr>
        <w:t>当法定代表人参加投标时，必须提供法定代表人身份证扫描件或其他电子文件</w:t>
      </w:r>
      <w:r>
        <w:rPr>
          <w:rFonts w:hint="eastAsia" w:ascii="宋体" w:hAnsi="宋体"/>
          <w:color w:val="auto"/>
          <w:szCs w:val="21"/>
          <w:highlight w:val="none"/>
        </w:rPr>
        <w:t>；</w:t>
      </w:r>
    </w:p>
    <w:p>
      <w:pPr>
        <w:snapToGrid w:val="0"/>
        <w:spacing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（4）投标截止之日前半年内投标人连续三个月的依法缴纳税费或依法免缴税费的证明（扫描件或其他电子文件，格式自拟）（</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无纳税记录的，应提供由投标人所在地主管国税或地税部门出具的《依法纳税或依法免税证明》（格式自拟，</w:t>
      </w:r>
      <w:r>
        <w:rPr>
          <w:rFonts w:hint="eastAsia" w:ascii="宋体" w:hAnsi="宋体"/>
          <w:b/>
          <w:color w:val="auto"/>
          <w:szCs w:val="21"/>
          <w:highlight w:val="none"/>
        </w:rPr>
        <w:t>扫描件或其他电子文件</w:t>
      </w:r>
      <w:r>
        <w:rPr>
          <w:rFonts w:hint="eastAsia" w:ascii="宋体" w:hAnsi="宋体"/>
          <w:color w:val="auto"/>
          <w:szCs w:val="21"/>
          <w:highlight w:val="none"/>
        </w:rPr>
        <w:t>）。</w:t>
      </w:r>
    </w:p>
    <w:p>
      <w:pPr>
        <w:snapToGrid w:val="0"/>
        <w:spacing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（5）投标截止之日前半年内投标人连续三个月的依法缴纳社保费的缴费凭证</w:t>
      </w:r>
      <w:r>
        <w:rPr>
          <w:rFonts w:hint="eastAsia" w:ascii="宋体" w:hAnsi="宋体"/>
          <w:color w:val="auto"/>
          <w:szCs w:val="21"/>
          <w:highlight w:val="none"/>
        </w:rPr>
        <w:t>（</w:t>
      </w:r>
      <w:r>
        <w:rPr>
          <w:rFonts w:hint="eastAsia" w:ascii="宋体" w:hAnsi="宋体"/>
          <w:b/>
          <w:color w:val="auto"/>
          <w:szCs w:val="21"/>
          <w:highlight w:val="none"/>
        </w:rPr>
        <w:t>扫描件或其他电子文件，格式自拟）（</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无缴费记录的，应提供由投标人所在地社保部门出具的《依法缴纳或依法免缴社保费证明》（格式自拟，</w:t>
      </w:r>
      <w:r>
        <w:rPr>
          <w:rFonts w:hint="eastAsia" w:ascii="宋体" w:hAnsi="宋体"/>
          <w:b/>
          <w:color w:val="auto"/>
          <w:szCs w:val="21"/>
          <w:highlight w:val="none"/>
        </w:rPr>
        <w:t>扫描件或其他电子文件</w:t>
      </w:r>
      <w:r>
        <w:rPr>
          <w:rFonts w:hint="eastAsia" w:ascii="宋体" w:hAnsi="宋体"/>
          <w:color w:val="auto"/>
          <w:szCs w:val="21"/>
          <w:highlight w:val="none"/>
        </w:rPr>
        <w:t>）。</w:t>
      </w:r>
    </w:p>
    <w:p>
      <w:pPr>
        <w:snapToGrid w:val="0"/>
        <w:spacing w:line="360" w:lineRule="exact"/>
        <w:ind w:firstLine="421" w:firstLineChars="200"/>
        <w:jc w:val="left"/>
        <w:rPr>
          <w:rFonts w:hAnsi="宋体"/>
          <w:b/>
          <w:color w:val="auto"/>
          <w:szCs w:val="21"/>
          <w:highlight w:val="none"/>
        </w:rPr>
      </w:pPr>
      <w:r>
        <w:rPr>
          <w:rFonts w:hint="eastAsia" w:hAnsi="宋体"/>
          <w:b/>
          <w:color w:val="auto"/>
          <w:szCs w:val="21"/>
          <w:highlight w:val="none"/>
        </w:rPr>
        <w:t>（6）财务状况报告（</w:t>
      </w:r>
      <w:r>
        <w:rPr>
          <w:rFonts w:hint="eastAsia" w:hAnsi="宋体"/>
          <w:b/>
          <w:color w:val="auto"/>
          <w:szCs w:val="21"/>
          <w:highlight w:val="none"/>
          <w:u w:val="single"/>
        </w:rPr>
        <w:t>格式自拟，必须提供</w:t>
      </w:r>
      <w:r>
        <w:rPr>
          <w:rFonts w:hint="eastAsia" w:hAnsi="宋体"/>
          <w:b/>
          <w:color w:val="auto"/>
          <w:szCs w:val="21"/>
          <w:highlight w:val="none"/>
        </w:rPr>
        <w:t>）；</w:t>
      </w:r>
    </w:p>
    <w:p>
      <w:pPr>
        <w:snapToGrid w:val="0"/>
        <w:spacing w:line="360" w:lineRule="exact"/>
        <w:ind w:firstLine="413" w:firstLineChars="196"/>
        <w:jc w:val="left"/>
        <w:rPr>
          <w:rFonts w:hAnsi="宋体"/>
          <w:color w:val="auto"/>
          <w:szCs w:val="21"/>
          <w:highlight w:val="none"/>
        </w:rPr>
      </w:pPr>
      <w:r>
        <w:rPr>
          <w:rFonts w:hint="eastAsia" w:hAnsi="宋体" w:cs="宋体"/>
          <w:b/>
          <w:color w:val="auto"/>
          <w:kern w:val="0"/>
          <w:szCs w:val="21"/>
          <w:highlight w:val="none"/>
        </w:rPr>
        <w:t>（7）</w:t>
      </w:r>
      <w:r>
        <w:rPr>
          <w:rFonts w:hint="eastAsia" w:hAnsi="宋体"/>
          <w:b/>
          <w:color w:val="auto"/>
          <w:szCs w:val="21"/>
          <w:highlight w:val="none"/>
        </w:rPr>
        <w:t>具备履行合同所必需的设备和专业技术能力的证明材料（</w:t>
      </w:r>
      <w:r>
        <w:rPr>
          <w:rFonts w:hint="eastAsia" w:hAnsi="宋体"/>
          <w:b/>
          <w:color w:val="auto"/>
          <w:szCs w:val="21"/>
          <w:highlight w:val="none"/>
          <w:u w:val="single"/>
        </w:rPr>
        <w:t>内容、格式自拟，必须提供</w:t>
      </w:r>
      <w:r>
        <w:rPr>
          <w:rFonts w:hint="eastAsia" w:hAnsi="宋体"/>
          <w:b/>
          <w:color w:val="auto"/>
          <w:szCs w:val="21"/>
          <w:highlight w:val="none"/>
        </w:rPr>
        <w:t>）</w:t>
      </w:r>
      <w:r>
        <w:rPr>
          <w:rFonts w:hint="eastAsia" w:hAnsi="宋体" w:cs="宋体"/>
          <w:b/>
          <w:color w:val="auto"/>
          <w:kern w:val="0"/>
          <w:szCs w:val="21"/>
          <w:highlight w:val="none"/>
        </w:rPr>
        <w:t>；</w:t>
      </w:r>
    </w:p>
    <w:p>
      <w:pPr>
        <w:snapToGrid w:val="0"/>
        <w:spacing w:line="360" w:lineRule="exact"/>
        <w:ind w:firstLine="411" w:firstLineChars="196"/>
        <w:jc w:val="left"/>
        <w:rPr>
          <w:rFonts w:hAnsi="宋体" w:cs="宋体"/>
          <w:color w:val="auto"/>
          <w:kern w:val="0"/>
          <w:szCs w:val="21"/>
          <w:highlight w:val="none"/>
        </w:rPr>
      </w:pPr>
      <w:r>
        <w:rPr>
          <w:rFonts w:hint="eastAsia" w:hAnsi="宋体" w:cs="宋体"/>
          <w:color w:val="auto"/>
          <w:kern w:val="0"/>
          <w:szCs w:val="21"/>
          <w:highlight w:val="none"/>
        </w:rPr>
        <w:t>（8）税务登记证</w:t>
      </w:r>
      <w:r>
        <w:rPr>
          <w:rFonts w:hint="eastAsia" w:ascii="宋体" w:hAnsi="宋体"/>
          <w:b/>
          <w:color w:val="auto"/>
          <w:szCs w:val="21"/>
          <w:highlight w:val="none"/>
        </w:rPr>
        <w:t>扫描件</w:t>
      </w:r>
      <w:r>
        <w:rPr>
          <w:rFonts w:hint="eastAsia" w:hAnsi="宋体" w:cs="宋体"/>
          <w:color w:val="auto"/>
          <w:kern w:val="0"/>
          <w:szCs w:val="21"/>
          <w:highlight w:val="none"/>
        </w:rPr>
        <w:t>；</w:t>
      </w:r>
    </w:p>
    <w:p>
      <w:pPr>
        <w:snapToGrid w:val="0"/>
        <w:spacing w:line="360" w:lineRule="exact"/>
        <w:ind w:firstLine="411" w:firstLineChars="196"/>
        <w:jc w:val="left"/>
        <w:rPr>
          <w:rFonts w:hAnsi="宋体"/>
          <w:color w:val="auto"/>
          <w:szCs w:val="21"/>
          <w:highlight w:val="none"/>
        </w:rPr>
      </w:pPr>
      <w:r>
        <w:rPr>
          <w:rFonts w:hint="eastAsia" w:ascii="宋体" w:hAnsi="宋体"/>
          <w:color w:val="auto"/>
          <w:szCs w:val="21"/>
          <w:highlight w:val="none"/>
        </w:rPr>
        <w:t>（</w:t>
      </w:r>
      <w:r>
        <w:rPr>
          <w:rFonts w:hint="eastAsia" w:hAnsi="宋体"/>
          <w:color w:val="auto"/>
          <w:szCs w:val="21"/>
          <w:highlight w:val="none"/>
        </w:rPr>
        <w:t>9</w:t>
      </w:r>
      <w:r>
        <w:rPr>
          <w:rFonts w:hint="eastAsia" w:ascii="宋体" w:hAnsi="宋体"/>
          <w:color w:val="auto"/>
          <w:szCs w:val="21"/>
          <w:highlight w:val="none"/>
        </w:rPr>
        <w:t>）产品销售许可证；</w:t>
      </w:r>
    </w:p>
    <w:p>
      <w:pPr>
        <w:snapToGrid w:val="0"/>
        <w:spacing w:line="360" w:lineRule="exact"/>
        <w:ind w:firstLine="411" w:firstLineChars="196"/>
        <w:jc w:val="left"/>
        <w:rPr>
          <w:rFonts w:hAnsi="宋体"/>
          <w:color w:val="auto"/>
          <w:szCs w:val="21"/>
          <w:highlight w:val="none"/>
        </w:rPr>
      </w:pPr>
      <w:r>
        <w:rPr>
          <w:rFonts w:hint="eastAsia" w:hAnsi="宋体"/>
          <w:color w:val="auto"/>
          <w:szCs w:val="21"/>
          <w:highlight w:val="none"/>
        </w:rPr>
        <w:t>（10）安全生产许可证扫描件、产品代理资格证明文件扫描件；</w:t>
      </w:r>
    </w:p>
    <w:p>
      <w:pPr>
        <w:snapToGrid w:val="0"/>
        <w:spacing w:line="360" w:lineRule="exact"/>
        <w:ind w:firstLine="413" w:firstLineChars="196"/>
        <w:jc w:val="left"/>
        <w:rPr>
          <w:rFonts w:hAnsi="宋体"/>
          <w:b/>
          <w:color w:val="auto"/>
          <w:szCs w:val="21"/>
          <w:highlight w:val="none"/>
        </w:rPr>
      </w:pPr>
      <w:r>
        <w:rPr>
          <w:rFonts w:hint="eastAsia" w:hAnsi="宋体"/>
          <w:b/>
          <w:color w:val="auto"/>
          <w:szCs w:val="21"/>
          <w:highlight w:val="none"/>
        </w:rPr>
        <w:t>（11）商务响应表</w:t>
      </w:r>
      <w:r>
        <w:rPr>
          <w:rFonts w:hint="eastAsia" w:hAnsi="宋体"/>
          <w:color w:val="auto"/>
          <w:szCs w:val="21"/>
          <w:highlight w:val="none"/>
        </w:rPr>
        <w:t>（格式见第六章）</w:t>
      </w:r>
      <w:r>
        <w:rPr>
          <w:rFonts w:hint="eastAsia" w:hAnsi="宋体"/>
          <w:b/>
          <w:color w:val="auto"/>
          <w:szCs w:val="21"/>
          <w:highlight w:val="none"/>
        </w:rPr>
        <w:t>（</w:t>
      </w:r>
      <w:r>
        <w:rPr>
          <w:rFonts w:hint="eastAsia" w:hAnsi="宋体"/>
          <w:b/>
          <w:color w:val="auto"/>
          <w:szCs w:val="21"/>
          <w:highlight w:val="none"/>
          <w:u w:val="single"/>
        </w:rPr>
        <w:t>必须提供</w:t>
      </w:r>
      <w:r>
        <w:rPr>
          <w:rFonts w:hint="eastAsia" w:hAnsi="宋体"/>
          <w:b/>
          <w:color w:val="auto"/>
          <w:szCs w:val="21"/>
          <w:highlight w:val="none"/>
        </w:rPr>
        <w:t>）；</w:t>
      </w:r>
    </w:p>
    <w:p>
      <w:pPr>
        <w:snapToGrid w:val="0"/>
        <w:spacing w:line="360" w:lineRule="exact"/>
        <w:ind w:firstLine="411" w:firstLineChars="196"/>
        <w:jc w:val="left"/>
        <w:rPr>
          <w:rFonts w:hAnsi="宋体"/>
          <w:b/>
          <w:color w:val="auto"/>
          <w:szCs w:val="21"/>
          <w:highlight w:val="none"/>
        </w:rPr>
      </w:pPr>
      <w:r>
        <w:rPr>
          <w:rFonts w:hint="eastAsia" w:hAnsi="宋体"/>
          <w:color w:val="auto"/>
          <w:highlight w:val="none"/>
        </w:rPr>
        <w:t>▲</w:t>
      </w:r>
      <w:r>
        <w:rPr>
          <w:rFonts w:hint="eastAsia" w:hAnsi="宋体"/>
          <w:color w:val="auto"/>
          <w:szCs w:val="21"/>
          <w:highlight w:val="none"/>
        </w:rPr>
        <w:t>（12）</w:t>
      </w:r>
      <w:r>
        <w:rPr>
          <w:rFonts w:hint="eastAsia" w:hAnsi="宋体"/>
          <w:b/>
          <w:color w:val="auto"/>
          <w:szCs w:val="21"/>
          <w:highlight w:val="none"/>
        </w:rPr>
        <w:t>招标项目采购需求中要求必须提供的材料等；</w:t>
      </w:r>
    </w:p>
    <w:p>
      <w:pPr>
        <w:snapToGrid w:val="0"/>
        <w:spacing w:line="360" w:lineRule="exact"/>
        <w:ind w:firstLine="411" w:firstLineChars="196"/>
        <w:jc w:val="left"/>
        <w:rPr>
          <w:rFonts w:hAnsi="宋体"/>
          <w:b/>
          <w:color w:val="auto"/>
          <w:szCs w:val="21"/>
          <w:highlight w:val="none"/>
        </w:rPr>
      </w:pPr>
      <w:r>
        <w:rPr>
          <w:rFonts w:hint="eastAsia" w:hAnsi="宋体"/>
          <w:color w:val="auto"/>
          <w:szCs w:val="21"/>
          <w:highlight w:val="none"/>
        </w:rPr>
        <w:t>（13）具备法律、行政法规规定的其他条件的证明材料</w:t>
      </w:r>
      <w:r>
        <w:rPr>
          <w:rFonts w:hint="eastAsia" w:hAnsi="宋体"/>
          <w:b/>
          <w:color w:val="auto"/>
          <w:szCs w:val="21"/>
          <w:highlight w:val="none"/>
        </w:rPr>
        <w:t>(如有规定,则必须提供)。</w:t>
      </w:r>
    </w:p>
    <w:p>
      <w:pPr>
        <w:snapToGrid w:val="0"/>
        <w:spacing w:line="360" w:lineRule="exact"/>
        <w:ind w:firstLine="413" w:firstLineChars="196"/>
        <w:jc w:val="left"/>
        <w:rPr>
          <w:rFonts w:hAnsi="宋体"/>
          <w:b/>
          <w:color w:val="auto"/>
          <w:szCs w:val="21"/>
          <w:highlight w:val="none"/>
        </w:rPr>
      </w:pPr>
      <w:r>
        <w:rPr>
          <w:rFonts w:hint="eastAsia" w:hAnsi="宋体"/>
          <w:b/>
          <w:bCs/>
          <w:color w:val="auto"/>
          <w:szCs w:val="21"/>
          <w:highlight w:val="none"/>
        </w:rPr>
        <w:t xml:space="preserve">可作为投标人资信评分的资质证明材料（可选）  </w:t>
      </w:r>
    </w:p>
    <w:p>
      <w:pPr>
        <w:snapToGrid w:val="0"/>
        <w:spacing w:line="360" w:lineRule="exact"/>
        <w:ind w:left="937" w:leftChars="196" w:hanging="525" w:hangingChars="250"/>
        <w:jc w:val="left"/>
        <w:rPr>
          <w:rFonts w:hAnsi="宋体"/>
          <w:color w:val="auto"/>
          <w:szCs w:val="21"/>
          <w:highlight w:val="none"/>
        </w:rPr>
      </w:pPr>
      <w:r>
        <w:rPr>
          <w:rFonts w:hint="eastAsia" w:hAnsi="宋体"/>
          <w:color w:val="auto"/>
          <w:szCs w:val="21"/>
          <w:highlight w:val="none"/>
        </w:rPr>
        <w:t>（14）类似案例成功的业绩（投标人同类项目实施情况一览表、合同扫描件）；</w:t>
      </w:r>
    </w:p>
    <w:p>
      <w:pPr>
        <w:snapToGrid w:val="0"/>
        <w:spacing w:line="360" w:lineRule="exact"/>
        <w:ind w:firstLine="421" w:firstLineChars="200"/>
        <w:jc w:val="left"/>
        <w:rPr>
          <w:rFonts w:hAnsi="宋体"/>
          <w:color w:val="auto"/>
          <w:szCs w:val="21"/>
          <w:highlight w:val="none"/>
        </w:rPr>
      </w:pPr>
      <w:r>
        <w:rPr>
          <w:rFonts w:hint="eastAsia" w:hAnsi="宋体"/>
          <w:b/>
          <w:color w:val="auto"/>
          <w:szCs w:val="21"/>
          <w:highlight w:val="none"/>
        </w:rPr>
        <w:t>（</w:t>
      </w:r>
      <w:r>
        <w:rPr>
          <w:rFonts w:hint="eastAsia" w:hAnsi="宋体"/>
          <w:color w:val="auto"/>
          <w:szCs w:val="21"/>
          <w:highlight w:val="none"/>
        </w:rPr>
        <w:t>15</w:t>
      </w:r>
      <w:r>
        <w:rPr>
          <w:rFonts w:hint="eastAsia" w:hAnsi="宋体"/>
          <w:b/>
          <w:color w:val="auto"/>
          <w:szCs w:val="21"/>
          <w:highlight w:val="none"/>
        </w:rPr>
        <w:t>）</w:t>
      </w:r>
      <w:r>
        <w:rPr>
          <w:rFonts w:hint="eastAsia" w:hAnsi="宋体"/>
          <w:color w:val="auto"/>
          <w:szCs w:val="21"/>
          <w:highlight w:val="none"/>
        </w:rPr>
        <w:t>其他特殊资质证书（如本地化服务能力等）；</w:t>
      </w:r>
    </w:p>
    <w:p>
      <w:pPr>
        <w:snapToGrid w:val="0"/>
        <w:spacing w:line="360" w:lineRule="exact"/>
        <w:ind w:firstLine="411" w:firstLineChars="196"/>
        <w:jc w:val="left"/>
        <w:rPr>
          <w:rFonts w:hAnsi="宋体"/>
          <w:b/>
          <w:color w:val="auto"/>
          <w:szCs w:val="21"/>
          <w:highlight w:val="none"/>
        </w:rPr>
      </w:pPr>
      <w:r>
        <w:rPr>
          <w:rFonts w:hint="eastAsia" w:hAnsi="宋体"/>
          <w:color w:val="auto"/>
          <w:szCs w:val="21"/>
          <w:highlight w:val="none"/>
        </w:rPr>
        <w:t>（16）节能环保产品或政府强制采购节能产品清单证书</w:t>
      </w:r>
      <w:r>
        <w:rPr>
          <w:rFonts w:hint="eastAsia" w:hAnsi="宋体"/>
          <w:b/>
          <w:color w:val="auto"/>
          <w:szCs w:val="21"/>
          <w:highlight w:val="none"/>
        </w:rPr>
        <w:t>；</w:t>
      </w:r>
    </w:p>
    <w:p>
      <w:pPr>
        <w:snapToGrid w:val="0"/>
        <w:spacing w:line="360" w:lineRule="exact"/>
        <w:ind w:firstLine="411" w:firstLineChars="196"/>
        <w:jc w:val="left"/>
        <w:rPr>
          <w:rFonts w:hAnsi="宋体"/>
          <w:color w:val="auto"/>
          <w:szCs w:val="21"/>
          <w:highlight w:val="none"/>
        </w:rPr>
      </w:pPr>
      <w:r>
        <w:rPr>
          <w:rFonts w:hint="eastAsia" w:hAnsi="宋体"/>
          <w:color w:val="auto"/>
          <w:szCs w:val="21"/>
          <w:highlight w:val="none"/>
        </w:rPr>
        <w:t>（17）投标人质量管理和质量保证体系等方面的认证证书；</w:t>
      </w:r>
    </w:p>
    <w:p>
      <w:pPr>
        <w:snapToGrid w:val="0"/>
        <w:spacing w:line="360" w:lineRule="exact"/>
        <w:ind w:firstLine="411" w:firstLineChars="196"/>
        <w:jc w:val="left"/>
        <w:rPr>
          <w:rFonts w:hAnsi="宋体"/>
          <w:color w:val="auto"/>
          <w:szCs w:val="21"/>
          <w:highlight w:val="none"/>
        </w:rPr>
      </w:pPr>
      <w:r>
        <w:rPr>
          <w:rFonts w:hint="eastAsia" w:hAnsi="宋体"/>
          <w:color w:val="auto"/>
          <w:szCs w:val="21"/>
          <w:highlight w:val="none"/>
        </w:rPr>
        <w:t>（18）投标人认为可以证明其能力或业绩的其他材料；</w:t>
      </w:r>
    </w:p>
    <w:p>
      <w:pPr>
        <w:snapToGrid w:val="0"/>
        <w:spacing w:line="360" w:lineRule="exact"/>
        <w:ind w:firstLine="411" w:firstLineChars="196"/>
        <w:jc w:val="left"/>
        <w:rPr>
          <w:rFonts w:hAnsi="宋体"/>
          <w:color w:val="auto"/>
          <w:szCs w:val="21"/>
          <w:highlight w:val="none"/>
        </w:rPr>
      </w:pPr>
      <w:r>
        <w:rPr>
          <w:rFonts w:hint="eastAsia" w:hAnsi="宋体"/>
          <w:color w:val="auto"/>
          <w:szCs w:val="21"/>
          <w:highlight w:val="none"/>
        </w:rPr>
        <w:t>（19）投标人关于产品生产时间、升级或者更新淘汰计划、配件供应以及本单位债务纠纷、违法违规记录等方面的情况（内容见投标声明书）；</w:t>
      </w:r>
    </w:p>
    <w:p>
      <w:pPr>
        <w:snapToGrid w:val="0"/>
        <w:spacing w:line="360" w:lineRule="exact"/>
        <w:ind w:firstLine="411" w:firstLineChars="196"/>
        <w:jc w:val="left"/>
        <w:rPr>
          <w:rFonts w:hAnsi="宋体"/>
          <w:color w:val="auto"/>
          <w:szCs w:val="21"/>
          <w:highlight w:val="none"/>
        </w:rPr>
      </w:pPr>
      <w:r>
        <w:rPr>
          <w:rFonts w:hint="eastAsia" w:hAnsi="宋体"/>
          <w:color w:val="auto"/>
          <w:szCs w:val="21"/>
          <w:highlight w:val="none"/>
        </w:rPr>
        <w:t>（20）投标人情况介绍；</w:t>
      </w:r>
    </w:p>
    <w:p>
      <w:pPr>
        <w:snapToGrid w:val="0"/>
        <w:spacing w:line="360" w:lineRule="exact"/>
        <w:ind w:firstLine="411" w:firstLineChars="196"/>
        <w:jc w:val="left"/>
        <w:rPr>
          <w:rFonts w:hAnsi="宋体"/>
          <w:color w:val="auto"/>
          <w:szCs w:val="21"/>
          <w:highlight w:val="none"/>
        </w:rPr>
      </w:pPr>
      <w:r>
        <w:rPr>
          <w:rFonts w:hint="eastAsia" w:ascii="宋体" w:hAnsi="宋体"/>
          <w:color w:val="auto"/>
          <w:szCs w:val="21"/>
          <w:highlight w:val="none"/>
        </w:rPr>
        <w:t>（</w:t>
      </w:r>
      <w:r>
        <w:rPr>
          <w:rFonts w:hint="eastAsia" w:hAnsi="宋体"/>
          <w:color w:val="auto"/>
          <w:szCs w:val="21"/>
          <w:highlight w:val="none"/>
        </w:rPr>
        <w:t>21</w:t>
      </w:r>
      <w:r>
        <w:rPr>
          <w:rFonts w:hint="eastAsia" w:ascii="宋体" w:hAnsi="宋体"/>
          <w:color w:val="auto"/>
          <w:szCs w:val="21"/>
          <w:highlight w:val="none"/>
        </w:rPr>
        <w:t>）</w:t>
      </w:r>
      <w:r>
        <w:rPr>
          <w:rFonts w:ascii="宋体" w:hAnsi="宋体"/>
          <w:color w:val="auto"/>
          <w:highlight w:val="none"/>
        </w:rPr>
        <w:t>中小企业声明函</w:t>
      </w:r>
      <w:r>
        <w:rPr>
          <w:rFonts w:hint="eastAsia" w:ascii="宋体" w:hAnsi="宋体"/>
          <w:color w:val="auto"/>
          <w:szCs w:val="21"/>
          <w:highlight w:val="none"/>
        </w:rPr>
        <w:t>（按最新相关政策执行，格式见第六章，如有请提供）</w:t>
      </w:r>
      <w:r>
        <w:rPr>
          <w:rFonts w:hint="eastAsia" w:ascii="宋体" w:hAnsi="宋体"/>
          <w:color w:val="auto"/>
          <w:highlight w:val="none"/>
        </w:rPr>
        <w:t>。</w:t>
      </w:r>
    </w:p>
    <w:p>
      <w:pPr>
        <w:snapToGrid w:val="0"/>
        <w:spacing w:before="156" w:beforeLines="50"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3.技术文件</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（1）对本项目系统总体要求的理解；</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技术响应表（</w:t>
      </w:r>
      <w:r>
        <w:rPr>
          <w:rFonts w:hint="eastAsia" w:ascii="宋体" w:hAnsi="宋体"/>
          <w:b/>
          <w:color w:val="auto"/>
          <w:szCs w:val="21"/>
          <w:highlight w:val="none"/>
          <w:u w:val="single"/>
        </w:rPr>
        <w:t>必须提供</w:t>
      </w:r>
      <w:r>
        <w:rPr>
          <w:rFonts w:hint="eastAsia" w:ascii="宋体" w:hAnsi="宋体"/>
          <w:b/>
          <w:color w:val="auto"/>
          <w:szCs w:val="21"/>
          <w:highlight w:val="none"/>
        </w:rPr>
        <w:t>）；</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（3）设备配置清单（均不含报价）；</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b/>
          <w:color w:val="auto"/>
          <w:highlight w:val="none"/>
        </w:rPr>
        <w:t>售后服务承诺书</w:t>
      </w:r>
      <w:r>
        <w:rPr>
          <w:rFonts w:hint="eastAsia"/>
          <w:color w:val="auto"/>
          <w:highlight w:val="none"/>
        </w:rPr>
        <w:t>（应据项目实际要求描述如：</w:t>
      </w:r>
      <w:r>
        <w:rPr>
          <w:rFonts w:hint="eastAsia" w:ascii="宋体" w:hAnsi="宋体"/>
          <w:color w:val="auto"/>
          <w:szCs w:val="21"/>
          <w:highlight w:val="none"/>
        </w:rPr>
        <w:t>投标人建议的安装、调试、验收方法或方案；技术服务、技术培训、售后服务的内容和措施等），</w:t>
      </w:r>
      <w:r>
        <w:rPr>
          <w:rFonts w:hint="eastAsia" w:ascii="宋体" w:hAnsi="宋体"/>
          <w:b/>
          <w:color w:val="auto"/>
          <w:szCs w:val="21"/>
          <w:highlight w:val="none"/>
        </w:rPr>
        <w:t>(</w:t>
      </w:r>
      <w:r>
        <w:rPr>
          <w:rFonts w:hint="eastAsia" w:ascii="宋体" w:hAnsi="宋体"/>
          <w:b/>
          <w:color w:val="auto"/>
          <w:szCs w:val="21"/>
          <w:highlight w:val="none"/>
          <w:u w:val="single"/>
        </w:rPr>
        <w:t>格式自拟,必须提供</w:t>
      </w:r>
      <w:r>
        <w:rPr>
          <w:rFonts w:hint="eastAsia" w:ascii="宋体" w:hAnsi="宋体"/>
          <w:b/>
          <w:color w:val="auto"/>
          <w:szCs w:val="21"/>
          <w:highlight w:val="none"/>
        </w:rPr>
        <w:t>)</w:t>
      </w:r>
      <w:r>
        <w:rPr>
          <w:rFonts w:hint="eastAsia" w:ascii="宋体" w:hAnsi="宋体"/>
          <w:color w:val="auto"/>
          <w:szCs w:val="21"/>
          <w:highlight w:val="none"/>
        </w:rPr>
        <w:t>；</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（5）投标人拥有主要装备和检测设施的情况和现状（格式自拟）及项目实施人员一览表； </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（7）投标人对本项目的合理化建议和改进措施；</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（8）投标人需要说明的其他文件和说明（格式略）；</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▲（9）招标项目采购需求中要求必须提供的材料。</w:t>
      </w:r>
    </w:p>
    <w:p>
      <w:pPr>
        <w:snapToGrid w:val="0"/>
        <w:spacing w:before="156" w:beforeLines="50"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4.报价文件：</w:t>
      </w:r>
    </w:p>
    <w:p>
      <w:pPr>
        <w:tabs>
          <w:tab w:val="left" w:pos="3870"/>
          <w:tab w:val="left" w:pos="4085"/>
        </w:tabs>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（1）投标函（</w:t>
      </w:r>
      <w:r>
        <w:rPr>
          <w:rFonts w:hint="eastAsia" w:ascii="宋体" w:hAnsi="宋体"/>
          <w:b/>
          <w:color w:val="auto"/>
          <w:szCs w:val="21"/>
          <w:highlight w:val="none"/>
        </w:rPr>
        <w:t>必须提供</w:t>
      </w:r>
      <w:r>
        <w:rPr>
          <w:rFonts w:hint="eastAsia" w:ascii="宋体" w:hAnsi="宋体"/>
          <w:color w:val="auto"/>
          <w:szCs w:val="21"/>
          <w:highlight w:val="none"/>
        </w:rPr>
        <w:t xml:space="preserve">,格式见第六章）； </w:t>
      </w:r>
    </w:p>
    <w:p>
      <w:pPr>
        <w:tabs>
          <w:tab w:val="left" w:pos="3870"/>
          <w:tab w:val="left" w:pos="4085"/>
        </w:tabs>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（2）投标报价明细表（</w:t>
      </w:r>
      <w:r>
        <w:rPr>
          <w:rFonts w:hint="eastAsia" w:ascii="宋体" w:hAnsi="宋体"/>
          <w:b/>
          <w:color w:val="auto"/>
          <w:szCs w:val="21"/>
          <w:highlight w:val="none"/>
        </w:rPr>
        <w:t>必须提供</w:t>
      </w:r>
      <w:r>
        <w:rPr>
          <w:rFonts w:hint="eastAsia" w:ascii="宋体" w:hAnsi="宋体"/>
          <w:color w:val="auto"/>
          <w:szCs w:val="21"/>
          <w:highlight w:val="none"/>
        </w:rPr>
        <w:t>,格式见第六章）；</w:t>
      </w:r>
    </w:p>
    <w:p>
      <w:pPr>
        <w:tabs>
          <w:tab w:val="left" w:pos="3870"/>
          <w:tab w:val="left" w:pos="4085"/>
        </w:tabs>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（3）投标人针对报价需要说明的其他文件和说明（格式自拟）；</w:t>
      </w:r>
    </w:p>
    <w:p>
      <w:pPr>
        <w:tabs>
          <w:tab w:val="left" w:pos="3870"/>
          <w:tab w:val="left" w:pos="4085"/>
        </w:tabs>
        <w:snapToGrid w:val="0"/>
        <w:spacing w:line="360" w:lineRule="exact"/>
        <w:ind w:firstLine="420" w:firstLineChars="200"/>
        <w:jc w:val="left"/>
        <w:rPr>
          <w:rFonts w:ascii="宋体" w:hAnsi="宋体" w:eastAsia="等线"/>
          <w:color w:val="auto"/>
          <w:szCs w:val="21"/>
          <w:highlight w:val="none"/>
        </w:rPr>
      </w:pPr>
      <w:r>
        <w:rPr>
          <w:rFonts w:hint="eastAsia" w:ascii="宋体" w:hAnsi="宋体"/>
          <w:color w:val="auto"/>
          <w:szCs w:val="21"/>
          <w:highlight w:val="none"/>
        </w:rPr>
        <w:t>（4）开标一览表（</w:t>
      </w:r>
      <w:r>
        <w:rPr>
          <w:rFonts w:hint="eastAsia" w:ascii="宋体" w:hAnsi="宋体"/>
          <w:b/>
          <w:color w:val="auto"/>
          <w:szCs w:val="21"/>
          <w:highlight w:val="none"/>
        </w:rPr>
        <w:t>必须提供</w:t>
      </w:r>
      <w:r>
        <w:rPr>
          <w:rFonts w:hint="eastAsia" w:ascii="宋体" w:hAnsi="宋体"/>
          <w:color w:val="auto"/>
          <w:szCs w:val="21"/>
          <w:highlight w:val="none"/>
        </w:rPr>
        <w:t>,格式见第六章）。</w:t>
      </w:r>
    </w:p>
    <w:p>
      <w:pPr>
        <w:pStyle w:val="46"/>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b/>
          <w:bCs/>
          <w:color w:val="auto"/>
          <w:szCs w:val="21"/>
          <w:highlight w:val="none"/>
        </w:rPr>
        <w:t>注：法定代表人授权委托书、投标声明书、投标函、开标一览表必须按</w:t>
      </w:r>
      <w:r>
        <w:rPr>
          <w:rFonts w:hint="eastAsia" w:ascii="宋体" w:hAnsi="宋体"/>
          <w:b/>
          <w:color w:val="auto"/>
          <w:szCs w:val="21"/>
          <w:highlight w:val="none"/>
        </w:rPr>
        <w:t>招标文件格式要求</w:t>
      </w:r>
      <w:r>
        <w:rPr>
          <w:rFonts w:hint="default" w:ascii="宋体" w:hAnsi="宋体"/>
          <w:b/>
          <w:color w:val="auto"/>
          <w:szCs w:val="21"/>
          <w:highlight w:val="none"/>
          <w:lang w:val="en"/>
        </w:rPr>
        <w:t>签字或签章</w:t>
      </w:r>
      <w:r>
        <w:rPr>
          <w:rFonts w:hint="eastAsia" w:ascii="宋体" w:hAnsi="宋体"/>
          <w:b/>
          <w:bCs/>
          <w:color w:val="auto"/>
          <w:szCs w:val="21"/>
          <w:highlight w:val="none"/>
        </w:rPr>
        <w:t>并加盖单位公章。</w:t>
      </w:r>
    </w:p>
    <w:p>
      <w:pPr>
        <w:snapToGrid w:val="0"/>
        <w:spacing w:line="360" w:lineRule="exact"/>
        <w:ind w:firstLine="413" w:firstLineChars="196"/>
        <w:jc w:val="left"/>
        <w:outlineLvl w:val="0"/>
        <w:rPr>
          <w:rFonts w:ascii="宋体" w:hAnsi="宋体"/>
          <w:b/>
          <w:color w:val="auto"/>
          <w:szCs w:val="21"/>
          <w:highlight w:val="none"/>
        </w:rPr>
      </w:pPr>
      <w:r>
        <w:rPr>
          <w:rFonts w:hint="eastAsia" w:ascii="宋体" w:hAnsi="宋体"/>
          <w:b/>
          <w:color w:val="auto"/>
          <w:szCs w:val="21"/>
          <w:highlight w:val="none"/>
        </w:rPr>
        <w:t>（二）投标文件的语言及计量</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▲1投标文件以及投标方与招标方就有关投标事宜的所有来往函电，均应以中文汉语书写。除签名、盖章、专用名称等特殊情形外，以中文汉语以外的文字表述的投标文件视同未提供。</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▲2投标计量单位，招标文件已有明确规定的，使用招标文件规定的计量单位；招标文件没有规定的，应采用中华人民共和国法定计量单位（货币单位：人民币元），否则视同未响应。</w:t>
      </w:r>
    </w:p>
    <w:p>
      <w:pPr>
        <w:snapToGrid w:val="0"/>
        <w:spacing w:before="156" w:beforeLines="50" w:line="360" w:lineRule="exact"/>
        <w:ind w:firstLine="413" w:firstLineChars="196"/>
        <w:jc w:val="left"/>
        <w:outlineLvl w:val="0"/>
        <w:rPr>
          <w:rFonts w:ascii="宋体" w:hAnsi="宋体"/>
          <w:b/>
          <w:color w:val="auto"/>
          <w:szCs w:val="21"/>
          <w:highlight w:val="none"/>
        </w:rPr>
      </w:pPr>
      <w:r>
        <w:rPr>
          <w:rFonts w:hint="eastAsia" w:ascii="宋体" w:hAnsi="宋体"/>
          <w:b/>
          <w:color w:val="auto"/>
          <w:szCs w:val="21"/>
          <w:highlight w:val="none"/>
        </w:rPr>
        <w:t>（三）投标报价</w:t>
      </w:r>
    </w:p>
    <w:p>
      <w:pPr>
        <w:pStyle w:val="29"/>
        <w:snapToGrid w:val="0"/>
        <w:spacing w:line="360" w:lineRule="exact"/>
        <w:ind w:firstLine="420" w:firstLineChars="200"/>
        <w:jc w:val="left"/>
        <w:rPr>
          <w:rFonts w:hAnsi="宋体"/>
          <w:color w:val="auto"/>
          <w:highlight w:val="none"/>
        </w:rPr>
      </w:pPr>
      <w:r>
        <w:rPr>
          <w:rFonts w:hint="eastAsia" w:hAnsi="宋体"/>
          <w:color w:val="auto"/>
          <w:highlight w:val="none"/>
        </w:rPr>
        <w:t>1.投标报价应按招标文件中相关附表格式填写。投标人可就《项目采购需求》中所有分标的货物和服务内容按分标分别作完整唯一报价，也可对某个分标或几个分标的货物和服务内容按分标分别作完整唯一报价。</w:t>
      </w:r>
    </w:p>
    <w:p>
      <w:pPr>
        <w:pStyle w:val="29"/>
        <w:snapToGrid w:val="0"/>
        <w:spacing w:line="360" w:lineRule="exact"/>
        <w:ind w:firstLine="420" w:firstLineChars="200"/>
        <w:jc w:val="left"/>
        <w:rPr>
          <w:rFonts w:hAnsi="宋体"/>
          <w:color w:val="auto"/>
          <w:highlight w:val="none"/>
        </w:rPr>
      </w:pPr>
      <w:r>
        <w:rPr>
          <w:rFonts w:hint="eastAsia" w:hAnsi="宋体"/>
          <w:color w:val="auto"/>
          <w:highlight w:val="none"/>
        </w:rPr>
        <w:t>2.投标报价是履行合同的最终价格，应包括货款、标准附件、备品备件、专用工具、包装、运输、装卸、保险、税金、货到就位以及安装、调试、培训、保修等一切税金和费用。</w:t>
      </w:r>
    </w:p>
    <w:p>
      <w:pPr>
        <w:tabs>
          <w:tab w:val="left" w:pos="525"/>
        </w:tabs>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3.投标文件只允许有一个报价，有选择的或有条件的报价将不予接受。</w:t>
      </w:r>
    </w:p>
    <w:p>
      <w:pPr>
        <w:pStyle w:val="14"/>
        <w:widowControl w:val="0"/>
        <w:tabs>
          <w:tab w:val="clear" w:pos="454"/>
        </w:tabs>
        <w:snapToGrid w:val="0"/>
        <w:spacing w:before="156" w:beforeLines="50" w:after="120" w:afterLines="0" w:line="360" w:lineRule="exact"/>
        <w:ind w:left="0" w:firstLine="413" w:firstLineChars="196"/>
        <w:outlineLvl w:val="0"/>
        <w:rPr>
          <w:rFonts w:ascii="宋体" w:hAnsi="宋体"/>
          <w:b/>
          <w:color w:val="auto"/>
          <w:sz w:val="21"/>
          <w:szCs w:val="21"/>
          <w:highlight w:val="none"/>
        </w:rPr>
      </w:pPr>
      <w:r>
        <w:rPr>
          <w:rFonts w:hint="eastAsia" w:ascii="宋体" w:hAnsi="宋体"/>
          <w:b/>
          <w:color w:val="auto"/>
          <w:sz w:val="21"/>
          <w:szCs w:val="21"/>
          <w:highlight w:val="none"/>
        </w:rPr>
        <w:t>（四）投标文件的有效期</w:t>
      </w:r>
    </w:p>
    <w:p>
      <w:pPr>
        <w:pStyle w:val="14"/>
        <w:widowControl w:val="0"/>
        <w:tabs>
          <w:tab w:val="clear" w:pos="454"/>
        </w:tabs>
        <w:snapToGrid w:val="0"/>
        <w:spacing w:after="120" w:afterLines="0" w:line="360" w:lineRule="exact"/>
        <w:ind w:left="0" w:firstLine="420" w:firstLineChars="200"/>
        <w:rPr>
          <w:rFonts w:ascii="宋体" w:hAnsi="宋体"/>
          <w:color w:val="auto"/>
          <w:sz w:val="21"/>
          <w:szCs w:val="21"/>
          <w:highlight w:val="none"/>
        </w:rPr>
      </w:pPr>
      <w:r>
        <w:rPr>
          <w:rFonts w:hint="eastAsia" w:ascii="宋体" w:hAnsi="宋体"/>
          <w:color w:val="auto"/>
          <w:sz w:val="21"/>
          <w:szCs w:val="21"/>
          <w:highlight w:val="none"/>
        </w:rPr>
        <w:t>1.自投标截止日起</w:t>
      </w:r>
      <w:r>
        <w:rPr>
          <w:rFonts w:hint="eastAsia" w:ascii="宋体" w:hAnsi="宋体"/>
          <w:b/>
          <w:color w:val="auto"/>
          <w:sz w:val="21"/>
          <w:szCs w:val="21"/>
          <w:highlight w:val="none"/>
          <w:u w:val="single"/>
        </w:rPr>
        <w:t>六十日</w:t>
      </w:r>
      <w:r>
        <w:rPr>
          <w:rFonts w:hint="eastAsia" w:ascii="宋体" w:hAnsi="宋体"/>
          <w:color w:val="auto"/>
          <w:sz w:val="21"/>
          <w:szCs w:val="21"/>
          <w:highlight w:val="none"/>
        </w:rPr>
        <w:t>投标文件应保持有效。有效期不足的投标文件将被拒绝。</w:t>
      </w:r>
    </w:p>
    <w:p>
      <w:pPr>
        <w:pStyle w:val="14"/>
        <w:widowControl w:val="0"/>
        <w:tabs>
          <w:tab w:val="clear" w:pos="454"/>
        </w:tabs>
        <w:snapToGrid w:val="0"/>
        <w:spacing w:after="120" w:afterLines="0" w:line="360" w:lineRule="exact"/>
        <w:ind w:left="0" w:firstLine="420" w:firstLineChars="200"/>
        <w:rPr>
          <w:rFonts w:ascii="宋体" w:hAnsi="宋体"/>
          <w:color w:val="auto"/>
          <w:sz w:val="21"/>
          <w:szCs w:val="21"/>
          <w:highlight w:val="none"/>
        </w:rPr>
      </w:pPr>
      <w:r>
        <w:rPr>
          <w:rFonts w:hint="eastAsia" w:ascii="宋体" w:hAnsi="宋体"/>
          <w:color w:val="auto"/>
          <w:sz w:val="21"/>
          <w:szCs w:val="21"/>
          <w:highlight w:val="none"/>
        </w:rPr>
        <w:t>2.在特殊情况下，招标人可与投标人协商延长投标书的有效期，这种要求和答复均以书面形式进行。</w:t>
      </w:r>
    </w:p>
    <w:p>
      <w:pPr>
        <w:snapToGrid w:val="0"/>
        <w:spacing w:line="360" w:lineRule="exact"/>
        <w:ind w:firstLine="420" w:firstLineChars="200"/>
        <w:jc w:val="left"/>
        <w:outlineLvl w:val="0"/>
        <w:rPr>
          <w:rFonts w:ascii="宋体" w:hAnsi="宋体"/>
          <w:b/>
          <w:color w:val="auto"/>
          <w:szCs w:val="21"/>
          <w:highlight w:val="none"/>
        </w:rPr>
      </w:pPr>
      <w:r>
        <w:rPr>
          <w:rFonts w:hint="eastAsia" w:ascii="宋体" w:hAnsi="宋体"/>
          <w:color w:val="auto"/>
          <w:szCs w:val="21"/>
          <w:highlight w:val="none"/>
        </w:rPr>
        <w:t>3.投标人可拒绝接受延期要求而不会导致投标保证金被没收。同意延长有效期的投标人需要相应延长投标保证金的有效期，但不能修改投标文件。</w:t>
      </w:r>
      <w:r>
        <w:rPr>
          <w:rFonts w:hint="eastAsia" w:ascii="宋体" w:hAnsi="宋体"/>
          <w:b/>
          <w:color w:val="auto"/>
          <w:szCs w:val="21"/>
          <w:highlight w:val="none"/>
        </w:rPr>
        <w:t xml:space="preserve"> </w:t>
      </w:r>
    </w:p>
    <w:p>
      <w:pPr>
        <w:snapToGrid w:val="0"/>
        <w:spacing w:line="360" w:lineRule="exact"/>
        <w:ind w:firstLine="420" w:firstLineChars="200"/>
        <w:jc w:val="left"/>
        <w:outlineLvl w:val="0"/>
        <w:rPr>
          <w:rFonts w:ascii="宋体" w:hAnsi="宋体"/>
          <w:b/>
          <w:color w:val="auto"/>
          <w:szCs w:val="21"/>
          <w:highlight w:val="none"/>
        </w:rPr>
      </w:pPr>
      <w:r>
        <w:rPr>
          <w:rFonts w:hint="eastAsia" w:ascii="宋体" w:hAnsi="宋体"/>
          <w:color w:val="auto"/>
          <w:szCs w:val="21"/>
          <w:highlight w:val="none"/>
        </w:rPr>
        <w:t>4.中标人的投标文件自开标之日起至合同履行完毕止均应保持有效。</w:t>
      </w:r>
    </w:p>
    <w:p>
      <w:pPr>
        <w:snapToGrid w:val="0"/>
        <w:spacing w:before="156" w:beforeLines="50" w:line="360" w:lineRule="exact"/>
        <w:ind w:firstLine="413" w:firstLineChars="196"/>
        <w:jc w:val="left"/>
        <w:outlineLvl w:val="0"/>
        <w:rPr>
          <w:rFonts w:ascii="宋体" w:hAnsi="宋体"/>
          <w:b/>
          <w:color w:val="auto"/>
          <w:szCs w:val="21"/>
          <w:highlight w:val="none"/>
        </w:rPr>
      </w:pPr>
      <w:r>
        <w:rPr>
          <w:rFonts w:hint="eastAsia" w:ascii="宋体" w:hAnsi="宋体"/>
          <w:b/>
          <w:color w:val="auto"/>
          <w:szCs w:val="21"/>
          <w:highlight w:val="none"/>
        </w:rPr>
        <w:t>（五）投标保证金</w:t>
      </w:r>
    </w:p>
    <w:p>
      <w:pPr>
        <w:pStyle w:val="29"/>
        <w:spacing w:line="420" w:lineRule="exact"/>
        <w:ind w:left="840" w:leftChars="200" w:hanging="420" w:hangingChars="200"/>
        <w:rPr>
          <w:rFonts w:hAnsi="宋体"/>
          <w:color w:val="auto"/>
          <w:highlight w:val="none"/>
        </w:rPr>
      </w:pPr>
      <w:r>
        <w:rPr>
          <w:rFonts w:hint="eastAsia" w:hAnsi="宋体"/>
          <w:color w:val="auto"/>
          <w:highlight w:val="none"/>
        </w:rPr>
        <w:t>1. 投标保证金应用人民币，投标人须按规定提交投标保证金。否则，其投标将被拒绝。</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2.保证金交纳形式：</w:t>
      </w:r>
      <w:r>
        <w:rPr>
          <w:rFonts w:hint="eastAsia" w:ascii="宋体" w:hAnsi="宋体"/>
          <w:color w:val="auto"/>
          <w:highlight w:val="none"/>
        </w:rPr>
        <w:t>支票、汇票、本票、金融机构、担保机构</w:t>
      </w:r>
      <w:r>
        <w:rPr>
          <w:rFonts w:ascii="宋体" w:hAnsi="宋体"/>
          <w:color w:val="auto"/>
          <w:highlight w:val="none"/>
        </w:rPr>
        <w:t>出具的保函等非现金形式</w:t>
      </w:r>
      <w:r>
        <w:rPr>
          <w:rFonts w:hint="eastAsia" w:ascii="宋体" w:hAnsi="宋体"/>
          <w:color w:val="auto"/>
          <w:szCs w:val="21"/>
          <w:highlight w:val="none"/>
        </w:rPr>
        <w:t>。</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 xml:space="preserve"> 投标人应按本须知</w:t>
      </w:r>
      <w:r>
        <w:rPr>
          <w:rFonts w:hint="eastAsia" w:ascii="宋体" w:hAnsi="宋体"/>
          <w:color w:val="auto"/>
          <w:szCs w:val="21"/>
          <w:highlight w:val="none"/>
        </w:rPr>
        <w:t>及</w:t>
      </w:r>
      <w:r>
        <w:rPr>
          <w:rFonts w:ascii="宋体" w:hAnsi="宋体"/>
          <w:color w:val="auto"/>
          <w:szCs w:val="21"/>
          <w:highlight w:val="none"/>
        </w:rPr>
        <w:t>招标公告中所明确的开户名称、开户银行、账号，于投标截止前交到本中心账户上（投标人交纳投标保证金时应充分考虑保证金到达本中心账户上的</w:t>
      </w:r>
      <w:r>
        <w:rPr>
          <w:rFonts w:hint="eastAsia" w:ascii="宋体" w:hAnsi="宋体"/>
          <w:color w:val="auto"/>
          <w:szCs w:val="21"/>
          <w:highlight w:val="none"/>
        </w:rPr>
        <w:t>清算</w:t>
      </w:r>
      <w:r>
        <w:rPr>
          <w:rFonts w:ascii="宋体" w:hAnsi="宋体"/>
          <w:color w:val="auto"/>
          <w:szCs w:val="21"/>
          <w:highlight w:val="none"/>
        </w:rPr>
        <w:t>时间）。</w:t>
      </w:r>
    </w:p>
    <w:p>
      <w:pPr>
        <w:snapToGrid w:val="0"/>
        <w:spacing w:line="360" w:lineRule="exact"/>
        <w:jc w:val="left"/>
        <w:rPr>
          <w:rFonts w:ascii="宋体" w:hAnsi="宋体"/>
          <w:color w:val="auto"/>
          <w:szCs w:val="21"/>
          <w:highlight w:val="none"/>
        </w:rPr>
      </w:pPr>
      <w:r>
        <w:rPr>
          <w:rFonts w:hint="eastAsia"/>
          <w:b/>
          <w:color w:val="auto"/>
          <w:highlight w:val="none"/>
          <w:u w:val="single"/>
        </w:rPr>
        <w:t>本中心财务（</w:t>
      </w:r>
      <w:r>
        <w:rPr>
          <w:b/>
          <w:color w:val="auto"/>
          <w:highlight w:val="none"/>
          <w:u w:val="single"/>
          <w:lang w:val="en"/>
        </w:rPr>
        <w:t>地址：</w:t>
      </w:r>
    </w:p>
    <w:p>
      <w:pPr>
        <w:pStyle w:val="29"/>
        <w:spacing w:line="420" w:lineRule="exact"/>
        <w:ind w:left="1" w:firstLine="630" w:firstLineChars="349"/>
        <w:rPr>
          <w:b/>
          <w:color w:val="auto"/>
          <w:sz w:val="18"/>
          <w:szCs w:val="18"/>
          <w:highlight w:val="none"/>
        </w:rPr>
      </w:pPr>
      <w:r>
        <w:rPr>
          <w:rFonts w:hint="eastAsia" w:hAnsi="宋体"/>
          <w:b/>
          <w:color w:val="auto"/>
          <w:sz w:val="18"/>
          <w:szCs w:val="18"/>
          <w:highlight w:val="none"/>
        </w:rPr>
        <w:t>注：①</w:t>
      </w:r>
      <w:r>
        <w:rPr>
          <w:rFonts w:hint="eastAsia"/>
          <w:b/>
          <w:color w:val="auto"/>
          <w:sz w:val="18"/>
          <w:szCs w:val="18"/>
          <w:highlight w:val="none"/>
        </w:rPr>
        <w:t>办理投标保证金手续时，请务必在保证金凭据上注明或写明项目名称及项目编号，以免耽误投标。</w:t>
      </w:r>
    </w:p>
    <w:p>
      <w:pPr>
        <w:snapToGrid w:val="0"/>
        <w:spacing w:line="360" w:lineRule="exact"/>
        <w:ind w:firstLine="984" w:firstLineChars="545"/>
        <w:jc w:val="left"/>
        <w:rPr>
          <w:rFonts w:hAnsi="宋体"/>
          <w:b/>
          <w:color w:val="auto"/>
          <w:sz w:val="18"/>
          <w:szCs w:val="18"/>
          <w:highlight w:val="none"/>
        </w:rPr>
      </w:pPr>
      <w:r>
        <w:rPr>
          <w:rFonts w:hint="eastAsia" w:hAnsi="宋体"/>
          <w:b/>
          <w:color w:val="auto"/>
          <w:sz w:val="18"/>
          <w:szCs w:val="18"/>
          <w:highlight w:val="none"/>
        </w:rPr>
        <w:t>②</w:t>
      </w:r>
      <w:r>
        <w:rPr>
          <w:rFonts w:hint="eastAsia" w:ascii="宋体" w:hAnsi="宋体"/>
          <w:b/>
          <w:color w:val="auto"/>
          <w:sz w:val="18"/>
          <w:szCs w:val="18"/>
          <w:highlight w:val="none"/>
        </w:rPr>
        <w:t>未中标人的投标保证金在中标通知书发出后4个工作日内退还，</w:t>
      </w:r>
      <w:r>
        <w:rPr>
          <w:rFonts w:hint="eastAsia" w:hAnsi="宋体"/>
          <w:b/>
          <w:color w:val="auto"/>
          <w:sz w:val="18"/>
          <w:szCs w:val="18"/>
          <w:highlight w:val="none"/>
        </w:rPr>
        <w:t>不计利息。</w:t>
      </w:r>
    </w:p>
    <w:p>
      <w:pPr>
        <w:snapToGrid w:val="0"/>
        <w:spacing w:line="360" w:lineRule="exact"/>
        <w:ind w:firstLine="990" w:firstLineChars="548"/>
        <w:jc w:val="left"/>
        <w:rPr>
          <w:rFonts w:ascii="宋体" w:hAnsi="宋体"/>
          <w:b/>
          <w:color w:val="auto"/>
          <w:sz w:val="18"/>
          <w:szCs w:val="18"/>
          <w:highlight w:val="none"/>
        </w:rPr>
      </w:pPr>
      <w:r>
        <w:rPr>
          <w:rFonts w:hint="eastAsia" w:hAnsi="宋体"/>
          <w:b/>
          <w:color w:val="auto"/>
          <w:sz w:val="18"/>
          <w:szCs w:val="18"/>
          <w:highlight w:val="none"/>
        </w:rPr>
        <w:t>③</w:t>
      </w:r>
      <w:r>
        <w:rPr>
          <w:rFonts w:hint="eastAsia" w:ascii="宋体" w:hAnsi="宋体"/>
          <w:b/>
          <w:color w:val="auto"/>
          <w:spacing w:val="-4"/>
          <w:sz w:val="18"/>
          <w:szCs w:val="18"/>
          <w:highlight w:val="none"/>
        </w:rPr>
        <w:t>中标人的</w:t>
      </w:r>
      <w:r>
        <w:rPr>
          <w:rFonts w:ascii="宋体" w:hAnsi="宋体"/>
          <w:b/>
          <w:color w:val="auto"/>
          <w:spacing w:val="-4"/>
          <w:sz w:val="18"/>
          <w:szCs w:val="18"/>
          <w:highlight w:val="none"/>
        </w:rPr>
        <w:t>投标保证金自政府采购合同签订之日起</w:t>
      </w:r>
      <w:r>
        <w:rPr>
          <w:rFonts w:hint="eastAsia" w:ascii="宋体" w:hAnsi="宋体"/>
          <w:b/>
          <w:color w:val="auto"/>
          <w:spacing w:val="-4"/>
          <w:sz w:val="18"/>
          <w:szCs w:val="18"/>
          <w:highlight w:val="none"/>
        </w:rPr>
        <w:t>4个工作日</w:t>
      </w:r>
      <w:r>
        <w:rPr>
          <w:rFonts w:ascii="宋体" w:hAnsi="宋体"/>
          <w:b/>
          <w:color w:val="auto"/>
          <w:spacing w:val="-4"/>
          <w:sz w:val="18"/>
          <w:szCs w:val="18"/>
          <w:highlight w:val="none"/>
        </w:rPr>
        <w:t>内</w:t>
      </w:r>
      <w:r>
        <w:rPr>
          <w:rFonts w:hint="eastAsia" w:ascii="宋体" w:hAnsi="宋体"/>
          <w:b/>
          <w:color w:val="auto"/>
          <w:spacing w:val="-4"/>
          <w:sz w:val="18"/>
          <w:szCs w:val="18"/>
          <w:highlight w:val="none"/>
        </w:rPr>
        <w:t>（合同签订后送达本中心)后</w:t>
      </w:r>
      <w:r>
        <w:rPr>
          <w:rFonts w:ascii="宋体" w:hAnsi="宋体"/>
          <w:b/>
          <w:color w:val="auto"/>
          <w:spacing w:val="-4"/>
          <w:sz w:val="18"/>
          <w:szCs w:val="18"/>
          <w:highlight w:val="none"/>
        </w:rPr>
        <w:t>退还</w:t>
      </w:r>
      <w:r>
        <w:rPr>
          <w:rFonts w:hint="eastAsia" w:ascii="宋体" w:hAnsi="宋体"/>
          <w:b/>
          <w:color w:val="auto"/>
          <w:spacing w:val="-4"/>
          <w:sz w:val="18"/>
          <w:szCs w:val="18"/>
          <w:highlight w:val="none"/>
        </w:rPr>
        <w:t>，不计利息。</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4. </w:t>
      </w:r>
      <w:r>
        <w:rPr>
          <w:rFonts w:ascii="宋体" w:hAnsi="宋体" w:cs="宋体"/>
          <w:color w:val="auto"/>
          <w:kern w:val="0"/>
          <w:szCs w:val="21"/>
          <w:highlight w:val="none"/>
        </w:rPr>
        <w:t>中标人应在中标通知书发出</w:t>
      </w:r>
      <w:r>
        <w:rPr>
          <w:rFonts w:hint="eastAsia" w:ascii="宋体" w:hAnsi="宋体" w:cs="宋体"/>
          <w:color w:val="auto"/>
          <w:kern w:val="0"/>
          <w:szCs w:val="21"/>
          <w:highlight w:val="none"/>
        </w:rPr>
        <w:t>之日起</w:t>
      </w:r>
      <w:r>
        <w:rPr>
          <w:rFonts w:hint="eastAsia" w:ascii="宋体" w:hAnsi="宋体"/>
          <w:color w:val="auto"/>
          <w:szCs w:val="21"/>
          <w:highlight w:val="none"/>
          <w:u w:val="single"/>
        </w:rPr>
        <w:t>25</w:t>
      </w:r>
      <w:r>
        <w:rPr>
          <w:rFonts w:hint="eastAsia" w:ascii="宋体" w:hAnsi="宋体"/>
          <w:color w:val="auto"/>
          <w:szCs w:val="21"/>
          <w:highlight w:val="none"/>
        </w:rPr>
        <w:t>日内与采购人签订合同。</w:t>
      </w:r>
      <w:r>
        <w:rPr>
          <w:rFonts w:hint="eastAsia" w:hAnsi="宋体"/>
          <w:bCs/>
          <w:color w:val="auto"/>
          <w:highlight w:val="none"/>
        </w:rPr>
        <w:t>采购需求另有要求的，按照其要求执行。</w:t>
      </w:r>
    </w:p>
    <w:p>
      <w:pPr>
        <w:pStyle w:val="29"/>
        <w:spacing w:line="400" w:lineRule="exact"/>
        <w:ind w:firstLine="420" w:firstLineChars="200"/>
        <w:rPr>
          <w:rFonts w:hAnsi="宋体"/>
          <w:color w:val="auto"/>
          <w:highlight w:val="none"/>
        </w:rPr>
      </w:pPr>
      <w:r>
        <w:rPr>
          <w:rFonts w:hint="eastAsia"/>
          <w:color w:val="auto"/>
          <w:highlight w:val="none"/>
        </w:rPr>
        <w:t>5.投标保证金不计息。</w:t>
      </w:r>
    </w:p>
    <w:p>
      <w:pPr>
        <w:snapToGrid w:val="0"/>
        <w:spacing w:line="360" w:lineRule="exact"/>
        <w:ind w:firstLine="413" w:firstLineChars="196"/>
        <w:jc w:val="left"/>
        <w:rPr>
          <w:rFonts w:ascii="宋体" w:hAnsi="宋体"/>
          <w:b/>
          <w:bCs/>
          <w:color w:val="auto"/>
          <w:szCs w:val="21"/>
          <w:highlight w:val="none"/>
        </w:rPr>
      </w:pPr>
      <w:r>
        <w:rPr>
          <w:rFonts w:hint="eastAsia" w:ascii="宋体" w:hAnsi="宋体"/>
          <w:b/>
          <w:bCs/>
          <w:color w:val="auto"/>
          <w:szCs w:val="21"/>
          <w:highlight w:val="none"/>
        </w:rPr>
        <w:t>6.投标人有下列情形之一的，投标保证金将不予退还：</w:t>
      </w:r>
    </w:p>
    <w:p>
      <w:pPr>
        <w:snapToGrid w:val="0"/>
        <w:spacing w:line="360" w:lineRule="exact"/>
        <w:ind w:firstLine="411" w:firstLineChars="196"/>
        <w:jc w:val="left"/>
        <w:rPr>
          <w:rFonts w:ascii="宋体" w:hAnsi="宋体"/>
          <w:color w:val="auto"/>
          <w:szCs w:val="21"/>
          <w:highlight w:val="none"/>
        </w:rPr>
      </w:pPr>
      <w:r>
        <w:rPr>
          <w:rFonts w:hint="eastAsia" w:ascii="宋体" w:hAnsi="宋体"/>
          <w:color w:val="auto"/>
          <w:szCs w:val="21"/>
          <w:highlight w:val="none"/>
        </w:rPr>
        <w:t>（1）投标人在投标有效期内撤回投标文件的；</w:t>
      </w:r>
    </w:p>
    <w:p>
      <w:pPr>
        <w:snapToGrid w:val="0"/>
        <w:spacing w:line="360" w:lineRule="exact"/>
        <w:ind w:firstLine="411" w:firstLineChars="196"/>
        <w:jc w:val="left"/>
        <w:rPr>
          <w:rFonts w:ascii="宋体" w:hAnsi="宋体"/>
          <w:color w:val="auto"/>
          <w:szCs w:val="21"/>
          <w:highlight w:val="none"/>
        </w:rPr>
      </w:pPr>
      <w:r>
        <w:rPr>
          <w:rFonts w:hint="eastAsia" w:ascii="宋体" w:hAnsi="宋体"/>
          <w:color w:val="auto"/>
          <w:szCs w:val="21"/>
          <w:highlight w:val="none"/>
        </w:rPr>
        <w:t>（2）投标人在投标过程中弄虚作假，提供虚假材料的；</w:t>
      </w:r>
    </w:p>
    <w:p>
      <w:pPr>
        <w:snapToGrid w:val="0"/>
        <w:spacing w:line="360" w:lineRule="exact"/>
        <w:ind w:firstLine="411" w:firstLineChars="196"/>
        <w:jc w:val="left"/>
        <w:rPr>
          <w:rFonts w:ascii="宋体" w:hAnsi="宋体"/>
          <w:color w:val="auto"/>
          <w:szCs w:val="21"/>
          <w:highlight w:val="none"/>
        </w:rPr>
      </w:pPr>
      <w:r>
        <w:rPr>
          <w:rFonts w:hint="eastAsia" w:ascii="宋体" w:hAnsi="宋体"/>
          <w:color w:val="auto"/>
          <w:szCs w:val="21"/>
          <w:highlight w:val="none"/>
        </w:rPr>
        <w:t>（3）中标人无正当理由不与采购人签订合同的；</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w:t>
      </w:r>
      <w:r>
        <w:rPr>
          <w:rFonts w:hint="eastAsia" w:ascii="宋体" w:hAnsi="宋体"/>
          <w:bCs/>
          <w:color w:val="auto"/>
          <w:spacing w:val="-6"/>
          <w:szCs w:val="21"/>
          <w:highlight w:val="none"/>
        </w:rPr>
        <w:t>将中标项目转让给他人或者在投标文件中未说明且未经招标采购人同意，将中标项目分包给他人的；</w:t>
      </w:r>
    </w:p>
    <w:p>
      <w:pPr>
        <w:snapToGrid w:val="0"/>
        <w:spacing w:line="360" w:lineRule="exact"/>
        <w:ind w:firstLine="411" w:firstLineChars="196"/>
        <w:rPr>
          <w:rFonts w:ascii="宋体" w:hAnsi="宋体"/>
          <w:b/>
          <w:color w:val="auto"/>
          <w:szCs w:val="21"/>
          <w:highlight w:val="none"/>
        </w:rPr>
      </w:pPr>
      <w:r>
        <w:rPr>
          <w:rFonts w:hint="eastAsia" w:ascii="宋体" w:hAnsi="宋体"/>
          <w:color w:val="auto"/>
          <w:szCs w:val="21"/>
          <w:highlight w:val="none"/>
        </w:rPr>
        <w:t>（5）拒绝履行合同义务的；</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（6）其他严重扰乱招投标程序的。</w:t>
      </w:r>
    </w:p>
    <w:p>
      <w:pPr>
        <w:snapToGrid w:val="0"/>
        <w:spacing w:line="360" w:lineRule="exact"/>
        <w:ind w:firstLine="421" w:firstLineChars="200"/>
        <w:rPr>
          <w:rFonts w:ascii="宋体" w:hAnsi="宋体"/>
          <w:b/>
          <w:color w:val="auto"/>
          <w:szCs w:val="21"/>
          <w:highlight w:val="none"/>
        </w:rPr>
      </w:pPr>
      <w:r>
        <w:rPr>
          <w:rFonts w:hint="eastAsia" w:ascii="宋体" w:hAnsi="宋体"/>
          <w:b/>
          <w:color w:val="auto"/>
          <w:szCs w:val="21"/>
          <w:highlight w:val="none"/>
        </w:rPr>
        <w:t>（六）投标文件的签署和份数</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1.投标人应按本招标文件规定的格式和顺序编制投标文件并标注页码，投标文件内容不完整、编排混乱导致投标文件被误读、漏读或者查找不到相关内容的，是投标人的责任。</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 投标文件份数：见投标人须知及前附表。</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3.投标文件须由投标人在规定位置盖章并由法定代表人或法定代表人的授权委托人签署，投标人应写全称。</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4.投标文件不得涂改，若有修改错漏处，须加盖单位公章或者法定代表人或授权委托人签字或盖章。投标文件扫描不清晰或乱码或表达不清所引起的后果由投标人负责。</w:t>
      </w:r>
    </w:p>
    <w:p>
      <w:pPr>
        <w:snapToGrid w:val="0"/>
        <w:spacing w:before="156" w:beforeLines="50" w:line="360" w:lineRule="exact"/>
        <w:ind w:firstLine="309" w:firstLineChars="147"/>
        <w:jc w:val="left"/>
        <w:outlineLvl w:val="0"/>
        <w:rPr>
          <w:rFonts w:ascii="宋体" w:hAnsi="宋体"/>
          <w:b/>
          <w:color w:val="auto"/>
          <w:szCs w:val="21"/>
          <w:highlight w:val="none"/>
        </w:rPr>
      </w:pPr>
      <w:r>
        <w:rPr>
          <w:rFonts w:hint="eastAsia" w:ascii="宋体" w:hAnsi="宋体"/>
          <w:b/>
          <w:color w:val="auto"/>
          <w:szCs w:val="21"/>
          <w:highlight w:val="none"/>
        </w:rPr>
        <w:t>（七）</w:t>
      </w:r>
      <w:r>
        <w:rPr>
          <w:rFonts w:hint="eastAsia"/>
          <w:b/>
          <w:color w:val="auto"/>
          <w:highlight w:val="none"/>
        </w:rPr>
        <w:t>投标文件的上传、提交、修改、撤回和解密</w:t>
      </w:r>
    </w:p>
    <w:p>
      <w:pPr>
        <w:adjustRightInd w:val="0"/>
        <w:snapToGrid w:val="0"/>
        <w:spacing w:line="400" w:lineRule="exact"/>
        <w:ind w:firstLine="420"/>
        <w:jc w:val="left"/>
        <w:rPr>
          <w:b/>
          <w:color w:val="auto"/>
          <w:highlight w:val="none"/>
        </w:rPr>
      </w:pPr>
      <w:r>
        <w:rPr>
          <w:rFonts w:hint="eastAsia" w:hAnsi="宋体"/>
          <w:color w:val="auto"/>
          <w:highlight w:val="none"/>
        </w:rPr>
        <w:t>▲</w:t>
      </w:r>
      <w:r>
        <w:rPr>
          <w:rFonts w:hint="eastAsia" w:ascii="宋体" w:hAnsi="宋体"/>
          <w:color w:val="auto"/>
          <w:szCs w:val="21"/>
          <w:highlight w:val="none"/>
        </w:rPr>
        <w:t xml:space="preserve">1. </w:t>
      </w:r>
      <w:r>
        <w:rPr>
          <w:rFonts w:hint="eastAsia"/>
          <w:b/>
          <w:color w:val="auto"/>
          <w:highlight w:val="none"/>
        </w:rPr>
        <w:t>投标文件的上传、提交：见投标人须知及前附表。</w:t>
      </w:r>
    </w:p>
    <w:p>
      <w:pPr>
        <w:adjustRightInd w:val="0"/>
        <w:snapToGrid w:val="0"/>
        <w:spacing w:line="400" w:lineRule="exact"/>
        <w:ind w:firstLine="42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s="仿宋_GB2312"/>
          <w:color w:val="auto"/>
          <w:kern w:val="0"/>
          <w:szCs w:val="21"/>
          <w:highlight w:val="none"/>
          <w:lang w:val="zh-CN"/>
        </w:rPr>
        <w:t xml:space="preserve"> 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ascii="宋体" w:hAnsi="宋体"/>
          <w:color w:val="auto"/>
          <w:spacing w:val="-4"/>
          <w:szCs w:val="21"/>
          <w:highlight w:val="none"/>
        </w:rPr>
      </w:pPr>
      <w:r>
        <w:rPr>
          <w:rFonts w:hint="eastAsia" w:ascii="宋体" w:hAnsi="宋体"/>
          <w:color w:val="auto"/>
          <w:spacing w:val="-4"/>
          <w:szCs w:val="21"/>
          <w:highlight w:val="none"/>
        </w:rPr>
        <w:t>3.</w:t>
      </w:r>
      <w:r>
        <w:rPr>
          <w:rFonts w:hint="eastAsia" w:ascii="宋体"/>
          <w:snapToGrid w:val="0"/>
          <w:color w:val="auto"/>
          <w:szCs w:val="21"/>
          <w:highlight w:val="none"/>
        </w:rPr>
        <w:t xml:space="preserve"> 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snapToGrid w:val="0"/>
        <w:spacing w:line="360" w:lineRule="exact"/>
        <w:ind w:firstLine="420"/>
        <w:jc w:val="left"/>
        <w:rPr>
          <w:rFonts w:ascii="宋体" w:hAnsi="宋体"/>
          <w:color w:val="auto"/>
          <w:spacing w:val="-4"/>
          <w:szCs w:val="21"/>
          <w:highlight w:val="none"/>
        </w:rPr>
      </w:pPr>
      <w:r>
        <w:rPr>
          <w:rFonts w:hint="eastAsia" w:ascii="宋体" w:hAnsi="宋体"/>
          <w:color w:val="auto"/>
          <w:spacing w:val="-4"/>
          <w:szCs w:val="21"/>
          <w:highlight w:val="none"/>
        </w:rPr>
        <w:t>4.投标人已经被推荐为第一中标候选供应商后撤回投标或放弃中标的，其投标保证金将不予退还，并上缴国库，给采购人造成损失的，还应当赔偿损失，并作为不良行为记录在案。</w:t>
      </w:r>
    </w:p>
    <w:p>
      <w:pPr>
        <w:snapToGrid w:val="0"/>
        <w:spacing w:line="360" w:lineRule="exact"/>
        <w:ind w:firstLine="420"/>
        <w:jc w:val="left"/>
        <w:outlineLvl w:val="0"/>
        <w:rPr>
          <w:rFonts w:ascii="宋体" w:hAnsi="宋体"/>
          <w:b/>
          <w:color w:val="auto"/>
          <w:szCs w:val="21"/>
          <w:highlight w:val="none"/>
        </w:rPr>
      </w:pPr>
      <w:r>
        <w:rPr>
          <w:rFonts w:hint="eastAsia" w:ascii="宋体" w:hAnsi="宋体"/>
          <w:b/>
          <w:color w:val="auto"/>
          <w:szCs w:val="21"/>
          <w:highlight w:val="none"/>
        </w:rPr>
        <w:t>（八）投标无效的情形</w:t>
      </w:r>
    </w:p>
    <w:p>
      <w:pPr>
        <w:pStyle w:val="22"/>
        <w:snapToGrid w:val="0"/>
        <w:spacing w:line="360" w:lineRule="exact"/>
        <w:ind w:firstLine="395" w:firstLineChars="196"/>
        <w:outlineLvl w:val="0"/>
        <w:rPr>
          <w:rFonts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pStyle w:val="22"/>
        <w:snapToGrid w:val="0"/>
        <w:spacing w:line="360" w:lineRule="exact"/>
        <w:ind w:firstLine="395" w:firstLineChars="196"/>
        <w:outlineLvl w:val="0"/>
        <w:rPr>
          <w:rFonts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1.在符合性审查和资格性审查时，如发现下列情形之一的，投标文件将被视为无效：</w:t>
      </w:r>
    </w:p>
    <w:p>
      <w:pPr>
        <w:pStyle w:val="22"/>
        <w:snapToGrid w:val="0"/>
        <w:spacing w:line="360" w:lineRule="exact"/>
        <w:ind w:firstLine="395" w:firstLineChars="196"/>
        <w:outlineLvl w:val="0"/>
        <w:rPr>
          <w:rFonts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（1）超越了按照法律法规规定必须获得行政许可或者行政审批的经营范围的；</w:t>
      </w:r>
    </w:p>
    <w:p>
      <w:pPr>
        <w:pStyle w:val="22"/>
        <w:snapToGrid w:val="0"/>
        <w:spacing w:line="360" w:lineRule="exact"/>
        <w:ind w:firstLine="395" w:firstLineChars="196"/>
        <w:outlineLvl w:val="0"/>
        <w:rPr>
          <w:rFonts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（2）资格证明文件不全的，或者不符合招标文件标明的资格要求的；</w:t>
      </w:r>
    </w:p>
    <w:p>
      <w:pPr>
        <w:pStyle w:val="22"/>
        <w:snapToGrid w:val="0"/>
        <w:spacing w:line="360" w:lineRule="exact"/>
        <w:ind w:firstLine="395" w:firstLineChars="196"/>
        <w:outlineLvl w:val="0"/>
        <w:rPr>
          <w:rFonts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（3）投标文件无法定代表人（负责人）或其授权委托代理人</w:t>
      </w:r>
      <w:r>
        <w:rPr>
          <w:rFonts w:hint="eastAsia" w:ascii="宋体" w:hAnsi="宋体" w:eastAsia="宋体"/>
          <w:color w:val="auto"/>
          <w:spacing w:val="-4"/>
          <w:sz w:val="21"/>
          <w:szCs w:val="21"/>
          <w:highlight w:val="none"/>
          <w:lang w:eastAsia="zh-CN"/>
        </w:rPr>
        <w:t>签字或签章</w:t>
      </w:r>
      <w:r>
        <w:rPr>
          <w:rFonts w:hint="eastAsia" w:ascii="宋体" w:hAnsi="宋体" w:eastAsia="宋体"/>
          <w:color w:val="auto"/>
          <w:spacing w:val="-4"/>
          <w:sz w:val="21"/>
          <w:szCs w:val="21"/>
          <w:highlight w:val="none"/>
        </w:rPr>
        <w:t>，或未提供法定代表人（负责人）授权委托书、投标声明书或者填写项目不齐全的；</w:t>
      </w:r>
    </w:p>
    <w:p>
      <w:pPr>
        <w:pStyle w:val="22"/>
        <w:snapToGrid w:val="0"/>
        <w:spacing w:line="360" w:lineRule="exact"/>
        <w:ind w:firstLine="395" w:firstLineChars="196"/>
        <w:outlineLvl w:val="0"/>
        <w:rPr>
          <w:rFonts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（4）投标代表人未能出具身份证明或与法定代表人（负责人）授权委托人身份不符的；</w:t>
      </w:r>
    </w:p>
    <w:p>
      <w:pPr>
        <w:pStyle w:val="22"/>
        <w:snapToGrid w:val="0"/>
        <w:spacing w:line="360" w:lineRule="exact"/>
        <w:ind w:firstLine="395" w:firstLineChars="196"/>
        <w:outlineLvl w:val="0"/>
        <w:rPr>
          <w:rFonts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（5）项目不齐全或者内容虚假的；</w:t>
      </w:r>
    </w:p>
    <w:p>
      <w:pPr>
        <w:pStyle w:val="22"/>
        <w:snapToGrid w:val="0"/>
        <w:spacing w:line="360" w:lineRule="exact"/>
        <w:ind w:firstLine="395" w:firstLineChars="196"/>
        <w:outlineLvl w:val="0"/>
        <w:rPr>
          <w:rFonts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（6）投标文件的实质性内容未使用中文表述、意思表述不明确、前后矛盾或者使用计量单位不符合投标文件要求的（经评标委员会认定并允许其当场更正的笔误除外）；</w:t>
      </w:r>
    </w:p>
    <w:p>
      <w:pPr>
        <w:pStyle w:val="22"/>
        <w:snapToGrid w:val="0"/>
        <w:spacing w:line="360" w:lineRule="exact"/>
        <w:ind w:firstLine="395" w:firstLineChars="196"/>
        <w:outlineLvl w:val="0"/>
        <w:rPr>
          <w:rFonts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（7）投标有效期、交付使用时间、质保期等商务条款不能满足招标文件要求的；</w:t>
      </w:r>
    </w:p>
    <w:p>
      <w:pPr>
        <w:pStyle w:val="22"/>
        <w:snapToGrid w:val="0"/>
        <w:spacing w:line="360" w:lineRule="exact"/>
        <w:ind w:firstLine="395" w:firstLineChars="196"/>
        <w:outlineLvl w:val="0"/>
        <w:rPr>
          <w:rFonts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（8）未实质性响应招标文件要求或者投标文件有招标方不能接受的附加条件的；</w:t>
      </w:r>
    </w:p>
    <w:p>
      <w:pPr>
        <w:pStyle w:val="22"/>
        <w:snapToGrid w:val="0"/>
        <w:spacing w:line="360" w:lineRule="exact"/>
        <w:ind w:firstLine="395" w:firstLineChars="196"/>
        <w:outlineLvl w:val="0"/>
        <w:rPr>
          <w:rFonts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（9）</w:t>
      </w:r>
      <w:r>
        <w:rPr>
          <w:rFonts w:ascii="宋体" w:hAnsi="宋体" w:eastAsia="宋体"/>
          <w:color w:val="auto"/>
          <w:spacing w:val="-4"/>
          <w:sz w:val="21"/>
          <w:szCs w:val="21"/>
          <w:highlight w:val="none"/>
        </w:rPr>
        <w:t>未按照招标文件的规定提交投标保证金的</w:t>
      </w:r>
      <w:r>
        <w:rPr>
          <w:rFonts w:hint="eastAsia" w:ascii="宋体" w:hAnsi="宋体" w:eastAsia="宋体"/>
          <w:color w:val="auto"/>
          <w:spacing w:val="-4"/>
          <w:sz w:val="21"/>
          <w:szCs w:val="21"/>
          <w:highlight w:val="none"/>
        </w:rPr>
        <w:t>（说明：评标时，评标委员会将以本中心财务室编制的《采购文件购买名单及保证金收缴情况表》作为评审依据）。</w:t>
      </w:r>
    </w:p>
    <w:p>
      <w:pPr>
        <w:pStyle w:val="22"/>
        <w:snapToGrid w:val="0"/>
        <w:spacing w:line="360" w:lineRule="exact"/>
        <w:ind w:firstLine="395" w:firstLineChars="196"/>
        <w:outlineLvl w:val="0"/>
        <w:rPr>
          <w:rFonts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2.在技术评审时，如发现下列情形之一的，投标文件将被视为无效：</w:t>
      </w:r>
    </w:p>
    <w:p>
      <w:pPr>
        <w:pStyle w:val="22"/>
        <w:snapToGrid w:val="0"/>
        <w:spacing w:line="360" w:lineRule="exact"/>
        <w:ind w:firstLine="395" w:firstLineChars="196"/>
        <w:outlineLvl w:val="0"/>
        <w:rPr>
          <w:rFonts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（1）未提供或未如实提供投标货物的技术参数，或者投标文件标明的响应或偏离与事实不符或虚假投标的；</w:t>
      </w:r>
    </w:p>
    <w:p>
      <w:pPr>
        <w:pStyle w:val="22"/>
        <w:snapToGrid w:val="0"/>
        <w:spacing w:line="360" w:lineRule="exact"/>
        <w:ind w:firstLine="395" w:firstLineChars="196"/>
        <w:outlineLvl w:val="0"/>
        <w:rPr>
          <w:rFonts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（2）明显不符合招标文件要求的规格型号、质量标准，或者与招标文件中的技术指标、主要功能项目发生实质性偏离的；</w:t>
      </w:r>
    </w:p>
    <w:p>
      <w:pPr>
        <w:pStyle w:val="22"/>
        <w:snapToGrid w:val="0"/>
        <w:spacing w:line="360" w:lineRule="exact"/>
        <w:ind w:firstLine="395" w:firstLineChars="196"/>
        <w:outlineLvl w:val="0"/>
        <w:rPr>
          <w:rFonts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（3）标星号“</w:t>
      </w:r>
      <w:r>
        <w:rPr>
          <w:rFonts w:hint="eastAsia" w:ascii="宋体" w:hAnsi="宋体" w:cs="宋体"/>
          <w:color w:val="auto"/>
          <w:kern w:val="0"/>
          <w:sz w:val="21"/>
          <w:szCs w:val="21"/>
          <w:highlight w:val="none"/>
        </w:rPr>
        <w:t>▲</w:t>
      </w:r>
      <w:r>
        <w:rPr>
          <w:rFonts w:hint="eastAsia" w:ascii="宋体" w:hAnsi="宋体" w:eastAsia="宋体"/>
          <w:color w:val="auto"/>
          <w:spacing w:val="-4"/>
          <w:sz w:val="21"/>
          <w:szCs w:val="21"/>
          <w:highlight w:val="none"/>
        </w:rPr>
        <w:t>”的技术、性能指标发生负偏离达</w:t>
      </w:r>
      <w:r>
        <w:rPr>
          <w:rFonts w:hint="eastAsia" w:ascii="宋体" w:hAnsi="宋体" w:eastAsia="宋体"/>
          <w:color w:val="auto"/>
          <w:spacing w:val="-4"/>
          <w:sz w:val="21"/>
          <w:szCs w:val="21"/>
          <w:highlight w:val="none"/>
          <w:u w:val="single"/>
        </w:rPr>
        <w:t xml:space="preserve">  1  </w:t>
      </w:r>
      <w:r>
        <w:rPr>
          <w:rFonts w:hint="eastAsia" w:ascii="宋体" w:hAnsi="宋体" w:eastAsia="宋体"/>
          <w:color w:val="auto"/>
          <w:spacing w:val="-4"/>
          <w:sz w:val="21"/>
          <w:szCs w:val="21"/>
          <w:highlight w:val="none"/>
        </w:rPr>
        <w:t>项（含）以上的；</w:t>
      </w:r>
    </w:p>
    <w:p>
      <w:pPr>
        <w:pStyle w:val="22"/>
        <w:snapToGrid w:val="0"/>
        <w:spacing w:line="360" w:lineRule="exact"/>
        <w:ind w:firstLine="395" w:firstLineChars="196"/>
        <w:outlineLvl w:val="0"/>
        <w:rPr>
          <w:rFonts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（4）投标技术方案不明确，存在一个或一个以上备选（替换）投标方案的；</w:t>
      </w:r>
    </w:p>
    <w:p>
      <w:pPr>
        <w:pStyle w:val="22"/>
        <w:snapToGrid w:val="0"/>
        <w:spacing w:line="360" w:lineRule="exact"/>
        <w:ind w:firstLine="395" w:firstLineChars="196"/>
        <w:outlineLvl w:val="0"/>
        <w:rPr>
          <w:rFonts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（5）与其他参加本次投标供应商的投标文件（技术文件）的文字表述内容差错相同二处以上的。</w:t>
      </w:r>
    </w:p>
    <w:p>
      <w:pPr>
        <w:pStyle w:val="22"/>
        <w:snapToGrid w:val="0"/>
        <w:spacing w:line="360" w:lineRule="exact"/>
        <w:ind w:firstLine="395" w:firstLineChars="196"/>
        <w:outlineLvl w:val="0"/>
        <w:rPr>
          <w:rFonts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3.在报价评审时，如发现下列情形之一的，投标文件将被视为无效：</w:t>
      </w:r>
    </w:p>
    <w:p>
      <w:pPr>
        <w:pStyle w:val="22"/>
        <w:snapToGrid w:val="0"/>
        <w:spacing w:line="360" w:lineRule="exact"/>
        <w:ind w:firstLine="395" w:firstLineChars="196"/>
        <w:outlineLvl w:val="0"/>
        <w:rPr>
          <w:rFonts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（1）未采用人民币报价或者未按照招标文件标明的币种报价的；</w:t>
      </w:r>
    </w:p>
    <w:p>
      <w:pPr>
        <w:pStyle w:val="22"/>
        <w:snapToGrid w:val="0"/>
        <w:spacing w:line="360" w:lineRule="exact"/>
        <w:ind w:firstLine="395" w:firstLineChars="196"/>
        <w:outlineLvl w:val="0"/>
        <w:rPr>
          <w:rFonts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（2）报价超出最高限价，或者超出采购预算金额，采购人不能支付的；</w:t>
      </w:r>
    </w:p>
    <w:p>
      <w:pPr>
        <w:pStyle w:val="22"/>
        <w:snapToGrid w:val="0"/>
        <w:spacing w:line="360" w:lineRule="exact"/>
        <w:ind w:firstLine="395" w:firstLineChars="196"/>
        <w:outlineLvl w:val="0"/>
        <w:rPr>
          <w:rFonts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（3）投标报价具有选择性，或者开标价格与投标文件承诺的优惠（折扣）价格不一致的。</w:t>
      </w:r>
    </w:p>
    <w:p>
      <w:pPr>
        <w:pStyle w:val="22"/>
        <w:snapToGrid w:val="0"/>
        <w:spacing w:line="360" w:lineRule="exact"/>
        <w:ind w:firstLine="395" w:firstLineChars="196"/>
        <w:outlineLvl w:val="0"/>
        <w:rPr>
          <w:rFonts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（4）评标委员会认为投标人的报价明显低于其他通过符合性审查投标人的报价，有可能影响产品质量或者不能诚信履约，投标人不能证明其报价合理性的。</w:t>
      </w:r>
    </w:p>
    <w:p>
      <w:pPr>
        <w:pStyle w:val="22"/>
        <w:snapToGrid w:val="0"/>
        <w:spacing w:line="360" w:lineRule="exact"/>
        <w:ind w:firstLine="395" w:firstLineChars="196"/>
        <w:outlineLvl w:val="0"/>
        <w:rPr>
          <w:rFonts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4.有下列情形之一的视为投标人相互串通投标，投标文件将被视为无效:</w:t>
      </w:r>
    </w:p>
    <w:p>
      <w:pPr>
        <w:pStyle w:val="22"/>
        <w:snapToGrid w:val="0"/>
        <w:spacing w:line="360" w:lineRule="exact"/>
        <w:ind w:firstLine="395" w:firstLineChars="196"/>
        <w:outlineLvl w:val="0"/>
        <w:rPr>
          <w:rFonts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（1）不同投标人的投标文件由同一单位或者个人编制；或不同投标人报名的IP地址一致的；</w:t>
      </w:r>
    </w:p>
    <w:p>
      <w:pPr>
        <w:pStyle w:val="22"/>
        <w:snapToGrid w:val="0"/>
        <w:spacing w:line="360" w:lineRule="exact"/>
        <w:ind w:firstLine="395" w:firstLineChars="196"/>
        <w:outlineLvl w:val="0"/>
        <w:rPr>
          <w:rFonts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（2）不同投标人委托同一单位或者个人办理投标事宜；</w:t>
      </w:r>
    </w:p>
    <w:p>
      <w:pPr>
        <w:pStyle w:val="22"/>
        <w:snapToGrid w:val="0"/>
        <w:spacing w:line="360" w:lineRule="exact"/>
        <w:ind w:firstLine="395" w:firstLineChars="196"/>
        <w:outlineLvl w:val="0"/>
        <w:rPr>
          <w:rFonts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（3）不同投标人的投标文件载明的项目管理成员或者联系人员为同一人；</w:t>
      </w:r>
    </w:p>
    <w:p>
      <w:pPr>
        <w:pStyle w:val="22"/>
        <w:snapToGrid w:val="0"/>
        <w:spacing w:line="360" w:lineRule="exact"/>
        <w:ind w:firstLine="395" w:firstLineChars="196"/>
        <w:outlineLvl w:val="0"/>
        <w:rPr>
          <w:rFonts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（4）不同投标人的投标文件异常一致或投标报价呈规律性差异；</w:t>
      </w:r>
    </w:p>
    <w:p>
      <w:pPr>
        <w:pStyle w:val="22"/>
        <w:snapToGrid w:val="0"/>
        <w:spacing w:line="360" w:lineRule="exact"/>
        <w:ind w:firstLine="395" w:firstLineChars="196"/>
        <w:outlineLvl w:val="0"/>
        <w:rPr>
          <w:rFonts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（5）不同投标人的投标文件相互混装；</w:t>
      </w:r>
    </w:p>
    <w:p>
      <w:pPr>
        <w:pStyle w:val="22"/>
        <w:snapToGrid w:val="0"/>
        <w:spacing w:line="360" w:lineRule="exact"/>
        <w:ind w:firstLine="395" w:firstLineChars="196"/>
        <w:outlineLvl w:val="0"/>
        <w:rPr>
          <w:rFonts w:ascii="宋体" w:hAnsi="宋体" w:eastAsia="宋体"/>
          <w:color w:val="auto"/>
          <w:spacing w:val="-4"/>
          <w:sz w:val="21"/>
          <w:szCs w:val="21"/>
          <w:highlight w:val="none"/>
        </w:rPr>
      </w:pPr>
      <w:r>
        <w:rPr>
          <w:rFonts w:hint="eastAsia" w:ascii="宋体" w:hAnsi="宋体" w:eastAsia="宋体"/>
          <w:color w:val="auto"/>
          <w:spacing w:val="-4"/>
          <w:sz w:val="21"/>
          <w:szCs w:val="21"/>
          <w:highlight w:val="none"/>
        </w:rPr>
        <w:t>（6）不同投标人的投标保证金从同一个单位或者个人账户转出。</w:t>
      </w:r>
    </w:p>
    <w:p>
      <w:pPr>
        <w:pStyle w:val="22"/>
        <w:adjustRightInd w:val="0"/>
        <w:snapToGrid w:val="0"/>
        <w:spacing w:line="400" w:lineRule="exact"/>
        <w:ind w:firstLine="395" w:firstLineChars="196"/>
        <w:rPr>
          <w:rFonts w:ascii="宋体" w:hAnsi="宋体" w:eastAsia="宋体"/>
          <w:bCs/>
          <w:color w:val="auto"/>
          <w:sz w:val="21"/>
          <w:szCs w:val="21"/>
          <w:highlight w:val="none"/>
        </w:rPr>
      </w:pPr>
      <w:r>
        <w:rPr>
          <w:rFonts w:ascii="宋体" w:hAnsi="宋体" w:eastAsia="宋体"/>
          <w:color w:val="auto"/>
          <w:spacing w:val="-4"/>
          <w:sz w:val="21"/>
          <w:szCs w:val="21"/>
          <w:highlight w:val="none"/>
          <w:lang w:val="en"/>
        </w:rPr>
        <w:t>5</w:t>
      </w:r>
      <w:r>
        <w:rPr>
          <w:rFonts w:hint="eastAsia" w:ascii="宋体" w:hAnsi="宋体" w:eastAsia="宋体"/>
          <w:color w:val="auto"/>
          <w:spacing w:val="-4"/>
          <w:sz w:val="21"/>
          <w:szCs w:val="21"/>
          <w:highlight w:val="none"/>
        </w:rPr>
        <w:t>.</w:t>
      </w:r>
      <w:r>
        <w:rPr>
          <w:rFonts w:hint="eastAsia" w:ascii="宋体" w:hAnsi="宋体"/>
          <w:bCs/>
          <w:color w:val="auto"/>
          <w:sz w:val="21"/>
          <w:szCs w:val="21"/>
          <w:highlight w:val="none"/>
        </w:rPr>
        <w:t xml:space="preserve"> </w:t>
      </w:r>
      <w:r>
        <w:rPr>
          <w:rFonts w:hint="eastAsia" w:ascii="宋体" w:hAnsi="宋体" w:eastAsia="宋体"/>
          <w:bCs/>
          <w:color w:val="auto"/>
          <w:sz w:val="21"/>
          <w:szCs w:val="21"/>
          <w:highlight w:val="none"/>
        </w:rPr>
        <w:t>其他投标无效的情形：</w:t>
      </w:r>
    </w:p>
    <w:p>
      <w:pPr>
        <w:pStyle w:val="22"/>
        <w:adjustRightInd w:val="0"/>
        <w:snapToGrid w:val="0"/>
        <w:spacing w:line="400" w:lineRule="exact"/>
        <w:ind w:firstLine="413" w:firstLineChars="196"/>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（1）</w:t>
      </w:r>
      <w:r>
        <w:rPr>
          <w:rFonts w:ascii="宋体" w:hAnsi="宋体" w:eastAsia="宋体"/>
          <w:b/>
          <w:bCs/>
          <w:color w:val="auto"/>
          <w:sz w:val="21"/>
          <w:szCs w:val="21"/>
          <w:highlight w:val="none"/>
        </w:rPr>
        <w:t>投标文件未按招标文件要求签署</w:t>
      </w:r>
      <w:r>
        <w:rPr>
          <w:rFonts w:hint="eastAsia" w:ascii="宋体" w:hAnsi="宋体" w:eastAsia="宋体"/>
          <w:b/>
          <w:bCs/>
          <w:color w:val="auto"/>
          <w:sz w:val="21"/>
          <w:szCs w:val="21"/>
          <w:highlight w:val="none"/>
        </w:rPr>
        <w:t>或</w:t>
      </w:r>
      <w:r>
        <w:rPr>
          <w:rFonts w:ascii="宋体" w:hAnsi="宋体" w:eastAsia="宋体"/>
          <w:b/>
          <w:bCs/>
          <w:color w:val="auto"/>
          <w:sz w:val="21"/>
          <w:szCs w:val="21"/>
          <w:highlight w:val="none"/>
        </w:rPr>
        <w:t>CA电子签章的；</w:t>
      </w:r>
    </w:p>
    <w:p>
      <w:pPr>
        <w:pStyle w:val="22"/>
        <w:adjustRightInd w:val="0"/>
        <w:snapToGrid w:val="0"/>
        <w:spacing w:line="400" w:lineRule="exact"/>
        <w:ind w:firstLine="413" w:firstLineChars="196"/>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（2）</w:t>
      </w:r>
      <w:r>
        <w:rPr>
          <w:rFonts w:ascii="宋体" w:hAnsi="宋体" w:eastAsia="宋体"/>
          <w:b/>
          <w:bCs/>
          <w:color w:val="auto"/>
          <w:sz w:val="21"/>
          <w:szCs w:val="21"/>
          <w:highlight w:val="none"/>
        </w:rPr>
        <w:t>供应商提交两份或两份以上内容不同的投标文件；</w:t>
      </w:r>
    </w:p>
    <w:p>
      <w:pPr>
        <w:pStyle w:val="29"/>
        <w:adjustRightInd w:val="0"/>
        <w:snapToGrid w:val="0"/>
        <w:spacing w:line="400" w:lineRule="exact"/>
        <w:ind w:firstLine="421" w:firstLineChars="200"/>
        <w:rPr>
          <w:rFonts w:hAnsi="宋体"/>
          <w:b/>
          <w:bCs/>
          <w:color w:val="auto"/>
          <w:highlight w:val="none"/>
        </w:rPr>
      </w:pPr>
      <w:r>
        <w:rPr>
          <w:rFonts w:hint="eastAsia" w:hAnsi="宋体"/>
          <w:b/>
          <w:bCs/>
          <w:color w:val="auto"/>
          <w:highlight w:val="none"/>
        </w:rPr>
        <w:t>（3）</w:t>
      </w:r>
      <w:r>
        <w:rPr>
          <w:rFonts w:hAnsi="宋体"/>
          <w:b/>
          <w:bCs/>
          <w:color w:val="auto"/>
          <w:highlight w:val="none"/>
        </w:rPr>
        <w:t>投标供应商在线制作投标文件时</w:t>
      </w:r>
      <w:r>
        <w:rPr>
          <w:rFonts w:hint="eastAsia" w:hAnsi="宋体"/>
          <w:b/>
          <w:bCs/>
          <w:color w:val="auto"/>
          <w:highlight w:val="none"/>
        </w:rPr>
        <w:t>填写的报价金额</w:t>
      </w:r>
      <w:r>
        <w:rPr>
          <w:rFonts w:hAnsi="宋体"/>
          <w:b/>
          <w:bCs/>
          <w:color w:val="auto"/>
          <w:highlight w:val="none"/>
        </w:rPr>
        <w:t>与解密后“电子加密投标文件”中《开标一览表》填写的金额不一致并拒绝按招标文件要求接受调整的；</w:t>
      </w:r>
    </w:p>
    <w:p>
      <w:pPr>
        <w:pStyle w:val="22"/>
        <w:snapToGrid w:val="0"/>
        <w:spacing w:line="360" w:lineRule="exact"/>
        <w:ind w:firstLine="413" w:firstLineChars="196"/>
        <w:outlineLvl w:val="0"/>
        <w:rPr>
          <w:rFonts w:ascii="宋体" w:hAnsi="宋体" w:eastAsia="宋体"/>
          <w:color w:val="auto"/>
          <w:spacing w:val="-4"/>
          <w:sz w:val="21"/>
          <w:szCs w:val="21"/>
          <w:highlight w:val="none"/>
        </w:rPr>
      </w:pPr>
      <w:r>
        <w:rPr>
          <w:rFonts w:hint="eastAsia" w:ascii="宋体" w:hAnsi="宋体" w:eastAsia="宋体" w:cs="Courier New"/>
          <w:b/>
          <w:bCs/>
          <w:color w:val="auto"/>
          <w:sz w:val="21"/>
          <w:szCs w:val="21"/>
          <w:highlight w:val="none"/>
        </w:rPr>
        <w:t>（4）</w:t>
      </w:r>
      <w:r>
        <w:rPr>
          <w:rFonts w:ascii="宋体" w:hAnsi="宋体" w:eastAsia="宋体" w:cs="Courier New"/>
          <w:b/>
          <w:bCs/>
          <w:color w:val="auto"/>
          <w:sz w:val="21"/>
          <w:szCs w:val="21"/>
          <w:highlight w:val="none"/>
        </w:rPr>
        <w:t>法律、法规和招标文件规定的其他无效情形（或出现重大偏差）。</w:t>
      </w:r>
    </w:p>
    <w:p>
      <w:pPr>
        <w:pStyle w:val="22"/>
        <w:snapToGrid w:val="0"/>
        <w:spacing w:line="360" w:lineRule="exact"/>
        <w:ind w:firstLine="395" w:firstLineChars="196"/>
        <w:outlineLvl w:val="0"/>
        <w:rPr>
          <w:rFonts w:ascii="宋体" w:hAnsi="宋体" w:eastAsia="宋体"/>
          <w:color w:val="auto"/>
          <w:spacing w:val="-4"/>
          <w:sz w:val="21"/>
          <w:szCs w:val="21"/>
          <w:highlight w:val="none"/>
        </w:rPr>
      </w:pPr>
      <w:r>
        <w:rPr>
          <w:rFonts w:ascii="宋体" w:hAnsi="宋体" w:eastAsia="宋体"/>
          <w:color w:val="auto"/>
          <w:spacing w:val="-4"/>
          <w:sz w:val="21"/>
          <w:szCs w:val="21"/>
          <w:highlight w:val="none"/>
          <w:lang w:val="en"/>
        </w:rPr>
        <w:t>6</w:t>
      </w:r>
      <w:r>
        <w:rPr>
          <w:rFonts w:hint="eastAsia" w:ascii="宋体" w:hAnsi="宋体" w:eastAsia="宋体"/>
          <w:color w:val="auto"/>
          <w:spacing w:val="-4"/>
          <w:sz w:val="21"/>
          <w:szCs w:val="21"/>
          <w:highlight w:val="none"/>
        </w:rPr>
        <w:t>.被拒绝的投标文件为无效。</w:t>
      </w:r>
    </w:p>
    <w:p>
      <w:pPr>
        <w:pStyle w:val="22"/>
        <w:snapToGrid w:val="0"/>
        <w:spacing w:line="360" w:lineRule="exact"/>
        <w:ind w:firstLine="413" w:firstLineChars="196"/>
        <w:outlineLvl w:val="0"/>
        <w:rPr>
          <w:rFonts w:ascii="宋体" w:hAnsi="宋体" w:eastAsia="宋体"/>
          <w:b/>
          <w:color w:val="auto"/>
          <w:sz w:val="21"/>
          <w:szCs w:val="21"/>
          <w:highlight w:val="none"/>
        </w:rPr>
      </w:pPr>
    </w:p>
    <w:p>
      <w:pPr>
        <w:pStyle w:val="22"/>
        <w:snapToGrid w:val="0"/>
        <w:spacing w:line="360" w:lineRule="exact"/>
        <w:ind w:firstLine="413" w:firstLineChars="196"/>
        <w:outlineLvl w:val="0"/>
        <w:rPr>
          <w:rFonts w:ascii="宋体" w:hAnsi="宋体" w:eastAsia="宋体"/>
          <w:b/>
          <w:snapToGrid w:val="0"/>
          <w:color w:val="auto"/>
          <w:sz w:val="21"/>
          <w:szCs w:val="21"/>
          <w:highlight w:val="none"/>
        </w:rPr>
      </w:pPr>
      <w:r>
        <w:rPr>
          <w:rFonts w:hint="eastAsia" w:ascii="宋体" w:hAnsi="宋体" w:eastAsia="宋体"/>
          <w:b/>
          <w:color w:val="auto"/>
          <w:sz w:val="21"/>
          <w:szCs w:val="21"/>
          <w:highlight w:val="none"/>
        </w:rPr>
        <w:t>四、开标</w:t>
      </w:r>
    </w:p>
    <w:p>
      <w:pPr>
        <w:pStyle w:val="29"/>
        <w:snapToGrid w:val="0"/>
        <w:spacing w:line="360" w:lineRule="exact"/>
        <w:ind w:firstLine="413" w:firstLineChars="196"/>
        <w:outlineLvl w:val="0"/>
        <w:rPr>
          <w:rFonts w:hAnsi="宋体"/>
          <w:b/>
          <w:color w:val="auto"/>
          <w:highlight w:val="none"/>
        </w:rPr>
      </w:pPr>
      <w:r>
        <w:rPr>
          <w:rFonts w:hint="eastAsia" w:hAnsi="宋体"/>
          <w:b/>
          <w:color w:val="auto"/>
          <w:highlight w:val="none"/>
        </w:rPr>
        <w:t>（一）开标准备</w:t>
      </w:r>
    </w:p>
    <w:p>
      <w:pPr>
        <w:pStyle w:val="29"/>
        <w:snapToGrid w:val="0"/>
        <w:spacing w:line="360" w:lineRule="exact"/>
        <w:ind w:firstLine="420" w:firstLineChars="200"/>
        <w:rPr>
          <w:rFonts w:hAnsi="宋体"/>
          <w:bCs/>
          <w:color w:val="auto"/>
          <w:highlight w:val="none"/>
        </w:rPr>
      </w:pPr>
      <w:r>
        <w:rPr>
          <w:rFonts w:hint="eastAsia" w:hAnsi="宋体"/>
          <w:bCs/>
          <w:color w:val="auto"/>
          <w:highlight w:val="none"/>
        </w:rPr>
        <w:t>本中心将</w:t>
      </w:r>
      <w:r>
        <w:rPr>
          <w:rFonts w:hint="eastAsia"/>
          <w:color w:val="auto"/>
          <w:sz w:val="22"/>
          <w:highlight w:val="none"/>
        </w:rPr>
        <w:t>按招标文件规定的时间、地点通过“广西政府采购云平台”组织开标、开启投标文件，所有供应商均应当准时在线参加。投</w:t>
      </w:r>
      <w:r>
        <w:rPr>
          <w:color w:val="auto"/>
          <w:sz w:val="22"/>
          <w:highlight w:val="none"/>
        </w:rPr>
        <w:t>标供应商因未在线参加开标而导致投标文件无法按时解密等一切后果由供应商自</w:t>
      </w:r>
      <w:r>
        <w:rPr>
          <w:rFonts w:hint="eastAsia"/>
          <w:color w:val="auto"/>
          <w:sz w:val="22"/>
          <w:highlight w:val="none"/>
        </w:rPr>
        <w:t>行</w:t>
      </w:r>
      <w:r>
        <w:rPr>
          <w:color w:val="auto"/>
          <w:sz w:val="22"/>
          <w:highlight w:val="none"/>
        </w:rPr>
        <w:t>承担。</w:t>
      </w:r>
    </w:p>
    <w:p>
      <w:pPr>
        <w:pStyle w:val="29"/>
        <w:snapToGrid w:val="0"/>
        <w:spacing w:line="360" w:lineRule="exact"/>
        <w:ind w:firstLine="413" w:firstLineChars="196"/>
        <w:outlineLvl w:val="0"/>
        <w:rPr>
          <w:rFonts w:hAnsi="宋体"/>
          <w:b/>
          <w:color w:val="auto"/>
          <w:highlight w:val="none"/>
        </w:rPr>
      </w:pPr>
      <w:r>
        <w:rPr>
          <w:rFonts w:hint="eastAsia" w:hAnsi="宋体"/>
          <w:b/>
          <w:color w:val="auto"/>
          <w:highlight w:val="none"/>
        </w:rPr>
        <w:t>（二） 开标程序：</w:t>
      </w:r>
    </w:p>
    <w:p>
      <w:pPr>
        <w:pStyle w:val="29"/>
        <w:adjustRightInd w:val="0"/>
        <w:snapToGrid w:val="0"/>
        <w:spacing w:line="400" w:lineRule="exact"/>
        <w:ind w:firstLine="420" w:firstLineChars="200"/>
        <w:rPr>
          <w:rFonts w:hAnsi="宋体"/>
          <w:color w:val="auto"/>
          <w:highlight w:val="none"/>
        </w:rPr>
      </w:pPr>
      <w:r>
        <w:rPr>
          <w:rFonts w:hint="eastAsia" w:hAnsi="宋体"/>
          <w:color w:val="auto"/>
          <w:highlight w:val="none"/>
        </w:rPr>
        <w:t>1.电子开标会由本中心主持</w:t>
      </w:r>
    </w:p>
    <w:p>
      <w:pPr>
        <w:pStyle w:val="29"/>
        <w:adjustRightInd w:val="0"/>
        <w:snapToGrid w:val="0"/>
        <w:spacing w:line="400" w:lineRule="exact"/>
        <w:ind w:firstLine="420" w:firstLineChars="200"/>
        <w:rPr>
          <w:color w:val="auto"/>
          <w:highlight w:val="none"/>
        </w:rPr>
      </w:pPr>
      <w:r>
        <w:rPr>
          <w:rFonts w:hint="eastAsia" w:hAnsi="宋体"/>
          <w:color w:val="auto"/>
          <w:highlight w:val="none"/>
        </w:rPr>
        <w:t>2.本中心工作人员</w:t>
      </w:r>
      <w:r>
        <w:rPr>
          <w:rFonts w:hint="eastAsia"/>
          <w:color w:val="auto"/>
          <w:highlight w:val="none"/>
        </w:rPr>
        <w:t>向各投标供应商发出电子加密投标文件【开始解密】通知，由供应商按招标文件规定的时间内自行进行投标文件解密。</w:t>
      </w:r>
      <w:r>
        <w:rPr>
          <w:rFonts w:hint="eastAsia"/>
          <w:snapToGrid w:val="0"/>
          <w:color w:val="auto"/>
          <w:highlight w:val="none"/>
        </w:rPr>
        <w:t>投标供应商未在规定时间内完成解密的，系统默认自动放弃。</w:t>
      </w:r>
    </w:p>
    <w:p>
      <w:pPr>
        <w:pStyle w:val="29"/>
        <w:adjustRightInd w:val="0"/>
        <w:snapToGrid w:val="0"/>
        <w:spacing w:line="400" w:lineRule="exact"/>
        <w:ind w:firstLine="420" w:firstLineChars="200"/>
        <w:rPr>
          <w:rFonts w:hAnsi="宋体"/>
          <w:color w:val="auto"/>
          <w:highlight w:val="none"/>
        </w:rPr>
      </w:pPr>
      <w:r>
        <w:rPr>
          <w:rFonts w:hint="eastAsia" w:hAnsi="宋体"/>
          <w:color w:val="auto"/>
          <w:highlight w:val="none"/>
        </w:rPr>
        <w:t>3.</w:t>
      </w:r>
      <w:r>
        <w:rPr>
          <w:rFonts w:hAnsi="宋体"/>
          <w:color w:val="auto"/>
          <w:highlight w:val="none"/>
        </w:rPr>
        <w:t>投标文件解密结束，开启</w:t>
      </w:r>
      <w:r>
        <w:rPr>
          <w:rFonts w:hint="eastAsia" w:hAnsi="宋体"/>
          <w:color w:val="auto"/>
          <w:highlight w:val="none"/>
        </w:rPr>
        <w:t>报价文件。投标供应商在线制作投标文件时填写的报价金额</w:t>
      </w:r>
      <w:r>
        <w:rPr>
          <w:rFonts w:hAnsi="宋体"/>
          <w:color w:val="auto"/>
          <w:highlight w:val="none"/>
        </w:rPr>
        <w:t>与解密后“电子加密投标文件”中《开标一览表》填写的金额不一致的，以解密后“电子加密投标文件”中《开标一览表》填写的金额为准，投标供应商拒绝接受此调整的，按无效投标处理。</w:t>
      </w:r>
    </w:p>
    <w:p>
      <w:pPr>
        <w:pStyle w:val="29"/>
        <w:adjustRightInd w:val="0"/>
        <w:snapToGrid w:val="0"/>
        <w:spacing w:line="400" w:lineRule="exact"/>
        <w:ind w:firstLine="420" w:firstLineChars="200"/>
        <w:rPr>
          <w:rFonts w:hAnsi="宋体"/>
          <w:color w:val="auto"/>
          <w:highlight w:val="none"/>
        </w:rPr>
      </w:pPr>
      <w:r>
        <w:rPr>
          <w:rFonts w:hint="eastAsia" w:hAnsi="宋体"/>
          <w:color w:val="auto"/>
          <w:highlight w:val="none"/>
        </w:rPr>
        <w:t>4.进入</w:t>
      </w:r>
      <w:r>
        <w:rPr>
          <w:rFonts w:hAnsi="宋体"/>
          <w:color w:val="auto"/>
          <w:highlight w:val="none"/>
        </w:rPr>
        <w:t>资格文件</w:t>
      </w:r>
      <w:r>
        <w:rPr>
          <w:rFonts w:hint="eastAsia" w:hAnsi="宋体"/>
          <w:color w:val="auto"/>
          <w:highlight w:val="none"/>
        </w:rPr>
        <w:t>审查环节</w:t>
      </w:r>
      <w:r>
        <w:rPr>
          <w:rFonts w:hAnsi="宋体"/>
          <w:color w:val="auto"/>
          <w:highlight w:val="none"/>
        </w:rPr>
        <w:t>，</w:t>
      </w:r>
      <w:r>
        <w:rPr>
          <w:rFonts w:hint="eastAsia" w:hAnsi="宋体"/>
          <w:color w:val="auto"/>
          <w:highlight w:val="none"/>
        </w:rPr>
        <w:t>本中心或者招标采购单位</w:t>
      </w:r>
      <w:r>
        <w:rPr>
          <w:rFonts w:hAnsi="宋体"/>
          <w:color w:val="auto"/>
          <w:highlight w:val="none"/>
        </w:rPr>
        <w:t>依法对投标供应商的资格进行审查。</w:t>
      </w:r>
    </w:p>
    <w:p>
      <w:pPr>
        <w:pStyle w:val="29"/>
        <w:adjustRightInd w:val="0"/>
        <w:snapToGrid w:val="0"/>
        <w:spacing w:line="400" w:lineRule="exact"/>
        <w:ind w:firstLine="420" w:firstLineChars="200"/>
        <w:rPr>
          <w:rFonts w:hAnsi="宋体"/>
          <w:color w:val="auto"/>
          <w:highlight w:val="none"/>
        </w:rPr>
      </w:pPr>
      <w:r>
        <w:rPr>
          <w:rFonts w:hint="eastAsia" w:hAnsi="宋体"/>
          <w:color w:val="auto"/>
          <w:highlight w:val="none"/>
        </w:rPr>
        <w:t>5.</w:t>
      </w:r>
      <w:r>
        <w:rPr>
          <w:rFonts w:hAnsi="宋体"/>
          <w:color w:val="auto"/>
          <w:highlight w:val="none"/>
        </w:rPr>
        <w:t>开启资格审查通过的投标供应商的商务技术文件进入符合性审查及商务技术评审</w:t>
      </w:r>
      <w:r>
        <w:rPr>
          <w:rFonts w:hint="eastAsia" w:hAnsi="宋体"/>
          <w:color w:val="auto"/>
          <w:highlight w:val="none"/>
        </w:rPr>
        <w:t>。</w:t>
      </w:r>
    </w:p>
    <w:p>
      <w:pPr>
        <w:pStyle w:val="29"/>
        <w:adjustRightInd w:val="0"/>
        <w:snapToGrid w:val="0"/>
        <w:spacing w:line="400" w:lineRule="exact"/>
        <w:ind w:firstLine="420"/>
        <w:rPr>
          <w:rFonts w:hAnsi="宋体"/>
          <w:color w:val="auto"/>
          <w:highlight w:val="none"/>
        </w:rPr>
      </w:pPr>
      <w:r>
        <w:rPr>
          <w:rFonts w:hint="eastAsia" w:hAnsi="宋体"/>
          <w:color w:val="auto"/>
          <w:highlight w:val="none"/>
        </w:rPr>
        <w:t>注：①当整个招标项目的投标人不足3家的不开标，本中心将按政府采购管理的有关规定处理。</w:t>
      </w:r>
    </w:p>
    <w:p>
      <w:pPr>
        <w:pStyle w:val="29"/>
        <w:adjustRightInd w:val="0"/>
        <w:snapToGrid w:val="0"/>
        <w:spacing w:line="400" w:lineRule="exact"/>
        <w:ind w:firstLine="840" w:firstLineChars="400"/>
        <w:rPr>
          <w:rFonts w:hAnsi="宋体"/>
          <w:color w:val="auto"/>
          <w:highlight w:val="none"/>
        </w:rPr>
      </w:pPr>
      <w:r>
        <w:rPr>
          <w:rFonts w:hint="eastAsia" w:hAnsi="宋体"/>
          <w:color w:val="auto"/>
          <w:highlight w:val="none"/>
        </w:rPr>
        <w:t>②开标后,某分标投标人不足3家的，本中心将按政府采购管理的有关规定处理。</w:t>
      </w:r>
    </w:p>
    <w:p>
      <w:pPr>
        <w:pStyle w:val="29"/>
        <w:snapToGrid w:val="0"/>
        <w:spacing w:line="360" w:lineRule="exact"/>
        <w:ind w:left="689" w:leftChars="228" w:hanging="210" w:hangingChars="100"/>
        <w:rPr>
          <w:rFonts w:hAnsi="宋体"/>
          <w:color w:val="auto"/>
          <w:highlight w:val="none"/>
        </w:rPr>
      </w:pPr>
      <w:r>
        <w:rPr>
          <w:rFonts w:hAnsi="宋体"/>
          <w:b/>
          <w:bCs/>
          <w:color w:val="auto"/>
          <w:highlight w:val="none"/>
        </w:rPr>
        <w:t>特别说明：如遇“</w:t>
      </w:r>
      <w:r>
        <w:rPr>
          <w:rFonts w:hAnsi="宋体"/>
          <w:b/>
          <w:bCs/>
          <w:color w:val="auto"/>
          <w:highlight w:val="none"/>
          <w:lang w:val="en"/>
        </w:rPr>
        <w:t>广西政府采购云平台</w:t>
      </w:r>
      <w:r>
        <w:rPr>
          <w:rFonts w:hAnsi="宋体"/>
          <w:b/>
          <w:bCs/>
          <w:color w:val="auto"/>
          <w:highlight w:val="none"/>
        </w:rPr>
        <w:t>”电子化开标或评审程序调整的，按调整后程序执行。</w:t>
      </w:r>
    </w:p>
    <w:p>
      <w:pPr>
        <w:pStyle w:val="29"/>
        <w:snapToGrid w:val="0"/>
        <w:spacing w:line="360" w:lineRule="exact"/>
        <w:ind w:left="771" w:leftChars="267" w:hanging="210" w:hangingChars="100"/>
        <w:outlineLvl w:val="1"/>
        <w:rPr>
          <w:rFonts w:hAnsi="宋体"/>
          <w:b/>
          <w:color w:val="auto"/>
          <w:highlight w:val="none"/>
        </w:rPr>
      </w:pPr>
      <w:r>
        <w:rPr>
          <w:rFonts w:hint="eastAsia" w:hAnsi="宋体"/>
          <w:b/>
          <w:color w:val="auto"/>
          <w:highlight w:val="none"/>
        </w:rPr>
        <w:t>五、</w:t>
      </w:r>
      <w:r>
        <w:rPr>
          <w:rFonts w:hint="eastAsia" w:hAnsi="宋体"/>
          <w:b/>
          <w:bCs/>
          <w:color w:val="auto"/>
          <w:highlight w:val="none"/>
        </w:rPr>
        <w:t>资格审查</w:t>
      </w:r>
    </w:p>
    <w:p>
      <w:pPr>
        <w:pStyle w:val="29"/>
        <w:snapToGrid w:val="0"/>
        <w:spacing w:line="360" w:lineRule="exact"/>
        <w:ind w:left="771" w:leftChars="267" w:hanging="210" w:hangingChars="100"/>
        <w:outlineLvl w:val="1"/>
        <w:rPr>
          <w:rFonts w:hAnsi="宋体"/>
          <w:b/>
          <w:color w:val="auto"/>
          <w:highlight w:val="none"/>
        </w:rPr>
      </w:pPr>
      <w:r>
        <w:rPr>
          <w:rFonts w:hint="eastAsia"/>
          <w:color w:val="auto"/>
          <w:highlight w:val="none"/>
        </w:rPr>
        <w:t>采购人</w:t>
      </w:r>
      <w:r>
        <w:rPr>
          <w:rFonts w:hint="eastAsia"/>
          <w:color w:val="auto"/>
          <w:spacing w:val="-4"/>
          <w:highlight w:val="none"/>
        </w:rPr>
        <w:t>或本中心工作人员</w:t>
      </w:r>
      <w:r>
        <w:rPr>
          <w:rFonts w:hint="eastAsia"/>
          <w:color w:val="auto"/>
          <w:highlight w:val="none"/>
        </w:rPr>
        <w:t>依法对投标人的资格进行审查。合格投标人不足3家的，不得评标。</w:t>
      </w:r>
    </w:p>
    <w:p>
      <w:pPr>
        <w:pStyle w:val="29"/>
        <w:snapToGrid w:val="0"/>
        <w:spacing w:line="360" w:lineRule="exact"/>
        <w:ind w:left="771" w:leftChars="267" w:hanging="210" w:hangingChars="100"/>
        <w:outlineLvl w:val="1"/>
        <w:rPr>
          <w:rFonts w:hAnsi="宋体"/>
          <w:b/>
          <w:color w:val="auto"/>
          <w:highlight w:val="none"/>
        </w:rPr>
      </w:pPr>
      <w:r>
        <w:rPr>
          <w:rFonts w:hint="eastAsia" w:hAnsi="宋体"/>
          <w:b/>
          <w:color w:val="auto"/>
          <w:highlight w:val="none"/>
        </w:rPr>
        <w:t>六、评标</w:t>
      </w:r>
    </w:p>
    <w:p>
      <w:pPr>
        <w:pStyle w:val="29"/>
        <w:snapToGrid w:val="0"/>
        <w:spacing w:line="360" w:lineRule="exact"/>
        <w:ind w:left="689" w:leftChars="228" w:hanging="210" w:hangingChars="100"/>
        <w:rPr>
          <w:rFonts w:hAnsi="宋体"/>
          <w:b/>
          <w:color w:val="auto"/>
          <w:highlight w:val="none"/>
        </w:rPr>
      </w:pPr>
      <w:r>
        <w:rPr>
          <w:rFonts w:hint="eastAsia" w:hAnsi="宋体"/>
          <w:b/>
          <w:color w:val="auto"/>
          <w:highlight w:val="none"/>
        </w:rPr>
        <w:t>（一）组建评标委员会</w:t>
      </w:r>
    </w:p>
    <w:p>
      <w:pPr>
        <w:pStyle w:val="29"/>
        <w:snapToGrid w:val="0"/>
        <w:spacing w:line="360" w:lineRule="exact"/>
        <w:ind w:firstLine="420" w:firstLineChars="200"/>
        <w:rPr>
          <w:color w:val="auto"/>
          <w:spacing w:val="-4"/>
          <w:highlight w:val="none"/>
        </w:rPr>
      </w:pPr>
      <w:r>
        <w:rPr>
          <w:rFonts w:hint="eastAsia" w:hAnsi="宋体"/>
          <w:bCs/>
          <w:color w:val="auto"/>
          <w:highlight w:val="none"/>
        </w:rPr>
        <w:t>本招标采购项目的</w:t>
      </w:r>
      <w:r>
        <w:rPr>
          <w:color w:val="auto"/>
          <w:spacing w:val="-4"/>
          <w:highlight w:val="none"/>
        </w:rPr>
        <w:t>评标委员会由采购人代表和评审专家组成，成员人数应当为5人以上单数，其中评审专家不得少于成员总数的三分之二。</w:t>
      </w:r>
    </w:p>
    <w:p>
      <w:pPr>
        <w:pStyle w:val="29"/>
        <w:snapToGrid w:val="0"/>
        <w:spacing w:line="360" w:lineRule="exact"/>
        <w:ind w:left="689" w:leftChars="228" w:hanging="210" w:hangingChars="100"/>
        <w:rPr>
          <w:rFonts w:hAnsi="宋体"/>
          <w:b/>
          <w:color w:val="auto"/>
          <w:highlight w:val="none"/>
        </w:rPr>
      </w:pPr>
      <w:r>
        <w:rPr>
          <w:rFonts w:hint="eastAsia" w:hAnsi="宋体"/>
          <w:b/>
          <w:color w:val="auto"/>
          <w:highlight w:val="none"/>
        </w:rPr>
        <w:t>（二）评标的方式</w:t>
      </w:r>
    </w:p>
    <w:p>
      <w:pPr>
        <w:pStyle w:val="29"/>
        <w:snapToGrid w:val="0"/>
        <w:spacing w:line="360" w:lineRule="exact"/>
        <w:ind w:left="689" w:leftChars="228" w:hanging="210" w:hangingChars="100"/>
        <w:rPr>
          <w:rFonts w:hAnsi="宋体"/>
          <w:color w:val="auto"/>
          <w:highlight w:val="none"/>
        </w:rPr>
      </w:pPr>
      <w:r>
        <w:rPr>
          <w:rFonts w:hint="eastAsia" w:hAnsi="宋体"/>
          <w:color w:val="auto"/>
          <w:highlight w:val="none"/>
        </w:rPr>
        <w:t>本项目采用不公开方式评标，评标的依据为招标文件和投标文件。</w:t>
      </w:r>
    </w:p>
    <w:p>
      <w:pPr>
        <w:pStyle w:val="29"/>
        <w:snapToGrid w:val="0"/>
        <w:spacing w:line="360" w:lineRule="exact"/>
        <w:ind w:left="689" w:leftChars="228" w:hanging="210" w:hangingChars="100"/>
        <w:rPr>
          <w:rFonts w:hAnsi="宋体"/>
          <w:b/>
          <w:color w:val="auto"/>
          <w:highlight w:val="none"/>
        </w:rPr>
      </w:pPr>
      <w:r>
        <w:rPr>
          <w:rFonts w:hint="eastAsia" w:hAnsi="宋体"/>
          <w:b/>
          <w:color w:val="auto"/>
          <w:highlight w:val="none"/>
        </w:rPr>
        <w:t>（三）</w:t>
      </w:r>
      <w:r>
        <w:rPr>
          <w:rFonts w:hint="eastAsia" w:hAnsi="宋体"/>
          <w:b/>
          <w:bCs/>
          <w:color w:val="auto"/>
          <w:highlight w:val="none"/>
        </w:rPr>
        <w:t>评标程序</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color w:val="auto"/>
          <w:szCs w:val="21"/>
          <w:highlight w:val="none"/>
        </w:rPr>
        <w:t>评标委员会审查、评价投标文件是否符合招标文件的商务、技术等实质性要求。</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color w:val="auto"/>
          <w:szCs w:val="21"/>
          <w:highlight w:val="none"/>
        </w:rPr>
        <w:t>评标委员会对投标文件进行比较和评价,如有疑问,将以电子询标函的形式要求投标人在线对投标文件有关事项作出澄清或者说明。投标人向评标委员会澄清或者说明有关问题,并最终盖章的电子文件进行回复。</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投标人代表超过规定时间或者拒绝澄清或者澄清的内容改变了投标文件的实质性内容的，评标委员会有权视该投标文件无效。</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（3）各投标人的技术得分为所有评委的有效评分的算术平均数，由指定专人进行计算复核。</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（4）本中心工作人员协助评标委员会根据本项目的评分标准计算各投标人的商务报价得分。</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ascii="宋体"/>
          <w:color w:val="auto"/>
          <w:szCs w:val="21"/>
          <w:highlight w:val="none"/>
        </w:rPr>
        <w:t>评标委员会完成评标后,由</w:t>
      </w:r>
      <w:r>
        <w:rPr>
          <w:rFonts w:ascii="宋体"/>
          <w:color w:val="auto"/>
          <w:szCs w:val="21"/>
          <w:highlight w:val="none"/>
          <w:lang w:val="en"/>
        </w:rPr>
        <w:t>广西政府采购云</w:t>
      </w:r>
      <w:r>
        <w:rPr>
          <w:rFonts w:hint="eastAsia" w:ascii="宋体"/>
          <w:color w:val="auto"/>
          <w:szCs w:val="21"/>
          <w:highlight w:val="none"/>
        </w:rPr>
        <w:t>系统对各部分得分汇总,计算出本项目最终得分、评标价等。</w:t>
      </w:r>
      <w:r>
        <w:rPr>
          <w:rFonts w:hint="eastAsia" w:ascii="宋体" w:hAnsi="宋体"/>
          <w:color w:val="auto"/>
          <w:szCs w:val="21"/>
          <w:highlight w:val="none"/>
        </w:rPr>
        <w:t>评标委员会按推荐原则推荐中标候选人同时形成评标报告。</w:t>
      </w:r>
    </w:p>
    <w:p>
      <w:pPr>
        <w:snapToGrid w:val="0"/>
        <w:spacing w:line="360" w:lineRule="exact"/>
        <w:ind w:firstLine="420" w:firstLineChars="200"/>
        <w:outlineLvl w:val="0"/>
        <w:rPr>
          <w:rFonts w:ascii="宋体" w:hAnsi="宋体"/>
          <w:b/>
          <w:color w:val="auto"/>
          <w:szCs w:val="21"/>
          <w:highlight w:val="none"/>
        </w:rPr>
      </w:pPr>
      <w:r>
        <w:rPr>
          <w:rFonts w:hint="eastAsia" w:ascii="宋体" w:hAnsi="宋体"/>
          <w:color w:val="auto"/>
          <w:szCs w:val="21"/>
          <w:highlight w:val="none"/>
        </w:rPr>
        <w:t>（四）</w:t>
      </w:r>
      <w:r>
        <w:rPr>
          <w:rFonts w:hint="eastAsia" w:ascii="宋体" w:hAnsi="宋体"/>
          <w:b/>
          <w:color w:val="auto"/>
          <w:szCs w:val="21"/>
          <w:highlight w:val="none"/>
        </w:rPr>
        <w:t>澄清问题的形式</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pStyle w:val="29"/>
        <w:snapToGrid w:val="0"/>
        <w:spacing w:line="360" w:lineRule="exact"/>
        <w:ind w:left="689" w:leftChars="228" w:hanging="210" w:hangingChars="100"/>
        <w:outlineLvl w:val="0"/>
        <w:rPr>
          <w:rFonts w:hAnsi="宋体"/>
          <w:b/>
          <w:color w:val="auto"/>
          <w:highlight w:val="none"/>
        </w:rPr>
      </w:pPr>
      <w:r>
        <w:rPr>
          <w:rFonts w:hint="eastAsia" w:hAnsi="宋体"/>
          <w:color w:val="auto"/>
          <w:highlight w:val="none"/>
        </w:rPr>
        <w:t>（五）</w:t>
      </w:r>
      <w:r>
        <w:rPr>
          <w:rFonts w:hint="eastAsia" w:hAnsi="宋体"/>
          <w:b/>
          <w:color w:val="auto"/>
          <w:highlight w:val="none"/>
        </w:rPr>
        <w:t>错误修正</w:t>
      </w:r>
    </w:p>
    <w:p>
      <w:pPr>
        <w:pStyle w:val="29"/>
        <w:snapToGrid w:val="0"/>
        <w:spacing w:line="360" w:lineRule="exact"/>
        <w:ind w:left="689" w:leftChars="228" w:hanging="210" w:hangingChars="100"/>
        <w:rPr>
          <w:rFonts w:hAnsi="宋体"/>
          <w:color w:val="auto"/>
          <w:highlight w:val="none"/>
        </w:rPr>
      </w:pPr>
      <w:r>
        <w:rPr>
          <w:rFonts w:hint="eastAsia" w:hAnsi="宋体"/>
          <w:color w:val="auto"/>
          <w:highlight w:val="none"/>
        </w:rPr>
        <w:t>投标文件如果出现计算或表达上的错误，修正错误的原则如下：</w:t>
      </w:r>
    </w:p>
    <w:p>
      <w:pPr>
        <w:pStyle w:val="29"/>
        <w:snapToGrid w:val="0"/>
        <w:spacing w:line="360" w:lineRule="exact"/>
        <w:ind w:firstLine="420" w:firstLineChars="200"/>
        <w:rPr>
          <w:color w:val="auto"/>
          <w:highlight w:val="none"/>
        </w:rPr>
      </w:pPr>
      <w:r>
        <w:rPr>
          <w:rFonts w:hint="eastAsia"/>
          <w:color w:val="auto"/>
          <w:highlight w:val="none"/>
        </w:rPr>
        <w:t>1.投标文件中开标一览表（报价表）内容与投标文件中相应内容不一致的，以开标一览表（报价表）为准；</w:t>
      </w:r>
    </w:p>
    <w:p>
      <w:pPr>
        <w:pStyle w:val="29"/>
        <w:snapToGrid w:val="0"/>
        <w:spacing w:line="360" w:lineRule="exact"/>
        <w:ind w:firstLine="420" w:firstLineChars="200"/>
        <w:rPr>
          <w:color w:val="auto"/>
          <w:highlight w:val="none"/>
        </w:rPr>
      </w:pPr>
      <w:r>
        <w:rPr>
          <w:rFonts w:hint="eastAsia"/>
          <w:color w:val="auto"/>
          <w:highlight w:val="none"/>
        </w:rPr>
        <w:t>2.大写金额和小写金额不一致的，以大写金额为准；</w:t>
      </w:r>
    </w:p>
    <w:p>
      <w:pPr>
        <w:pStyle w:val="29"/>
        <w:snapToGrid w:val="0"/>
        <w:spacing w:line="360" w:lineRule="exact"/>
        <w:ind w:firstLine="420" w:firstLineChars="200"/>
        <w:rPr>
          <w:color w:val="auto"/>
          <w:highlight w:val="none"/>
        </w:rPr>
      </w:pPr>
      <w:r>
        <w:rPr>
          <w:rFonts w:hint="eastAsia"/>
          <w:color w:val="auto"/>
          <w:highlight w:val="none"/>
        </w:rPr>
        <w:t>3.单价金额小数点或者百分比有明显错位的，以开标一览表的总价为准，并修改单价；</w:t>
      </w:r>
    </w:p>
    <w:p>
      <w:pPr>
        <w:pStyle w:val="29"/>
        <w:snapToGrid w:val="0"/>
        <w:spacing w:line="360" w:lineRule="exact"/>
        <w:ind w:firstLine="420" w:firstLineChars="200"/>
        <w:rPr>
          <w:color w:val="auto"/>
          <w:highlight w:val="none"/>
        </w:rPr>
      </w:pPr>
      <w:r>
        <w:rPr>
          <w:rFonts w:hint="eastAsia"/>
          <w:color w:val="auto"/>
          <w:highlight w:val="none"/>
        </w:rPr>
        <w:t>4.总价金额与按单价汇总金额不一致的，以单价金额计算结果为准。</w:t>
      </w:r>
    </w:p>
    <w:p>
      <w:pPr>
        <w:pStyle w:val="29"/>
        <w:snapToGrid w:val="0"/>
        <w:spacing w:line="360" w:lineRule="exact"/>
        <w:ind w:firstLine="420" w:firstLineChars="200"/>
        <w:rPr>
          <w:color w:val="auto"/>
          <w:highlight w:val="none"/>
        </w:rPr>
      </w:pPr>
      <w:r>
        <w:rPr>
          <w:rFonts w:hint="eastAsia"/>
          <w:color w:val="auto"/>
          <w:highlight w:val="none"/>
        </w:rPr>
        <w:t>5.对不同文字文本投标文件的解释发生异议的，以中文文本为准。</w:t>
      </w:r>
    </w:p>
    <w:p>
      <w:pPr>
        <w:pStyle w:val="29"/>
        <w:snapToGrid w:val="0"/>
        <w:spacing w:line="360" w:lineRule="exact"/>
        <w:ind w:firstLine="420" w:firstLineChars="200"/>
        <w:rPr>
          <w:rFonts w:hAnsi="宋体"/>
          <w:color w:val="auto"/>
          <w:highlight w:val="none"/>
        </w:rPr>
      </w:pPr>
      <w:r>
        <w:rPr>
          <w:rFonts w:hint="eastAsia"/>
          <w:color w:val="auto"/>
          <w:highlight w:val="none"/>
        </w:rPr>
        <w:t>同时出现两种以上不一致的，按照前款规定的顺序修正。</w:t>
      </w:r>
    </w:p>
    <w:p>
      <w:pPr>
        <w:pStyle w:val="29"/>
        <w:snapToGrid w:val="0"/>
        <w:spacing w:line="360" w:lineRule="exact"/>
        <w:ind w:firstLine="421" w:firstLineChars="200"/>
        <w:rPr>
          <w:rFonts w:hAnsi="宋体"/>
          <w:b/>
          <w:bCs/>
          <w:color w:val="auto"/>
          <w:highlight w:val="none"/>
        </w:rPr>
      </w:pPr>
      <w:r>
        <w:rPr>
          <w:rFonts w:hint="eastAsia" w:hAnsi="宋体"/>
          <w:b/>
          <w:bCs/>
          <w:color w:val="auto"/>
          <w:highlight w:val="none"/>
        </w:rPr>
        <w:t>按上述修正错误的原则及方法调整或修正投标文件的投标报价，投标人同意并签字确认后，调整后的投标报价对投标人具有约束作用。如果投标人不接受修正后的报价，则其投标将作为无效投标处理。</w:t>
      </w:r>
    </w:p>
    <w:p>
      <w:pPr>
        <w:pStyle w:val="29"/>
        <w:tabs>
          <w:tab w:val="left" w:pos="630"/>
        </w:tabs>
        <w:snapToGrid w:val="0"/>
        <w:spacing w:line="360" w:lineRule="exact"/>
        <w:ind w:firstLine="413" w:firstLineChars="196"/>
        <w:outlineLvl w:val="0"/>
        <w:rPr>
          <w:rFonts w:hAnsi="宋体"/>
          <w:b/>
          <w:color w:val="auto"/>
          <w:highlight w:val="none"/>
        </w:rPr>
      </w:pPr>
      <w:r>
        <w:rPr>
          <w:rFonts w:hint="eastAsia" w:hAnsi="宋体"/>
          <w:b/>
          <w:color w:val="auto"/>
          <w:highlight w:val="none"/>
        </w:rPr>
        <w:t>（六）评标原则和评标办法</w:t>
      </w:r>
    </w:p>
    <w:p>
      <w:pPr>
        <w:pStyle w:val="29"/>
        <w:snapToGrid w:val="0"/>
        <w:spacing w:line="440" w:lineRule="exact"/>
        <w:ind w:firstLine="420" w:firstLineChars="200"/>
        <w:rPr>
          <w:rFonts w:hAnsi="宋体"/>
          <w:color w:val="auto"/>
          <w:highlight w:val="none"/>
        </w:rPr>
      </w:pPr>
      <w:r>
        <w:rPr>
          <w:rFonts w:hint="eastAsia" w:hAnsi="宋体"/>
          <w:color w:val="auto"/>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9"/>
        <w:snapToGrid w:val="0"/>
        <w:spacing w:line="440" w:lineRule="exact"/>
        <w:ind w:firstLine="420" w:firstLineChars="200"/>
        <w:rPr>
          <w:rFonts w:hAnsi="宋体"/>
          <w:color w:val="auto"/>
          <w:highlight w:val="none"/>
        </w:rPr>
      </w:pPr>
      <w:r>
        <w:rPr>
          <w:rFonts w:hint="eastAsia" w:hAnsi="宋体"/>
          <w:color w:val="auto"/>
          <w:highlight w:val="none"/>
        </w:rPr>
        <w:t>2.评标办法。本项目评标办法是</w:t>
      </w:r>
      <w:r>
        <w:rPr>
          <w:rFonts w:hint="eastAsia" w:hAnsi="宋体"/>
          <w:b/>
          <w:color w:val="auto"/>
          <w:highlight w:val="none"/>
          <w:u w:val="single"/>
        </w:rPr>
        <w:t>综合评分法</w:t>
      </w:r>
      <w:r>
        <w:rPr>
          <w:rFonts w:hint="eastAsia" w:hAnsi="宋体"/>
          <w:color w:val="auto"/>
          <w:highlight w:val="none"/>
        </w:rPr>
        <w:t>，具体评标内容及评分标准等详见第四章：评标方法及评定标准。</w:t>
      </w:r>
    </w:p>
    <w:p>
      <w:pPr>
        <w:pStyle w:val="29"/>
        <w:snapToGrid w:val="0"/>
        <w:spacing w:line="440" w:lineRule="exact"/>
        <w:ind w:firstLine="413" w:firstLineChars="196"/>
        <w:outlineLvl w:val="0"/>
        <w:rPr>
          <w:rFonts w:hAnsi="宋体"/>
          <w:b/>
          <w:color w:val="auto"/>
          <w:highlight w:val="none"/>
        </w:rPr>
      </w:pPr>
      <w:r>
        <w:rPr>
          <w:rFonts w:hint="eastAsia" w:hAnsi="宋体"/>
          <w:b/>
          <w:color w:val="auto"/>
          <w:highlight w:val="none"/>
        </w:rPr>
        <w:t>（七）评标过程的监控</w:t>
      </w:r>
    </w:p>
    <w:p>
      <w:pPr>
        <w:pStyle w:val="29"/>
        <w:snapToGrid w:val="0"/>
        <w:spacing w:line="440" w:lineRule="exact"/>
        <w:ind w:firstLine="420" w:firstLineChars="200"/>
        <w:rPr>
          <w:rFonts w:hAnsi="宋体"/>
          <w:color w:val="auto"/>
          <w:highlight w:val="none"/>
        </w:rPr>
      </w:pPr>
      <w:r>
        <w:rPr>
          <w:rFonts w:hint="eastAsia" w:hAnsi="宋体"/>
          <w:color w:val="auto"/>
          <w:highlight w:val="none"/>
        </w:rPr>
        <w:t>本项目评标过程实行全程录音、录像监控，投标人在评标过程中所进行的试图影响评标结果的不公正活动，可能导致其投标被拒绝。</w:t>
      </w:r>
    </w:p>
    <w:p>
      <w:pPr>
        <w:pStyle w:val="29"/>
        <w:snapToGrid w:val="0"/>
        <w:spacing w:line="440" w:lineRule="exact"/>
        <w:ind w:firstLine="413" w:firstLineChars="196"/>
        <w:outlineLvl w:val="1"/>
        <w:rPr>
          <w:rFonts w:hAnsi="宋体"/>
          <w:b/>
          <w:color w:val="auto"/>
          <w:highlight w:val="none"/>
        </w:rPr>
      </w:pPr>
      <w:r>
        <w:rPr>
          <w:rFonts w:hint="eastAsia" w:hAnsi="宋体"/>
          <w:b/>
          <w:color w:val="auto"/>
          <w:highlight w:val="none"/>
        </w:rPr>
        <w:t>七、评标结果</w:t>
      </w:r>
    </w:p>
    <w:p>
      <w:pPr>
        <w:pStyle w:val="29"/>
        <w:spacing w:line="440" w:lineRule="exact"/>
        <w:ind w:firstLine="420"/>
        <w:rPr>
          <w:rFonts w:hAnsi="宋体"/>
          <w:color w:val="auto"/>
          <w:highlight w:val="none"/>
        </w:rPr>
      </w:pPr>
      <w:r>
        <w:rPr>
          <w:rFonts w:hint="eastAsia" w:hAnsi="宋体"/>
          <w:b/>
          <w:bCs/>
          <w:color w:val="auto"/>
          <w:highlight w:val="none"/>
        </w:rPr>
        <w:t>（一）</w:t>
      </w:r>
      <w:r>
        <w:rPr>
          <w:rFonts w:hint="eastAsia" w:hAnsi="宋体"/>
          <w:color w:val="auto"/>
          <w:highlight w:val="none"/>
        </w:rPr>
        <w:t>本中心将在评标结束后2个工作日内将评标报告送采购人，采购人在5个工作日内按照评标报告中推荐的中标候选供应商顺序确定中标供应商。</w:t>
      </w:r>
    </w:p>
    <w:p>
      <w:pPr>
        <w:pStyle w:val="29"/>
        <w:spacing w:line="440" w:lineRule="exact"/>
        <w:ind w:firstLine="420"/>
        <w:rPr>
          <w:rFonts w:hAnsi="宋体"/>
          <w:color w:val="auto"/>
          <w:highlight w:val="none"/>
        </w:rPr>
      </w:pPr>
      <w:r>
        <w:rPr>
          <w:rFonts w:hint="eastAsia" w:hAnsi="宋体"/>
          <w:color w:val="auto"/>
          <w:highlight w:val="none"/>
        </w:rPr>
        <w:t>（二）中标供应商确定后，本中心在中国政府采购网、广西财政网、</w:t>
      </w:r>
      <w:r>
        <w:rPr>
          <w:rFonts w:hint="eastAsia"/>
          <w:color w:val="auto"/>
          <w:highlight w:val="none"/>
        </w:rPr>
        <w:t>广西壮族自治区政府采购中心网站</w:t>
      </w:r>
      <w:r>
        <w:rPr>
          <w:rFonts w:hint="eastAsia" w:hAnsi="宋体"/>
          <w:color w:val="auto"/>
          <w:highlight w:val="none"/>
        </w:rPr>
        <w:t>发布中标结果公告。</w:t>
      </w:r>
    </w:p>
    <w:p>
      <w:pPr>
        <w:pStyle w:val="29"/>
        <w:spacing w:line="440" w:lineRule="exact"/>
        <w:ind w:firstLine="420"/>
        <w:rPr>
          <w:rFonts w:hAnsi="宋体"/>
          <w:color w:val="auto"/>
          <w:highlight w:val="none"/>
        </w:rPr>
      </w:pPr>
      <w:r>
        <w:rPr>
          <w:rFonts w:hint="eastAsia" w:hAnsi="宋体"/>
          <w:color w:val="auto"/>
          <w:highlight w:val="none"/>
        </w:rPr>
        <w:t>（三）</w:t>
      </w:r>
      <w:r>
        <w:rPr>
          <w:rFonts w:hint="eastAsia"/>
          <w:color w:val="auto"/>
          <w:highlight w:val="none"/>
        </w:rPr>
        <w:t>在发布中标结果公告的同时，本中心向中标供应商发出中标通知书。</w:t>
      </w:r>
    </w:p>
    <w:p>
      <w:pPr>
        <w:pStyle w:val="29"/>
        <w:spacing w:line="440" w:lineRule="exact"/>
        <w:ind w:firstLine="420" w:firstLineChars="200"/>
        <w:rPr>
          <w:rFonts w:hAnsi="宋体"/>
          <w:bCs/>
          <w:color w:val="auto"/>
          <w:highlight w:val="none"/>
        </w:rPr>
      </w:pPr>
      <w:r>
        <w:rPr>
          <w:rFonts w:hint="eastAsia" w:hAnsi="宋体"/>
          <w:color w:val="auto"/>
          <w:highlight w:val="none"/>
        </w:rPr>
        <w:t>（四）</w:t>
      </w:r>
      <w:r>
        <w:rPr>
          <w:rFonts w:hint="eastAsia" w:hAnsi="宋体"/>
          <w:bCs/>
          <w:color w:val="auto"/>
          <w:highlight w:val="none"/>
        </w:rPr>
        <w:t>投标人认为招标文件、招标过程和中标结果使自己的权益受到损害的，可以在知道或者应知其权益受到损害之日起七个工作日内，以书面形式向本中心提出质疑，并及时索要书面回执。</w:t>
      </w:r>
    </w:p>
    <w:p>
      <w:pPr>
        <w:pStyle w:val="29"/>
        <w:spacing w:line="440" w:lineRule="exact"/>
        <w:ind w:firstLine="420"/>
        <w:rPr>
          <w:rFonts w:hAnsi="宋体"/>
          <w:color w:val="auto"/>
          <w:highlight w:val="none"/>
        </w:rPr>
      </w:pPr>
      <w:r>
        <w:rPr>
          <w:rFonts w:hint="eastAsia" w:hAnsi="宋体"/>
          <w:color w:val="auto"/>
          <w:highlight w:val="none"/>
        </w:rPr>
        <w:t>（五）</w:t>
      </w:r>
      <w:r>
        <w:rPr>
          <w:rFonts w:hint="eastAsia" w:hAnsi="宋体"/>
          <w:bCs/>
          <w:color w:val="auto"/>
          <w:highlight w:val="none"/>
        </w:rPr>
        <w:t>本中心应当按照有关规定就采购人委托授权范围内的事项在收到投标人的书面质疑后七个工作日内做出答复，但答复的内容不得涉及商业秘密。</w:t>
      </w:r>
    </w:p>
    <w:p>
      <w:pPr>
        <w:pStyle w:val="29"/>
        <w:snapToGrid w:val="0"/>
        <w:spacing w:line="440" w:lineRule="exact"/>
        <w:ind w:firstLine="413" w:firstLineChars="196"/>
        <w:outlineLvl w:val="1"/>
        <w:rPr>
          <w:rFonts w:hAnsi="宋体"/>
          <w:b/>
          <w:color w:val="auto"/>
          <w:highlight w:val="none"/>
        </w:rPr>
      </w:pPr>
      <w:r>
        <w:rPr>
          <w:rFonts w:hint="eastAsia" w:hAnsi="宋体"/>
          <w:b/>
          <w:color w:val="auto"/>
          <w:highlight w:val="none"/>
        </w:rPr>
        <w:t>八、签订合同</w:t>
      </w:r>
    </w:p>
    <w:p>
      <w:pPr>
        <w:pStyle w:val="29"/>
        <w:snapToGrid w:val="0"/>
        <w:spacing w:line="440" w:lineRule="exact"/>
        <w:ind w:firstLine="413" w:firstLineChars="196"/>
        <w:outlineLvl w:val="1"/>
        <w:rPr>
          <w:rFonts w:hAnsi="宋体"/>
          <w:b/>
          <w:color w:val="auto"/>
          <w:highlight w:val="none"/>
        </w:rPr>
      </w:pPr>
      <w:r>
        <w:rPr>
          <w:rFonts w:hint="eastAsia" w:hAnsi="宋体"/>
          <w:b/>
          <w:color w:val="auto"/>
          <w:highlight w:val="none"/>
        </w:rPr>
        <w:t>（一）合同授予标准</w:t>
      </w:r>
    </w:p>
    <w:p>
      <w:pPr>
        <w:pStyle w:val="29"/>
        <w:spacing w:line="440" w:lineRule="exact"/>
        <w:ind w:firstLine="420"/>
        <w:rPr>
          <w:rFonts w:hAnsi="宋体"/>
          <w:color w:val="auto"/>
          <w:highlight w:val="none"/>
        </w:rPr>
      </w:pPr>
      <w:r>
        <w:rPr>
          <w:rFonts w:hint="eastAsia" w:hAnsi="宋体"/>
          <w:color w:val="auto"/>
          <w:highlight w:val="none"/>
        </w:rPr>
        <w:t>合同将授予被确定投标文件满足招标文件全部实质性要求，具备履行合同能力，评审得分最高，综合评分排名第一的供应商。</w:t>
      </w:r>
    </w:p>
    <w:p>
      <w:pPr>
        <w:pStyle w:val="29"/>
        <w:snapToGrid w:val="0"/>
        <w:spacing w:line="440" w:lineRule="exact"/>
        <w:ind w:firstLine="413" w:firstLineChars="196"/>
        <w:outlineLvl w:val="1"/>
        <w:rPr>
          <w:rFonts w:hAnsi="宋体"/>
          <w:color w:val="auto"/>
          <w:highlight w:val="none"/>
        </w:rPr>
      </w:pPr>
      <w:r>
        <w:rPr>
          <w:rFonts w:hint="eastAsia" w:hAnsi="宋体"/>
          <w:b/>
          <w:color w:val="auto"/>
          <w:highlight w:val="none"/>
        </w:rPr>
        <w:t>（二）签订合同</w:t>
      </w:r>
    </w:p>
    <w:p>
      <w:pPr>
        <w:pStyle w:val="29"/>
        <w:spacing w:line="440" w:lineRule="exact"/>
        <w:ind w:firstLine="420"/>
        <w:rPr>
          <w:rFonts w:hAnsi="宋体"/>
          <w:color w:val="auto"/>
          <w:highlight w:val="none"/>
        </w:rPr>
      </w:pPr>
      <w:r>
        <w:rPr>
          <w:rFonts w:hint="eastAsia" w:hAnsi="宋体"/>
          <w:color w:val="auto"/>
          <w:highlight w:val="none"/>
        </w:rPr>
        <w:t>（1）</w:t>
      </w:r>
      <w:r>
        <w:rPr>
          <w:rFonts w:hint="eastAsia"/>
          <w:color w:val="auto"/>
          <w:highlight w:val="none"/>
        </w:rPr>
        <w:t>投标人接到中标通知书后，应按中标通知书规定的时间、地点与采购人签订合同。中标人无正当理由不得放弃中标。</w:t>
      </w:r>
    </w:p>
    <w:p>
      <w:pPr>
        <w:pStyle w:val="29"/>
        <w:spacing w:line="440" w:lineRule="exact"/>
        <w:ind w:firstLine="420"/>
        <w:rPr>
          <w:rFonts w:hAnsi="宋体"/>
          <w:color w:val="auto"/>
          <w:highlight w:val="none"/>
        </w:rPr>
      </w:pPr>
      <w:r>
        <w:rPr>
          <w:rFonts w:hint="eastAsia" w:hAnsi="宋体"/>
          <w:color w:val="auto"/>
          <w:highlight w:val="none"/>
        </w:rPr>
        <w:t>（2）如中标供应商不按中标通知书的规定签订合同，则按中标供应商违约处理，本中心将没收中标供应商投标的全部投标保证金。</w:t>
      </w:r>
    </w:p>
    <w:p>
      <w:pPr>
        <w:pStyle w:val="29"/>
        <w:spacing w:line="440" w:lineRule="exact"/>
        <w:ind w:firstLine="420" w:firstLineChars="200"/>
        <w:rPr>
          <w:b/>
          <w:color w:val="auto"/>
          <w:highlight w:val="none"/>
        </w:rPr>
      </w:pPr>
      <w:r>
        <w:rPr>
          <w:rFonts w:hint="eastAsia" w:hAnsi="宋体"/>
          <w:color w:val="auto"/>
          <w:highlight w:val="none"/>
        </w:rPr>
        <w:t>（3）中标供应商拒绝与采购人签订合同或因不可抗力或者自身原因不能履行采购合同的，采购人可以与中标供应商之后排名第一的中标候选供应商签订采购合同，以此类推,也可以重新招标。</w:t>
      </w:r>
      <w:r>
        <w:rPr>
          <w:color w:val="auto"/>
          <w:highlight w:val="none"/>
        </w:rPr>
        <w:t>中标供应商放弃中标项目，拒绝与采购人签订合同的，其投标保证金</w:t>
      </w:r>
      <w:r>
        <w:rPr>
          <w:rFonts w:hint="eastAsia"/>
          <w:color w:val="auto"/>
          <w:highlight w:val="none"/>
        </w:rPr>
        <w:t>将不予退还，</w:t>
      </w:r>
      <w:r>
        <w:rPr>
          <w:color w:val="auto"/>
          <w:highlight w:val="none"/>
        </w:rPr>
        <w:t>并上缴国库，</w:t>
      </w:r>
      <w:r>
        <w:rPr>
          <w:rFonts w:hint="eastAsia"/>
          <w:color w:val="auto"/>
          <w:highlight w:val="none"/>
        </w:rPr>
        <w:t>给</w:t>
      </w:r>
      <w:r>
        <w:rPr>
          <w:color w:val="auto"/>
          <w:highlight w:val="none"/>
        </w:rPr>
        <w:t>采购人造成损失的，还应当赔偿损失，并作为不良行为记录在案</w:t>
      </w:r>
      <w:r>
        <w:rPr>
          <w:rFonts w:hint="eastAsia" w:hAnsi="宋体"/>
          <w:color w:val="auto"/>
          <w:highlight w:val="none"/>
        </w:rPr>
        <w:t>。</w:t>
      </w:r>
    </w:p>
    <w:p>
      <w:pPr>
        <w:pStyle w:val="29"/>
        <w:spacing w:line="440" w:lineRule="exact"/>
        <w:ind w:firstLine="413" w:firstLineChars="196"/>
        <w:rPr>
          <w:b/>
          <w:color w:val="auto"/>
          <w:highlight w:val="none"/>
        </w:rPr>
      </w:pPr>
      <w:r>
        <w:rPr>
          <w:rFonts w:hint="eastAsia" w:hAnsi="宋体"/>
          <w:b/>
          <w:color w:val="auto"/>
          <w:highlight w:val="none"/>
        </w:rPr>
        <w:t>九、其他事项</w:t>
      </w:r>
    </w:p>
    <w:p>
      <w:pPr>
        <w:pStyle w:val="29"/>
        <w:spacing w:line="440" w:lineRule="exact"/>
        <w:ind w:firstLine="206" w:firstLineChars="98"/>
        <w:rPr>
          <w:b/>
          <w:color w:val="auto"/>
          <w:highlight w:val="none"/>
        </w:rPr>
      </w:pPr>
      <w:r>
        <w:rPr>
          <w:rFonts w:hint="eastAsia"/>
          <w:b/>
          <w:color w:val="auto"/>
          <w:highlight w:val="none"/>
        </w:rPr>
        <w:t>（1）解释权：</w:t>
      </w:r>
      <w:r>
        <w:rPr>
          <w:rFonts w:hint="eastAsia"/>
          <w:color w:val="auto"/>
          <w:spacing w:val="-4"/>
          <w:highlight w:val="none"/>
        </w:rPr>
        <w:t>本招标文件解释权属本中心。</w:t>
      </w:r>
    </w:p>
    <w:p>
      <w:pPr>
        <w:pStyle w:val="29"/>
        <w:spacing w:line="440" w:lineRule="exact"/>
        <w:ind w:firstLine="206" w:firstLineChars="98"/>
        <w:rPr>
          <w:color w:val="auto"/>
          <w:highlight w:val="none"/>
        </w:rPr>
      </w:pPr>
      <w:r>
        <w:rPr>
          <w:rFonts w:hint="eastAsia"/>
          <w:b/>
          <w:color w:val="auto"/>
          <w:highlight w:val="none"/>
        </w:rPr>
        <w:t>（2）有关事宜</w:t>
      </w:r>
    </w:p>
    <w:p>
      <w:pPr>
        <w:pStyle w:val="29"/>
        <w:spacing w:line="440" w:lineRule="exact"/>
        <w:ind w:firstLine="728" w:firstLineChars="347"/>
        <w:rPr>
          <w:color w:val="auto"/>
          <w:highlight w:val="none"/>
        </w:rPr>
      </w:pPr>
      <w:r>
        <w:rPr>
          <w:rFonts w:hint="eastAsia"/>
          <w:color w:val="auto"/>
          <w:highlight w:val="none"/>
        </w:rPr>
        <w:t>所有与本招标文件有关的函件请按下列通讯地址联系：</w:t>
      </w:r>
    </w:p>
    <w:p>
      <w:pPr>
        <w:pStyle w:val="29"/>
        <w:tabs>
          <w:tab w:val="left" w:pos="1990"/>
        </w:tabs>
        <w:spacing w:line="440" w:lineRule="exact"/>
        <w:ind w:firstLine="709"/>
        <w:rPr>
          <w:color w:val="auto"/>
          <w:highlight w:val="none"/>
          <w:u w:val="single"/>
        </w:rPr>
      </w:pPr>
      <w:r>
        <w:rPr>
          <w:rFonts w:hint="eastAsia"/>
          <w:color w:val="auto"/>
          <w:highlight w:val="none"/>
        </w:rPr>
        <w:t>邮政编码：530022</w:t>
      </w:r>
    </w:p>
    <w:p>
      <w:pPr>
        <w:pStyle w:val="29"/>
        <w:tabs>
          <w:tab w:val="left" w:pos="1990"/>
        </w:tabs>
        <w:spacing w:line="440" w:lineRule="exact"/>
        <w:ind w:firstLine="709"/>
        <w:rPr>
          <w:color w:val="auto"/>
          <w:spacing w:val="-4"/>
          <w:highlight w:val="none"/>
          <w:lang w:val="en"/>
        </w:rPr>
      </w:pPr>
      <w:r>
        <w:rPr>
          <w:rFonts w:hint="eastAsia"/>
          <w:color w:val="auto"/>
          <w:highlight w:val="none"/>
        </w:rPr>
        <w:t xml:space="preserve">通讯地址：广西南宁市星湖路22号 </w:t>
      </w:r>
    </w:p>
    <w:p>
      <w:pPr>
        <w:pStyle w:val="29"/>
        <w:spacing w:line="440" w:lineRule="exact"/>
        <w:ind w:firstLine="707" w:firstLineChars="337"/>
        <w:rPr>
          <w:color w:val="auto"/>
          <w:highlight w:val="none"/>
        </w:rPr>
      </w:pPr>
      <w:r>
        <w:rPr>
          <w:rFonts w:hint="eastAsia"/>
          <w:color w:val="auto"/>
          <w:highlight w:val="none"/>
        </w:rPr>
        <w:t>电    话：</w:t>
      </w:r>
      <w:r>
        <w:rPr>
          <w:rFonts w:hint="eastAsia"/>
          <w:color w:val="auto"/>
          <w:highlight w:val="none"/>
          <w:lang w:val="en-US" w:eastAsia="zh-CN"/>
        </w:rPr>
        <w:t>0771-8600343</w:t>
      </w:r>
      <w:r>
        <w:rPr>
          <w:rFonts w:hint="eastAsia"/>
          <w:color w:val="auto"/>
          <w:highlight w:val="none"/>
        </w:rPr>
        <w:t xml:space="preserve"> </w:t>
      </w:r>
    </w:p>
    <w:p>
      <w:pPr>
        <w:pStyle w:val="29"/>
        <w:spacing w:line="360" w:lineRule="exact"/>
        <w:ind w:firstLine="824"/>
        <w:rPr>
          <w:color w:val="auto"/>
          <w:highlight w:val="none"/>
        </w:rPr>
      </w:pPr>
      <w:bookmarkStart w:id="4" w:name="_Toc254970548"/>
      <w:bookmarkStart w:id="5" w:name="_Toc254970689"/>
    </w:p>
    <w:p>
      <w:pPr>
        <w:pStyle w:val="29"/>
        <w:snapToGrid w:val="0"/>
        <w:spacing w:before="120" w:after="120"/>
        <w:jc w:val="center"/>
        <w:outlineLvl w:val="0"/>
        <w:rPr>
          <w:rFonts w:ascii="黑体" w:eastAsia="黑体"/>
          <w:b/>
          <w:color w:val="auto"/>
          <w:sz w:val="44"/>
          <w:szCs w:val="44"/>
          <w:highlight w:val="none"/>
        </w:rPr>
      </w:pPr>
      <w:r>
        <w:rPr>
          <w:rFonts w:hint="eastAsia" w:ascii="黑体" w:eastAsia="黑体"/>
          <w:b/>
          <w:color w:val="auto"/>
          <w:sz w:val="44"/>
          <w:szCs w:val="44"/>
          <w:highlight w:val="none"/>
        </w:rPr>
        <w:br w:type="page"/>
      </w:r>
    </w:p>
    <w:p>
      <w:pPr>
        <w:pStyle w:val="29"/>
        <w:snapToGrid w:val="0"/>
        <w:spacing w:before="120" w:after="120"/>
        <w:jc w:val="center"/>
        <w:outlineLvl w:val="0"/>
        <w:rPr>
          <w:rFonts w:ascii="黑体" w:eastAsia="黑体"/>
          <w:b/>
          <w:color w:val="auto"/>
          <w:sz w:val="32"/>
          <w:szCs w:val="32"/>
          <w:highlight w:val="none"/>
        </w:rPr>
      </w:pPr>
    </w:p>
    <w:p>
      <w:pPr>
        <w:pStyle w:val="29"/>
        <w:snapToGrid w:val="0"/>
        <w:spacing w:before="120" w:after="120"/>
        <w:jc w:val="center"/>
        <w:outlineLvl w:val="0"/>
        <w:rPr>
          <w:rFonts w:ascii="黑体" w:eastAsia="黑体"/>
          <w:b/>
          <w:color w:val="auto"/>
          <w:sz w:val="44"/>
          <w:szCs w:val="44"/>
          <w:highlight w:val="none"/>
        </w:rPr>
      </w:pPr>
    </w:p>
    <w:p>
      <w:pPr>
        <w:pStyle w:val="29"/>
        <w:snapToGrid w:val="0"/>
        <w:spacing w:before="120" w:after="120"/>
        <w:jc w:val="center"/>
        <w:outlineLvl w:val="0"/>
        <w:rPr>
          <w:rFonts w:ascii="黑体" w:eastAsia="黑体"/>
          <w:b/>
          <w:color w:val="auto"/>
          <w:sz w:val="44"/>
          <w:szCs w:val="44"/>
          <w:highlight w:val="none"/>
        </w:rPr>
      </w:pPr>
    </w:p>
    <w:p>
      <w:pPr>
        <w:pStyle w:val="29"/>
        <w:snapToGrid w:val="0"/>
        <w:spacing w:before="120" w:after="120"/>
        <w:jc w:val="center"/>
        <w:outlineLvl w:val="0"/>
        <w:rPr>
          <w:rFonts w:ascii="黑体" w:eastAsia="黑体"/>
          <w:b/>
          <w:color w:val="auto"/>
          <w:sz w:val="44"/>
          <w:szCs w:val="44"/>
          <w:highlight w:val="none"/>
        </w:rPr>
      </w:pPr>
    </w:p>
    <w:p>
      <w:pPr>
        <w:pStyle w:val="29"/>
        <w:snapToGrid w:val="0"/>
        <w:spacing w:before="120" w:after="120"/>
        <w:jc w:val="center"/>
        <w:outlineLvl w:val="0"/>
        <w:rPr>
          <w:rFonts w:ascii="黑体" w:eastAsia="黑体"/>
          <w:b/>
          <w:color w:val="auto"/>
          <w:sz w:val="44"/>
          <w:szCs w:val="44"/>
          <w:highlight w:val="none"/>
        </w:rPr>
      </w:pPr>
    </w:p>
    <w:p>
      <w:pPr>
        <w:pStyle w:val="29"/>
        <w:snapToGrid w:val="0"/>
        <w:spacing w:before="120" w:after="120"/>
        <w:jc w:val="center"/>
        <w:outlineLvl w:val="0"/>
        <w:rPr>
          <w:rFonts w:ascii="黑体" w:eastAsia="黑体"/>
          <w:b/>
          <w:color w:val="auto"/>
          <w:sz w:val="44"/>
          <w:szCs w:val="44"/>
          <w:highlight w:val="none"/>
        </w:rPr>
      </w:pPr>
    </w:p>
    <w:p>
      <w:pPr>
        <w:pStyle w:val="29"/>
        <w:snapToGrid w:val="0"/>
        <w:spacing w:before="120" w:after="120"/>
        <w:jc w:val="center"/>
        <w:outlineLvl w:val="0"/>
        <w:rPr>
          <w:rFonts w:ascii="黑体" w:eastAsia="黑体"/>
          <w:b/>
          <w:color w:val="auto"/>
          <w:sz w:val="44"/>
          <w:szCs w:val="44"/>
          <w:highlight w:val="none"/>
        </w:rPr>
      </w:pPr>
    </w:p>
    <w:p>
      <w:pPr>
        <w:pStyle w:val="29"/>
        <w:snapToGrid w:val="0"/>
        <w:spacing w:before="120" w:after="120"/>
        <w:jc w:val="center"/>
        <w:outlineLvl w:val="0"/>
        <w:rPr>
          <w:rFonts w:ascii="黑体" w:eastAsia="黑体"/>
          <w:b/>
          <w:color w:val="auto"/>
          <w:sz w:val="44"/>
          <w:szCs w:val="44"/>
          <w:highlight w:val="none"/>
        </w:rPr>
      </w:pPr>
    </w:p>
    <w:p>
      <w:pPr>
        <w:pStyle w:val="29"/>
        <w:snapToGrid w:val="0"/>
        <w:spacing w:before="120" w:after="120"/>
        <w:jc w:val="center"/>
        <w:outlineLvl w:val="0"/>
        <w:rPr>
          <w:rFonts w:ascii="黑体" w:eastAsia="黑体"/>
          <w:b/>
          <w:color w:val="auto"/>
          <w:sz w:val="44"/>
          <w:szCs w:val="44"/>
          <w:highlight w:val="none"/>
        </w:rPr>
      </w:pPr>
    </w:p>
    <w:bookmarkEnd w:id="4"/>
    <w:bookmarkEnd w:id="5"/>
    <w:p>
      <w:pPr>
        <w:pStyle w:val="29"/>
        <w:snapToGrid w:val="0"/>
        <w:spacing w:before="120" w:after="120"/>
        <w:jc w:val="center"/>
        <w:outlineLvl w:val="0"/>
        <w:rPr>
          <w:rFonts w:ascii="黑体" w:eastAsia="黑体"/>
          <w:b/>
          <w:color w:val="auto"/>
          <w:sz w:val="44"/>
          <w:szCs w:val="44"/>
          <w:highlight w:val="none"/>
        </w:rPr>
      </w:pPr>
      <w:r>
        <w:rPr>
          <w:rFonts w:hint="eastAsia" w:ascii="仿宋_GB2312" w:eastAsia="仿宋_GB2312"/>
          <w:b/>
          <w:color w:val="auto"/>
          <w:sz w:val="44"/>
          <w:szCs w:val="44"/>
          <w:highlight w:val="none"/>
        </w:rPr>
        <w:t>第四章  评标办法及评分标准</w:t>
      </w:r>
    </w:p>
    <w:p>
      <w:pPr>
        <w:spacing w:line="340" w:lineRule="exact"/>
        <w:ind w:firstLine="420" w:firstLineChars="200"/>
        <w:jc w:val="center"/>
        <w:rPr>
          <w:bCs/>
          <w:color w:val="auto"/>
          <w:highlight w:val="none"/>
        </w:rPr>
      </w:pPr>
      <w:r>
        <w:rPr>
          <w:bCs/>
          <w:color w:val="auto"/>
          <w:highlight w:val="none"/>
        </w:rPr>
        <w:br w:type="page"/>
      </w:r>
    </w:p>
    <w:p>
      <w:pPr>
        <w:pStyle w:val="52"/>
        <w:jc w:val="center"/>
        <w:rPr>
          <w:rFonts w:hint="eastAsia" w:ascii="仿宋_GB2312" w:hAnsi="宋体" w:eastAsia="仿宋_GB2312"/>
          <w:b/>
          <w:color w:val="auto"/>
          <w:sz w:val="21"/>
          <w:szCs w:val="21"/>
          <w:highlight w:val="none"/>
          <w:lang w:val="en-US" w:eastAsia="zh-CN"/>
        </w:rPr>
      </w:pPr>
      <w:r>
        <w:rPr>
          <w:rFonts w:hint="eastAsia" w:ascii="仿宋_GB2312" w:hAnsi="宋体" w:eastAsia="仿宋_GB2312"/>
          <w:b/>
          <w:color w:val="auto"/>
          <w:sz w:val="32"/>
          <w:szCs w:val="32"/>
          <w:highlight w:val="none"/>
          <w:lang w:val="en-US" w:eastAsia="zh-CN"/>
        </w:rPr>
        <w:t>评标办法及评分标准</w:t>
      </w:r>
    </w:p>
    <w:p>
      <w:pPr>
        <w:pStyle w:val="52"/>
        <w:ind w:firstLine="4216" w:firstLineChars="2000"/>
        <w:rPr>
          <w:rFonts w:hint="default" w:eastAsia="仿宋_GB2312"/>
          <w:color w:val="auto"/>
          <w:sz w:val="21"/>
          <w:szCs w:val="21"/>
          <w:highlight w:val="none"/>
          <w:lang w:val="en-US" w:eastAsia="zh-CN"/>
        </w:rPr>
      </w:pPr>
      <w:r>
        <w:rPr>
          <w:rFonts w:hint="eastAsia" w:ascii="仿宋_GB2312" w:hAnsi="宋体" w:eastAsia="仿宋_GB2312"/>
          <w:b/>
          <w:color w:val="auto"/>
          <w:sz w:val="21"/>
          <w:szCs w:val="21"/>
          <w:highlight w:val="none"/>
          <w:u w:val="single"/>
          <w:lang w:val="en-US" w:eastAsia="zh-CN"/>
        </w:rPr>
        <w:t>（</w:t>
      </w:r>
      <w:r>
        <w:rPr>
          <w:rFonts w:hint="eastAsia" w:ascii="仿宋_GB2312" w:hAnsi="宋体" w:eastAsia="仿宋_GB2312"/>
          <w:b/>
          <w:color w:val="auto"/>
          <w:sz w:val="21"/>
          <w:szCs w:val="21"/>
          <w:highlight w:val="none"/>
          <w:u w:val="single"/>
          <w:lang w:eastAsia="zh-CN"/>
        </w:rPr>
        <w:t>适用分标</w:t>
      </w:r>
      <w:r>
        <w:rPr>
          <w:rFonts w:hint="eastAsia" w:ascii="仿宋_GB2312" w:hAnsi="宋体" w:eastAsia="仿宋_GB2312"/>
          <w:b/>
          <w:color w:val="auto"/>
          <w:sz w:val="21"/>
          <w:szCs w:val="21"/>
          <w:highlight w:val="none"/>
          <w:u w:val="single"/>
          <w:lang w:val="en-US" w:eastAsia="zh-CN"/>
        </w:rPr>
        <w:t>1）</w:t>
      </w:r>
    </w:p>
    <w:p>
      <w:pPr>
        <w:spacing w:line="360" w:lineRule="exact"/>
        <w:jc w:val="center"/>
        <w:rPr>
          <w:rFonts w:hAnsi="宋体"/>
          <w:b/>
          <w:dstrike/>
          <w:color w:val="auto"/>
          <w:sz w:val="28"/>
          <w:szCs w:val="28"/>
          <w:highlight w:val="none"/>
        </w:rPr>
      </w:pPr>
    </w:p>
    <w:p>
      <w:pPr>
        <w:pStyle w:val="29"/>
        <w:spacing w:line="400" w:lineRule="exact"/>
        <w:ind w:firstLine="516" w:firstLineChars="245"/>
        <w:rPr>
          <w:rFonts w:hAnsi="宋体"/>
          <w:b/>
          <w:color w:val="auto"/>
          <w:highlight w:val="none"/>
        </w:rPr>
      </w:pPr>
      <w:r>
        <w:rPr>
          <w:rFonts w:hint="eastAsia" w:hAnsi="宋体"/>
          <w:b/>
          <w:color w:val="auto"/>
          <w:highlight w:val="none"/>
        </w:rPr>
        <w:t>一、评标原则</w:t>
      </w:r>
    </w:p>
    <w:p>
      <w:pPr>
        <w:pStyle w:val="29"/>
        <w:spacing w:line="400" w:lineRule="exact"/>
        <w:ind w:firstLine="483" w:firstLineChars="230"/>
        <w:rPr>
          <w:rFonts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(一)评委组成：本招标采购项目的</w:t>
      </w:r>
      <w:r>
        <w:rPr>
          <w:rFonts w:hint="eastAsia" w:asciiTheme="majorEastAsia" w:hAnsiTheme="majorEastAsia" w:eastAsiaTheme="majorEastAsia" w:cstheme="majorEastAsia"/>
          <w:color w:val="auto"/>
          <w:spacing w:val="-4"/>
          <w:highlight w:val="none"/>
        </w:rPr>
        <w:t>评标委员会由采购人代表和评审专家组成，成员人数应当为5人以上单数，其中评审专家不得少于成员总数的三分之二。</w:t>
      </w:r>
    </w:p>
    <w:p>
      <w:pPr>
        <w:pStyle w:val="29"/>
        <w:spacing w:line="400" w:lineRule="exact"/>
        <w:ind w:firstLine="499" w:firstLineChars="238"/>
        <w:rPr>
          <w:rFonts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(二)评标依据：评委将以招投标文件为评标依据，对投标人的投标内容按百分制打分。</w:t>
      </w:r>
    </w:p>
    <w:p>
      <w:pPr>
        <w:pStyle w:val="29"/>
        <w:spacing w:line="400" w:lineRule="exact"/>
        <w:ind w:firstLine="510" w:firstLineChars="243"/>
        <w:rPr>
          <w:rFonts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(三)评标方式：以封闭方式进行。</w:t>
      </w:r>
    </w:p>
    <w:p>
      <w:pPr>
        <w:pStyle w:val="29"/>
        <w:spacing w:line="400" w:lineRule="exact"/>
        <w:ind w:firstLine="510" w:firstLineChars="243"/>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Cs/>
          <w:color w:val="auto"/>
          <w:highlight w:val="none"/>
        </w:rPr>
        <w:t>二</w:t>
      </w:r>
      <w:r>
        <w:rPr>
          <w:rFonts w:hint="eastAsia" w:asciiTheme="majorEastAsia" w:hAnsiTheme="majorEastAsia" w:eastAsiaTheme="majorEastAsia" w:cstheme="majorEastAsia"/>
          <w:b/>
          <w:color w:val="auto"/>
          <w:highlight w:val="none"/>
        </w:rPr>
        <w:t>、评标方法</w:t>
      </w:r>
    </w:p>
    <w:p>
      <w:pPr>
        <w:pStyle w:val="29"/>
        <w:spacing w:line="400" w:lineRule="exact"/>
        <w:ind w:firstLine="420" w:firstLineChars="200"/>
        <w:outlineLvl w:val="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（一）对进入详评的，采用百分制综合评分法。</w:t>
      </w:r>
    </w:p>
    <w:p>
      <w:pPr>
        <w:pStyle w:val="29"/>
        <w:spacing w:line="400" w:lineRule="exact"/>
        <w:ind w:firstLine="420" w:firstLineChars="200"/>
        <w:outlineLvl w:val="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（二）计分办法（按四舍五入取至百分位）：</w:t>
      </w:r>
    </w:p>
    <w:p>
      <w:pPr>
        <w:pStyle w:val="29"/>
        <w:spacing w:line="400" w:lineRule="exact"/>
        <w:ind w:firstLine="501" w:firstLineChars="238"/>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highlight w:val="none"/>
        </w:rPr>
        <w:t>1</w:t>
      </w:r>
      <w:r>
        <w:rPr>
          <w:rFonts w:hint="eastAsia" w:asciiTheme="majorEastAsia" w:hAnsiTheme="majorEastAsia" w:eastAsiaTheme="majorEastAsia" w:cstheme="majorEastAsia"/>
          <w:b/>
          <w:color w:val="auto"/>
          <w:highlight w:val="none"/>
          <w:lang w:eastAsia="zh-CN"/>
        </w:rPr>
        <w:t>、</w:t>
      </w:r>
      <w:r>
        <w:rPr>
          <w:rFonts w:hint="eastAsia" w:asciiTheme="majorEastAsia" w:hAnsiTheme="majorEastAsia" w:eastAsiaTheme="majorEastAsia" w:cstheme="majorEastAsia"/>
          <w:b/>
          <w:color w:val="auto"/>
          <w:highlight w:val="none"/>
        </w:rPr>
        <w:t>价格分</w:t>
      </w:r>
      <w:r>
        <w:rPr>
          <w:rFonts w:hint="eastAsia" w:asciiTheme="majorEastAsia" w:hAnsiTheme="majorEastAsia" w:eastAsiaTheme="majorEastAsia" w:cstheme="majorEastAsia"/>
          <w:b/>
          <w:bCs/>
          <w:color w:val="auto"/>
          <w:spacing w:val="-8"/>
          <w:highlight w:val="none"/>
        </w:rPr>
        <w:t>………………………………………………………………………………………</w:t>
      </w:r>
      <w:r>
        <w:rPr>
          <w:rFonts w:hint="eastAsia" w:asciiTheme="majorEastAsia" w:hAnsiTheme="majorEastAsia" w:eastAsiaTheme="majorEastAsia" w:cstheme="majorEastAsia"/>
          <w:b/>
          <w:color w:val="auto"/>
          <w:highlight w:val="none"/>
        </w:rPr>
        <w:t>30分</w:t>
      </w:r>
    </w:p>
    <w:p>
      <w:pPr>
        <w:pStyle w:val="29"/>
        <w:spacing w:line="40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w:t>
      </w:r>
      <w:r>
        <w:rPr>
          <w:rFonts w:hint="eastAsia" w:asciiTheme="majorEastAsia" w:hAnsiTheme="majorEastAsia" w:eastAsiaTheme="majorEastAsia" w:cstheme="majorEastAsia"/>
          <w:color w:val="auto"/>
          <w:kern w:val="0"/>
          <w:highlight w:val="none"/>
        </w:rPr>
        <w:t>符合《政府采购促进中小企业发展管理办法》（财库〔2020〕46号）规定条件且按该办法中规定的格式提供了《中小企业声明函》的小型和微型企业。对其投标价给予10%的扣除，扣除后的价格为评标价，即评标价=投标价×（1-10%）；除上述情况外，评标价=投标价</w:t>
      </w:r>
      <w:r>
        <w:rPr>
          <w:rFonts w:hint="eastAsia" w:asciiTheme="majorEastAsia" w:hAnsiTheme="majorEastAsia" w:eastAsiaTheme="majorEastAsia" w:cstheme="majorEastAsia"/>
          <w:color w:val="auto"/>
          <w:highlight w:val="none"/>
        </w:rPr>
        <w:t>。</w:t>
      </w:r>
    </w:p>
    <w:p>
      <w:pPr>
        <w:pStyle w:val="29"/>
        <w:spacing w:line="400" w:lineRule="exact"/>
        <w:ind w:firstLine="420" w:firstLineChars="200"/>
        <w:outlineLvl w:val="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highlight w:val="none"/>
        </w:rPr>
        <w:t>投标产品生产企业</w:t>
      </w:r>
      <w:r>
        <w:rPr>
          <w:rFonts w:hint="eastAsia" w:asciiTheme="majorEastAsia" w:hAnsiTheme="majorEastAsia" w:eastAsiaTheme="majorEastAsia" w:cstheme="majorEastAsia"/>
          <w:color w:val="auto"/>
          <w:highlight w:val="none"/>
        </w:rPr>
        <w:t>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29"/>
        <w:spacing w:line="400" w:lineRule="exact"/>
        <w:ind w:firstLine="420" w:firstLineChars="200"/>
        <w:outlineLvl w:val="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投标</w:t>
      </w:r>
      <w:r>
        <w:rPr>
          <w:rFonts w:hint="eastAsia" w:asciiTheme="majorEastAsia" w:hAnsiTheme="majorEastAsia" w:eastAsiaTheme="majorEastAsia" w:cstheme="majorEastAsia"/>
          <w:b/>
          <w:color w:val="auto"/>
          <w:highlight w:val="none"/>
        </w:rPr>
        <w:t>产品</w:t>
      </w:r>
      <w:r>
        <w:rPr>
          <w:rFonts w:hint="eastAsia" w:asciiTheme="majorEastAsia" w:hAnsiTheme="majorEastAsia" w:eastAsiaTheme="majorEastAsia" w:cstheme="majorEastAsia"/>
          <w:color w:val="auto"/>
          <w:highlight w:val="none"/>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pStyle w:val="29"/>
        <w:spacing w:line="400" w:lineRule="exact"/>
        <w:ind w:firstLine="210" w:firstLineChars="100"/>
        <w:outlineLvl w:val="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 </w:t>
      </w:r>
      <w:r>
        <w:rPr>
          <w:rFonts w:hint="eastAsia" w:asciiTheme="majorEastAsia" w:hAnsiTheme="majorEastAsia" w:eastAsiaTheme="majorEastAsia" w:cstheme="majorEastAsia"/>
          <w:color w:val="auto"/>
          <w:highlight w:val="none"/>
          <w:lang w:val="en-US" w:eastAsia="zh-CN"/>
        </w:rPr>
        <w:t xml:space="preserve"> </w:t>
      </w:r>
      <w:r>
        <w:rPr>
          <w:rFonts w:hint="eastAsia" w:asciiTheme="majorEastAsia" w:hAnsiTheme="majorEastAsia" w:eastAsiaTheme="majorEastAsia" w:cstheme="majorEastAsia"/>
          <w:color w:val="auto"/>
          <w:highlight w:val="none"/>
        </w:rPr>
        <w:t>（2）以满足招标文件要求且评标价最低的投标人的评标价为评标基准价，其价格分为</w:t>
      </w:r>
      <w:r>
        <w:rPr>
          <w:rFonts w:hint="eastAsia" w:asciiTheme="majorEastAsia" w:hAnsiTheme="majorEastAsia" w:eastAsiaTheme="majorEastAsia" w:cstheme="majorEastAsia"/>
          <w:b/>
          <w:color w:val="auto"/>
          <w:highlight w:val="none"/>
        </w:rPr>
        <w:t>30</w:t>
      </w:r>
      <w:r>
        <w:rPr>
          <w:rFonts w:hint="eastAsia" w:asciiTheme="majorEastAsia" w:hAnsiTheme="majorEastAsia" w:eastAsiaTheme="majorEastAsia" w:cstheme="majorEastAsia"/>
          <w:color w:val="auto"/>
          <w:highlight w:val="none"/>
        </w:rPr>
        <w:t>分。</w:t>
      </w:r>
    </w:p>
    <w:p>
      <w:pPr>
        <w:pStyle w:val="29"/>
        <w:spacing w:line="400" w:lineRule="exact"/>
        <w:ind w:firstLine="421" w:firstLineChars="200"/>
        <w:outlineLvl w:val="0"/>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bCs/>
          <w:color w:val="auto"/>
          <w:highlight w:val="none"/>
          <w:lang w:eastAsia="zh-CN"/>
        </w:rPr>
        <w:t>（</w:t>
      </w:r>
      <w:r>
        <w:rPr>
          <w:rFonts w:hint="eastAsia" w:asciiTheme="majorEastAsia" w:hAnsiTheme="majorEastAsia" w:eastAsiaTheme="majorEastAsia" w:cstheme="majorEastAsia"/>
          <w:b/>
          <w:bCs/>
          <w:color w:val="auto"/>
          <w:highlight w:val="none"/>
          <w:lang w:val="en-US" w:eastAsia="zh-CN"/>
        </w:rPr>
        <w:t>3</w:t>
      </w:r>
      <w:r>
        <w:rPr>
          <w:rFonts w:hint="eastAsia" w:asciiTheme="majorEastAsia" w:hAnsiTheme="majorEastAsia" w:eastAsiaTheme="majorEastAsia" w:cstheme="majorEastAsia"/>
          <w:b/>
          <w:bCs/>
          <w:color w:val="auto"/>
          <w:highlight w:val="none"/>
          <w:lang w:eastAsia="zh-CN"/>
        </w:rPr>
        <w:t>）</w:t>
      </w:r>
      <w:r>
        <w:rPr>
          <w:rFonts w:hint="eastAsia" w:asciiTheme="majorEastAsia" w:hAnsiTheme="majorEastAsia" w:eastAsiaTheme="majorEastAsia" w:cstheme="majorEastAsia"/>
          <w:b/>
          <w:bCs/>
          <w:color w:val="auto"/>
          <w:highlight w:val="none"/>
        </w:rPr>
        <w:t>某投标人价格分</w:t>
      </w:r>
      <w:r>
        <w:rPr>
          <w:rFonts w:hint="eastAsia" w:asciiTheme="majorEastAsia" w:hAnsiTheme="majorEastAsia" w:eastAsiaTheme="majorEastAsia" w:cstheme="majorEastAsia"/>
          <w:b/>
          <w:color w:val="auto"/>
          <w:highlight w:val="none"/>
        </w:rPr>
        <w:t xml:space="preserve"> =评标基准价（金额）/某投标人报价（金额）×30分</w:t>
      </w:r>
    </w:p>
    <w:p>
      <w:pPr>
        <w:pStyle w:val="29"/>
        <w:numPr>
          <w:ilvl w:val="255"/>
          <w:numId w:val="0"/>
        </w:numPr>
        <w:spacing w:line="400" w:lineRule="exact"/>
        <w:ind w:firstLine="421" w:firstLineChars="200"/>
        <w:rPr>
          <w:rFonts w:asciiTheme="majorEastAsia" w:hAnsiTheme="majorEastAsia" w:eastAsiaTheme="majorEastAsia" w:cstheme="majorEastAsia"/>
          <w:color w:val="auto"/>
          <w:highlight w:val="none"/>
          <w:lang w:val="en"/>
        </w:rPr>
      </w:pPr>
      <w:r>
        <w:rPr>
          <w:rFonts w:hint="eastAsia" w:asciiTheme="majorEastAsia" w:hAnsiTheme="majorEastAsia" w:eastAsiaTheme="majorEastAsia" w:cstheme="majorEastAsia"/>
          <w:b/>
          <w:color w:val="auto"/>
          <w:highlight w:val="none"/>
          <w:lang w:val="en-US" w:eastAsia="zh-CN"/>
        </w:rPr>
        <w:t xml:space="preserve"> </w:t>
      </w:r>
      <w:r>
        <w:rPr>
          <w:rFonts w:hint="eastAsia" w:asciiTheme="majorEastAsia" w:hAnsiTheme="majorEastAsia" w:eastAsiaTheme="majorEastAsia" w:cstheme="majorEastAsia"/>
          <w:b/>
          <w:color w:val="auto"/>
          <w:highlight w:val="none"/>
        </w:rPr>
        <w:t>2</w:t>
      </w:r>
      <w:r>
        <w:rPr>
          <w:rFonts w:hint="eastAsia" w:asciiTheme="majorEastAsia" w:hAnsiTheme="majorEastAsia" w:eastAsiaTheme="majorEastAsia" w:cstheme="majorEastAsia"/>
          <w:b/>
          <w:color w:val="auto"/>
          <w:highlight w:val="none"/>
          <w:lang w:eastAsia="zh-CN"/>
        </w:rPr>
        <w:t>、</w:t>
      </w:r>
      <w:r>
        <w:rPr>
          <w:rFonts w:hint="eastAsia" w:asciiTheme="majorEastAsia" w:hAnsiTheme="majorEastAsia" w:eastAsiaTheme="majorEastAsia" w:cstheme="majorEastAsia"/>
          <w:b/>
          <w:color w:val="auto"/>
          <w:highlight w:val="none"/>
          <w:lang w:val="en"/>
        </w:rPr>
        <w:t>技术分</w:t>
      </w:r>
      <w:r>
        <w:rPr>
          <w:rFonts w:hint="eastAsia" w:asciiTheme="majorEastAsia" w:hAnsiTheme="majorEastAsia" w:eastAsiaTheme="majorEastAsia" w:cstheme="majorEastAsia"/>
          <w:b/>
          <w:color w:val="auto"/>
          <w:highlight w:val="none"/>
        </w:rPr>
        <w:t xml:space="preserve"> </w:t>
      </w:r>
      <w:r>
        <w:rPr>
          <w:rFonts w:hint="eastAsia" w:asciiTheme="majorEastAsia" w:hAnsiTheme="majorEastAsia" w:eastAsiaTheme="majorEastAsia" w:cstheme="majorEastAsia"/>
          <w:b/>
          <w:bCs/>
          <w:color w:val="auto"/>
          <w:spacing w:val="-8"/>
          <w:highlight w:val="none"/>
        </w:rPr>
        <w:t>………………………………………………………………………………………60</w:t>
      </w:r>
      <w:r>
        <w:rPr>
          <w:rFonts w:hint="eastAsia" w:asciiTheme="majorEastAsia" w:hAnsiTheme="majorEastAsia" w:eastAsiaTheme="majorEastAsia" w:cstheme="majorEastAsia"/>
          <w:b/>
          <w:color w:val="auto"/>
          <w:highlight w:val="none"/>
        </w:rPr>
        <w:t>分</w:t>
      </w:r>
    </w:p>
    <w:p>
      <w:pPr>
        <w:numPr>
          <w:ilvl w:val="255"/>
          <w:numId w:val="0"/>
        </w:numPr>
        <w:adjustRightInd w:val="0"/>
        <w:spacing w:line="360" w:lineRule="exact"/>
        <w:textAlignment w:val="baseline"/>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bCs/>
          <w:color w:val="auto"/>
          <w:szCs w:val="21"/>
          <w:highlight w:val="none"/>
        </w:rPr>
        <w:t xml:space="preserve">    （1）设备性能分（满分16分）</w:t>
      </w:r>
    </w:p>
    <w:p>
      <w:pPr>
        <w:pStyle w:val="299"/>
        <w:adjustRightInd w:val="0"/>
        <w:spacing w:line="360" w:lineRule="exact"/>
        <w:ind w:left="0" w:leftChars="0" w:firstLine="210" w:firstLineChars="100"/>
        <w:textAlignment w:val="baseline"/>
        <w:rPr>
          <w:rFonts w:asciiTheme="majorEastAsia" w:hAnsiTheme="majorEastAsia" w:eastAsiaTheme="majorEastAsia" w:cstheme="majorEastAsia"/>
          <w:bCs/>
          <w:strike/>
          <w:color w:val="auto"/>
          <w:szCs w:val="21"/>
          <w:highlight w:val="none"/>
        </w:rPr>
      </w:pPr>
      <w:r>
        <w:rPr>
          <w:rFonts w:hint="eastAsia" w:asciiTheme="majorEastAsia" w:hAnsiTheme="majorEastAsia" w:eastAsiaTheme="majorEastAsia" w:cstheme="majorEastAsia"/>
          <w:color w:val="auto"/>
          <w:szCs w:val="21"/>
          <w:highlight w:val="none"/>
          <w:lang w:val="en-US" w:eastAsia="zh-CN"/>
        </w:rPr>
        <w:t xml:space="preserve">  </w:t>
      </w:r>
      <w:r>
        <w:rPr>
          <w:rFonts w:hint="eastAsia" w:asciiTheme="majorEastAsia" w:hAnsiTheme="majorEastAsia" w:eastAsiaTheme="majorEastAsia" w:cstheme="majorEastAsia"/>
          <w:color w:val="auto"/>
          <w:szCs w:val="21"/>
          <w:highlight w:val="none"/>
        </w:rPr>
        <w:t>采购需求一览表中标注“★ ”的技术参数</w:t>
      </w: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szCs w:val="21"/>
          <w:highlight w:val="none"/>
        </w:rPr>
        <w:t>每有一项正偏离的得 2分，满分16分。</w:t>
      </w:r>
    </w:p>
    <w:p>
      <w:pPr>
        <w:pStyle w:val="299"/>
        <w:adjustRightInd w:val="0"/>
        <w:spacing w:line="360" w:lineRule="auto"/>
        <w:ind w:left="360" w:firstLine="0" w:firstLineChars="0"/>
        <w:textAlignment w:val="baseline"/>
        <w:outlineLvl w:val="0"/>
        <w:rPr>
          <w:rFonts w:hint="eastAsia"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说明：</w:t>
      </w:r>
    </w:p>
    <w:p>
      <w:pPr>
        <w:pStyle w:val="299"/>
        <w:adjustRightInd w:val="0"/>
        <w:spacing w:line="360" w:lineRule="auto"/>
        <w:textAlignment w:val="baseline"/>
        <w:outlineLvl w:val="0"/>
        <w:rPr>
          <w:rFonts w:hint="eastAsia"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fldChar w:fldCharType="begin"/>
      </w:r>
      <w:r>
        <w:rPr>
          <w:rFonts w:hint="eastAsia" w:asciiTheme="majorEastAsia" w:hAnsiTheme="majorEastAsia" w:eastAsiaTheme="majorEastAsia" w:cstheme="majorEastAsia"/>
          <w:bCs/>
          <w:color w:val="auto"/>
          <w:szCs w:val="21"/>
          <w:highlight w:val="none"/>
        </w:rPr>
        <w:instrText xml:space="preserve"> = 1 \* GB3 </w:instrText>
      </w:r>
      <w:r>
        <w:rPr>
          <w:rFonts w:hint="eastAsia" w:asciiTheme="majorEastAsia" w:hAnsiTheme="majorEastAsia" w:eastAsiaTheme="majorEastAsia" w:cstheme="majorEastAsia"/>
          <w:bCs/>
          <w:color w:val="auto"/>
          <w:szCs w:val="21"/>
          <w:highlight w:val="none"/>
        </w:rPr>
        <w:fldChar w:fldCharType="separate"/>
      </w:r>
      <w:r>
        <w:rPr>
          <w:rFonts w:hint="eastAsia" w:asciiTheme="majorEastAsia" w:hAnsiTheme="majorEastAsia" w:eastAsiaTheme="majorEastAsia" w:cstheme="majorEastAsia"/>
          <w:bCs/>
          <w:color w:val="auto"/>
          <w:szCs w:val="21"/>
          <w:highlight w:val="none"/>
        </w:rPr>
        <w:t>①</w:t>
      </w:r>
      <w:r>
        <w:rPr>
          <w:rFonts w:hint="eastAsia" w:asciiTheme="majorEastAsia" w:hAnsiTheme="majorEastAsia" w:eastAsiaTheme="majorEastAsia" w:cstheme="majorEastAsia"/>
          <w:bCs/>
          <w:color w:val="auto"/>
          <w:szCs w:val="21"/>
          <w:highlight w:val="none"/>
        </w:rPr>
        <w:fldChar w:fldCharType="end"/>
      </w:r>
      <w:r>
        <w:rPr>
          <w:rFonts w:hint="eastAsia" w:asciiTheme="majorEastAsia" w:hAnsiTheme="majorEastAsia" w:eastAsiaTheme="majorEastAsia" w:cstheme="majorEastAsia"/>
          <w:bCs/>
          <w:color w:val="auto"/>
          <w:szCs w:val="21"/>
          <w:highlight w:val="none"/>
        </w:rPr>
        <w:t>投标参数及功能有优于的（表述为≥时，大于标准值的可视为优于；表述为≤时，小于标准值的可视为优于），投标人须在投标文件中提供第三方检测机构出具的有效检测报告等证明文件</w:t>
      </w:r>
      <w:r>
        <w:rPr>
          <w:rFonts w:hint="eastAsia" w:asciiTheme="majorEastAsia" w:hAnsiTheme="majorEastAsia" w:eastAsiaTheme="majorEastAsia" w:cstheme="majorEastAsia"/>
          <w:bCs/>
          <w:color w:val="auto"/>
          <w:szCs w:val="21"/>
          <w:highlight w:val="none"/>
          <w:lang w:eastAsia="zh-CN"/>
        </w:rPr>
        <w:t>；</w:t>
      </w:r>
      <w:r>
        <w:rPr>
          <w:rFonts w:hint="eastAsia" w:asciiTheme="majorEastAsia" w:hAnsiTheme="majorEastAsia" w:eastAsiaTheme="majorEastAsia" w:cstheme="majorEastAsia"/>
          <w:bCs/>
          <w:color w:val="auto"/>
          <w:szCs w:val="21"/>
          <w:highlight w:val="none"/>
        </w:rPr>
        <w:t xml:space="preserve"> </w:t>
      </w:r>
    </w:p>
    <w:p>
      <w:pPr>
        <w:pStyle w:val="299"/>
        <w:adjustRightInd w:val="0"/>
        <w:spacing w:line="360" w:lineRule="auto"/>
        <w:textAlignment w:val="baseline"/>
        <w:outlineLvl w:val="0"/>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rPr>
        <w:fldChar w:fldCharType="begin"/>
      </w:r>
      <w:r>
        <w:rPr>
          <w:rFonts w:hint="eastAsia" w:asciiTheme="majorEastAsia" w:hAnsiTheme="majorEastAsia" w:eastAsiaTheme="majorEastAsia" w:cstheme="majorEastAsia"/>
          <w:bCs/>
          <w:color w:val="auto"/>
          <w:szCs w:val="21"/>
          <w:highlight w:val="none"/>
        </w:rPr>
        <w:instrText xml:space="preserve"> = 2 \* GB3 </w:instrText>
      </w:r>
      <w:r>
        <w:rPr>
          <w:rFonts w:hint="eastAsia" w:asciiTheme="majorEastAsia" w:hAnsiTheme="majorEastAsia" w:eastAsiaTheme="majorEastAsia" w:cstheme="majorEastAsia"/>
          <w:bCs/>
          <w:color w:val="auto"/>
          <w:szCs w:val="21"/>
          <w:highlight w:val="none"/>
        </w:rPr>
        <w:fldChar w:fldCharType="separate"/>
      </w:r>
      <w:r>
        <w:rPr>
          <w:rFonts w:hint="eastAsia" w:asciiTheme="majorEastAsia" w:hAnsiTheme="majorEastAsia" w:eastAsiaTheme="majorEastAsia" w:cstheme="majorEastAsia"/>
          <w:bCs/>
          <w:color w:val="auto"/>
          <w:szCs w:val="21"/>
          <w:highlight w:val="none"/>
        </w:rPr>
        <w:t>②</w:t>
      </w:r>
      <w:r>
        <w:rPr>
          <w:rFonts w:hint="eastAsia" w:asciiTheme="majorEastAsia" w:hAnsiTheme="majorEastAsia" w:eastAsiaTheme="majorEastAsia" w:cstheme="majorEastAsia"/>
          <w:bCs/>
          <w:color w:val="auto"/>
          <w:szCs w:val="21"/>
          <w:highlight w:val="none"/>
        </w:rPr>
        <w:fldChar w:fldCharType="end"/>
      </w:r>
      <w:r>
        <w:rPr>
          <w:rFonts w:hint="eastAsia" w:asciiTheme="majorEastAsia" w:hAnsiTheme="majorEastAsia" w:eastAsiaTheme="majorEastAsia" w:cstheme="majorEastAsia"/>
          <w:bCs/>
          <w:color w:val="auto"/>
          <w:szCs w:val="21"/>
          <w:highlight w:val="none"/>
        </w:rPr>
        <w:t>检测机构出具的检测报告名称可以不一样，只要检测内容及相关数据一致，也可以定义为优于或符合</w:t>
      </w:r>
      <w:r>
        <w:rPr>
          <w:rFonts w:hint="eastAsia" w:asciiTheme="majorEastAsia" w:hAnsiTheme="majorEastAsia" w:eastAsiaTheme="majorEastAsia" w:cstheme="majorEastAsia"/>
          <w:bCs/>
          <w:color w:val="auto"/>
          <w:szCs w:val="21"/>
          <w:highlight w:val="none"/>
          <w:lang w:eastAsia="zh-CN"/>
        </w:rPr>
        <w:t>；</w:t>
      </w:r>
    </w:p>
    <w:p>
      <w:pPr>
        <w:pStyle w:val="299"/>
        <w:adjustRightInd w:val="0"/>
        <w:spacing w:line="360" w:lineRule="auto"/>
        <w:textAlignment w:val="baseline"/>
        <w:outlineLvl w:val="0"/>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rPr>
        <w:fldChar w:fldCharType="begin"/>
      </w:r>
      <w:r>
        <w:rPr>
          <w:rFonts w:hint="eastAsia" w:asciiTheme="majorEastAsia" w:hAnsiTheme="majorEastAsia" w:eastAsiaTheme="majorEastAsia" w:cstheme="majorEastAsia"/>
          <w:bCs/>
          <w:color w:val="auto"/>
          <w:szCs w:val="21"/>
          <w:highlight w:val="none"/>
        </w:rPr>
        <w:instrText xml:space="preserve"> = 3 \* GB3 </w:instrText>
      </w:r>
      <w:r>
        <w:rPr>
          <w:rFonts w:hint="eastAsia" w:asciiTheme="majorEastAsia" w:hAnsiTheme="majorEastAsia" w:eastAsiaTheme="majorEastAsia" w:cstheme="majorEastAsia"/>
          <w:bCs/>
          <w:color w:val="auto"/>
          <w:szCs w:val="21"/>
          <w:highlight w:val="none"/>
        </w:rPr>
        <w:fldChar w:fldCharType="separate"/>
      </w:r>
      <w:r>
        <w:rPr>
          <w:rFonts w:hint="eastAsia" w:asciiTheme="majorEastAsia" w:hAnsiTheme="majorEastAsia" w:eastAsiaTheme="majorEastAsia" w:cstheme="majorEastAsia"/>
          <w:bCs/>
          <w:color w:val="auto"/>
          <w:szCs w:val="21"/>
          <w:highlight w:val="none"/>
        </w:rPr>
        <w:t>③</w:t>
      </w:r>
      <w:r>
        <w:rPr>
          <w:rFonts w:hint="eastAsia" w:asciiTheme="majorEastAsia" w:hAnsiTheme="majorEastAsia" w:eastAsiaTheme="majorEastAsia" w:cstheme="majorEastAsia"/>
          <w:bCs/>
          <w:color w:val="auto"/>
          <w:szCs w:val="21"/>
          <w:highlight w:val="none"/>
        </w:rPr>
        <w:fldChar w:fldCharType="end"/>
      </w:r>
      <w:r>
        <w:rPr>
          <w:rFonts w:hint="eastAsia" w:asciiTheme="majorEastAsia" w:hAnsiTheme="majorEastAsia" w:eastAsiaTheme="majorEastAsia" w:cstheme="majorEastAsia"/>
          <w:bCs/>
          <w:color w:val="auto"/>
          <w:szCs w:val="21"/>
          <w:highlight w:val="none"/>
        </w:rPr>
        <w:t>以上评分项检测报告，采购人签合同时有权请中标人提供原件核查，并有权向出具报告的单位进行查验复核，且报告必须能在国家认证认可信息公共服务平台查询，若存在虚假应标，采购人有权追究其法律责任并向监督部门举报。</w:t>
      </w:r>
    </w:p>
    <w:p>
      <w:pPr>
        <w:pStyle w:val="299"/>
        <w:adjustRightInd w:val="0"/>
        <w:spacing w:line="360" w:lineRule="auto"/>
        <w:ind w:left="360" w:firstLine="0" w:firstLineChars="0"/>
        <w:textAlignment w:val="baseline"/>
        <w:outlineLvl w:val="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 xml:space="preserve"> </w:t>
      </w:r>
      <w:r>
        <w:rPr>
          <w:rFonts w:hint="eastAsia" w:asciiTheme="majorEastAsia" w:hAnsiTheme="majorEastAsia" w:eastAsiaTheme="majorEastAsia" w:cstheme="majorEastAsia"/>
          <w:b/>
          <w:color w:val="auto"/>
          <w:szCs w:val="21"/>
          <w:highlight w:val="none"/>
          <w:lang w:val="en-US" w:eastAsia="zh-CN"/>
        </w:rPr>
        <w:t xml:space="preserve"> </w:t>
      </w:r>
      <w:r>
        <w:rPr>
          <w:rFonts w:hint="eastAsia" w:asciiTheme="majorEastAsia" w:hAnsiTheme="majorEastAsia" w:eastAsiaTheme="majorEastAsia" w:cstheme="majorEastAsia"/>
          <w:b/>
          <w:color w:val="auto"/>
          <w:szCs w:val="21"/>
          <w:highlight w:val="none"/>
        </w:rPr>
        <w:t>（2）生产能力和质量保障分（满分9分）</w:t>
      </w:r>
    </w:p>
    <w:p>
      <w:pPr>
        <w:pStyle w:val="299"/>
        <w:adjustRightInd w:val="0"/>
        <w:spacing w:line="360" w:lineRule="auto"/>
        <w:textAlignment w:val="baseline"/>
        <w:outlineLvl w:val="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lang w:val="en-US" w:eastAsia="zh-CN"/>
        </w:rPr>
        <w:t xml:space="preserve">  </w:t>
      </w:r>
      <w:r>
        <w:rPr>
          <w:rFonts w:hint="eastAsia" w:asciiTheme="majorEastAsia" w:hAnsiTheme="majorEastAsia" w:eastAsiaTheme="majorEastAsia" w:cstheme="majorEastAsia"/>
          <w:bCs/>
          <w:color w:val="auto"/>
          <w:szCs w:val="21"/>
          <w:highlight w:val="none"/>
        </w:rPr>
        <w:t>投标人或投标产品生产厂家具备以下生产办公机械设备或同档（类）设备：（1）数控剪板机设备</w:t>
      </w:r>
      <w:r>
        <w:rPr>
          <w:rFonts w:hint="eastAsia" w:asciiTheme="majorEastAsia" w:hAnsiTheme="majorEastAsia" w:eastAsiaTheme="majorEastAsia" w:cstheme="majorEastAsia"/>
          <w:bCs/>
          <w:color w:val="auto"/>
          <w:szCs w:val="21"/>
          <w:highlight w:val="none"/>
          <w:lang w:eastAsia="zh-CN"/>
        </w:rPr>
        <w:t>；</w:t>
      </w:r>
      <w:r>
        <w:rPr>
          <w:rFonts w:hint="eastAsia" w:asciiTheme="majorEastAsia" w:hAnsiTheme="majorEastAsia" w:eastAsiaTheme="majorEastAsia" w:cstheme="majorEastAsia"/>
          <w:bCs/>
          <w:color w:val="auto"/>
          <w:szCs w:val="21"/>
          <w:highlight w:val="none"/>
        </w:rPr>
        <w:t>（2）数控转塔冲床设备</w:t>
      </w:r>
      <w:r>
        <w:rPr>
          <w:rFonts w:hint="eastAsia" w:asciiTheme="majorEastAsia" w:hAnsiTheme="majorEastAsia" w:eastAsiaTheme="majorEastAsia" w:cstheme="majorEastAsia"/>
          <w:bCs/>
          <w:color w:val="auto"/>
          <w:szCs w:val="21"/>
          <w:highlight w:val="none"/>
          <w:lang w:eastAsia="zh-CN"/>
        </w:rPr>
        <w:t>；</w:t>
      </w:r>
      <w:r>
        <w:rPr>
          <w:rFonts w:hint="eastAsia" w:asciiTheme="majorEastAsia" w:hAnsiTheme="majorEastAsia" w:eastAsiaTheme="majorEastAsia" w:cstheme="majorEastAsia"/>
          <w:bCs/>
          <w:color w:val="auto"/>
          <w:szCs w:val="21"/>
          <w:highlight w:val="none"/>
        </w:rPr>
        <w:t>（3）智能数控激光加工中心</w:t>
      </w:r>
      <w:r>
        <w:rPr>
          <w:rFonts w:hint="eastAsia" w:asciiTheme="majorEastAsia" w:hAnsiTheme="majorEastAsia" w:eastAsiaTheme="majorEastAsia" w:cstheme="majorEastAsia"/>
          <w:bCs/>
          <w:color w:val="auto"/>
          <w:szCs w:val="21"/>
          <w:highlight w:val="none"/>
          <w:lang w:eastAsia="zh-CN"/>
        </w:rPr>
        <w:t>；</w:t>
      </w:r>
      <w:r>
        <w:rPr>
          <w:rFonts w:hint="eastAsia" w:asciiTheme="majorEastAsia" w:hAnsiTheme="majorEastAsia" w:eastAsiaTheme="majorEastAsia" w:cstheme="majorEastAsia"/>
          <w:bCs/>
          <w:color w:val="auto"/>
          <w:szCs w:val="21"/>
          <w:highlight w:val="none"/>
        </w:rPr>
        <w:t>（4）自动喷塑流水线</w:t>
      </w:r>
      <w:r>
        <w:rPr>
          <w:rFonts w:hint="eastAsia" w:asciiTheme="majorEastAsia" w:hAnsiTheme="majorEastAsia" w:eastAsiaTheme="majorEastAsia" w:cstheme="majorEastAsia"/>
          <w:bCs/>
          <w:color w:val="auto"/>
          <w:szCs w:val="21"/>
          <w:highlight w:val="none"/>
          <w:lang w:eastAsia="zh-CN"/>
        </w:rPr>
        <w:t>；</w:t>
      </w:r>
      <w:r>
        <w:rPr>
          <w:rFonts w:hint="eastAsia" w:asciiTheme="majorEastAsia" w:hAnsiTheme="majorEastAsia" w:eastAsiaTheme="majorEastAsia" w:cstheme="majorEastAsia"/>
          <w:bCs/>
          <w:color w:val="auto"/>
          <w:szCs w:val="21"/>
          <w:highlight w:val="none"/>
        </w:rPr>
        <w:t>（5）中央除尘设备</w:t>
      </w:r>
      <w:r>
        <w:rPr>
          <w:rFonts w:hint="eastAsia" w:asciiTheme="majorEastAsia" w:hAnsiTheme="majorEastAsia" w:eastAsiaTheme="majorEastAsia" w:cstheme="majorEastAsia"/>
          <w:bCs/>
          <w:color w:val="auto"/>
          <w:szCs w:val="21"/>
          <w:highlight w:val="none"/>
          <w:lang w:eastAsia="zh-CN"/>
        </w:rPr>
        <w:t>；</w:t>
      </w:r>
      <w:r>
        <w:rPr>
          <w:rFonts w:hint="eastAsia" w:asciiTheme="majorEastAsia" w:hAnsiTheme="majorEastAsia" w:eastAsiaTheme="majorEastAsia" w:cstheme="majorEastAsia"/>
          <w:bCs/>
          <w:color w:val="auto"/>
          <w:szCs w:val="21"/>
          <w:highlight w:val="none"/>
        </w:rPr>
        <w:t>（6）数控立式刨槽机</w:t>
      </w:r>
      <w:r>
        <w:rPr>
          <w:rFonts w:hint="eastAsia" w:asciiTheme="majorEastAsia" w:hAnsiTheme="majorEastAsia" w:eastAsiaTheme="majorEastAsia" w:cstheme="majorEastAsia"/>
          <w:bCs/>
          <w:color w:val="auto"/>
          <w:szCs w:val="21"/>
          <w:highlight w:val="none"/>
          <w:lang w:eastAsia="zh-CN"/>
        </w:rPr>
        <w:t>；</w:t>
      </w:r>
      <w:r>
        <w:rPr>
          <w:rFonts w:hint="eastAsia" w:asciiTheme="majorEastAsia" w:hAnsiTheme="majorEastAsia" w:eastAsiaTheme="majorEastAsia" w:cstheme="majorEastAsia"/>
          <w:bCs/>
          <w:color w:val="auto"/>
          <w:szCs w:val="21"/>
          <w:highlight w:val="none"/>
        </w:rPr>
        <w:t>（7）</w:t>
      </w:r>
      <w:bookmarkStart w:id="6" w:name="_Toc483149921"/>
      <w:bookmarkStart w:id="7" w:name="_Toc483581034"/>
      <w:bookmarkStart w:id="8" w:name="_Toc481912475"/>
      <w:r>
        <w:rPr>
          <w:rFonts w:hint="eastAsia" w:asciiTheme="majorEastAsia" w:hAnsiTheme="majorEastAsia" w:eastAsiaTheme="majorEastAsia" w:cstheme="majorEastAsia"/>
          <w:bCs/>
          <w:color w:val="auto"/>
          <w:szCs w:val="21"/>
          <w:highlight w:val="none"/>
        </w:rPr>
        <w:t>自动焊接机器人</w:t>
      </w:r>
      <w:bookmarkEnd w:id="6"/>
      <w:bookmarkEnd w:id="7"/>
      <w:bookmarkEnd w:id="8"/>
      <w:r>
        <w:rPr>
          <w:rFonts w:hint="eastAsia" w:asciiTheme="majorEastAsia" w:hAnsiTheme="majorEastAsia" w:eastAsiaTheme="majorEastAsia" w:cstheme="majorEastAsia"/>
          <w:bCs/>
          <w:color w:val="auto"/>
          <w:szCs w:val="21"/>
          <w:highlight w:val="none"/>
          <w:lang w:eastAsia="zh-CN"/>
        </w:rPr>
        <w:t>；</w:t>
      </w:r>
      <w:r>
        <w:rPr>
          <w:rFonts w:hint="eastAsia" w:asciiTheme="majorEastAsia" w:hAnsiTheme="majorEastAsia" w:eastAsiaTheme="majorEastAsia" w:cstheme="majorEastAsia"/>
          <w:bCs/>
          <w:color w:val="auto"/>
          <w:szCs w:val="21"/>
          <w:highlight w:val="none"/>
        </w:rPr>
        <w:t>（8）数控激光切割机</w:t>
      </w:r>
      <w:r>
        <w:rPr>
          <w:rFonts w:hint="eastAsia" w:asciiTheme="majorEastAsia" w:hAnsiTheme="majorEastAsia" w:eastAsiaTheme="majorEastAsia" w:cstheme="majorEastAsia"/>
          <w:bCs/>
          <w:color w:val="auto"/>
          <w:szCs w:val="21"/>
          <w:highlight w:val="none"/>
          <w:lang w:eastAsia="zh-CN"/>
        </w:rPr>
        <w:t>；</w:t>
      </w:r>
      <w:r>
        <w:rPr>
          <w:rFonts w:hint="eastAsia" w:asciiTheme="majorEastAsia" w:hAnsiTheme="majorEastAsia" w:eastAsiaTheme="majorEastAsia" w:cstheme="majorEastAsia"/>
          <w:bCs/>
          <w:color w:val="auto"/>
          <w:szCs w:val="21"/>
          <w:highlight w:val="none"/>
        </w:rPr>
        <w:t>（9）全自动切管机</w:t>
      </w:r>
      <w:r>
        <w:rPr>
          <w:rFonts w:hint="eastAsia" w:asciiTheme="majorEastAsia" w:hAnsiTheme="majorEastAsia" w:eastAsiaTheme="majorEastAsia" w:cstheme="majorEastAsia"/>
          <w:bCs/>
          <w:color w:val="auto"/>
          <w:szCs w:val="21"/>
          <w:highlight w:val="none"/>
          <w:lang w:eastAsia="zh-CN"/>
        </w:rPr>
        <w:t>。</w:t>
      </w:r>
      <w:r>
        <w:rPr>
          <w:rFonts w:hint="eastAsia" w:asciiTheme="majorEastAsia" w:hAnsiTheme="majorEastAsia" w:eastAsiaTheme="majorEastAsia" w:cstheme="majorEastAsia"/>
          <w:bCs/>
          <w:color w:val="auto"/>
          <w:szCs w:val="21"/>
          <w:highlight w:val="none"/>
        </w:rPr>
        <w:t>每具备一项得1分，满分9分。</w:t>
      </w:r>
    </w:p>
    <w:p>
      <w:pPr>
        <w:pStyle w:val="299"/>
        <w:adjustRightInd w:val="0"/>
        <w:spacing w:line="360" w:lineRule="auto"/>
        <w:ind w:firstLine="0" w:firstLineChars="0"/>
        <w:textAlignment w:val="baseline"/>
        <w:outlineLvl w:val="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 xml:space="preserve">  </w:t>
      </w:r>
      <w:r>
        <w:rPr>
          <w:rFonts w:hint="eastAsia" w:asciiTheme="majorEastAsia" w:hAnsiTheme="majorEastAsia" w:eastAsiaTheme="majorEastAsia" w:cstheme="majorEastAsia"/>
          <w:bCs/>
          <w:color w:val="auto"/>
          <w:szCs w:val="21"/>
          <w:highlight w:val="none"/>
          <w:lang w:val="en-US" w:eastAsia="zh-CN"/>
        </w:rPr>
        <w:t xml:space="preserve"> </w:t>
      </w:r>
      <w:r>
        <w:rPr>
          <w:rFonts w:hint="eastAsia" w:asciiTheme="majorEastAsia" w:hAnsiTheme="majorEastAsia" w:eastAsiaTheme="majorEastAsia" w:cstheme="majorEastAsia"/>
          <w:bCs/>
          <w:color w:val="auto"/>
          <w:szCs w:val="21"/>
          <w:highlight w:val="none"/>
          <w:lang w:eastAsia="zh-CN"/>
        </w:rPr>
        <w:t>【注：</w:t>
      </w:r>
      <w:r>
        <w:rPr>
          <w:rFonts w:hint="eastAsia" w:asciiTheme="majorEastAsia" w:hAnsiTheme="majorEastAsia" w:eastAsiaTheme="majorEastAsia" w:cstheme="majorEastAsia"/>
          <w:bCs/>
          <w:color w:val="auto"/>
          <w:szCs w:val="21"/>
          <w:highlight w:val="none"/>
        </w:rPr>
        <w:t>提供设备发票或其他可以证明投标人具有该类似设备的证明材料复印件以及车间或实验室实物照片佐证</w:t>
      </w:r>
      <w:r>
        <w:rPr>
          <w:rFonts w:hint="eastAsia" w:asciiTheme="majorEastAsia" w:hAnsiTheme="majorEastAsia" w:eastAsiaTheme="majorEastAsia" w:cstheme="majorEastAsia"/>
          <w:bCs/>
          <w:color w:val="auto"/>
          <w:szCs w:val="21"/>
          <w:highlight w:val="none"/>
          <w:lang w:eastAsia="zh-CN"/>
        </w:rPr>
        <w:t>，</w:t>
      </w:r>
      <w:r>
        <w:rPr>
          <w:rFonts w:hint="eastAsia" w:asciiTheme="majorEastAsia" w:hAnsiTheme="majorEastAsia" w:eastAsiaTheme="majorEastAsia" w:cstheme="majorEastAsia"/>
          <w:bCs/>
          <w:color w:val="auto"/>
          <w:szCs w:val="21"/>
          <w:highlight w:val="none"/>
        </w:rPr>
        <w:t>以上不提供不得分</w:t>
      </w:r>
      <w:r>
        <w:rPr>
          <w:rFonts w:hint="eastAsia" w:asciiTheme="majorEastAsia" w:hAnsiTheme="majorEastAsia" w:eastAsiaTheme="majorEastAsia" w:cstheme="majorEastAsia"/>
          <w:bCs/>
          <w:color w:val="auto"/>
          <w:szCs w:val="21"/>
          <w:highlight w:val="none"/>
          <w:lang w:eastAsia="zh-CN"/>
        </w:rPr>
        <w:t>。</w:t>
      </w:r>
      <w:r>
        <w:rPr>
          <w:rFonts w:hint="eastAsia" w:asciiTheme="majorEastAsia" w:hAnsiTheme="majorEastAsia" w:eastAsiaTheme="majorEastAsia" w:cstheme="majorEastAsia"/>
          <w:bCs/>
          <w:color w:val="auto"/>
          <w:szCs w:val="21"/>
          <w:highlight w:val="none"/>
        </w:rPr>
        <w:t>中标人在投标文件中提到的发票或其他佐证证明材料以及实物照片，采购人若发现有弄虚作假嫌疑，签合同</w:t>
      </w:r>
      <w:r>
        <w:rPr>
          <w:rFonts w:hint="eastAsia" w:asciiTheme="majorEastAsia" w:hAnsiTheme="majorEastAsia" w:eastAsiaTheme="majorEastAsia" w:cstheme="majorEastAsia"/>
          <w:bCs/>
          <w:color w:val="auto"/>
          <w:szCs w:val="21"/>
          <w:highlight w:val="none"/>
          <w:lang w:val="en-US" w:eastAsia="zh-CN"/>
        </w:rPr>
        <w:t>后</w:t>
      </w:r>
      <w:r>
        <w:rPr>
          <w:rFonts w:hint="eastAsia" w:asciiTheme="majorEastAsia" w:hAnsiTheme="majorEastAsia" w:eastAsiaTheme="majorEastAsia" w:cstheme="majorEastAsia"/>
          <w:bCs/>
          <w:color w:val="auto"/>
          <w:szCs w:val="21"/>
          <w:highlight w:val="none"/>
        </w:rPr>
        <w:t>有权请中标人提供发票原件或其他佐证材料原件核查，也可工厂实地核查。并有权向出具票据的单位进行查验复核</w:t>
      </w:r>
      <w:r>
        <w:rPr>
          <w:rFonts w:hint="eastAsia" w:asciiTheme="majorEastAsia" w:hAnsiTheme="majorEastAsia" w:eastAsiaTheme="majorEastAsia" w:cstheme="majorEastAsia"/>
          <w:bCs/>
          <w:color w:val="auto"/>
          <w:szCs w:val="21"/>
          <w:highlight w:val="none"/>
          <w:lang w:eastAsia="zh-CN"/>
        </w:rPr>
        <w:t>，</w:t>
      </w:r>
      <w:r>
        <w:rPr>
          <w:rFonts w:hint="eastAsia" w:asciiTheme="majorEastAsia" w:hAnsiTheme="majorEastAsia" w:eastAsiaTheme="majorEastAsia" w:cstheme="majorEastAsia"/>
          <w:bCs/>
          <w:color w:val="auto"/>
          <w:szCs w:val="21"/>
          <w:highlight w:val="none"/>
        </w:rPr>
        <w:t>若存在虚假应标，采购人有权追究其法律责任并向监督部门举报</w:t>
      </w:r>
      <w:r>
        <w:rPr>
          <w:rFonts w:hint="eastAsia" w:asciiTheme="majorEastAsia" w:hAnsiTheme="majorEastAsia" w:eastAsiaTheme="majorEastAsia" w:cstheme="majorEastAsia"/>
          <w:bCs/>
          <w:color w:val="auto"/>
          <w:szCs w:val="21"/>
          <w:highlight w:val="none"/>
          <w:lang w:eastAsia="zh-CN"/>
        </w:rPr>
        <w:t>】</w:t>
      </w:r>
      <w:r>
        <w:rPr>
          <w:rFonts w:hint="eastAsia" w:asciiTheme="majorEastAsia" w:hAnsiTheme="majorEastAsia" w:eastAsiaTheme="majorEastAsia" w:cstheme="majorEastAsia"/>
          <w:bCs/>
          <w:color w:val="auto"/>
          <w:szCs w:val="21"/>
          <w:highlight w:val="none"/>
        </w:rPr>
        <w:t>。</w:t>
      </w:r>
    </w:p>
    <w:p>
      <w:pPr>
        <w:pStyle w:val="299"/>
        <w:adjustRightInd w:val="0"/>
        <w:spacing w:line="360" w:lineRule="auto"/>
        <w:ind w:left="360" w:firstLine="0" w:firstLineChars="0"/>
        <w:jc w:val="left"/>
        <w:textAlignment w:val="baseline"/>
        <w:outlineLvl w:val="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（3）小样分（满分6分）</w:t>
      </w:r>
    </w:p>
    <w:p>
      <w:pPr>
        <w:pStyle w:val="299"/>
        <w:adjustRightInd w:val="0"/>
        <w:spacing w:line="360" w:lineRule="auto"/>
        <w:ind w:left="360" w:firstLine="0" w:firstLineChars="0"/>
        <w:jc w:val="left"/>
        <w:textAlignment w:val="baseline"/>
        <w:outlineLvl w:val="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 xml:space="preserve"> 对投标人提供小样的参数、结构、样式、材质及结构设计、外观、做工等方面进行综合评定打分：</w:t>
      </w:r>
    </w:p>
    <w:p>
      <w:pPr>
        <w:pStyle w:val="299"/>
        <w:adjustRightInd w:val="0"/>
        <w:spacing w:line="360" w:lineRule="auto"/>
        <w:jc w:val="left"/>
        <w:textAlignment w:val="baseline"/>
        <w:outlineLvl w:val="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一档（2分）：①投标小样及辅件提供齐全；②小样参数、外观、样式、材料符合实际，全部小样展示功能符合招标文件参数要求的；③小样完全符合，外表感官良好，工艺精致（如涂层光滑均匀、色泽一致、表面光洁无杂质等）</w:t>
      </w:r>
    </w:p>
    <w:p>
      <w:pPr>
        <w:pStyle w:val="299"/>
        <w:adjustRightInd w:val="0"/>
        <w:spacing w:line="360" w:lineRule="auto"/>
        <w:jc w:val="left"/>
        <w:textAlignment w:val="baseline"/>
        <w:outlineLvl w:val="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 xml:space="preserve"> 二档（4分）：在一档的基础上满足以下要求：款式设计美观、色彩搭配协调、丰满度高等；功能与使用需求的符合度高，舒适性好等；结构牢固稳定,部件拼接严密平整,棱边棱角倒圆倒角安全美观等；喷涂平整光滑,纹理清晰、层次感分明、质感好,无划痕，无刺鼻异味等。</w:t>
      </w:r>
    </w:p>
    <w:p>
      <w:pPr>
        <w:pStyle w:val="299"/>
        <w:adjustRightInd w:val="0"/>
        <w:spacing w:line="360" w:lineRule="auto"/>
        <w:jc w:val="left"/>
        <w:textAlignment w:val="baseline"/>
        <w:outlineLvl w:val="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三档（6分）：在二档的基础上满足以下要求：款式设计美观、色彩搭配协调、丰满度高等；功能与使用需求的符合度高，舒适性好等；结构牢固稳定,部件拼接严密平整,棱边棱角倒圆倒角安全美观等；喷涂平整光滑,纹理清晰、层次感分明、质感好,无划痕，无刺鼻异味等。辅料及小样比招标要求更厚实、耐磨性更好。</w:t>
      </w:r>
    </w:p>
    <w:p>
      <w:pPr>
        <w:pStyle w:val="299"/>
        <w:adjustRightInd w:val="0"/>
        <w:spacing w:line="360" w:lineRule="auto"/>
        <w:ind w:left="360" w:firstLine="0" w:firstLineChars="0"/>
        <w:jc w:val="left"/>
        <w:textAlignment w:val="baseline"/>
        <w:outlineLvl w:val="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lang w:eastAsia="zh-CN"/>
        </w:rPr>
        <w:t>（</w:t>
      </w:r>
      <w:r>
        <w:rPr>
          <w:rFonts w:hint="eastAsia" w:asciiTheme="majorEastAsia" w:hAnsiTheme="majorEastAsia" w:eastAsiaTheme="majorEastAsia" w:cstheme="majorEastAsia"/>
          <w:bCs/>
          <w:color w:val="auto"/>
          <w:szCs w:val="21"/>
          <w:highlight w:val="none"/>
        </w:rPr>
        <w:t>投标人未提供小样或提供的小样不全的，本项不得分。</w:t>
      </w:r>
      <w:r>
        <w:rPr>
          <w:rFonts w:hint="eastAsia" w:asciiTheme="majorEastAsia" w:hAnsiTheme="majorEastAsia" w:eastAsiaTheme="majorEastAsia" w:cstheme="majorEastAsia"/>
          <w:bCs/>
          <w:color w:val="auto"/>
          <w:szCs w:val="21"/>
          <w:highlight w:val="none"/>
          <w:lang w:eastAsia="zh-CN"/>
        </w:rPr>
        <w:t>）</w:t>
      </w:r>
    </w:p>
    <w:p>
      <w:pPr>
        <w:pStyle w:val="299"/>
        <w:adjustRightInd w:val="0"/>
        <w:spacing w:line="360" w:lineRule="auto"/>
        <w:ind w:firstLine="0" w:firstLineChars="0"/>
        <w:textAlignment w:val="baseline"/>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Cs/>
          <w:color w:val="auto"/>
          <w:szCs w:val="21"/>
          <w:highlight w:val="none"/>
        </w:rPr>
        <w:t xml:space="preserve">  </w:t>
      </w:r>
      <w:r>
        <w:rPr>
          <w:rFonts w:hint="eastAsia" w:asciiTheme="majorEastAsia" w:hAnsiTheme="majorEastAsia" w:eastAsiaTheme="majorEastAsia" w:cstheme="majorEastAsia"/>
          <w:b/>
          <w:color w:val="auto"/>
          <w:szCs w:val="21"/>
          <w:highlight w:val="none"/>
        </w:rPr>
        <w:t xml:space="preserve"> （4）项目实施方案（满分11分）</w:t>
      </w:r>
    </w:p>
    <w:p>
      <w:pPr>
        <w:pStyle w:val="299"/>
        <w:adjustRightInd w:val="0"/>
        <w:spacing w:line="360" w:lineRule="auto"/>
        <w:jc w:val="left"/>
        <w:textAlignment w:val="baseline"/>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一档（5分）：方案包含从货源组织、设备运输、货到现场后安装调试等所有供货流程及进度计划安排，所有环节步骤清晰，责任人员明确，能确保产品供货。</w:t>
      </w:r>
    </w:p>
    <w:p>
      <w:pPr>
        <w:pStyle w:val="299"/>
        <w:adjustRightInd w:val="0"/>
        <w:spacing w:line="360" w:lineRule="auto"/>
        <w:jc w:val="left"/>
        <w:textAlignment w:val="baseline"/>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二档（8分）：在上一档的基础上，完整列明各实施环节的实施办法和保障措施，分析供货流程各环节可能出现的问题并提出解决措施，同时提供现场安装调试方案。</w:t>
      </w:r>
    </w:p>
    <w:p>
      <w:pPr>
        <w:pStyle w:val="299"/>
        <w:adjustRightInd w:val="0"/>
        <w:spacing w:line="360" w:lineRule="auto"/>
        <w:ind w:left="0" w:leftChars="0" w:firstLine="0" w:firstLineChars="0"/>
        <w:jc w:val="left"/>
        <w:textAlignment w:val="baseline"/>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lang w:val="en-US" w:eastAsia="zh-CN"/>
        </w:rPr>
        <w:t xml:space="preserve">   </w:t>
      </w:r>
      <w:r>
        <w:rPr>
          <w:rFonts w:hint="eastAsia" w:asciiTheme="majorEastAsia" w:hAnsiTheme="majorEastAsia" w:eastAsiaTheme="majorEastAsia" w:cstheme="majorEastAsia"/>
          <w:bCs/>
          <w:color w:val="auto"/>
          <w:szCs w:val="21"/>
          <w:highlight w:val="none"/>
        </w:rPr>
        <w:t>三档（11分）：在上</w:t>
      </w:r>
      <w:r>
        <w:rPr>
          <w:rFonts w:hint="eastAsia" w:asciiTheme="majorEastAsia" w:hAnsiTheme="majorEastAsia" w:eastAsiaTheme="majorEastAsia" w:cstheme="majorEastAsia"/>
          <w:bCs/>
          <w:color w:val="auto"/>
          <w:szCs w:val="21"/>
          <w:highlight w:val="none"/>
          <w:lang w:val="en-US" w:eastAsia="zh-CN"/>
        </w:rPr>
        <w:t>二</w:t>
      </w:r>
      <w:r>
        <w:rPr>
          <w:rFonts w:hint="eastAsia" w:asciiTheme="majorEastAsia" w:hAnsiTheme="majorEastAsia" w:eastAsiaTheme="majorEastAsia" w:cstheme="majorEastAsia"/>
          <w:bCs/>
          <w:color w:val="auto"/>
          <w:szCs w:val="21"/>
          <w:highlight w:val="none"/>
        </w:rPr>
        <w:t>档的基础上，分析本项目的难点重点，建立符合本项目合同履行实施的组织机构，实施计划分阶段计划，阶段性目标清晰，提供完善可行的质量控制措施、安全保障措施、应急保障措施。提供对实施人员进行阶段性考核的计划。</w:t>
      </w:r>
    </w:p>
    <w:p>
      <w:pPr>
        <w:pStyle w:val="299"/>
        <w:adjustRightInd w:val="0"/>
        <w:spacing w:line="360" w:lineRule="auto"/>
        <w:ind w:left="360" w:firstLine="0" w:firstLineChars="0"/>
        <w:jc w:val="left"/>
        <w:textAlignment w:val="baseline"/>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lang w:eastAsia="zh-CN"/>
        </w:rPr>
        <w:t>（</w:t>
      </w:r>
      <w:r>
        <w:rPr>
          <w:rFonts w:hint="eastAsia" w:asciiTheme="majorEastAsia" w:hAnsiTheme="majorEastAsia" w:eastAsiaTheme="majorEastAsia" w:cstheme="majorEastAsia"/>
          <w:bCs/>
          <w:color w:val="auto"/>
          <w:szCs w:val="21"/>
          <w:highlight w:val="none"/>
        </w:rPr>
        <w:t>未提供方案或方案达不到进档要求的得0分。</w:t>
      </w:r>
      <w:r>
        <w:rPr>
          <w:rFonts w:hint="eastAsia" w:asciiTheme="majorEastAsia" w:hAnsiTheme="majorEastAsia" w:eastAsiaTheme="majorEastAsia" w:cstheme="majorEastAsia"/>
          <w:bCs/>
          <w:color w:val="auto"/>
          <w:szCs w:val="21"/>
          <w:highlight w:val="none"/>
          <w:lang w:eastAsia="zh-CN"/>
        </w:rPr>
        <w:t>）</w:t>
      </w:r>
    </w:p>
    <w:p>
      <w:pPr>
        <w:pStyle w:val="299"/>
        <w:adjustRightInd w:val="0"/>
        <w:spacing w:line="360" w:lineRule="auto"/>
        <w:ind w:firstLine="0" w:firstLineChars="0"/>
        <w:jc w:val="left"/>
        <w:textAlignment w:val="baseline"/>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 xml:space="preserve">   （5）售后服务方案（满分11分）</w:t>
      </w:r>
    </w:p>
    <w:p>
      <w:pPr>
        <w:pStyle w:val="299"/>
        <w:adjustRightInd w:val="0"/>
        <w:spacing w:line="360" w:lineRule="auto"/>
        <w:jc w:val="left"/>
        <w:textAlignment w:val="baseline"/>
        <w:outlineLvl w:val="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由评标委员会根据投标人提供的售后服务承诺书（包含接到故障通知后到达时间、处理故障时间、零配件优惠措施、其他优惠条件等内容）内容综合进行评定，并在其档次独立打分。</w:t>
      </w:r>
    </w:p>
    <w:p>
      <w:pPr>
        <w:pStyle w:val="299"/>
        <w:adjustRightInd w:val="0"/>
        <w:spacing w:line="360" w:lineRule="auto"/>
        <w:ind w:left="360" w:firstLine="0" w:firstLineChars="0"/>
        <w:jc w:val="left"/>
        <w:textAlignment w:val="baseline"/>
        <w:outlineLvl w:val="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 xml:space="preserve"> 一档（5分）：有售后服务承诺书，满足以上售后要求。</w:t>
      </w:r>
    </w:p>
    <w:p>
      <w:pPr>
        <w:pStyle w:val="299"/>
        <w:adjustRightInd w:val="0"/>
        <w:spacing w:line="360" w:lineRule="auto"/>
        <w:ind w:left="0" w:leftChars="0" w:firstLine="0" w:firstLineChars="0"/>
        <w:jc w:val="left"/>
        <w:textAlignment w:val="baseline"/>
        <w:outlineLvl w:val="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 xml:space="preserve"> </w:t>
      </w:r>
      <w:r>
        <w:rPr>
          <w:rFonts w:hint="eastAsia" w:asciiTheme="majorEastAsia" w:hAnsiTheme="majorEastAsia" w:eastAsiaTheme="majorEastAsia" w:cstheme="majorEastAsia"/>
          <w:bCs/>
          <w:color w:val="auto"/>
          <w:szCs w:val="21"/>
          <w:highlight w:val="none"/>
          <w:lang w:val="en-US" w:eastAsia="zh-CN"/>
        </w:rPr>
        <w:t xml:space="preserve">    </w:t>
      </w:r>
      <w:r>
        <w:rPr>
          <w:rFonts w:hint="eastAsia" w:asciiTheme="majorEastAsia" w:hAnsiTheme="majorEastAsia" w:eastAsiaTheme="majorEastAsia" w:cstheme="majorEastAsia"/>
          <w:bCs/>
          <w:color w:val="auto"/>
          <w:szCs w:val="21"/>
          <w:highlight w:val="none"/>
        </w:rPr>
        <w:t>二档（8分）：满足以上售后要求外，实施方案具有一定的合理性，提供详细方案。到达故障现场时间优于采购需求，定期维护时间在免费保修期内每年不低于4次。</w:t>
      </w:r>
    </w:p>
    <w:p>
      <w:pPr>
        <w:pStyle w:val="299"/>
        <w:adjustRightInd w:val="0"/>
        <w:spacing w:line="360" w:lineRule="auto"/>
        <w:jc w:val="left"/>
        <w:textAlignment w:val="baseline"/>
        <w:outlineLvl w:val="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三档（11分）：满足二档的基础上，实施方案的完整性、合理性高，针对性、可行性强，售后服务人员配置、售后服务专业性可充分满足本项目需求，资料真实可靠，服务内容、保障措施详细、具体。能提供不少于2名本公司的专职售后服务工程师，需提供售后服务工程师人员劳动合同、名单、职称证书、联系电话。</w:t>
      </w:r>
    </w:p>
    <w:p>
      <w:pPr>
        <w:pStyle w:val="299"/>
        <w:adjustRightInd w:val="0"/>
        <w:spacing w:line="360" w:lineRule="auto"/>
        <w:ind w:left="360" w:firstLine="0" w:firstLineChars="0"/>
        <w:jc w:val="left"/>
        <w:textAlignment w:val="baseline"/>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lang w:eastAsia="zh-CN"/>
        </w:rPr>
        <w:t>（</w:t>
      </w:r>
      <w:r>
        <w:rPr>
          <w:rFonts w:hint="eastAsia" w:asciiTheme="majorEastAsia" w:hAnsiTheme="majorEastAsia" w:eastAsiaTheme="majorEastAsia" w:cstheme="majorEastAsia"/>
          <w:bCs/>
          <w:color w:val="auto"/>
          <w:szCs w:val="21"/>
          <w:highlight w:val="none"/>
        </w:rPr>
        <w:t>未提供方案或方案达不到进档要求的得0分。</w:t>
      </w:r>
      <w:r>
        <w:rPr>
          <w:rFonts w:hint="eastAsia" w:asciiTheme="majorEastAsia" w:hAnsiTheme="majorEastAsia" w:eastAsiaTheme="majorEastAsia" w:cstheme="majorEastAsia"/>
          <w:bCs/>
          <w:color w:val="auto"/>
          <w:szCs w:val="21"/>
          <w:highlight w:val="none"/>
          <w:lang w:eastAsia="zh-CN"/>
        </w:rPr>
        <w:t>）</w:t>
      </w:r>
    </w:p>
    <w:p>
      <w:pPr>
        <w:numPr>
          <w:ilvl w:val="0"/>
          <w:numId w:val="13"/>
        </w:numPr>
        <w:spacing w:line="360" w:lineRule="auto"/>
        <w:ind w:left="527" w:leftChars="0" w:firstLine="0" w:firstLineChars="0"/>
        <w:jc w:val="left"/>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Cs w:val="21"/>
          <w:highlight w:val="none"/>
        </w:rPr>
        <w:t>培训方案（满分3分）</w:t>
      </w:r>
    </w:p>
    <w:p>
      <w:pPr>
        <w:numPr>
          <w:ilvl w:val="0"/>
          <w:numId w:val="0"/>
        </w:numPr>
        <w:spacing w:line="360" w:lineRule="auto"/>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bCs/>
          <w:color w:val="auto"/>
          <w:szCs w:val="21"/>
          <w:highlight w:val="none"/>
        </w:rPr>
        <w:t xml:space="preserve"> </w:t>
      </w:r>
      <w:r>
        <w:rPr>
          <w:rFonts w:hint="eastAsia" w:asciiTheme="majorEastAsia" w:hAnsiTheme="majorEastAsia" w:eastAsiaTheme="majorEastAsia" w:cstheme="majorEastAsia"/>
          <w:b/>
          <w:bCs/>
          <w:color w:val="auto"/>
          <w:szCs w:val="21"/>
          <w:highlight w:val="none"/>
          <w:lang w:val="en-US" w:eastAsia="zh-CN"/>
        </w:rPr>
        <w:t xml:space="preserve">   </w:t>
      </w:r>
      <w:r>
        <w:rPr>
          <w:rFonts w:hint="eastAsia" w:asciiTheme="majorEastAsia" w:hAnsiTheme="majorEastAsia" w:eastAsiaTheme="majorEastAsia" w:cstheme="majorEastAsia"/>
          <w:color w:val="auto"/>
          <w:szCs w:val="21"/>
          <w:highlight w:val="none"/>
        </w:rPr>
        <w:t>一档（1分）：培训方案有培训计划安排，但安排不明确。</w:t>
      </w:r>
    </w:p>
    <w:p>
      <w:pPr>
        <w:spacing w:line="360" w:lineRule="auto"/>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 </w:t>
      </w:r>
      <w:r>
        <w:rPr>
          <w:rFonts w:hint="eastAsia" w:asciiTheme="majorEastAsia" w:hAnsiTheme="majorEastAsia" w:eastAsiaTheme="majorEastAsia" w:cstheme="majorEastAsia"/>
          <w:color w:val="auto"/>
          <w:szCs w:val="21"/>
          <w:highlight w:val="none"/>
          <w:lang w:val="en-US" w:eastAsia="zh-CN"/>
        </w:rPr>
        <w:t xml:space="preserve">   </w:t>
      </w:r>
      <w:r>
        <w:rPr>
          <w:rFonts w:hint="eastAsia" w:asciiTheme="majorEastAsia" w:hAnsiTheme="majorEastAsia" w:eastAsiaTheme="majorEastAsia" w:cstheme="majorEastAsia"/>
          <w:color w:val="auto"/>
          <w:szCs w:val="21"/>
          <w:highlight w:val="none"/>
        </w:rPr>
        <w:t>二档（2分）：培训方案有完整的计划，内容至少包含：培训时间、规模人数等内容。</w:t>
      </w:r>
    </w:p>
    <w:p>
      <w:pPr>
        <w:spacing w:line="360" w:lineRule="auto"/>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val="en-US" w:eastAsia="zh-CN"/>
        </w:rPr>
        <w:t xml:space="preserve">    </w:t>
      </w:r>
      <w:r>
        <w:rPr>
          <w:rFonts w:hint="eastAsia" w:asciiTheme="majorEastAsia" w:hAnsiTheme="majorEastAsia" w:eastAsiaTheme="majorEastAsia" w:cstheme="majorEastAsia"/>
          <w:color w:val="auto"/>
          <w:szCs w:val="21"/>
          <w:highlight w:val="none"/>
        </w:rPr>
        <w:t>三档（3分）：培训方案有完善可行的计划，包含：拟派培训技术人员的安排、拟派培训技术人员的经验介绍、培训时间、规模人数等内容。</w:t>
      </w:r>
    </w:p>
    <w:p>
      <w:pPr>
        <w:pStyle w:val="52"/>
        <w:numPr>
          <w:ilvl w:val="255"/>
          <w:numId w:val="0"/>
        </w:numPr>
        <w:spacing w:line="360" w:lineRule="auto"/>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 xml:space="preserve">   </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未提供方案或方案达不到进档要求的得0分。</w:t>
      </w:r>
      <w:r>
        <w:rPr>
          <w:rFonts w:hint="eastAsia" w:asciiTheme="majorEastAsia" w:hAnsiTheme="majorEastAsia" w:eastAsiaTheme="majorEastAsia" w:cstheme="majorEastAsia"/>
          <w:color w:val="auto"/>
          <w:sz w:val="21"/>
          <w:szCs w:val="21"/>
          <w:highlight w:val="none"/>
          <w:lang w:eastAsia="zh-CN"/>
        </w:rPr>
        <w:t>）</w:t>
      </w:r>
    </w:p>
    <w:p>
      <w:pPr>
        <w:pStyle w:val="52"/>
        <w:numPr>
          <w:ilvl w:val="255"/>
          <w:numId w:val="0"/>
        </w:numPr>
        <w:spacing w:line="360" w:lineRule="auto"/>
        <w:jc w:val="left"/>
        <w:rPr>
          <w:rFonts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lang w:val="en-US" w:eastAsia="zh-CN"/>
        </w:rPr>
        <w:t xml:space="preserve">    </w:t>
      </w:r>
      <w:r>
        <w:rPr>
          <w:rFonts w:hint="eastAsia" w:asciiTheme="majorEastAsia" w:hAnsiTheme="majorEastAsia" w:eastAsiaTheme="majorEastAsia" w:cstheme="majorEastAsia"/>
          <w:b/>
          <w:bCs/>
          <w:color w:val="auto"/>
          <w:sz w:val="21"/>
          <w:szCs w:val="21"/>
          <w:highlight w:val="none"/>
        </w:rPr>
        <w:t>（7）质保期（满分4分）</w:t>
      </w:r>
    </w:p>
    <w:p>
      <w:pPr>
        <w:pStyle w:val="52"/>
        <w:numPr>
          <w:ilvl w:val="255"/>
          <w:numId w:val="0"/>
        </w:numPr>
        <w:spacing w:line="360" w:lineRule="auto"/>
        <w:jc w:val="left"/>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 xml:space="preserve">     </w:t>
      </w:r>
      <w:r>
        <w:rPr>
          <w:rFonts w:hint="eastAsia" w:asciiTheme="majorEastAsia" w:hAnsiTheme="majorEastAsia" w:eastAsiaTheme="majorEastAsia" w:cstheme="majorEastAsia"/>
          <w:color w:val="auto"/>
          <w:sz w:val="21"/>
          <w:szCs w:val="21"/>
          <w:highlight w:val="none"/>
        </w:rPr>
        <w:t>满足基本质保期的基础上，产品整体质保期每延长一年增加1分，满分4分。</w:t>
      </w:r>
    </w:p>
    <w:p>
      <w:pPr>
        <w:pStyle w:val="29"/>
        <w:numPr>
          <w:ilvl w:val="255"/>
          <w:numId w:val="0"/>
        </w:numPr>
        <w:spacing w:line="360" w:lineRule="auto"/>
        <w:jc w:val="left"/>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bCs/>
          <w:color w:val="auto"/>
          <w:highlight w:val="none"/>
          <w:lang w:val="en-US" w:eastAsia="zh-CN"/>
        </w:rPr>
        <w:t xml:space="preserve">    </w:t>
      </w:r>
      <w:r>
        <w:rPr>
          <w:rFonts w:hint="eastAsia" w:asciiTheme="majorEastAsia" w:hAnsiTheme="majorEastAsia" w:eastAsiaTheme="majorEastAsia" w:cstheme="majorEastAsia"/>
          <w:b/>
          <w:bCs/>
          <w:color w:val="auto"/>
          <w:highlight w:val="none"/>
        </w:rPr>
        <w:t>3</w:t>
      </w:r>
      <w:r>
        <w:rPr>
          <w:rFonts w:hint="eastAsia" w:asciiTheme="majorEastAsia" w:hAnsiTheme="majorEastAsia" w:eastAsiaTheme="majorEastAsia" w:cstheme="majorEastAsia"/>
          <w:b/>
          <w:bCs/>
          <w:color w:val="auto"/>
          <w:highlight w:val="none"/>
          <w:lang w:eastAsia="zh-CN"/>
        </w:rPr>
        <w:t>、</w:t>
      </w:r>
      <w:r>
        <w:rPr>
          <w:rFonts w:hint="eastAsia" w:asciiTheme="majorEastAsia" w:hAnsiTheme="majorEastAsia" w:eastAsiaTheme="majorEastAsia" w:cstheme="majorEastAsia"/>
          <w:b/>
          <w:bCs/>
          <w:color w:val="auto"/>
          <w:highlight w:val="none"/>
        </w:rPr>
        <w:t xml:space="preserve">商务分 </w:t>
      </w:r>
      <w:r>
        <w:rPr>
          <w:rFonts w:hint="eastAsia" w:asciiTheme="majorEastAsia" w:hAnsiTheme="majorEastAsia" w:eastAsiaTheme="majorEastAsia" w:cstheme="majorEastAsia"/>
          <w:b/>
          <w:bCs/>
          <w:color w:val="auto"/>
          <w:spacing w:val="-8"/>
          <w:highlight w:val="none"/>
        </w:rPr>
        <w:t>……………………………………………………………………………</w:t>
      </w:r>
      <w:r>
        <w:rPr>
          <w:rFonts w:hint="eastAsia" w:asciiTheme="majorEastAsia" w:hAnsiTheme="majorEastAsia" w:eastAsiaTheme="majorEastAsia" w:cstheme="majorEastAsia"/>
          <w:b/>
          <w:bCs/>
          <w:color w:val="auto"/>
          <w:spacing w:val="-8"/>
          <w:highlight w:val="none"/>
          <w:lang w:val="en-US" w:eastAsia="zh-CN"/>
        </w:rPr>
        <w:t>10</w:t>
      </w:r>
      <w:r>
        <w:rPr>
          <w:rFonts w:hint="eastAsia" w:asciiTheme="majorEastAsia" w:hAnsiTheme="majorEastAsia" w:eastAsiaTheme="majorEastAsia" w:cstheme="majorEastAsia"/>
          <w:b/>
          <w:color w:val="auto"/>
          <w:highlight w:val="none"/>
        </w:rPr>
        <w:t>分</w:t>
      </w:r>
    </w:p>
    <w:p>
      <w:pPr>
        <w:pStyle w:val="21"/>
        <w:spacing w:line="360" w:lineRule="auto"/>
        <w:jc w:val="left"/>
        <w:rPr>
          <w:rFonts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 xml:space="preserve">    </w:t>
      </w:r>
      <w:r>
        <w:rPr>
          <w:rFonts w:hint="eastAsia" w:asciiTheme="majorEastAsia" w:hAnsiTheme="majorEastAsia" w:eastAsiaTheme="majorEastAsia" w:cstheme="majorEastAsia"/>
          <w:color w:val="auto"/>
          <w:sz w:val="21"/>
          <w:szCs w:val="21"/>
          <w:highlight w:val="none"/>
        </w:rPr>
        <w:t>（1）投标人或投标核心产品生产厂家具有质量管理体系认证证书、环境管理体系认证证书、职业健康安全管理体系认证证书，每有一项证书得1分，满分3分。</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投标文件提供证书复印件并加盖公章，证书须在有效期内</w:t>
      </w:r>
      <w:r>
        <w:rPr>
          <w:rFonts w:hint="eastAsia" w:asciiTheme="majorEastAsia" w:hAnsiTheme="majorEastAsia" w:eastAsiaTheme="majorEastAsia" w:cstheme="majorEastAsia"/>
          <w:color w:val="auto"/>
          <w:sz w:val="21"/>
          <w:szCs w:val="21"/>
          <w:highlight w:val="none"/>
          <w:lang w:eastAsia="zh-CN"/>
        </w:rPr>
        <w:t>）</w:t>
      </w:r>
    </w:p>
    <w:p>
      <w:pPr>
        <w:pStyle w:val="29"/>
        <w:numPr>
          <w:ilvl w:val="255"/>
          <w:numId w:val="0"/>
        </w:numPr>
        <w:spacing w:line="360" w:lineRule="auto"/>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lang w:val="en-US" w:eastAsia="zh-CN"/>
        </w:rPr>
        <w:t xml:space="preserve">    </w:t>
      </w:r>
      <w:r>
        <w:rPr>
          <w:rFonts w:hint="eastAsia" w:asciiTheme="majorEastAsia" w:hAnsiTheme="majorEastAsia" w:eastAsiaTheme="majorEastAsia" w:cstheme="majorEastAsia"/>
          <w:color w:val="auto"/>
          <w:highlight w:val="none"/>
        </w:rPr>
        <w:t>（2）投标人2020年1月1日至投标截止时间具有同类项目业绩的，每个得1分，满分5分。</w:t>
      </w:r>
      <w:r>
        <w:rPr>
          <w:rFonts w:hint="eastAsia" w:asciiTheme="majorEastAsia" w:hAnsiTheme="majorEastAsia" w:eastAsiaTheme="majorEastAsia" w:cstheme="majorEastAsia"/>
          <w:color w:val="auto"/>
          <w:highlight w:val="none"/>
          <w:lang w:eastAsia="zh-CN"/>
        </w:rPr>
        <w:t>（</w:t>
      </w:r>
      <w:r>
        <w:rPr>
          <w:rFonts w:hint="eastAsia" w:asciiTheme="majorEastAsia" w:hAnsiTheme="majorEastAsia" w:eastAsiaTheme="majorEastAsia" w:cstheme="majorEastAsia"/>
          <w:color w:val="auto"/>
          <w:highlight w:val="none"/>
        </w:rPr>
        <w:t>投标文件中提供有效的合同复印件</w:t>
      </w:r>
      <w:r>
        <w:rPr>
          <w:rFonts w:hint="eastAsia" w:asciiTheme="majorEastAsia" w:hAnsiTheme="majorEastAsia" w:eastAsiaTheme="majorEastAsia" w:cstheme="majorEastAsia"/>
          <w:color w:val="auto"/>
          <w:highlight w:val="none"/>
          <w:lang w:eastAsia="zh-CN"/>
        </w:rPr>
        <w:t>）</w:t>
      </w:r>
    </w:p>
    <w:p>
      <w:pPr>
        <w:pStyle w:val="29"/>
        <w:numPr>
          <w:ilvl w:val="255"/>
          <w:numId w:val="0"/>
        </w:numPr>
        <w:spacing w:line="360" w:lineRule="auto"/>
        <w:rPr>
          <w:rFonts w:asciiTheme="majorEastAsia" w:hAnsiTheme="majorEastAsia" w:eastAsiaTheme="majorEastAsia" w:cstheme="majorEastAsia"/>
          <w:b w:val="0"/>
          <w:bCs w:val="0"/>
          <w:color w:val="auto"/>
          <w:highlight w:val="none"/>
        </w:rPr>
      </w:pPr>
      <w:r>
        <w:rPr>
          <w:rFonts w:hint="eastAsia" w:asciiTheme="majorEastAsia" w:hAnsiTheme="majorEastAsia" w:eastAsiaTheme="majorEastAsia" w:cstheme="majorEastAsia"/>
          <w:b w:val="0"/>
          <w:bCs w:val="0"/>
          <w:color w:val="auto"/>
          <w:highlight w:val="none"/>
          <w:lang w:val="en-US" w:eastAsia="zh-CN"/>
        </w:rPr>
        <w:t xml:space="preserve">    </w:t>
      </w:r>
      <w:r>
        <w:rPr>
          <w:rFonts w:hint="eastAsia" w:asciiTheme="majorEastAsia" w:hAnsiTheme="majorEastAsia" w:eastAsiaTheme="majorEastAsia" w:cstheme="majorEastAsia"/>
          <w:b w:val="0"/>
          <w:bCs w:val="0"/>
          <w:color w:val="auto"/>
          <w:highlight w:val="none"/>
          <w:lang w:eastAsia="zh-CN"/>
        </w:rPr>
        <w:t>（</w:t>
      </w:r>
      <w:r>
        <w:rPr>
          <w:rFonts w:hint="eastAsia" w:asciiTheme="majorEastAsia" w:hAnsiTheme="majorEastAsia" w:eastAsiaTheme="majorEastAsia" w:cstheme="majorEastAsia"/>
          <w:b w:val="0"/>
          <w:bCs w:val="0"/>
          <w:color w:val="auto"/>
          <w:highlight w:val="none"/>
          <w:lang w:val="en-US" w:eastAsia="zh-CN"/>
        </w:rPr>
        <w:t>3</w:t>
      </w:r>
      <w:r>
        <w:rPr>
          <w:rFonts w:hint="eastAsia" w:asciiTheme="majorEastAsia" w:hAnsiTheme="majorEastAsia" w:eastAsiaTheme="majorEastAsia" w:cstheme="majorEastAsia"/>
          <w:b w:val="0"/>
          <w:bCs w:val="0"/>
          <w:color w:val="auto"/>
          <w:highlight w:val="none"/>
          <w:lang w:eastAsia="zh-CN"/>
        </w:rPr>
        <w:t>）</w:t>
      </w:r>
      <w:r>
        <w:rPr>
          <w:rFonts w:hint="eastAsia" w:asciiTheme="majorEastAsia" w:hAnsiTheme="majorEastAsia" w:eastAsiaTheme="majorEastAsia" w:cstheme="majorEastAsia"/>
          <w:b w:val="0"/>
          <w:bCs w:val="0"/>
          <w:color w:val="auto"/>
          <w:highlight w:val="none"/>
        </w:rPr>
        <w:t>政策功能分</w:t>
      </w:r>
      <w:r>
        <w:rPr>
          <w:rFonts w:hint="eastAsia" w:asciiTheme="majorEastAsia" w:hAnsiTheme="majorEastAsia" w:eastAsiaTheme="majorEastAsia" w:cstheme="majorEastAsia"/>
          <w:b w:val="0"/>
          <w:bCs w:val="0"/>
          <w:color w:val="auto"/>
          <w:highlight w:val="none"/>
          <w:lang w:eastAsia="zh-CN"/>
        </w:rPr>
        <w:t>（</w:t>
      </w:r>
      <w:r>
        <w:rPr>
          <w:rFonts w:hint="eastAsia" w:asciiTheme="majorEastAsia" w:hAnsiTheme="majorEastAsia" w:eastAsiaTheme="majorEastAsia" w:cstheme="majorEastAsia"/>
          <w:b w:val="0"/>
          <w:bCs w:val="0"/>
          <w:color w:val="auto"/>
          <w:spacing w:val="-8"/>
          <w:highlight w:val="none"/>
          <w:lang w:eastAsia="zh-CN"/>
        </w:rPr>
        <w:t>满分</w:t>
      </w:r>
      <w:r>
        <w:rPr>
          <w:rFonts w:hint="eastAsia" w:asciiTheme="majorEastAsia" w:hAnsiTheme="majorEastAsia" w:eastAsiaTheme="majorEastAsia" w:cstheme="majorEastAsia"/>
          <w:b w:val="0"/>
          <w:bCs w:val="0"/>
          <w:color w:val="auto"/>
          <w:spacing w:val="-8"/>
          <w:highlight w:val="none"/>
        </w:rPr>
        <w:t>2</w:t>
      </w:r>
      <w:r>
        <w:rPr>
          <w:rFonts w:hint="eastAsia" w:asciiTheme="majorEastAsia" w:hAnsiTheme="majorEastAsia" w:eastAsiaTheme="majorEastAsia" w:cstheme="majorEastAsia"/>
          <w:b w:val="0"/>
          <w:bCs w:val="0"/>
          <w:color w:val="auto"/>
          <w:highlight w:val="none"/>
        </w:rPr>
        <w:t>分</w:t>
      </w:r>
      <w:r>
        <w:rPr>
          <w:rFonts w:hint="eastAsia" w:asciiTheme="majorEastAsia" w:hAnsiTheme="majorEastAsia" w:eastAsiaTheme="majorEastAsia" w:cstheme="majorEastAsia"/>
          <w:b w:val="0"/>
          <w:bCs w:val="0"/>
          <w:color w:val="auto"/>
          <w:highlight w:val="none"/>
          <w:lang w:eastAsia="zh-CN"/>
        </w:rPr>
        <w:t>）</w:t>
      </w:r>
    </w:p>
    <w:p>
      <w:pPr>
        <w:pStyle w:val="299"/>
        <w:adjustRightInd w:val="0"/>
        <w:spacing w:line="360" w:lineRule="auto"/>
        <w:ind w:firstLine="0" w:firstLineChars="0"/>
        <w:jc w:val="left"/>
        <w:textAlignment w:val="baseline"/>
        <w:outlineLvl w:val="0"/>
        <w:rPr>
          <w:rFonts w:hint="eastAsia"/>
          <w:color w:val="auto"/>
          <w:highlight w:val="none"/>
        </w:rPr>
      </w:pPr>
      <w:r>
        <w:rPr>
          <w:rFonts w:hint="eastAsia" w:asciiTheme="majorEastAsia" w:hAnsiTheme="majorEastAsia" w:eastAsiaTheme="majorEastAsia" w:cstheme="majorEastAsia"/>
          <w:bCs/>
          <w:color w:val="auto"/>
          <w:szCs w:val="21"/>
          <w:highlight w:val="none"/>
        </w:rPr>
        <w:t xml:space="preserve"> </w:t>
      </w:r>
      <w:r>
        <w:rPr>
          <w:rFonts w:hint="eastAsia" w:asciiTheme="majorEastAsia" w:hAnsiTheme="majorEastAsia" w:eastAsiaTheme="majorEastAsia" w:cstheme="majorEastAsia"/>
          <w:bCs/>
          <w:color w:val="auto"/>
          <w:szCs w:val="21"/>
          <w:highlight w:val="none"/>
          <w:lang w:val="en-US" w:eastAsia="zh-CN"/>
        </w:rPr>
        <w:t xml:space="preserve">    </w:t>
      </w:r>
      <w:r>
        <w:rPr>
          <w:rFonts w:hint="eastAsia"/>
          <w:color w:val="auto"/>
          <w:highlight w:val="none"/>
        </w:rPr>
        <w:t>①投标产品纳入（财库[2019]19号）中节能产品政府采购清单的（适用于非强制采购节能产品</w:t>
      </w:r>
      <w:r>
        <w:rPr>
          <w:rFonts w:hint="eastAsia"/>
          <w:color w:val="auto"/>
          <w:highlight w:val="none"/>
          <w:lang w:eastAsia="zh-CN"/>
        </w:rPr>
        <w:t>，</w:t>
      </w:r>
      <w:r>
        <w:rPr>
          <w:rFonts w:hint="eastAsia"/>
          <w:color w:val="auto"/>
          <w:highlight w:val="none"/>
        </w:rPr>
        <w:t>依据《市场监管总局关于发布参与实施政府采购节能产品、环境标志产品认证机构名录的公告》，提供所投相应型号产品有效的认证证书扫描件或其他电子文件</w:t>
      </w:r>
      <w:r>
        <w:rPr>
          <w:rFonts w:hint="eastAsia"/>
          <w:color w:val="auto"/>
          <w:highlight w:val="none"/>
          <w:lang w:eastAsia="zh-CN"/>
        </w:rPr>
        <w:t>），得</w:t>
      </w:r>
      <w:r>
        <w:rPr>
          <w:rFonts w:hint="eastAsia"/>
          <w:color w:val="auto"/>
          <w:highlight w:val="none"/>
          <w:lang w:val="en-US" w:eastAsia="zh-CN"/>
        </w:rPr>
        <w:t>1分，</w:t>
      </w:r>
      <w:r>
        <w:rPr>
          <w:rFonts w:hint="eastAsia"/>
          <w:color w:val="auto"/>
          <w:highlight w:val="none"/>
        </w:rPr>
        <w:t>满分</w:t>
      </w:r>
      <w:r>
        <w:rPr>
          <w:rFonts w:hint="eastAsia"/>
          <w:color w:val="auto"/>
          <w:highlight w:val="none"/>
          <w:lang w:val="en-US" w:eastAsia="zh-CN"/>
        </w:rPr>
        <w:t>1</w:t>
      </w:r>
      <w:r>
        <w:rPr>
          <w:rFonts w:hint="eastAsia"/>
          <w:color w:val="auto"/>
          <w:highlight w:val="none"/>
        </w:rPr>
        <w:t>分。</w:t>
      </w:r>
    </w:p>
    <w:p>
      <w:pPr>
        <w:spacing w:line="400" w:lineRule="exact"/>
        <w:ind w:firstLine="420" w:firstLineChars="200"/>
        <w:outlineLvl w:val="0"/>
        <w:rPr>
          <w:rFonts w:hint="eastAsia" w:ascii="宋体" w:hAnsi="宋体" w:cs="宋体"/>
          <w:color w:val="auto"/>
          <w:highlight w:val="none"/>
        </w:rPr>
      </w:pPr>
      <w:r>
        <w:rPr>
          <w:rFonts w:hint="eastAsia" w:ascii="宋体" w:hAnsi="宋体" w:cs="宋体"/>
          <w:bCs/>
          <w:color w:val="auto"/>
          <w:kern w:val="0"/>
          <w:szCs w:val="21"/>
          <w:highlight w:val="none"/>
          <w:lang w:bidi="ar"/>
        </w:rPr>
        <w:fldChar w:fldCharType="begin"/>
      </w:r>
      <w:r>
        <w:rPr>
          <w:rFonts w:hint="eastAsia" w:ascii="宋体" w:hAnsi="宋体" w:cs="宋体"/>
          <w:bCs/>
          <w:color w:val="auto"/>
          <w:kern w:val="0"/>
          <w:szCs w:val="21"/>
          <w:highlight w:val="none"/>
          <w:lang w:bidi="ar"/>
        </w:rPr>
        <w:instrText xml:space="preserve"> = 2 \* GB3 \* MERGEFORMAT </w:instrText>
      </w:r>
      <w:r>
        <w:rPr>
          <w:rFonts w:hint="eastAsia" w:ascii="宋体" w:hAnsi="宋体" w:cs="宋体"/>
          <w:bCs/>
          <w:color w:val="auto"/>
          <w:kern w:val="0"/>
          <w:szCs w:val="21"/>
          <w:highlight w:val="none"/>
          <w:lang w:bidi="ar"/>
        </w:rPr>
        <w:fldChar w:fldCharType="separate"/>
      </w:r>
      <w:r>
        <w:rPr>
          <w:rFonts w:hint="eastAsia" w:ascii="宋体" w:hAnsi="宋体" w:cs="宋体"/>
          <w:color w:val="auto"/>
          <w:highlight w:val="none"/>
        </w:rPr>
        <w:t>②</w:t>
      </w:r>
      <w:r>
        <w:rPr>
          <w:rFonts w:hint="eastAsia" w:ascii="宋体" w:hAnsi="宋体" w:cs="宋体"/>
          <w:bCs/>
          <w:color w:val="auto"/>
          <w:kern w:val="0"/>
          <w:szCs w:val="21"/>
          <w:highlight w:val="none"/>
          <w:lang w:bidi="ar"/>
        </w:rPr>
        <w:fldChar w:fldCharType="end"/>
      </w:r>
      <w:r>
        <w:rPr>
          <w:rFonts w:hint="eastAsia" w:ascii="宋体" w:hAnsi="宋体" w:cs="宋体"/>
          <w:color w:val="auto"/>
          <w:highlight w:val="none"/>
        </w:rPr>
        <w:t>投标产品纳入（财库[2019]18号）中环境标志产品政府采购清单的（依据《市场监管总局关于发</w:t>
      </w:r>
      <w:r>
        <w:rPr>
          <w:rFonts w:hint="eastAsia"/>
          <w:color w:val="auto"/>
          <w:highlight w:val="none"/>
        </w:rPr>
        <w:t>布参与实施政府采购节能产品、环境标志产品认证机构名录的公告》，提供所投相应型号产品有效的认</w:t>
      </w:r>
      <w:r>
        <w:rPr>
          <w:rFonts w:hint="eastAsia" w:ascii="宋体" w:hAnsi="宋体" w:cs="宋体"/>
          <w:color w:val="auto"/>
          <w:highlight w:val="none"/>
        </w:rPr>
        <w:t>证证书扫描件或其他电子文件）</w:t>
      </w:r>
      <w:r>
        <w:rPr>
          <w:rFonts w:hint="eastAsia"/>
          <w:color w:val="auto"/>
          <w:highlight w:val="none"/>
          <w:lang w:eastAsia="zh-CN"/>
        </w:rPr>
        <w:t>，得</w:t>
      </w:r>
      <w:r>
        <w:rPr>
          <w:rFonts w:hint="eastAsia"/>
          <w:color w:val="auto"/>
          <w:highlight w:val="none"/>
          <w:lang w:val="en-US" w:eastAsia="zh-CN"/>
        </w:rPr>
        <w:t>1分，</w:t>
      </w:r>
      <w:r>
        <w:rPr>
          <w:rFonts w:hint="eastAsia" w:ascii="宋体" w:hAnsi="宋体" w:cs="宋体"/>
          <w:color w:val="auto"/>
          <w:highlight w:val="none"/>
        </w:rPr>
        <w:t>满分</w:t>
      </w:r>
      <w:r>
        <w:rPr>
          <w:rFonts w:hint="eastAsia" w:ascii="宋体" w:hAnsi="宋体" w:cs="宋体"/>
          <w:color w:val="auto"/>
          <w:highlight w:val="none"/>
          <w:lang w:val="en-US" w:eastAsia="zh-CN"/>
        </w:rPr>
        <w:t>1</w:t>
      </w:r>
      <w:r>
        <w:rPr>
          <w:rFonts w:hint="eastAsia" w:ascii="宋体" w:hAnsi="宋体" w:cs="宋体"/>
          <w:color w:val="auto"/>
          <w:highlight w:val="none"/>
        </w:rPr>
        <w:t>分。</w:t>
      </w:r>
    </w:p>
    <w:p>
      <w:pPr>
        <w:pStyle w:val="29"/>
        <w:numPr>
          <w:ilvl w:val="255"/>
          <w:numId w:val="0"/>
        </w:numPr>
        <w:spacing w:line="360" w:lineRule="auto"/>
        <w:jc w:val="center"/>
        <w:rPr>
          <w:rFonts w:asciiTheme="majorEastAsia" w:hAnsiTheme="majorEastAsia" w:eastAsiaTheme="majorEastAsia" w:cstheme="majorEastAsia"/>
          <w:bCs/>
          <w:color w:val="auto"/>
          <w:highlight w:val="none"/>
        </w:rPr>
      </w:pPr>
    </w:p>
    <w:p>
      <w:pPr>
        <w:pStyle w:val="29"/>
        <w:numPr>
          <w:ilvl w:val="255"/>
          <w:numId w:val="0"/>
        </w:numPr>
        <w:spacing w:line="360" w:lineRule="auto"/>
        <w:rPr>
          <w:rFonts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b/>
          <w:bCs/>
          <w:color w:val="auto"/>
          <w:spacing w:val="-2"/>
          <w:highlight w:val="none"/>
          <w:lang w:val="en-US" w:eastAsia="zh-CN"/>
        </w:rPr>
        <w:t xml:space="preserve"> </w:t>
      </w:r>
      <w:r>
        <w:rPr>
          <w:rFonts w:hint="eastAsia" w:asciiTheme="majorEastAsia" w:hAnsiTheme="majorEastAsia" w:eastAsiaTheme="majorEastAsia" w:cstheme="majorEastAsia"/>
          <w:b/>
          <w:bCs/>
          <w:color w:val="auto"/>
          <w:spacing w:val="-2"/>
          <w:highlight w:val="none"/>
        </w:rPr>
        <w:t>（三）总得分=</w:t>
      </w:r>
      <w:r>
        <w:rPr>
          <w:rFonts w:hint="eastAsia" w:asciiTheme="majorEastAsia" w:hAnsiTheme="majorEastAsia" w:eastAsiaTheme="majorEastAsia" w:cstheme="majorEastAsia"/>
          <w:color w:val="auto"/>
          <w:highlight w:val="none"/>
        </w:rPr>
        <w:t xml:space="preserve"> </w:t>
      </w:r>
      <w:r>
        <w:rPr>
          <w:rFonts w:hint="eastAsia" w:asciiTheme="majorEastAsia" w:hAnsiTheme="majorEastAsia" w:eastAsiaTheme="majorEastAsia" w:cstheme="majorEastAsia"/>
          <w:b/>
          <w:bCs/>
          <w:color w:val="auto"/>
          <w:highlight w:val="none"/>
        </w:rPr>
        <w:t xml:space="preserve">1 + 2 + 3 </w:t>
      </w:r>
    </w:p>
    <w:p>
      <w:pPr>
        <w:spacing w:line="360" w:lineRule="auto"/>
        <w:rPr>
          <w:rFonts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Cs w:val="21"/>
          <w:highlight w:val="none"/>
          <w:lang w:val="en-US" w:eastAsia="zh-CN"/>
        </w:rPr>
        <w:t xml:space="preserve">  </w:t>
      </w:r>
      <w:r>
        <w:rPr>
          <w:rFonts w:hint="eastAsia" w:asciiTheme="majorEastAsia" w:hAnsiTheme="majorEastAsia" w:eastAsiaTheme="majorEastAsia" w:cstheme="majorEastAsia"/>
          <w:b/>
          <w:bCs/>
          <w:color w:val="auto"/>
          <w:szCs w:val="21"/>
          <w:highlight w:val="none"/>
        </w:rPr>
        <w:t>三、中标候选人推荐原则</w:t>
      </w:r>
    </w:p>
    <w:p>
      <w:pPr>
        <w:spacing w:line="360" w:lineRule="auto"/>
        <w:ind w:firstLine="420" w:firstLineChars="200"/>
        <w:rPr>
          <w:rFonts w:hint="eastAsia"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一）评标委员会将根据得分由高到低排列次序（得分相同时，以投标报价由低到高顺序排列；得分相同且投标报价相同的，按技术指标优劣顺序排列）并推荐中标候选供应商。采购人应当确定评审委员会推荐排名第一的中标候选人为中标人。</w:t>
      </w:r>
    </w:p>
    <w:p>
      <w:pPr>
        <w:spacing w:line="360" w:lineRule="auto"/>
        <w:ind w:firstLine="420" w:firstLineChars="20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排名第一的中标候选人放弃中标、因不可抗力提出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pPr>
        <w:spacing w:line="360" w:lineRule="auto"/>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20" w:firstLineChars="200"/>
        <w:rPr>
          <w:rFonts w:asciiTheme="majorEastAsia" w:hAnsiTheme="majorEastAsia" w:eastAsiaTheme="majorEastAsia" w:cstheme="majorEastAsia"/>
          <w:bCs/>
          <w:color w:val="auto"/>
          <w:szCs w:val="21"/>
          <w:highlight w:val="none"/>
        </w:rPr>
      </w:pPr>
    </w:p>
    <w:p>
      <w:pPr>
        <w:pStyle w:val="29"/>
        <w:snapToGrid w:val="0"/>
        <w:spacing w:before="120" w:after="120" w:line="360" w:lineRule="auto"/>
        <w:jc w:val="center"/>
        <w:outlineLvl w:val="0"/>
        <w:rPr>
          <w:rFonts w:asciiTheme="majorEastAsia" w:hAnsiTheme="majorEastAsia" w:eastAsiaTheme="majorEastAsia" w:cstheme="majorEastAsia"/>
          <w:b/>
          <w:color w:val="auto"/>
          <w:highlight w:val="none"/>
        </w:rPr>
      </w:pPr>
    </w:p>
    <w:p>
      <w:pPr>
        <w:spacing w:line="360" w:lineRule="auto"/>
        <w:rPr>
          <w:rFonts w:asciiTheme="majorEastAsia" w:hAnsiTheme="majorEastAsia" w:eastAsiaTheme="majorEastAsia" w:cstheme="majorEastAsia"/>
          <w:color w:val="auto"/>
          <w:szCs w:val="21"/>
          <w:highlight w:val="none"/>
        </w:rPr>
      </w:pPr>
    </w:p>
    <w:p>
      <w:pPr>
        <w:spacing w:line="360" w:lineRule="auto"/>
        <w:rPr>
          <w:rFonts w:asciiTheme="majorEastAsia" w:hAnsiTheme="majorEastAsia" w:eastAsiaTheme="majorEastAsia" w:cstheme="majorEastAsia"/>
          <w:color w:val="auto"/>
          <w:szCs w:val="21"/>
          <w:highlight w:val="none"/>
        </w:rPr>
      </w:pPr>
    </w:p>
    <w:p>
      <w:pPr>
        <w:spacing w:line="360" w:lineRule="auto"/>
        <w:rPr>
          <w:rFonts w:asciiTheme="majorEastAsia" w:hAnsiTheme="majorEastAsia" w:eastAsiaTheme="majorEastAsia" w:cstheme="majorEastAsia"/>
          <w:color w:val="auto"/>
          <w:szCs w:val="21"/>
          <w:highlight w:val="none"/>
        </w:rPr>
      </w:pPr>
    </w:p>
    <w:p>
      <w:pPr>
        <w:spacing w:line="360" w:lineRule="auto"/>
        <w:rPr>
          <w:rFonts w:asciiTheme="majorEastAsia" w:hAnsiTheme="majorEastAsia" w:eastAsiaTheme="majorEastAsia" w:cstheme="majorEastAsia"/>
          <w:color w:val="auto"/>
          <w:szCs w:val="21"/>
          <w:highlight w:val="none"/>
        </w:rPr>
      </w:pPr>
    </w:p>
    <w:p>
      <w:pPr>
        <w:pStyle w:val="52"/>
        <w:ind w:firstLine="240"/>
        <w:rPr>
          <w:color w:val="auto"/>
          <w:highlight w:val="none"/>
        </w:rPr>
      </w:pPr>
    </w:p>
    <w:p>
      <w:pPr>
        <w:spacing w:line="360" w:lineRule="auto"/>
        <w:rPr>
          <w:rFonts w:asciiTheme="majorEastAsia" w:hAnsiTheme="majorEastAsia" w:eastAsiaTheme="majorEastAsia" w:cstheme="majorEastAsia"/>
          <w:color w:val="auto"/>
          <w:szCs w:val="21"/>
          <w:highlight w:val="none"/>
        </w:rPr>
      </w:pPr>
    </w:p>
    <w:p>
      <w:pPr>
        <w:pStyle w:val="52"/>
        <w:ind w:firstLine="240"/>
        <w:rPr>
          <w:rFonts w:asciiTheme="majorEastAsia" w:hAnsiTheme="majorEastAsia" w:eastAsiaTheme="majorEastAsia" w:cstheme="majorEastAsia"/>
          <w:color w:val="auto"/>
          <w:szCs w:val="21"/>
          <w:highlight w:val="none"/>
        </w:rPr>
      </w:pPr>
    </w:p>
    <w:p>
      <w:pPr>
        <w:pStyle w:val="52"/>
        <w:ind w:firstLine="240"/>
        <w:rPr>
          <w:rFonts w:asciiTheme="majorEastAsia" w:hAnsiTheme="majorEastAsia" w:eastAsiaTheme="majorEastAsia" w:cstheme="majorEastAsia"/>
          <w:color w:val="auto"/>
          <w:szCs w:val="21"/>
          <w:highlight w:val="none"/>
        </w:rPr>
      </w:pPr>
    </w:p>
    <w:p>
      <w:pPr>
        <w:pStyle w:val="52"/>
        <w:ind w:firstLine="240"/>
        <w:rPr>
          <w:rFonts w:asciiTheme="majorEastAsia" w:hAnsiTheme="majorEastAsia" w:eastAsiaTheme="majorEastAsia" w:cstheme="majorEastAsia"/>
          <w:color w:val="auto"/>
          <w:szCs w:val="21"/>
          <w:highlight w:val="none"/>
        </w:rPr>
      </w:pPr>
    </w:p>
    <w:p>
      <w:pPr>
        <w:pStyle w:val="52"/>
        <w:ind w:firstLine="240"/>
        <w:rPr>
          <w:rFonts w:asciiTheme="majorEastAsia" w:hAnsiTheme="majorEastAsia" w:eastAsiaTheme="majorEastAsia" w:cstheme="majorEastAsia"/>
          <w:color w:val="auto"/>
          <w:szCs w:val="21"/>
          <w:highlight w:val="none"/>
        </w:rPr>
      </w:pPr>
    </w:p>
    <w:p>
      <w:pPr>
        <w:pStyle w:val="52"/>
        <w:ind w:firstLine="240"/>
        <w:rPr>
          <w:rFonts w:asciiTheme="majorEastAsia" w:hAnsiTheme="majorEastAsia" w:eastAsiaTheme="majorEastAsia" w:cstheme="majorEastAsia"/>
          <w:color w:val="auto"/>
          <w:szCs w:val="21"/>
          <w:highlight w:val="none"/>
        </w:rPr>
      </w:pPr>
    </w:p>
    <w:p>
      <w:pPr>
        <w:pStyle w:val="52"/>
        <w:ind w:firstLine="240"/>
        <w:rPr>
          <w:rFonts w:asciiTheme="majorEastAsia" w:hAnsiTheme="majorEastAsia" w:eastAsiaTheme="majorEastAsia" w:cstheme="majorEastAsia"/>
          <w:color w:val="auto"/>
          <w:szCs w:val="21"/>
          <w:highlight w:val="none"/>
        </w:rPr>
      </w:pPr>
    </w:p>
    <w:p>
      <w:pPr>
        <w:pStyle w:val="52"/>
        <w:ind w:firstLine="240"/>
        <w:rPr>
          <w:rFonts w:asciiTheme="majorEastAsia" w:hAnsiTheme="majorEastAsia" w:eastAsiaTheme="majorEastAsia" w:cstheme="majorEastAsia"/>
          <w:color w:val="auto"/>
          <w:szCs w:val="21"/>
          <w:highlight w:val="none"/>
        </w:rPr>
      </w:pPr>
    </w:p>
    <w:p>
      <w:pPr>
        <w:spacing w:line="360" w:lineRule="exact"/>
        <w:jc w:val="center"/>
        <w:rPr>
          <w:rFonts w:hint="eastAsia" w:ascii="仿宋_GB2312" w:hAnsi="宋体" w:eastAsia="仿宋_GB2312"/>
          <w:b/>
          <w:color w:val="auto"/>
          <w:sz w:val="32"/>
          <w:szCs w:val="32"/>
          <w:highlight w:val="none"/>
          <w:u w:val="single"/>
          <w:lang w:val="en-US" w:eastAsia="zh-CN"/>
        </w:rPr>
      </w:pPr>
      <w:r>
        <w:rPr>
          <w:rFonts w:hint="eastAsia" w:ascii="仿宋_GB2312" w:hAnsi="宋体" w:eastAsia="仿宋_GB2312"/>
          <w:b/>
          <w:color w:val="auto"/>
          <w:sz w:val="32"/>
          <w:szCs w:val="32"/>
          <w:highlight w:val="none"/>
          <w:u w:val="single"/>
          <w:lang w:val="en-US" w:eastAsia="zh-CN"/>
        </w:rPr>
        <w:t>评标办法及评分标准</w:t>
      </w:r>
    </w:p>
    <w:p>
      <w:pPr>
        <w:spacing w:line="360" w:lineRule="exact"/>
        <w:jc w:val="center"/>
        <w:rPr>
          <w:rFonts w:hAnsi="宋体"/>
          <w:b/>
          <w:dstrike/>
          <w:color w:val="auto"/>
          <w:sz w:val="28"/>
          <w:szCs w:val="28"/>
          <w:highlight w:val="none"/>
        </w:rPr>
      </w:pPr>
      <w:r>
        <w:rPr>
          <w:rFonts w:hint="eastAsia" w:ascii="仿宋_GB2312" w:hAnsi="宋体" w:eastAsia="仿宋_GB2312"/>
          <w:b/>
          <w:color w:val="auto"/>
          <w:sz w:val="21"/>
          <w:szCs w:val="21"/>
          <w:highlight w:val="none"/>
          <w:u w:val="single"/>
          <w:lang w:val="en-US" w:eastAsia="zh-CN"/>
        </w:rPr>
        <w:t>（</w:t>
      </w:r>
      <w:r>
        <w:rPr>
          <w:rFonts w:hint="eastAsia" w:ascii="仿宋_GB2312" w:hAnsi="宋体" w:eastAsia="仿宋_GB2312"/>
          <w:b/>
          <w:color w:val="auto"/>
          <w:sz w:val="21"/>
          <w:szCs w:val="21"/>
          <w:highlight w:val="none"/>
          <w:u w:val="single"/>
          <w:lang w:eastAsia="zh-CN"/>
        </w:rPr>
        <w:t>适用分标</w:t>
      </w:r>
      <w:r>
        <w:rPr>
          <w:rFonts w:hint="eastAsia" w:ascii="仿宋_GB2312" w:hAnsi="宋体" w:eastAsia="仿宋_GB2312"/>
          <w:b/>
          <w:color w:val="auto"/>
          <w:sz w:val="21"/>
          <w:szCs w:val="21"/>
          <w:highlight w:val="none"/>
          <w:u w:val="single"/>
          <w:lang w:val="en-US" w:eastAsia="zh-CN"/>
        </w:rPr>
        <w:t>2）</w:t>
      </w:r>
    </w:p>
    <w:p>
      <w:pPr>
        <w:pStyle w:val="29"/>
        <w:spacing w:line="400" w:lineRule="exact"/>
        <w:ind w:firstLine="516" w:firstLineChars="245"/>
        <w:rPr>
          <w:rFonts w:hAnsi="宋体"/>
          <w:b/>
          <w:color w:val="auto"/>
          <w:highlight w:val="none"/>
        </w:rPr>
      </w:pPr>
      <w:r>
        <w:rPr>
          <w:rFonts w:hint="eastAsia" w:hAnsi="宋体"/>
          <w:b/>
          <w:color w:val="auto"/>
          <w:highlight w:val="none"/>
        </w:rPr>
        <w:t>一、评标原则</w:t>
      </w:r>
    </w:p>
    <w:p>
      <w:pPr>
        <w:pStyle w:val="29"/>
        <w:spacing w:line="400" w:lineRule="exact"/>
        <w:ind w:firstLine="483" w:firstLineChars="230"/>
        <w:rPr>
          <w:rFonts w:hAnsi="宋体"/>
          <w:bCs/>
          <w:color w:val="auto"/>
          <w:szCs w:val="20"/>
          <w:highlight w:val="none"/>
        </w:rPr>
      </w:pPr>
      <w:r>
        <w:rPr>
          <w:rFonts w:hint="eastAsia" w:hAnsi="宋体"/>
          <w:bCs/>
          <w:color w:val="auto"/>
          <w:highlight w:val="none"/>
        </w:rPr>
        <w:t>(一)评委组成：本招标采购项目的</w:t>
      </w:r>
      <w:r>
        <w:rPr>
          <w:rFonts w:hint="eastAsia"/>
          <w:color w:val="auto"/>
          <w:spacing w:val="-4"/>
          <w:highlight w:val="none"/>
        </w:rPr>
        <w:t>评标委员会由采购人代表和评审专家组成，成员人数应当为5人以上单数，其中评审专家不得少于成员总数的三分之二。</w:t>
      </w:r>
    </w:p>
    <w:p>
      <w:pPr>
        <w:pStyle w:val="29"/>
        <w:spacing w:line="400" w:lineRule="exact"/>
        <w:ind w:firstLine="499" w:firstLineChars="238"/>
        <w:rPr>
          <w:rFonts w:hAnsi="宋体"/>
          <w:bCs/>
          <w:color w:val="auto"/>
          <w:highlight w:val="none"/>
        </w:rPr>
      </w:pPr>
      <w:r>
        <w:rPr>
          <w:rFonts w:hint="eastAsia" w:hAnsi="宋体"/>
          <w:bCs/>
          <w:color w:val="auto"/>
          <w:highlight w:val="none"/>
        </w:rPr>
        <w:t>(二)评标依据：</w:t>
      </w:r>
      <w:r>
        <w:rPr>
          <w:rFonts w:hAnsi="宋体"/>
          <w:bCs/>
          <w:color w:val="auto"/>
          <w:highlight w:val="none"/>
        </w:rPr>
        <w:t>评委将以招投标文件为评标依据，对投标人的投标内容按百分制打分。</w:t>
      </w:r>
    </w:p>
    <w:p>
      <w:pPr>
        <w:pStyle w:val="29"/>
        <w:spacing w:line="400" w:lineRule="exact"/>
        <w:ind w:firstLine="510" w:firstLineChars="243"/>
        <w:rPr>
          <w:rFonts w:hAnsi="宋体"/>
          <w:bCs/>
          <w:color w:val="auto"/>
          <w:highlight w:val="none"/>
        </w:rPr>
      </w:pPr>
      <w:r>
        <w:rPr>
          <w:rFonts w:hint="eastAsia" w:hAnsi="宋体"/>
          <w:bCs/>
          <w:color w:val="auto"/>
          <w:highlight w:val="none"/>
        </w:rPr>
        <w:t>(三)评标方式：以封闭方式进行。</w:t>
      </w:r>
    </w:p>
    <w:p>
      <w:pPr>
        <w:pStyle w:val="29"/>
        <w:spacing w:line="400" w:lineRule="exact"/>
        <w:ind w:firstLine="510" w:firstLineChars="243"/>
        <w:rPr>
          <w:rFonts w:hAnsi="宋体"/>
          <w:b/>
          <w:color w:val="auto"/>
          <w:highlight w:val="none"/>
        </w:rPr>
      </w:pPr>
      <w:r>
        <w:rPr>
          <w:rFonts w:hint="eastAsia" w:hAnsi="宋体"/>
          <w:bCs/>
          <w:color w:val="auto"/>
          <w:highlight w:val="none"/>
        </w:rPr>
        <w:t>二</w:t>
      </w:r>
      <w:r>
        <w:rPr>
          <w:rFonts w:hint="eastAsia" w:hAnsi="宋体"/>
          <w:b/>
          <w:color w:val="auto"/>
          <w:highlight w:val="none"/>
        </w:rPr>
        <w:t>、评标方法</w:t>
      </w:r>
    </w:p>
    <w:p>
      <w:pPr>
        <w:pStyle w:val="29"/>
        <w:spacing w:line="400" w:lineRule="exact"/>
        <w:ind w:firstLine="420" w:firstLineChars="200"/>
        <w:outlineLvl w:val="0"/>
        <w:rPr>
          <w:rFonts w:hAnsi="宋体"/>
          <w:color w:val="auto"/>
          <w:highlight w:val="none"/>
        </w:rPr>
      </w:pPr>
      <w:r>
        <w:rPr>
          <w:rFonts w:hint="eastAsia" w:hAnsi="宋体"/>
          <w:color w:val="auto"/>
          <w:highlight w:val="none"/>
        </w:rPr>
        <w:t>（一）对进入详评的，采用百分制综合评分法。</w:t>
      </w:r>
    </w:p>
    <w:p>
      <w:pPr>
        <w:pStyle w:val="29"/>
        <w:spacing w:line="400" w:lineRule="exact"/>
        <w:ind w:firstLine="420" w:firstLineChars="200"/>
        <w:outlineLvl w:val="0"/>
        <w:rPr>
          <w:rFonts w:hAnsi="宋体"/>
          <w:color w:val="auto"/>
          <w:highlight w:val="none"/>
        </w:rPr>
      </w:pPr>
      <w:r>
        <w:rPr>
          <w:rFonts w:hint="eastAsia" w:hAnsi="宋体"/>
          <w:color w:val="auto"/>
          <w:highlight w:val="none"/>
        </w:rPr>
        <w:t>（二）计分办法（按四舍五入取至百分位）：</w:t>
      </w:r>
    </w:p>
    <w:p>
      <w:pPr>
        <w:pStyle w:val="29"/>
        <w:spacing w:line="400" w:lineRule="exact"/>
        <w:ind w:firstLine="501" w:firstLineChars="238"/>
        <w:rPr>
          <w:b/>
          <w:color w:val="auto"/>
          <w:highlight w:val="none"/>
        </w:rPr>
      </w:pPr>
      <w:r>
        <w:rPr>
          <w:rFonts w:hint="eastAsia"/>
          <w:b/>
          <w:color w:val="auto"/>
          <w:highlight w:val="none"/>
        </w:rPr>
        <w:t>1</w:t>
      </w:r>
      <w:r>
        <w:rPr>
          <w:rFonts w:hint="eastAsia"/>
          <w:b/>
          <w:color w:val="auto"/>
          <w:highlight w:val="none"/>
          <w:lang w:eastAsia="zh-CN"/>
        </w:rPr>
        <w:t>、</w:t>
      </w:r>
      <w:r>
        <w:rPr>
          <w:rFonts w:hint="eastAsia"/>
          <w:b/>
          <w:color w:val="auto"/>
          <w:highlight w:val="none"/>
        </w:rPr>
        <w:t>价格分</w:t>
      </w:r>
      <w:r>
        <w:rPr>
          <w:rFonts w:hint="eastAsia" w:hAnsi="宋体"/>
          <w:b/>
          <w:bCs/>
          <w:color w:val="auto"/>
          <w:spacing w:val="-8"/>
          <w:highlight w:val="none"/>
        </w:rPr>
        <w:t>………………………………………………………………………………………</w:t>
      </w:r>
      <w:r>
        <w:rPr>
          <w:rFonts w:hint="eastAsia"/>
          <w:b/>
          <w:color w:val="auto"/>
          <w:highlight w:val="none"/>
        </w:rPr>
        <w:t>30分</w:t>
      </w:r>
    </w:p>
    <w:p>
      <w:pPr>
        <w:pStyle w:val="299"/>
        <w:adjustRightInd w:val="0"/>
        <w:spacing w:line="360" w:lineRule="auto"/>
        <w:ind w:firstLine="0" w:firstLineChars="0"/>
        <w:jc w:val="left"/>
        <w:textAlignment w:val="baseline"/>
        <w:outlineLvl w:val="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 xml:space="preserve">   </w:t>
      </w:r>
      <w:r>
        <w:rPr>
          <w:rFonts w:hint="eastAsia" w:asciiTheme="majorEastAsia" w:hAnsiTheme="majorEastAsia" w:eastAsiaTheme="majorEastAsia" w:cstheme="majorEastAsia"/>
          <w:bCs/>
          <w:color w:val="auto"/>
          <w:szCs w:val="21"/>
          <w:highlight w:val="none"/>
          <w:lang w:val="en-US" w:eastAsia="zh-CN"/>
        </w:rPr>
        <w:t xml:space="preserve"> </w:t>
      </w:r>
      <w:r>
        <w:rPr>
          <w:rFonts w:hint="eastAsia" w:asciiTheme="majorEastAsia" w:hAnsiTheme="majorEastAsia" w:eastAsiaTheme="majorEastAsia" w:cstheme="majorEastAsia"/>
          <w:bCs/>
          <w:color w:val="auto"/>
          <w:szCs w:val="21"/>
          <w:highlight w:val="none"/>
        </w:rPr>
        <w:t>（1）符合《政府采购促进中小企业发展管理办法》（财库〔2020〕46号）规定条件且按该办法中规定的格式提供了《中小企业声明函》的小型和微型企业。对其投标价给予10%的扣除，扣除后的价格为评标价，即评标价=投标价×（1-10%）；除上述情况外，评标价=投标价。</w:t>
      </w:r>
    </w:p>
    <w:p>
      <w:pPr>
        <w:pStyle w:val="299"/>
        <w:adjustRightInd w:val="0"/>
        <w:spacing w:line="360" w:lineRule="auto"/>
        <w:ind w:firstLine="0" w:firstLineChars="0"/>
        <w:jc w:val="left"/>
        <w:textAlignment w:val="baseline"/>
        <w:outlineLvl w:val="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lang w:val="en-US" w:eastAsia="zh-CN"/>
        </w:rPr>
        <w:t xml:space="preserve">     </w:t>
      </w:r>
      <w:r>
        <w:rPr>
          <w:rFonts w:hint="eastAsia" w:asciiTheme="majorEastAsia" w:hAnsiTheme="majorEastAsia" w:eastAsiaTheme="majorEastAsia" w:cstheme="majorEastAsia"/>
          <w:bCs/>
          <w:color w:val="auto"/>
          <w:szCs w:val="21"/>
          <w:highlight w:val="none"/>
        </w:rPr>
        <w:t>投标产品生产企业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299"/>
        <w:adjustRightInd w:val="0"/>
        <w:spacing w:line="360" w:lineRule="auto"/>
        <w:ind w:firstLine="0" w:firstLineChars="0"/>
        <w:jc w:val="left"/>
        <w:textAlignment w:val="baseline"/>
        <w:outlineLvl w:val="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lang w:val="en-US" w:eastAsia="zh-CN"/>
        </w:rPr>
        <w:t xml:space="preserve">     </w:t>
      </w:r>
      <w:r>
        <w:rPr>
          <w:rFonts w:hint="eastAsia" w:asciiTheme="majorEastAsia" w:hAnsiTheme="majorEastAsia" w:eastAsiaTheme="majorEastAsia" w:cstheme="majorEastAsia"/>
          <w:bCs/>
          <w:color w:val="auto"/>
          <w:szCs w:val="21"/>
          <w:highlight w:val="none"/>
        </w:rPr>
        <w:t>投标产品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pStyle w:val="299"/>
        <w:adjustRightInd w:val="0"/>
        <w:spacing w:line="360" w:lineRule="auto"/>
        <w:ind w:firstLine="0" w:firstLineChars="0"/>
        <w:jc w:val="left"/>
        <w:textAlignment w:val="baseline"/>
        <w:outlineLvl w:val="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 xml:space="preserve">   </w:t>
      </w:r>
      <w:r>
        <w:rPr>
          <w:rFonts w:hint="eastAsia" w:asciiTheme="majorEastAsia" w:hAnsiTheme="majorEastAsia" w:eastAsiaTheme="majorEastAsia" w:cstheme="majorEastAsia"/>
          <w:bCs/>
          <w:color w:val="auto"/>
          <w:szCs w:val="21"/>
          <w:highlight w:val="none"/>
          <w:lang w:val="en-US" w:eastAsia="zh-CN"/>
        </w:rPr>
        <w:t xml:space="preserve"> </w:t>
      </w:r>
      <w:r>
        <w:rPr>
          <w:rFonts w:hint="eastAsia" w:asciiTheme="majorEastAsia" w:hAnsiTheme="majorEastAsia" w:eastAsiaTheme="majorEastAsia" w:cstheme="majorEastAsia"/>
          <w:bCs/>
          <w:color w:val="auto"/>
          <w:szCs w:val="21"/>
          <w:highlight w:val="none"/>
        </w:rPr>
        <w:t>（2）以满足招标文件要求且评标价最低的投标人的评标价为评标基准价，其价格分为30分。</w:t>
      </w:r>
    </w:p>
    <w:p>
      <w:pPr>
        <w:pStyle w:val="299"/>
        <w:adjustRightInd w:val="0"/>
        <w:spacing w:line="360" w:lineRule="auto"/>
        <w:ind w:firstLine="420" w:firstLineChars="200"/>
        <w:jc w:val="left"/>
        <w:textAlignment w:val="baseline"/>
        <w:outlineLvl w:val="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lang w:eastAsia="zh-CN"/>
        </w:rPr>
        <w:t>（</w:t>
      </w:r>
      <w:r>
        <w:rPr>
          <w:rFonts w:hint="eastAsia" w:asciiTheme="majorEastAsia" w:hAnsiTheme="majorEastAsia" w:eastAsiaTheme="majorEastAsia" w:cstheme="majorEastAsia"/>
          <w:bCs/>
          <w:color w:val="auto"/>
          <w:szCs w:val="21"/>
          <w:highlight w:val="none"/>
          <w:lang w:val="en-US" w:eastAsia="zh-CN"/>
        </w:rPr>
        <w:t>3</w:t>
      </w:r>
      <w:r>
        <w:rPr>
          <w:rFonts w:hint="eastAsia" w:asciiTheme="majorEastAsia" w:hAnsiTheme="majorEastAsia" w:eastAsiaTheme="majorEastAsia" w:cstheme="majorEastAsia"/>
          <w:bCs/>
          <w:color w:val="auto"/>
          <w:szCs w:val="21"/>
          <w:highlight w:val="none"/>
          <w:lang w:eastAsia="zh-CN"/>
        </w:rPr>
        <w:t>）</w:t>
      </w:r>
      <w:r>
        <w:rPr>
          <w:rFonts w:hint="eastAsia" w:asciiTheme="majorEastAsia" w:hAnsiTheme="majorEastAsia" w:eastAsiaTheme="majorEastAsia" w:cstheme="majorEastAsia"/>
          <w:bCs/>
          <w:color w:val="auto"/>
          <w:szCs w:val="21"/>
          <w:highlight w:val="none"/>
        </w:rPr>
        <w:t>某投标人价格分 =评标基准价（金额）/某投标人报价（金额）×30分</w:t>
      </w:r>
    </w:p>
    <w:p>
      <w:pPr>
        <w:pStyle w:val="299"/>
        <w:adjustRightInd w:val="0"/>
        <w:spacing w:line="360" w:lineRule="auto"/>
        <w:ind w:left="360" w:firstLine="0" w:firstLineChars="0"/>
        <w:jc w:val="left"/>
        <w:textAlignment w:val="baseline"/>
        <w:outlineLvl w:val="0"/>
        <w:rPr>
          <w:rFonts w:asciiTheme="majorEastAsia" w:hAnsiTheme="majorEastAsia" w:eastAsiaTheme="majorEastAsia" w:cstheme="majorEastAsia"/>
          <w:b/>
          <w:color w:val="auto"/>
          <w:szCs w:val="21"/>
          <w:highlight w:val="none"/>
          <w:lang w:val="en"/>
        </w:rPr>
      </w:pPr>
      <w:r>
        <w:rPr>
          <w:rFonts w:hint="eastAsia" w:asciiTheme="majorEastAsia" w:hAnsiTheme="majorEastAsia" w:eastAsiaTheme="majorEastAsia" w:cstheme="majorEastAsia"/>
          <w:b/>
          <w:color w:val="auto"/>
          <w:szCs w:val="21"/>
          <w:highlight w:val="none"/>
        </w:rPr>
        <w:t>2</w:t>
      </w:r>
      <w:r>
        <w:rPr>
          <w:rFonts w:hint="eastAsia" w:asciiTheme="majorEastAsia" w:hAnsiTheme="majorEastAsia" w:eastAsiaTheme="majorEastAsia" w:cstheme="majorEastAsia"/>
          <w:b/>
          <w:color w:val="auto"/>
          <w:szCs w:val="21"/>
          <w:highlight w:val="none"/>
          <w:lang w:eastAsia="zh-CN"/>
        </w:rPr>
        <w:t>、</w:t>
      </w:r>
      <w:r>
        <w:rPr>
          <w:rFonts w:hint="eastAsia" w:asciiTheme="majorEastAsia" w:hAnsiTheme="majorEastAsia" w:eastAsiaTheme="majorEastAsia" w:cstheme="majorEastAsia"/>
          <w:b/>
          <w:color w:val="auto"/>
          <w:szCs w:val="21"/>
          <w:highlight w:val="none"/>
          <w:lang w:val="en"/>
        </w:rPr>
        <w:t>技术分</w:t>
      </w:r>
      <w:r>
        <w:rPr>
          <w:rFonts w:hint="eastAsia" w:asciiTheme="majorEastAsia" w:hAnsiTheme="majorEastAsia" w:eastAsiaTheme="majorEastAsia" w:cstheme="majorEastAsia"/>
          <w:b/>
          <w:color w:val="auto"/>
          <w:szCs w:val="21"/>
          <w:highlight w:val="none"/>
        </w:rPr>
        <w:t xml:space="preserve"> ………………………………………………………………………………………60分</w:t>
      </w:r>
    </w:p>
    <w:p>
      <w:pPr>
        <w:pStyle w:val="299"/>
        <w:spacing w:line="360" w:lineRule="auto"/>
        <w:jc w:val="left"/>
        <w:outlineLvl w:val="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（1）设备性能分（满分12分）</w:t>
      </w:r>
    </w:p>
    <w:p>
      <w:pPr>
        <w:pStyle w:val="299"/>
        <w:adjustRightInd w:val="0"/>
        <w:spacing w:line="360" w:lineRule="exact"/>
        <w:jc w:val="left"/>
        <w:textAlignment w:val="baseline"/>
        <w:rPr>
          <w:rFonts w:asciiTheme="majorEastAsia" w:hAnsiTheme="majorEastAsia" w:eastAsiaTheme="majorEastAsia" w:cstheme="majorEastAsia"/>
          <w:bCs/>
          <w:strike/>
          <w:color w:val="auto"/>
          <w:szCs w:val="21"/>
          <w:highlight w:val="none"/>
        </w:rPr>
      </w:pPr>
      <w:r>
        <w:rPr>
          <w:rFonts w:hint="eastAsia" w:asciiTheme="majorEastAsia" w:hAnsiTheme="majorEastAsia" w:eastAsiaTheme="majorEastAsia" w:cstheme="majorEastAsia"/>
          <w:color w:val="auto"/>
          <w:szCs w:val="21"/>
          <w:highlight w:val="none"/>
        </w:rPr>
        <w:t>采购需求一览表中标注“★ ”的技术参数每有一项正偏离的得 2分，满分12分。</w:t>
      </w:r>
    </w:p>
    <w:p>
      <w:pPr>
        <w:pStyle w:val="299"/>
        <w:spacing w:line="360" w:lineRule="auto"/>
        <w:ind w:left="0" w:leftChars="0" w:firstLine="0" w:firstLineChars="0"/>
        <w:jc w:val="left"/>
        <w:outlineLvl w:val="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lang w:val="en-US" w:eastAsia="zh-CN"/>
        </w:rPr>
        <w:t xml:space="preserve">  【</w:t>
      </w:r>
      <w:r>
        <w:rPr>
          <w:rFonts w:hint="eastAsia" w:asciiTheme="majorEastAsia" w:hAnsiTheme="majorEastAsia" w:eastAsiaTheme="majorEastAsia" w:cstheme="majorEastAsia"/>
          <w:bCs/>
          <w:color w:val="auto"/>
          <w:szCs w:val="21"/>
          <w:highlight w:val="none"/>
        </w:rPr>
        <w:t>注：投标参数及功能有优于的（表述为≥时，大于标准值的可视为优于；表述为≤时，小于标准值的可视为优于）</w:t>
      </w:r>
      <w:r>
        <w:rPr>
          <w:rFonts w:hint="eastAsia" w:asciiTheme="majorEastAsia" w:hAnsiTheme="majorEastAsia" w:eastAsiaTheme="majorEastAsia" w:cstheme="majorEastAsia"/>
          <w:bCs/>
          <w:color w:val="auto"/>
          <w:szCs w:val="21"/>
          <w:highlight w:val="none"/>
          <w:lang w:eastAsia="zh-CN"/>
        </w:rPr>
        <w:t>。</w:t>
      </w:r>
      <w:r>
        <w:rPr>
          <w:rFonts w:hint="eastAsia" w:asciiTheme="majorEastAsia" w:hAnsiTheme="majorEastAsia" w:eastAsiaTheme="majorEastAsia" w:cstheme="majorEastAsia"/>
          <w:bCs/>
          <w:color w:val="auto"/>
          <w:szCs w:val="21"/>
          <w:highlight w:val="none"/>
        </w:rPr>
        <w:t>投标人须在投标文件中提供投标产品的彩页或第三方检测报告复印件或厂家出具的技术参数说明等证明材料作为佐证。</w:t>
      </w:r>
      <w:r>
        <w:rPr>
          <w:rFonts w:hint="eastAsia" w:asciiTheme="majorEastAsia" w:hAnsiTheme="majorEastAsia" w:eastAsiaTheme="majorEastAsia" w:cstheme="majorEastAsia"/>
          <w:bCs/>
          <w:color w:val="auto"/>
          <w:szCs w:val="21"/>
          <w:highlight w:val="none"/>
          <w:lang w:val="en-US" w:eastAsia="zh-CN"/>
        </w:rPr>
        <w:t>】</w:t>
      </w:r>
    </w:p>
    <w:p>
      <w:pPr>
        <w:pStyle w:val="299"/>
        <w:adjustRightInd w:val="0"/>
        <w:spacing w:line="360" w:lineRule="auto"/>
        <w:ind w:firstLine="0" w:firstLineChars="0"/>
        <w:jc w:val="left"/>
        <w:textAlignment w:val="baseline"/>
        <w:outlineLvl w:val="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lang w:val="en-US" w:eastAsia="zh-CN"/>
        </w:rPr>
        <w:t xml:space="preserve">   </w:t>
      </w:r>
      <w:r>
        <w:rPr>
          <w:rFonts w:hint="eastAsia" w:asciiTheme="majorEastAsia" w:hAnsiTheme="majorEastAsia" w:eastAsiaTheme="majorEastAsia" w:cstheme="majorEastAsia"/>
          <w:b/>
          <w:color w:val="auto"/>
          <w:szCs w:val="21"/>
          <w:highlight w:val="none"/>
        </w:rPr>
        <w:t>（2）项目实施方案（满分12分）</w:t>
      </w:r>
    </w:p>
    <w:p>
      <w:pPr>
        <w:pStyle w:val="299"/>
        <w:adjustRightInd w:val="0"/>
        <w:spacing w:line="360" w:lineRule="auto"/>
        <w:ind w:firstLine="0" w:firstLineChars="0"/>
        <w:jc w:val="left"/>
        <w:textAlignment w:val="baseline"/>
        <w:outlineLvl w:val="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 xml:space="preserve">   一档（</w:t>
      </w:r>
      <w:r>
        <w:rPr>
          <w:rFonts w:hint="eastAsia" w:asciiTheme="majorEastAsia" w:hAnsiTheme="majorEastAsia" w:eastAsiaTheme="majorEastAsia" w:cstheme="majorEastAsia"/>
          <w:bCs/>
          <w:color w:val="auto"/>
          <w:szCs w:val="21"/>
          <w:highlight w:val="none"/>
          <w:lang w:val="en-US" w:eastAsia="zh-CN"/>
        </w:rPr>
        <w:t>6</w:t>
      </w:r>
      <w:r>
        <w:rPr>
          <w:rFonts w:hint="eastAsia" w:asciiTheme="majorEastAsia" w:hAnsiTheme="majorEastAsia" w:eastAsiaTheme="majorEastAsia" w:cstheme="majorEastAsia"/>
          <w:bCs/>
          <w:color w:val="auto"/>
          <w:szCs w:val="21"/>
          <w:highlight w:val="none"/>
        </w:rPr>
        <w:t>分）：方案包含从货源组织、设备运输、货到现场后安装调试等所有供货流程及进度计划安排，所有环节步骤清晰，责任人员明确，能确保产品供货。</w:t>
      </w:r>
    </w:p>
    <w:p>
      <w:pPr>
        <w:pStyle w:val="299"/>
        <w:adjustRightInd w:val="0"/>
        <w:spacing w:line="360" w:lineRule="auto"/>
        <w:ind w:firstLine="0" w:firstLineChars="0"/>
        <w:jc w:val="left"/>
        <w:textAlignment w:val="baseline"/>
        <w:outlineLvl w:val="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 xml:space="preserve">    二档（</w:t>
      </w:r>
      <w:r>
        <w:rPr>
          <w:rFonts w:hint="eastAsia" w:asciiTheme="majorEastAsia" w:hAnsiTheme="majorEastAsia" w:eastAsiaTheme="majorEastAsia" w:cstheme="majorEastAsia"/>
          <w:bCs/>
          <w:color w:val="auto"/>
          <w:szCs w:val="21"/>
          <w:highlight w:val="none"/>
          <w:lang w:val="en-US" w:eastAsia="zh-CN"/>
        </w:rPr>
        <w:t>9</w:t>
      </w:r>
      <w:r>
        <w:rPr>
          <w:rFonts w:hint="eastAsia" w:asciiTheme="majorEastAsia" w:hAnsiTheme="majorEastAsia" w:eastAsiaTheme="majorEastAsia" w:cstheme="majorEastAsia"/>
          <w:bCs/>
          <w:color w:val="auto"/>
          <w:szCs w:val="21"/>
          <w:highlight w:val="none"/>
        </w:rPr>
        <w:t>分）：在上一档的基础上，完整列明各实施环节的实施办法和保障措施，分析供货流程各环节可能出现的问题并提出解决措施，同时提供现场安装调试方案。</w:t>
      </w:r>
    </w:p>
    <w:p>
      <w:pPr>
        <w:pStyle w:val="299"/>
        <w:adjustRightInd w:val="0"/>
        <w:spacing w:line="360" w:lineRule="auto"/>
        <w:ind w:firstLine="420" w:firstLineChars="0"/>
        <w:jc w:val="left"/>
        <w:textAlignment w:val="baseline"/>
        <w:outlineLvl w:val="0"/>
        <w:rPr>
          <w:rFonts w:hint="eastAsia"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三档（12分）：在上</w:t>
      </w:r>
      <w:r>
        <w:rPr>
          <w:rFonts w:hint="eastAsia" w:asciiTheme="majorEastAsia" w:hAnsiTheme="majorEastAsia" w:eastAsiaTheme="majorEastAsia" w:cstheme="majorEastAsia"/>
          <w:bCs/>
          <w:color w:val="auto"/>
          <w:szCs w:val="21"/>
          <w:highlight w:val="none"/>
          <w:lang w:val="en-US" w:eastAsia="zh-CN"/>
        </w:rPr>
        <w:t>二</w:t>
      </w:r>
      <w:r>
        <w:rPr>
          <w:rFonts w:hint="eastAsia" w:asciiTheme="majorEastAsia" w:hAnsiTheme="majorEastAsia" w:eastAsiaTheme="majorEastAsia" w:cstheme="majorEastAsia"/>
          <w:bCs/>
          <w:color w:val="auto"/>
          <w:szCs w:val="21"/>
          <w:highlight w:val="none"/>
        </w:rPr>
        <w:t>档的基础上，分析本项目的难点重点，建立符合本项目合同履行实施的组织机构，实施计划分阶段计划，阶段性目标清晰，提供完善可行的质量控制措施、安全保障措施、应急保障措施。提供对实施人员进行阶段性考核的计划。</w:t>
      </w:r>
    </w:p>
    <w:p>
      <w:pPr>
        <w:pStyle w:val="299"/>
        <w:adjustRightInd w:val="0"/>
        <w:spacing w:line="360" w:lineRule="auto"/>
        <w:ind w:firstLine="420" w:firstLineChars="0"/>
        <w:jc w:val="left"/>
        <w:textAlignment w:val="baseline"/>
        <w:outlineLvl w:val="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lang w:eastAsia="zh-CN"/>
        </w:rPr>
        <w:t>（</w:t>
      </w:r>
      <w:r>
        <w:rPr>
          <w:rFonts w:hint="eastAsia" w:asciiTheme="majorEastAsia" w:hAnsiTheme="majorEastAsia" w:eastAsiaTheme="majorEastAsia" w:cstheme="majorEastAsia"/>
          <w:bCs/>
          <w:color w:val="auto"/>
          <w:szCs w:val="21"/>
          <w:highlight w:val="none"/>
        </w:rPr>
        <w:t>未提供方案或方案达不到进档要求的得0分。</w:t>
      </w:r>
      <w:r>
        <w:rPr>
          <w:rFonts w:hint="eastAsia" w:asciiTheme="majorEastAsia" w:hAnsiTheme="majorEastAsia" w:eastAsiaTheme="majorEastAsia" w:cstheme="majorEastAsia"/>
          <w:bCs/>
          <w:color w:val="auto"/>
          <w:szCs w:val="21"/>
          <w:highlight w:val="none"/>
          <w:lang w:eastAsia="zh-CN"/>
        </w:rPr>
        <w:t>）</w:t>
      </w:r>
    </w:p>
    <w:p>
      <w:pPr>
        <w:pStyle w:val="299"/>
        <w:numPr>
          <w:ilvl w:val="255"/>
          <w:numId w:val="0"/>
        </w:numPr>
        <w:adjustRightInd w:val="0"/>
        <w:spacing w:line="360" w:lineRule="auto"/>
        <w:jc w:val="left"/>
        <w:textAlignment w:val="baseline"/>
        <w:outlineLvl w:val="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lang w:val="en-US" w:eastAsia="zh-CN"/>
        </w:rPr>
        <w:t xml:space="preserve">    </w:t>
      </w:r>
      <w:r>
        <w:rPr>
          <w:rFonts w:hint="eastAsia" w:asciiTheme="majorEastAsia" w:hAnsiTheme="majorEastAsia" w:eastAsiaTheme="majorEastAsia" w:cstheme="majorEastAsia"/>
          <w:b/>
          <w:color w:val="auto"/>
          <w:szCs w:val="21"/>
          <w:highlight w:val="none"/>
        </w:rPr>
        <w:t>（3）售后服务方案（满分18分）</w:t>
      </w:r>
    </w:p>
    <w:p>
      <w:pPr>
        <w:pStyle w:val="299"/>
        <w:adjustRightInd w:val="0"/>
        <w:spacing w:line="360" w:lineRule="auto"/>
        <w:ind w:firstLine="0" w:firstLineChars="0"/>
        <w:jc w:val="left"/>
        <w:textAlignment w:val="baseline"/>
        <w:outlineLvl w:val="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 xml:space="preserve">    一档（12分）：售后服务方案满足采购要求，仅对采购人提出的要求进行了部分细化。</w:t>
      </w:r>
    </w:p>
    <w:p>
      <w:pPr>
        <w:pStyle w:val="299"/>
        <w:adjustRightInd w:val="0"/>
        <w:spacing w:line="360" w:lineRule="auto"/>
        <w:ind w:firstLine="0" w:firstLineChars="0"/>
        <w:jc w:val="left"/>
        <w:textAlignment w:val="baseline"/>
        <w:outlineLvl w:val="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 xml:space="preserve">    二档（15分）：在满足一档的基础上，售后服务要求对本项目具有针对性，提供了故障处理流程、维护保障流程及组织架构，售后服务方案表述清晰、完整，措施有效可行，故障响应时间、到达故障现场时间安排合理，故障维护方案合理。</w:t>
      </w:r>
    </w:p>
    <w:p>
      <w:pPr>
        <w:pStyle w:val="299"/>
        <w:adjustRightInd w:val="0"/>
        <w:spacing w:line="360" w:lineRule="auto"/>
        <w:ind w:firstLine="0" w:firstLineChars="0"/>
        <w:jc w:val="left"/>
        <w:textAlignment w:val="baseline"/>
        <w:outlineLvl w:val="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 xml:space="preserve">    三档（18分）：在满足二档的基础上，售后服务方案完善可行，故障响应时间、到达现场维护时间、修复时间优于招标文件要求，有售后服务流程图，详细说明售后工作内容、阐述清楚售后服务办法及保障体系，具有完备售后服务规范和管理制度。</w:t>
      </w:r>
    </w:p>
    <w:p>
      <w:pPr>
        <w:pStyle w:val="299"/>
        <w:adjustRightInd w:val="0"/>
        <w:spacing w:line="360" w:lineRule="auto"/>
        <w:ind w:firstLine="0" w:firstLineChars="0"/>
        <w:jc w:val="left"/>
        <w:textAlignment w:val="baseline"/>
        <w:outlineLvl w:val="0"/>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lang w:eastAsia="zh-CN"/>
        </w:rPr>
        <w:t>（</w:t>
      </w:r>
      <w:r>
        <w:rPr>
          <w:rFonts w:hint="eastAsia" w:asciiTheme="majorEastAsia" w:hAnsiTheme="majorEastAsia" w:eastAsiaTheme="majorEastAsia" w:cstheme="majorEastAsia"/>
          <w:bCs/>
          <w:color w:val="auto"/>
          <w:szCs w:val="21"/>
          <w:highlight w:val="none"/>
        </w:rPr>
        <w:t>未提供方案或方案达不到进档要求的得0分。</w:t>
      </w:r>
      <w:r>
        <w:rPr>
          <w:rFonts w:hint="eastAsia" w:asciiTheme="majorEastAsia" w:hAnsiTheme="majorEastAsia" w:eastAsiaTheme="majorEastAsia" w:cstheme="majorEastAsia"/>
          <w:bCs/>
          <w:color w:val="auto"/>
          <w:szCs w:val="21"/>
          <w:highlight w:val="none"/>
          <w:lang w:eastAsia="zh-CN"/>
        </w:rPr>
        <w:t>）</w:t>
      </w:r>
    </w:p>
    <w:p>
      <w:pPr>
        <w:pStyle w:val="299"/>
        <w:adjustRightInd w:val="0"/>
        <w:spacing w:line="360" w:lineRule="auto"/>
        <w:ind w:firstLine="0" w:firstLineChars="0"/>
        <w:jc w:val="left"/>
        <w:textAlignment w:val="baseline"/>
        <w:outlineLvl w:val="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lang w:val="en-US" w:eastAsia="zh-CN"/>
        </w:rPr>
        <w:t xml:space="preserve">    </w:t>
      </w:r>
      <w:r>
        <w:rPr>
          <w:rFonts w:hint="eastAsia" w:asciiTheme="majorEastAsia" w:hAnsiTheme="majorEastAsia" w:eastAsiaTheme="majorEastAsia" w:cstheme="majorEastAsia"/>
          <w:b/>
          <w:color w:val="auto"/>
          <w:szCs w:val="21"/>
          <w:highlight w:val="none"/>
        </w:rPr>
        <w:t>（4）培训方案（满分15分）</w:t>
      </w:r>
    </w:p>
    <w:p>
      <w:pPr>
        <w:pStyle w:val="299"/>
        <w:adjustRightInd w:val="0"/>
        <w:spacing w:line="360" w:lineRule="auto"/>
        <w:ind w:firstLine="0" w:firstLineChars="0"/>
        <w:jc w:val="left"/>
        <w:textAlignment w:val="baseline"/>
        <w:outlineLvl w:val="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 xml:space="preserve">    一档（9分）：培训方案有培训计划安排，但安排不明确。 </w:t>
      </w:r>
    </w:p>
    <w:p>
      <w:pPr>
        <w:pStyle w:val="299"/>
        <w:adjustRightInd w:val="0"/>
        <w:spacing w:line="360" w:lineRule="auto"/>
        <w:ind w:firstLine="0" w:firstLineChars="0"/>
        <w:jc w:val="left"/>
        <w:textAlignment w:val="baseline"/>
        <w:outlineLvl w:val="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 xml:space="preserve">    二档（12分）：培训方案有完整的计划，内容至少包含：培训时间、规模人数等内容。 </w:t>
      </w:r>
    </w:p>
    <w:p>
      <w:pPr>
        <w:pStyle w:val="299"/>
        <w:adjustRightInd w:val="0"/>
        <w:spacing w:line="360" w:lineRule="auto"/>
        <w:ind w:firstLine="0" w:firstLineChars="0"/>
        <w:jc w:val="left"/>
        <w:textAlignment w:val="baseline"/>
        <w:outlineLvl w:val="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 xml:space="preserve">    三档（15分）：培训方案有完善可行的计划，包含：拟派培训技术人员的安排、拟派培训技术人员的经验介绍、培训时间、规模人数等内容。</w:t>
      </w:r>
    </w:p>
    <w:p>
      <w:pPr>
        <w:pStyle w:val="299"/>
        <w:adjustRightInd w:val="0"/>
        <w:spacing w:line="360" w:lineRule="auto"/>
        <w:ind w:firstLine="0" w:firstLineChars="0"/>
        <w:jc w:val="left"/>
        <w:textAlignment w:val="baseline"/>
        <w:outlineLvl w:val="0"/>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rPr>
        <w:t xml:space="preserve">    </w:t>
      </w:r>
      <w:r>
        <w:rPr>
          <w:rFonts w:hint="eastAsia" w:asciiTheme="majorEastAsia" w:hAnsiTheme="majorEastAsia" w:eastAsiaTheme="majorEastAsia" w:cstheme="majorEastAsia"/>
          <w:bCs/>
          <w:color w:val="auto"/>
          <w:szCs w:val="21"/>
          <w:highlight w:val="none"/>
          <w:lang w:val="en-US" w:eastAsia="zh-CN"/>
        </w:rPr>
        <w:t xml:space="preserve"> （</w:t>
      </w:r>
      <w:r>
        <w:rPr>
          <w:rFonts w:hint="eastAsia" w:asciiTheme="majorEastAsia" w:hAnsiTheme="majorEastAsia" w:eastAsiaTheme="majorEastAsia" w:cstheme="majorEastAsia"/>
          <w:bCs/>
          <w:color w:val="auto"/>
          <w:szCs w:val="21"/>
          <w:highlight w:val="none"/>
        </w:rPr>
        <w:t>未提供方案或方案达不到进档要求的得0分。</w:t>
      </w:r>
      <w:r>
        <w:rPr>
          <w:rFonts w:hint="eastAsia" w:asciiTheme="majorEastAsia" w:hAnsiTheme="majorEastAsia" w:eastAsiaTheme="majorEastAsia" w:cstheme="majorEastAsia"/>
          <w:bCs/>
          <w:color w:val="auto"/>
          <w:szCs w:val="21"/>
          <w:highlight w:val="none"/>
          <w:lang w:eastAsia="zh-CN"/>
        </w:rPr>
        <w:t>）</w:t>
      </w:r>
    </w:p>
    <w:p>
      <w:pPr>
        <w:pStyle w:val="299"/>
        <w:adjustRightInd w:val="0"/>
        <w:spacing w:line="360" w:lineRule="auto"/>
        <w:ind w:firstLine="0" w:firstLineChars="0"/>
        <w:jc w:val="left"/>
        <w:textAlignment w:val="baseline"/>
        <w:outlineLvl w:val="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lang w:val="en-US" w:eastAsia="zh-CN"/>
        </w:rPr>
        <w:t xml:space="preserve">   </w:t>
      </w:r>
      <w:r>
        <w:rPr>
          <w:rFonts w:hint="eastAsia" w:asciiTheme="majorEastAsia" w:hAnsiTheme="majorEastAsia" w:eastAsiaTheme="majorEastAsia" w:cstheme="majorEastAsia"/>
          <w:b/>
          <w:bCs w:val="0"/>
          <w:color w:val="auto"/>
          <w:szCs w:val="21"/>
          <w:highlight w:val="none"/>
          <w:lang w:val="en-US" w:eastAsia="zh-CN"/>
        </w:rPr>
        <w:t xml:space="preserve"> </w:t>
      </w:r>
      <w:r>
        <w:rPr>
          <w:rFonts w:hint="eastAsia" w:asciiTheme="majorEastAsia" w:hAnsiTheme="majorEastAsia" w:eastAsiaTheme="majorEastAsia" w:cstheme="majorEastAsia"/>
          <w:b/>
          <w:bCs w:val="0"/>
          <w:color w:val="auto"/>
          <w:szCs w:val="21"/>
          <w:highlight w:val="none"/>
        </w:rPr>
        <w:t>（5）质保期（满分3分）</w:t>
      </w:r>
    </w:p>
    <w:p>
      <w:pPr>
        <w:pStyle w:val="299"/>
        <w:adjustRightInd w:val="0"/>
        <w:spacing w:line="360" w:lineRule="auto"/>
        <w:jc w:val="left"/>
        <w:textAlignment w:val="baseline"/>
        <w:outlineLvl w:val="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满足基本质保期的基础上，产品整体质保期每延长一年增加1分，满分3分。</w:t>
      </w:r>
    </w:p>
    <w:p>
      <w:pPr>
        <w:pStyle w:val="299"/>
        <w:adjustRightInd w:val="0"/>
        <w:spacing w:line="360" w:lineRule="auto"/>
        <w:ind w:left="360" w:firstLine="0" w:firstLineChars="0"/>
        <w:jc w:val="left"/>
        <w:textAlignment w:val="baseline"/>
        <w:outlineLvl w:val="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lang w:val="en-US" w:eastAsia="zh-CN"/>
        </w:rPr>
        <w:t xml:space="preserve"> </w:t>
      </w:r>
      <w:r>
        <w:rPr>
          <w:rFonts w:hint="eastAsia" w:asciiTheme="majorEastAsia" w:hAnsiTheme="majorEastAsia" w:eastAsiaTheme="majorEastAsia" w:cstheme="majorEastAsia"/>
          <w:b/>
          <w:color w:val="auto"/>
          <w:szCs w:val="21"/>
          <w:highlight w:val="none"/>
        </w:rPr>
        <w:t>3</w:t>
      </w:r>
      <w:r>
        <w:rPr>
          <w:rFonts w:hint="eastAsia" w:asciiTheme="majorEastAsia" w:hAnsiTheme="majorEastAsia" w:eastAsiaTheme="majorEastAsia" w:cstheme="majorEastAsia"/>
          <w:b/>
          <w:color w:val="auto"/>
          <w:szCs w:val="21"/>
          <w:highlight w:val="none"/>
          <w:lang w:eastAsia="zh-CN"/>
        </w:rPr>
        <w:t>、</w:t>
      </w:r>
      <w:r>
        <w:rPr>
          <w:rFonts w:hint="eastAsia" w:asciiTheme="majorEastAsia" w:hAnsiTheme="majorEastAsia" w:eastAsiaTheme="majorEastAsia" w:cstheme="majorEastAsia"/>
          <w:b/>
          <w:color w:val="auto"/>
          <w:szCs w:val="21"/>
          <w:highlight w:val="none"/>
        </w:rPr>
        <w:t>商务分 ……………………………………………………………………………</w:t>
      </w:r>
      <w:r>
        <w:rPr>
          <w:rFonts w:hint="eastAsia" w:asciiTheme="majorEastAsia" w:hAnsiTheme="majorEastAsia" w:eastAsiaTheme="majorEastAsia" w:cstheme="majorEastAsia"/>
          <w:b/>
          <w:color w:val="auto"/>
          <w:szCs w:val="21"/>
          <w:highlight w:val="none"/>
          <w:lang w:val="en-US" w:eastAsia="zh-CN"/>
        </w:rPr>
        <w:t>10</w:t>
      </w:r>
      <w:r>
        <w:rPr>
          <w:rFonts w:hint="eastAsia" w:asciiTheme="majorEastAsia" w:hAnsiTheme="majorEastAsia" w:eastAsiaTheme="majorEastAsia" w:cstheme="majorEastAsia"/>
          <w:b/>
          <w:color w:val="auto"/>
          <w:szCs w:val="21"/>
          <w:highlight w:val="none"/>
        </w:rPr>
        <w:t>分</w:t>
      </w:r>
    </w:p>
    <w:p>
      <w:pPr>
        <w:pStyle w:val="299"/>
        <w:adjustRightInd w:val="0"/>
        <w:spacing w:line="360" w:lineRule="auto"/>
        <w:ind w:firstLine="0" w:firstLineChars="0"/>
        <w:jc w:val="left"/>
        <w:textAlignment w:val="baseline"/>
        <w:outlineLvl w:val="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 xml:space="preserve">   （1）投标人或投标核心产品生产厂家具有质量管理体系认证证书、环境管理体系认证证书、职业健康安全管理体系认证证书，每有一项证书得1分，满分3分。</w:t>
      </w:r>
      <w:r>
        <w:rPr>
          <w:rFonts w:hint="eastAsia" w:asciiTheme="majorEastAsia" w:hAnsiTheme="majorEastAsia" w:eastAsiaTheme="majorEastAsia" w:cstheme="majorEastAsia"/>
          <w:bCs/>
          <w:color w:val="auto"/>
          <w:szCs w:val="21"/>
          <w:highlight w:val="none"/>
          <w:lang w:eastAsia="zh-CN"/>
        </w:rPr>
        <w:t>（</w:t>
      </w:r>
      <w:r>
        <w:rPr>
          <w:rFonts w:hint="eastAsia" w:asciiTheme="majorEastAsia" w:hAnsiTheme="majorEastAsia" w:eastAsiaTheme="majorEastAsia" w:cstheme="majorEastAsia"/>
          <w:bCs/>
          <w:color w:val="auto"/>
          <w:szCs w:val="21"/>
          <w:highlight w:val="none"/>
        </w:rPr>
        <w:t>投标文件提供证书复印件并加盖公章，证书须在有效期内</w:t>
      </w:r>
      <w:r>
        <w:rPr>
          <w:rFonts w:hint="eastAsia" w:asciiTheme="majorEastAsia" w:hAnsiTheme="majorEastAsia" w:eastAsiaTheme="majorEastAsia" w:cstheme="majorEastAsia"/>
          <w:bCs/>
          <w:color w:val="auto"/>
          <w:szCs w:val="21"/>
          <w:highlight w:val="none"/>
          <w:lang w:eastAsia="zh-CN"/>
        </w:rPr>
        <w:t>）</w:t>
      </w:r>
    </w:p>
    <w:p>
      <w:pPr>
        <w:pStyle w:val="299"/>
        <w:adjustRightInd w:val="0"/>
        <w:spacing w:line="360" w:lineRule="auto"/>
        <w:ind w:firstLine="0" w:firstLineChars="0"/>
        <w:jc w:val="left"/>
        <w:textAlignment w:val="baseline"/>
        <w:outlineLvl w:val="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 xml:space="preserve">   （2）投标人2020年1月1日至投标截止时间具有同类</w:t>
      </w:r>
      <w:r>
        <w:rPr>
          <w:rFonts w:hint="eastAsia" w:asciiTheme="majorEastAsia" w:hAnsiTheme="majorEastAsia" w:eastAsiaTheme="majorEastAsia" w:cstheme="majorEastAsia"/>
          <w:bCs/>
          <w:color w:val="auto"/>
          <w:szCs w:val="21"/>
          <w:highlight w:val="none"/>
          <w:lang w:eastAsia="zh-CN"/>
        </w:rPr>
        <w:t>（</w:t>
      </w:r>
      <w:r>
        <w:rPr>
          <w:rFonts w:hint="eastAsia" w:asciiTheme="majorEastAsia" w:hAnsiTheme="majorEastAsia" w:eastAsiaTheme="majorEastAsia" w:cstheme="majorEastAsia"/>
          <w:bCs/>
          <w:color w:val="auto"/>
          <w:szCs w:val="21"/>
          <w:highlight w:val="none"/>
          <w:lang w:val="en-US" w:eastAsia="zh-CN"/>
        </w:rPr>
        <w:t>核心产品</w:t>
      </w:r>
      <w:r>
        <w:rPr>
          <w:rFonts w:hint="eastAsia" w:asciiTheme="majorEastAsia" w:hAnsiTheme="majorEastAsia" w:eastAsiaTheme="majorEastAsia" w:cstheme="majorEastAsia"/>
          <w:bCs/>
          <w:color w:val="auto"/>
          <w:szCs w:val="21"/>
          <w:highlight w:val="none"/>
          <w:lang w:eastAsia="zh-CN"/>
        </w:rPr>
        <w:t>）</w:t>
      </w:r>
      <w:r>
        <w:rPr>
          <w:rFonts w:hint="eastAsia" w:asciiTheme="majorEastAsia" w:hAnsiTheme="majorEastAsia" w:eastAsiaTheme="majorEastAsia" w:cstheme="majorEastAsia"/>
          <w:bCs/>
          <w:color w:val="auto"/>
          <w:szCs w:val="21"/>
          <w:highlight w:val="none"/>
        </w:rPr>
        <w:t>项目业绩的，每个得1分，满分5分。</w:t>
      </w:r>
      <w:r>
        <w:rPr>
          <w:rFonts w:hint="eastAsia" w:asciiTheme="majorEastAsia" w:hAnsiTheme="majorEastAsia" w:eastAsiaTheme="majorEastAsia" w:cstheme="majorEastAsia"/>
          <w:bCs/>
          <w:color w:val="auto"/>
          <w:szCs w:val="21"/>
          <w:highlight w:val="none"/>
          <w:lang w:eastAsia="zh-CN"/>
        </w:rPr>
        <w:t>（</w:t>
      </w:r>
      <w:r>
        <w:rPr>
          <w:rFonts w:hint="eastAsia" w:asciiTheme="majorEastAsia" w:hAnsiTheme="majorEastAsia" w:eastAsiaTheme="majorEastAsia" w:cstheme="majorEastAsia"/>
          <w:bCs/>
          <w:color w:val="auto"/>
          <w:szCs w:val="21"/>
          <w:highlight w:val="none"/>
        </w:rPr>
        <w:t>投标文件中提供有效的合同复印件</w:t>
      </w:r>
      <w:r>
        <w:rPr>
          <w:rFonts w:hint="eastAsia" w:asciiTheme="majorEastAsia" w:hAnsiTheme="majorEastAsia" w:eastAsiaTheme="majorEastAsia" w:cstheme="majorEastAsia"/>
          <w:bCs/>
          <w:color w:val="auto"/>
          <w:szCs w:val="21"/>
          <w:highlight w:val="none"/>
          <w:lang w:eastAsia="zh-CN"/>
        </w:rPr>
        <w:t>）</w:t>
      </w:r>
    </w:p>
    <w:p>
      <w:pPr>
        <w:pStyle w:val="299"/>
        <w:adjustRightInd w:val="0"/>
        <w:spacing w:line="360" w:lineRule="auto"/>
        <w:ind w:firstLine="0" w:firstLineChars="0"/>
        <w:jc w:val="left"/>
        <w:textAlignment w:val="baseline"/>
        <w:outlineLvl w:val="0"/>
        <w:rPr>
          <w:rFonts w:hint="eastAsia" w:asciiTheme="majorEastAsia" w:hAnsiTheme="majorEastAsia" w:eastAsiaTheme="majorEastAsia" w:cstheme="majorEastAsia"/>
          <w:b w:val="0"/>
          <w:bCs/>
          <w:color w:val="auto"/>
          <w:szCs w:val="21"/>
          <w:highlight w:val="none"/>
          <w:lang w:eastAsia="zh-CN"/>
        </w:rPr>
      </w:pPr>
      <w:r>
        <w:rPr>
          <w:rFonts w:hint="eastAsia" w:asciiTheme="majorEastAsia" w:hAnsiTheme="majorEastAsia" w:eastAsiaTheme="majorEastAsia" w:cstheme="majorEastAsia"/>
          <w:b/>
          <w:color w:val="auto"/>
          <w:szCs w:val="21"/>
          <w:highlight w:val="none"/>
        </w:rPr>
        <w:t xml:space="preserve"> </w:t>
      </w:r>
      <w:r>
        <w:rPr>
          <w:rFonts w:hint="eastAsia" w:asciiTheme="majorEastAsia" w:hAnsiTheme="majorEastAsia" w:eastAsiaTheme="majorEastAsia" w:cstheme="majorEastAsia"/>
          <w:b/>
          <w:color w:val="auto"/>
          <w:szCs w:val="21"/>
          <w:highlight w:val="none"/>
          <w:lang w:val="en-US" w:eastAsia="zh-CN"/>
        </w:rPr>
        <w:t xml:space="preserve">  </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lang w:val="en-US" w:eastAsia="zh-CN"/>
        </w:rPr>
        <w:t>3</w:t>
      </w:r>
      <w:r>
        <w:rPr>
          <w:rFonts w:hint="eastAsia" w:asciiTheme="majorEastAsia" w:hAnsiTheme="majorEastAsia" w:eastAsiaTheme="majorEastAsia" w:cstheme="majorEastAsia"/>
          <w:b w:val="0"/>
          <w:bCs/>
          <w:color w:val="auto"/>
          <w:szCs w:val="21"/>
          <w:highlight w:val="none"/>
          <w:lang w:eastAsia="zh-CN"/>
        </w:rPr>
        <w:t>）</w:t>
      </w:r>
      <w:r>
        <w:rPr>
          <w:rFonts w:hint="eastAsia" w:asciiTheme="majorEastAsia" w:hAnsiTheme="majorEastAsia" w:eastAsiaTheme="majorEastAsia" w:cstheme="majorEastAsia"/>
          <w:b w:val="0"/>
          <w:bCs/>
          <w:color w:val="auto"/>
          <w:szCs w:val="21"/>
          <w:highlight w:val="none"/>
        </w:rPr>
        <w:t>政策功能分</w:t>
      </w:r>
      <w:r>
        <w:rPr>
          <w:rFonts w:hint="eastAsia" w:asciiTheme="majorEastAsia" w:hAnsiTheme="majorEastAsia" w:eastAsiaTheme="majorEastAsia" w:cstheme="majorEastAsia"/>
          <w:b w:val="0"/>
          <w:bCs/>
          <w:color w:val="auto"/>
          <w:szCs w:val="21"/>
          <w:highlight w:val="none"/>
          <w:lang w:eastAsia="zh-CN"/>
        </w:rPr>
        <w:t>（满分</w:t>
      </w:r>
      <w:r>
        <w:rPr>
          <w:rFonts w:hint="eastAsia" w:asciiTheme="majorEastAsia" w:hAnsiTheme="majorEastAsia" w:eastAsiaTheme="majorEastAsia" w:cstheme="majorEastAsia"/>
          <w:b w:val="0"/>
          <w:bCs/>
          <w:color w:val="auto"/>
          <w:szCs w:val="21"/>
          <w:highlight w:val="none"/>
        </w:rPr>
        <w:t>2分</w:t>
      </w:r>
      <w:r>
        <w:rPr>
          <w:rFonts w:hint="eastAsia" w:asciiTheme="majorEastAsia" w:hAnsiTheme="majorEastAsia" w:eastAsiaTheme="majorEastAsia" w:cstheme="majorEastAsia"/>
          <w:b w:val="0"/>
          <w:bCs/>
          <w:color w:val="auto"/>
          <w:szCs w:val="21"/>
          <w:highlight w:val="none"/>
          <w:lang w:eastAsia="zh-CN"/>
        </w:rPr>
        <w:t>）</w:t>
      </w:r>
    </w:p>
    <w:p>
      <w:pPr>
        <w:pStyle w:val="299"/>
        <w:adjustRightInd w:val="0"/>
        <w:spacing w:line="360" w:lineRule="auto"/>
        <w:ind w:firstLine="0" w:firstLineChars="0"/>
        <w:jc w:val="left"/>
        <w:textAlignment w:val="baseline"/>
        <w:outlineLvl w:val="0"/>
        <w:rPr>
          <w:rFonts w:hint="eastAsia"/>
          <w:color w:val="auto"/>
          <w:highlight w:val="none"/>
        </w:rPr>
      </w:pPr>
      <w:r>
        <w:rPr>
          <w:rFonts w:hint="eastAsia" w:asciiTheme="majorEastAsia" w:hAnsiTheme="majorEastAsia" w:eastAsiaTheme="majorEastAsia" w:cstheme="majorEastAsia"/>
          <w:b/>
          <w:color w:val="auto"/>
          <w:szCs w:val="21"/>
          <w:highlight w:val="none"/>
          <w:lang w:val="en-US" w:eastAsia="zh-CN"/>
        </w:rPr>
        <w:t xml:space="preserve">  </w:t>
      </w:r>
      <w:r>
        <w:rPr>
          <w:rFonts w:hint="eastAsia" w:asciiTheme="majorEastAsia" w:hAnsiTheme="majorEastAsia" w:eastAsiaTheme="majorEastAsia" w:cstheme="majorEastAsia"/>
          <w:bCs/>
          <w:color w:val="auto"/>
          <w:szCs w:val="21"/>
          <w:highlight w:val="none"/>
        </w:rPr>
        <w:t xml:space="preserve"> </w:t>
      </w:r>
      <w:r>
        <w:rPr>
          <w:rFonts w:hint="eastAsia"/>
          <w:color w:val="auto"/>
          <w:highlight w:val="none"/>
        </w:rPr>
        <w:t>①投标产品纳入（财库[2019]19号）中节能产品政府采购清单的（适用于非强制采购节能产品</w:t>
      </w:r>
      <w:r>
        <w:rPr>
          <w:rFonts w:hint="eastAsia"/>
          <w:color w:val="auto"/>
          <w:highlight w:val="none"/>
          <w:lang w:eastAsia="zh-CN"/>
        </w:rPr>
        <w:t>，</w:t>
      </w:r>
      <w:r>
        <w:rPr>
          <w:rFonts w:hint="eastAsia"/>
          <w:color w:val="auto"/>
          <w:highlight w:val="none"/>
        </w:rPr>
        <w:t>依据《市场监管总局关于发布参与实施政府采购节能产品、环境标志产品认证机构名录的公告》，提供所投相应型号产品有效的认证证书扫描件或其他电子文件</w:t>
      </w:r>
      <w:r>
        <w:rPr>
          <w:rFonts w:hint="eastAsia"/>
          <w:color w:val="auto"/>
          <w:highlight w:val="none"/>
          <w:lang w:eastAsia="zh-CN"/>
        </w:rPr>
        <w:t>），得</w:t>
      </w:r>
      <w:r>
        <w:rPr>
          <w:rFonts w:hint="eastAsia"/>
          <w:color w:val="auto"/>
          <w:highlight w:val="none"/>
          <w:lang w:val="en-US" w:eastAsia="zh-CN"/>
        </w:rPr>
        <w:t>1分，</w:t>
      </w:r>
      <w:r>
        <w:rPr>
          <w:rFonts w:hint="eastAsia"/>
          <w:color w:val="auto"/>
          <w:highlight w:val="none"/>
        </w:rPr>
        <w:t>满分</w:t>
      </w:r>
      <w:r>
        <w:rPr>
          <w:rFonts w:hint="eastAsia"/>
          <w:color w:val="auto"/>
          <w:highlight w:val="none"/>
          <w:lang w:val="en-US" w:eastAsia="zh-CN"/>
        </w:rPr>
        <w:t>1</w:t>
      </w:r>
      <w:r>
        <w:rPr>
          <w:rFonts w:hint="eastAsia"/>
          <w:color w:val="auto"/>
          <w:highlight w:val="none"/>
        </w:rPr>
        <w:t>分。</w:t>
      </w:r>
    </w:p>
    <w:p>
      <w:pPr>
        <w:spacing w:line="400" w:lineRule="exact"/>
        <w:ind w:firstLine="420" w:firstLineChars="200"/>
        <w:outlineLvl w:val="0"/>
        <w:rPr>
          <w:rFonts w:hint="eastAsia" w:ascii="宋体" w:hAnsi="宋体" w:cs="宋体"/>
          <w:color w:val="auto"/>
          <w:highlight w:val="none"/>
        </w:rPr>
      </w:pPr>
      <w:r>
        <w:rPr>
          <w:rFonts w:hint="eastAsia" w:ascii="宋体" w:hAnsi="宋体" w:cs="宋体"/>
          <w:bCs/>
          <w:color w:val="auto"/>
          <w:kern w:val="0"/>
          <w:szCs w:val="21"/>
          <w:highlight w:val="none"/>
          <w:lang w:bidi="ar"/>
        </w:rPr>
        <w:fldChar w:fldCharType="begin"/>
      </w:r>
      <w:r>
        <w:rPr>
          <w:rFonts w:hint="eastAsia" w:ascii="宋体" w:hAnsi="宋体" w:cs="宋体"/>
          <w:bCs/>
          <w:color w:val="auto"/>
          <w:kern w:val="0"/>
          <w:szCs w:val="21"/>
          <w:highlight w:val="none"/>
          <w:lang w:bidi="ar"/>
        </w:rPr>
        <w:instrText xml:space="preserve"> = 2 \* GB3 \* MERGEFORMAT </w:instrText>
      </w:r>
      <w:r>
        <w:rPr>
          <w:rFonts w:hint="eastAsia" w:ascii="宋体" w:hAnsi="宋体" w:cs="宋体"/>
          <w:bCs/>
          <w:color w:val="auto"/>
          <w:kern w:val="0"/>
          <w:szCs w:val="21"/>
          <w:highlight w:val="none"/>
          <w:lang w:bidi="ar"/>
        </w:rPr>
        <w:fldChar w:fldCharType="separate"/>
      </w:r>
      <w:r>
        <w:rPr>
          <w:rFonts w:hint="eastAsia" w:ascii="宋体" w:hAnsi="宋体" w:cs="宋体"/>
          <w:color w:val="auto"/>
          <w:highlight w:val="none"/>
        </w:rPr>
        <w:t>②</w:t>
      </w:r>
      <w:r>
        <w:rPr>
          <w:rFonts w:hint="eastAsia" w:ascii="宋体" w:hAnsi="宋体" w:cs="宋体"/>
          <w:bCs/>
          <w:color w:val="auto"/>
          <w:kern w:val="0"/>
          <w:szCs w:val="21"/>
          <w:highlight w:val="none"/>
          <w:lang w:bidi="ar"/>
        </w:rPr>
        <w:fldChar w:fldCharType="end"/>
      </w:r>
      <w:r>
        <w:rPr>
          <w:rFonts w:hint="eastAsia" w:ascii="宋体" w:hAnsi="宋体" w:cs="宋体"/>
          <w:color w:val="auto"/>
          <w:highlight w:val="none"/>
        </w:rPr>
        <w:t>投标产品纳入（财库[2019]18号）中环境标志产品政府采购清单的（依据《市场监管总局关于发</w:t>
      </w:r>
      <w:r>
        <w:rPr>
          <w:rFonts w:hint="eastAsia"/>
          <w:color w:val="auto"/>
          <w:highlight w:val="none"/>
        </w:rPr>
        <w:t>布参与实施政府采购节能产品、环境标志产品认证机构名录的公告》，提供所投相应型号产品有效的认</w:t>
      </w:r>
      <w:r>
        <w:rPr>
          <w:rFonts w:hint="eastAsia" w:ascii="宋体" w:hAnsi="宋体" w:cs="宋体"/>
          <w:color w:val="auto"/>
          <w:highlight w:val="none"/>
        </w:rPr>
        <w:t>证证书扫描件或其他电子文件）</w:t>
      </w:r>
      <w:r>
        <w:rPr>
          <w:rFonts w:hint="eastAsia"/>
          <w:color w:val="auto"/>
          <w:highlight w:val="none"/>
          <w:lang w:eastAsia="zh-CN"/>
        </w:rPr>
        <w:t>，得</w:t>
      </w:r>
      <w:r>
        <w:rPr>
          <w:rFonts w:hint="eastAsia"/>
          <w:color w:val="auto"/>
          <w:highlight w:val="none"/>
          <w:lang w:val="en-US" w:eastAsia="zh-CN"/>
        </w:rPr>
        <w:t>1分，</w:t>
      </w:r>
      <w:r>
        <w:rPr>
          <w:rFonts w:hint="eastAsia" w:ascii="宋体" w:hAnsi="宋体" w:cs="宋体"/>
          <w:color w:val="auto"/>
          <w:highlight w:val="none"/>
        </w:rPr>
        <w:t>满分</w:t>
      </w:r>
      <w:r>
        <w:rPr>
          <w:rFonts w:hint="eastAsia" w:ascii="宋体" w:hAnsi="宋体" w:cs="宋体"/>
          <w:color w:val="auto"/>
          <w:highlight w:val="none"/>
          <w:lang w:val="en-US" w:eastAsia="zh-CN"/>
        </w:rPr>
        <w:t>1</w:t>
      </w:r>
      <w:r>
        <w:rPr>
          <w:rFonts w:hint="eastAsia" w:ascii="宋体" w:hAnsi="宋体" w:cs="宋体"/>
          <w:color w:val="auto"/>
          <w:highlight w:val="none"/>
        </w:rPr>
        <w:t>分。</w:t>
      </w:r>
    </w:p>
    <w:p>
      <w:pPr>
        <w:pStyle w:val="299"/>
        <w:adjustRightInd w:val="0"/>
        <w:spacing w:line="360" w:lineRule="auto"/>
        <w:ind w:left="0" w:leftChars="0" w:firstLine="0" w:firstLineChars="0"/>
        <w:jc w:val="left"/>
        <w:textAlignment w:val="baseline"/>
        <w:outlineLvl w:val="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lang w:val="en-US" w:eastAsia="zh-CN"/>
        </w:rPr>
        <w:t xml:space="preserve">   </w:t>
      </w:r>
      <w:r>
        <w:rPr>
          <w:rFonts w:hint="eastAsia" w:asciiTheme="majorEastAsia" w:hAnsiTheme="majorEastAsia" w:eastAsiaTheme="majorEastAsia" w:cstheme="majorEastAsia"/>
          <w:b/>
          <w:color w:val="auto"/>
          <w:szCs w:val="21"/>
          <w:highlight w:val="none"/>
        </w:rPr>
        <w:t xml:space="preserve">（三）总得分= 1 + 2 + 3 </w:t>
      </w:r>
    </w:p>
    <w:p>
      <w:pPr>
        <w:pStyle w:val="299"/>
        <w:adjustRightInd w:val="0"/>
        <w:spacing w:line="360" w:lineRule="auto"/>
        <w:ind w:left="360" w:firstLine="0" w:firstLineChars="0"/>
        <w:jc w:val="left"/>
        <w:textAlignment w:val="baseline"/>
        <w:outlineLvl w:val="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三、中标候选人推荐原则</w:t>
      </w:r>
    </w:p>
    <w:p>
      <w:pPr>
        <w:pStyle w:val="299"/>
        <w:adjustRightInd w:val="0"/>
        <w:spacing w:line="360" w:lineRule="auto"/>
        <w:jc w:val="left"/>
        <w:textAlignment w:val="baseline"/>
        <w:outlineLvl w:val="0"/>
        <w:rPr>
          <w:rFonts w:hint="eastAsia"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一）评标委员会将根据得分由高到低排列次序（得分相同时，以投标报价由低到高顺序排列；得分相同且投标报价相同的，按技术指标优劣顺序排列）并推荐中标候选供应商。采购人应当确定评审委员会推荐排名第一的中标候选人为中标人。</w:t>
      </w:r>
    </w:p>
    <w:p>
      <w:pPr>
        <w:pStyle w:val="299"/>
        <w:adjustRightInd w:val="0"/>
        <w:spacing w:line="360" w:lineRule="auto"/>
        <w:jc w:val="left"/>
        <w:textAlignment w:val="baseline"/>
        <w:outlineLvl w:val="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排名第一的中标候选人放弃中标、因不可抗力提出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pPr>
        <w:pStyle w:val="299"/>
        <w:adjustRightInd w:val="0"/>
        <w:spacing w:line="360" w:lineRule="auto"/>
        <w:jc w:val="left"/>
        <w:textAlignment w:val="baseline"/>
        <w:outlineLvl w:val="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99"/>
        <w:adjustRightInd w:val="0"/>
        <w:spacing w:line="360" w:lineRule="auto"/>
        <w:ind w:left="360"/>
        <w:jc w:val="left"/>
        <w:textAlignment w:val="baseline"/>
        <w:rPr>
          <w:rFonts w:asciiTheme="majorEastAsia" w:hAnsiTheme="majorEastAsia" w:eastAsiaTheme="majorEastAsia" w:cstheme="majorEastAsia"/>
          <w:bCs/>
          <w:color w:val="auto"/>
          <w:szCs w:val="21"/>
          <w:highlight w:val="none"/>
        </w:rPr>
      </w:pPr>
    </w:p>
    <w:p>
      <w:pPr>
        <w:pStyle w:val="299"/>
        <w:adjustRightInd w:val="0"/>
        <w:spacing w:line="360" w:lineRule="auto"/>
        <w:ind w:left="360"/>
        <w:jc w:val="left"/>
        <w:textAlignment w:val="baseline"/>
        <w:rPr>
          <w:rFonts w:asciiTheme="majorEastAsia" w:hAnsiTheme="majorEastAsia" w:eastAsiaTheme="majorEastAsia" w:cstheme="majorEastAsia"/>
          <w:bCs/>
          <w:color w:val="auto"/>
          <w:szCs w:val="21"/>
          <w:highlight w:val="none"/>
        </w:rPr>
      </w:pPr>
    </w:p>
    <w:p>
      <w:pPr>
        <w:pStyle w:val="299"/>
        <w:adjustRightInd w:val="0"/>
        <w:spacing w:line="360" w:lineRule="auto"/>
        <w:ind w:left="360"/>
        <w:jc w:val="left"/>
        <w:textAlignment w:val="baseline"/>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br w:type="page"/>
      </w:r>
    </w:p>
    <w:p>
      <w:pPr>
        <w:pStyle w:val="29"/>
        <w:snapToGrid w:val="0"/>
        <w:spacing w:before="120" w:after="120"/>
        <w:jc w:val="center"/>
        <w:outlineLvl w:val="0"/>
        <w:rPr>
          <w:rFonts w:ascii="黑体" w:eastAsia="黑体"/>
          <w:b/>
          <w:color w:val="auto"/>
          <w:sz w:val="44"/>
          <w:szCs w:val="44"/>
          <w:highlight w:val="none"/>
        </w:rPr>
      </w:pPr>
    </w:p>
    <w:p>
      <w:pPr>
        <w:pStyle w:val="29"/>
        <w:snapToGrid w:val="0"/>
        <w:spacing w:before="120" w:after="120"/>
        <w:jc w:val="center"/>
        <w:outlineLvl w:val="0"/>
        <w:rPr>
          <w:rFonts w:ascii="黑体" w:eastAsia="黑体"/>
          <w:b/>
          <w:color w:val="auto"/>
          <w:sz w:val="44"/>
          <w:szCs w:val="44"/>
          <w:highlight w:val="none"/>
        </w:rPr>
      </w:pPr>
    </w:p>
    <w:p>
      <w:pPr>
        <w:pStyle w:val="29"/>
        <w:snapToGrid w:val="0"/>
        <w:spacing w:before="120" w:after="120"/>
        <w:jc w:val="center"/>
        <w:outlineLvl w:val="0"/>
        <w:rPr>
          <w:rFonts w:ascii="黑体" w:eastAsia="黑体"/>
          <w:b/>
          <w:color w:val="auto"/>
          <w:sz w:val="44"/>
          <w:szCs w:val="44"/>
          <w:highlight w:val="none"/>
        </w:rPr>
      </w:pPr>
    </w:p>
    <w:p>
      <w:pPr>
        <w:pStyle w:val="5"/>
        <w:rPr>
          <w:rFonts w:ascii="黑体" w:eastAsia="黑体"/>
          <w:b/>
          <w:color w:val="auto"/>
          <w:sz w:val="44"/>
          <w:szCs w:val="44"/>
          <w:highlight w:val="none"/>
        </w:rPr>
      </w:pPr>
    </w:p>
    <w:p>
      <w:pPr>
        <w:rPr>
          <w:color w:val="auto"/>
          <w:highlight w:val="none"/>
        </w:rPr>
      </w:pPr>
    </w:p>
    <w:p>
      <w:pPr>
        <w:pStyle w:val="29"/>
        <w:snapToGrid w:val="0"/>
        <w:spacing w:before="120" w:after="120"/>
        <w:jc w:val="center"/>
        <w:outlineLvl w:val="0"/>
        <w:rPr>
          <w:rFonts w:ascii="黑体" w:eastAsia="黑体"/>
          <w:b/>
          <w:color w:val="auto"/>
          <w:sz w:val="44"/>
          <w:szCs w:val="44"/>
          <w:highlight w:val="none"/>
        </w:rPr>
      </w:pPr>
    </w:p>
    <w:p>
      <w:pPr>
        <w:pStyle w:val="29"/>
        <w:snapToGrid w:val="0"/>
        <w:spacing w:before="120" w:after="120"/>
        <w:jc w:val="center"/>
        <w:outlineLvl w:val="0"/>
        <w:rPr>
          <w:rFonts w:ascii="黑体" w:eastAsia="黑体"/>
          <w:b/>
          <w:color w:val="auto"/>
          <w:sz w:val="44"/>
          <w:szCs w:val="44"/>
          <w:highlight w:val="none"/>
        </w:rPr>
      </w:pPr>
    </w:p>
    <w:p>
      <w:pPr>
        <w:pStyle w:val="29"/>
        <w:snapToGrid w:val="0"/>
        <w:spacing w:before="120" w:after="120"/>
        <w:jc w:val="center"/>
        <w:outlineLvl w:val="0"/>
        <w:rPr>
          <w:rFonts w:ascii="黑体" w:eastAsia="黑体"/>
          <w:b/>
          <w:color w:val="auto"/>
          <w:sz w:val="44"/>
          <w:szCs w:val="44"/>
          <w:highlight w:val="none"/>
        </w:rPr>
      </w:pPr>
    </w:p>
    <w:p>
      <w:pPr>
        <w:jc w:val="center"/>
        <w:rPr>
          <w:rFonts w:ascii="宋体" w:hAnsi="宋体"/>
          <w:b/>
          <w:dstrike/>
          <w:color w:val="auto"/>
          <w:sz w:val="36"/>
          <w:szCs w:val="36"/>
          <w:highlight w:val="none"/>
        </w:rPr>
      </w:pPr>
      <w:r>
        <w:rPr>
          <w:rFonts w:hint="eastAsia" w:ascii="仿宋_GB2312" w:eastAsia="仿宋_GB2312"/>
          <w:b/>
          <w:color w:val="auto"/>
          <w:sz w:val="36"/>
          <w:szCs w:val="36"/>
          <w:highlight w:val="none"/>
        </w:rPr>
        <w:t>第五章    政府采购合同主要条款</w:t>
      </w:r>
    </w:p>
    <w:p>
      <w:pPr>
        <w:pStyle w:val="29"/>
        <w:snapToGrid w:val="0"/>
        <w:spacing w:before="120" w:after="120"/>
        <w:jc w:val="center"/>
        <w:outlineLvl w:val="0"/>
        <w:rPr>
          <w:rFonts w:ascii="黑体" w:eastAsia="黑体"/>
          <w:b/>
          <w:color w:val="auto"/>
          <w:sz w:val="44"/>
          <w:szCs w:val="44"/>
          <w:highlight w:val="none"/>
        </w:rPr>
      </w:pPr>
    </w:p>
    <w:p>
      <w:pPr>
        <w:pStyle w:val="29"/>
        <w:jc w:val="center"/>
        <w:rPr>
          <w:color w:val="auto"/>
          <w:highlight w:val="none"/>
        </w:rPr>
      </w:pPr>
      <w:r>
        <w:rPr>
          <w:color w:val="auto"/>
          <w:highlight w:val="none"/>
        </w:rPr>
        <w:br w:type="page"/>
      </w:r>
    </w:p>
    <w:p>
      <w:pPr>
        <w:pStyle w:val="29"/>
        <w:jc w:val="center"/>
        <w:rPr>
          <w:color w:val="auto"/>
          <w:highlight w:val="none"/>
        </w:rPr>
      </w:pPr>
    </w:p>
    <w:p>
      <w:pPr>
        <w:pStyle w:val="29"/>
        <w:jc w:val="center"/>
        <w:rPr>
          <w:color w:val="auto"/>
          <w:highlight w:val="none"/>
        </w:rPr>
      </w:pPr>
    </w:p>
    <w:p>
      <w:pPr>
        <w:pStyle w:val="29"/>
        <w:jc w:val="center"/>
        <w:rPr>
          <w:rFonts w:hAnsi="宋体"/>
          <w:b/>
          <w:color w:val="auto"/>
          <w:sz w:val="52"/>
          <w:szCs w:val="52"/>
          <w:highlight w:val="none"/>
        </w:rPr>
      </w:pPr>
      <w:r>
        <w:rPr>
          <w:rFonts w:hint="eastAsia" w:hAnsi="宋体"/>
          <w:b/>
          <w:color w:val="auto"/>
          <w:sz w:val="52"/>
          <w:szCs w:val="52"/>
          <w:highlight w:val="none"/>
        </w:rPr>
        <w:t>广西壮族自治区政府采购合同</w:t>
      </w:r>
    </w:p>
    <w:p>
      <w:pPr>
        <w:pStyle w:val="29"/>
        <w:rPr>
          <w:rFonts w:hAnsi="宋体"/>
          <w:color w:val="auto"/>
          <w:highlight w:val="none"/>
        </w:rPr>
      </w:pPr>
    </w:p>
    <w:p>
      <w:pPr>
        <w:pStyle w:val="29"/>
        <w:rPr>
          <w:rFonts w:hAnsi="宋体"/>
          <w:color w:val="auto"/>
          <w:highlight w:val="none"/>
        </w:rPr>
      </w:pPr>
    </w:p>
    <w:p>
      <w:pPr>
        <w:pStyle w:val="29"/>
        <w:rPr>
          <w:rFonts w:hAnsi="宋体"/>
          <w:color w:val="auto"/>
          <w:highlight w:val="none"/>
        </w:rPr>
      </w:pPr>
    </w:p>
    <w:p>
      <w:pPr>
        <w:pStyle w:val="29"/>
        <w:rPr>
          <w:rFonts w:hAnsi="宋体"/>
          <w:color w:val="auto"/>
          <w:highlight w:val="none"/>
        </w:rPr>
      </w:pPr>
    </w:p>
    <w:p>
      <w:pPr>
        <w:pStyle w:val="29"/>
        <w:ind w:firstLine="1590" w:firstLineChars="495"/>
        <w:rPr>
          <w:rFonts w:hAnsi="宋体"/>
          <w:b/>
          <w:color w:val="auto"/>
          <w:sz w:val="32"/>
          <w:szCs w:val="32"/>
          <w:highlight w:val="none"/>
          <w:u w:val="single"/>
        </w:rPr>
      </w:pPr>
      <w:r>
        <w:rPr>
          <w:rFonts w:hint="eastAsia" w:hAnsi="宋体"/>
          <w:b/>
          <w:color w:val="auto"/>
          <w:sz w:val="32"/>
          <w:szCs w:val="32"/>
          <w:highlight w:val="none"/>
        </w:rPr>
        <w:t>合同名称：</w:t>
      </w:r>
      <w:r>
        <w:rPr>
          <w:rFonts w:hint="eastAsia" w:hAnsi="宋体"/>
          <w:b/>
          <w:color w:val="auto"/>
          <w:sz w:val="32"/>
          <w:szCs w:val="32"/>
          <w:highlight w:val="none"/>
          <w:u w:val="single"/>
        </w:rPr>
        <w:t xml:space="preserve">                            </w:t>
      </w:r>
    </w:p>
    <w:p>
      <w:pPr>
        <w:pStyle w:val="29"/>
        <w:ind w:firstLine="1590" w:firstLineChars="495"/>
        <w:rPr>
          <w:rFonts w:hAnsi="宋体"/>
          <w:b/>
          <w:color w:val="auto"/>
          <w:sz w:val="32"/>
          <w:szCs w:val="32"/>
          <w:highlight w:val="none"/>
        </w:rPr>
      </w:pPr>
    </w:p>
    <w:p>
      <w:pPr>
        <w:pStyle w:val="29"/>
        <w:ind w:firstLine="1590" w:firstLineChars="495"/>
        <w:rPr>
          <w:rFonts w:hAnsi="宋体"/>
          <w:b/>
          <w:color w:val="auto"/>
          <w:sz w:val="32"/>
          <w:szCs w:val="32"/>
          <w:highlight w:val="none"/>
          <w:u w:val="single"/>
        </w:rPr>
      </w:pPr>
      <w:r>
        <w:rPr>
          <w:rFonts w:hint="eastAsia" w:hAnsi="宋体"/>
          <w:b/>
          <w:color w:val="auto"/>
          <w:sz w:val="32"/>
          <w:szCs w:val="32"/>
          <w:highlight w:val="none"/>
        </w:rPr>
        <w:t>合同编号：</w:t>
      </w:r>
      <w:r>
        <w:rPr>
          <w:rFonts w:hint="eastAsia" w:hAnsi="宋体"/>
          <w:b/>
          <w:color w:val="auto"/>
          <w:sz w:val="32"/>
          <w:szCs w:val="32"/>
          <w:highlight w:val="none"/>
          <w:u w:val="single"/>
        </w:rPr>
        <w:t xml:space="preserve">                            </w:t>
      </w:r>
    </w:p>
    <w:p>
      <w:pPr>
        <w:pStyle w:val="29"/>
        <w:jc w:val="center"/>
        <w:rPr>
          <w:rFonts w:hAnsi="宋体"/>
          <w:color w:val="auto"/>
          <w:highlight w:val="none"/>
        </w:rPr>
      </w:pPr>
    </w:p>
    <w:p>
      <w:pPr>
        <w:pStyle w:val="29"/>
        <w:jc w:val="center"/>
        <w:rPr>
          <w:rFonts w:hAnsi="宋体"/>
          <w:color w:val="auto"/>
          <w:highlight w:val="none"/>
        </w:rPr>
      </w:pPr>
    </w:p>
    <w:p>
      <w:pPr>
        <w:pStyle w:val="29"/>
        <w:jc w:val="center"/>
        <w:rPr>
          <w:rFonts w:hAnsi="宋体"/>
          <w:color w:val="auto"/>
          <w:highlight w:val="none"/>
        </w:rPr>
      </w:pPr>
    </w:p>
    <w:p>
      <w:pPr>
        <w:pStyle w:val="29"/>
        <w:spacing w:after="156" w:afterLines="50" w:line="340" w:lineRule="exact"/>
        <w:ind w:firstLine="1590" w:firstLineChars="495"/>
        <w:rPr>
          <w:rFonts w:hAnsi="宋体"/>
          <w:b/>
          <w:color w:val="auto"/>
          <w:sz w:val="32"/>
          <w:szCs w:val="32"/>
          <w:highlight w:val="none"/>
          <w:u w:val="single"/>
        </w:rPr>
      </w:pPr>
      <w:r>
        <w:rPr>
          <w:rFonts w:hint="eastAsia" w:hAnsi="宋体"/>
          <w:b/>
          <w:color w:val="auto"/>
          <w:sz w:val="32"/>
          <w:szCs w:val="32"/>
          <w:highlight w:val="none"/>
        </w:rPr>
        <w:t>采购单位（甲方）</w:t>
      </w:r>
      <w:r>
        <w:rPr>
          <w:rFonts w:hint="eastAsia" w:hAnsi="宋体"/>
          <w:b/>
          <w:color w:val="auto"/>
          <w:sz w:val="32"/>
          <w:szCs w:val="32"/>
          <w:highlight w:val="none"/>
          <w:u w:val="single"/>
        </w:rPr>
        <w:t xml:space="preserve">                      </w:t>
      </w:r>
    </w:p>
    <w:p>
      <w:pPr>
        <w:pStyle w:val="29"/>
        <w:spacing w:line="340" w:lineRule="exact"/>
        <w:ind w:firstLine="1590" w:firstLineChars="495"/>
        <w:rPr>
          <w:rFonts w:hAnsi="宋体"/>
          <w:b/>
          <w:color w:val="auto"/>
          <w:sz w:val="32"/>
          <w:szCs w:val="32"/>
          <w:highlight w:val="none"/>
          <w:u w:val="single"/>
        </w:rPr>
      </w:pPr>
      <w:r>
        <w:rPr>
          <w:rFonts w:hint="eastAsia" w:hAnsi="宋体"/>
          <w:b/>
          <w:color w:val="auto"/>
          <w:sz w:val="32"/>
          <w:szCs w:val="32"/>
          <w:highlight w:val="none"/>
        </w:rPr>
        <w:t>住   所：</w:t>
      </w:r>
      <w:r>
        <w:rPr>
          <w:rFonts w:hint="eastAsia" w:hAnsi="宋体"/>
          <w:b/>
          <w:color w:val="auto"/>
          <w:sz w:val="32"/>
          <w:szCs w:val="32"/>
          <w:highlight w:val="none"/>
          <w:u w:val="single"/>
        </w:rPr>
        <w:t xml:space="preserve">                            </w:t>
      </w:r>
    </w:p>
    <w:p>
      <w:pPr>
        <w:pStyle w:val="29"/>
        <w:spacing w:line="340" w:lineRule="exact"/>
        <w:ind w:firstLine="1590" w:firstLineChars="495"/>
        <w:rPr>
          <w:rFonts w:hAnsi="宋体"/>
          <w:b/>
          <w:color w:val="auto"/>
          <w:sz w:val="32"/>
          <w:szCs w:val="32"/>
          <w:highlight w:val="none"/>
        </w:rPr>
      </w:pPr>
    </w:p>
    <w:p>
      <w:pPr>
        <w:pStyle w:val="29"/>
        <w:spacing w:line="340" w:lineRule="exact"/>
        <w:ind w:firstLine="1590" w:firstLineChars="495"/>
        <w:rPr>
          <w:rFonts w:hAnsi="宋体"/>
          <w:b/>
          <w:color w:val="auto"/>
          <w:sz w:val="32"/>
          <w:szCs w:val="32"/>
          <w:highlight w:val="none"/>
        </w:rPr>
      </w:pPr>
    </w:p>
    <w:p>
      <w:pPr>
        <w:pStyle w:val="29"/>
        <w:spacing w:after="156" w:afterLines="50" w:line="340" w:lineRule="exact"/>
        <w:ind w:firstLine="1590" w:firstLineChars="495"/>
        <w:rPr>
          <w:rFonts w:hAnsi="宋体"/>
          <w:b/>
          <w:color w:val="auto"/>
          <w:sz w:val="32"/>
          <w:szCs w:val="32"/>
          <w:highlight w:val="none"/>
          <w:u w:val="single"/>
        </w:rPr>
      </w:pPr>
      <w:r>
        <w:rPr>
          <w:rFonts w:hint="eastAsia" w:hAnsi="宋体"/>
          <w:b/>
          <w:color w:val="auto"/>
          <w:sz w:val="32"/>
          <w:szCs w:val="32"/>
          <w:highlight w:val="none"/>
        </w:rPr>
        <w:t>供 应 商（乙方）</w:t>
      </w:r>
      <w:r>
        <w:rPr>
          <w:rFonts w:hint="eastAsia" w:hAnsi="宋体"/>
          <w:b/>
          <w:color w:val="auto"/>
          <w:sz w:val="32"/>
          <w:szCs w:val="32"/>
          <w:highlight w:val="none"/>
          <w:u w:val="single"/>
        </w:rPr>
        <w:t xml:space="preserve">                      </w:t>
      </w:r>
    </w:p>
    <w:p>
      <w:pPr>
        <w:pStyle w:val="29"/>
        <w:spacing w:line="340" w:lineRule="exact"/>
        <w:ind w:firstLine="1590" w:firstLineChars="495"/>
        <w:rPr>
          <w:rFonts w:hAnsi="宋体"/>
          <w:b/>
          <w:color w:val="auto"/>
          <w:sz w:val="32"/>
          <w:szCs w:val="32"/>
          <w:highlight w:val="none"/>
          <w:u w:val="single"/>
        </w:rPr>
      </w:pPr>
      <w:r>
        <w:rPr>
          <w:rFonts w:hint="eastAsia" w:hAnsi="宋体"/>
          <w:b/>
          <w:color w:val="auto"/>
          <w:sz w:val="32"/>
          <w:szCs w:val="32"/>
          <w:highlight w:val="none"/>
        </w:rPr>
        <w:t>住   所：</w:t>
      </w:r>
      <w:r>
        <w:rPr>
          <w:rFonts w:hint="eastAsia" w:hAnsi="宋体"/>
          <w:b/>
          <w:color w:val="auto"/>
          <w:sz w:val="32"/>
          <w:szCs w:val="32"/>
          <w:highlight w:val="none"/>
          <w:u w:val="single"/>
        </w:rPr>
        <w:t xml:space="preserve">                            </w:t>
      </w:r>
    </w:p>
    <w:p>
      <w:pPr>
        <w:pStyle w:val="29"/>
        <w:spacing w:line="340" w:lineRule="exact"/>
        <w:ind w:firstLine="1590" w:firstLineChars="495"/>
        <w:rPr>
          <w:rFonts w:hAnsi="宋体"/>
          <w:b/>
          <w:color w:val="auto"/>
          <w:sz w:val="32"/>
          <w:szCs w:val="32"/>
          <w:highlight w:val="none"/>
        </w:rPr>
      </w:pPr>
    </w:p>
    <w:p>
      <w:pPr>
        <w:pStyle w:val="29"/>
        <w:jc w:val="center"/>
        <w:rPr>
          <w:rFonts w:hAnsi="宋体"/>
          <w:color w:val="auto"/>
          <w:highlight w:val="none"/>
        </w:rPr>
      </w:pPr>
      <w:r>
        <w:rPr>
          <w:rFonts w:hint="eastAsia" w:hAnsi="宋体"/>
          <w:color w:val="auto"/>
          <w:highlight w:val="none"/>
        </w:rPr>
        <w:t xml:space="preserve"> </w:t>
      </w:r>
    </w:p>
    <w:p>
      <w:pPr>
        <w:pStyle w:val="29"/>
        <w:jc w:val="center"/>
        <w:rPr>
          <w:rFonts w:hAnsi="宋体"/>
          <w:color w:val="auto"/>
          <w:highlight w:val="none"/>
        </w:rPr>
      </w:pPr>
    </w:p>
    <w:p>
      <w:pPr>
        <w:pStyle w:val="29"/>
        <w:jc w:val="center"/>
        <w:rPr>
          <w:rFonts w:hAnsi="宋体"/>
          <w:color w:val="auto"/>
          <w:highlight w:val="none"/>
        </w:rPr>
      </w:pPr>
    </w:p>
    <w:p>
      <w:pPr>
        <w:pStyle w:val="29"/>
        <w:ind w:firstLine="1590" w:firstLineChars="495"/>
        <w:rPr>
          <w:rFonts w:hAnsi="宋体"/>
          <w:b/>
          <w:color w:val="auto"/>
          <w:sz w:val="32"/>
          <w:szCs w:val="32"/>
          <w:highlight w:val="none"/>
          <w:u w:val="single"/>
        </w:rPr>
      </w:pPr>
      <w:r>
        <w:rPr>
          <w:rFonts w:hint="eastAsia" w:hAnsi="宋体"/>
          <w:b/>
          <w:color w:val="auto"/>
          <w:sz w:val="32"/>
          <w:szCs w:val="32"/>
          <w:highlight w:val="none"/>
        </w:rPr>
        <w:t>签订合同地点：</w:t>
      </w:r>
      <w:r>
        <w:rPr>
          <w:rFonts w:hint="eastAsia" w:hAnsi="宋体"/>
          <w:b/>
          <w:color w:val="auto"/>
          <w:sz w:val="32"/>
          <w:szCs w:val="32"/>
          <w:highlight w:val="none"/>
          <w:u w:val="single"/>
        </w:rPr>
        <w:t xml:space="preserve">                       </w:t>
      </w:r>
    </w:p>
    <w:p>
      <w:pPr>
        <w:pStyle w:val="29"/>
        <w:ind w:firstLine="1590" w:firstLineChars="495"/>
        <w:rPr>
          <w:rFonts w:hAnsi="宋体"/>
          <w:b/>
          <w:color w:val="auto"/>
          <w:sz w:val="32"/>
          <w:szCs w:val="32"/>
          <w:highlight w:val="none"/>
        </w:rPr>
      </w:pPr>
    </w:p>
    <w:p>
      <w:pPr>
        <w:pStyle w:val="29"/>
        <w:ind w:firstLine="1590" w:firstLineChars="495"/>
        <w:rPr>
          <w:rFonts w:hAnsi="宋体"/>
          <w:b/>
          <w:color w:val="auto"/>
          <w:sz w:val="32"/>
          <w:szCs w:val="32"/>
          <w:highlight w:val="none"/>
        </w:rPr>
      </w:pPr>
      <w:r>
        <w:rPr>
          <w:rFonts w:hint="eastAsia" w:hAnsi="宋体"/>
          <w:b/>
          <w:color w:val="auto"/>
          <w:sz w:val="32"/>
          <w:szCs w:val="32"/>
          <w:highlight w:val="none"/>
        </w:rPr>
        <w:t>签订合同时间：</w:t>
      </w:r>
      <w:r>
        <w:rPr>
          <w:rFonts w:hint="eastAsia" w:hAnsi="宋体"/>
          <w:b/>
          <w:color w:val="auto"/>
          <w:sz w:val="32"/>
          <w:szCs w:val="32"/>
          <w:highlight w:val="none"/>
          <w:u w:val="single"/>
        </w:rPr>
        <w:t xml:space="preserve">                       </w:t>
      </w:r>
    </w:p>
    <w:p>
      <w:pPr>
        <w:pStyle w:val="29"/>
        <w:jc w:val="center"/>
        <w:rPr>
          <w:rFonts w:hAnsi="宋体"/>
          <w:color w:val="auto"/>
          <w:highlight w:val="none"/>
        </w:rPr>
      </w:pPr>
    </w:p>
    <w:p>
      <w:pPr>
        <w:pStyle w:val="29"/>
        <w:jc w:val="center"/>
        <w:rPr>
          <w:rFonts w:hAnsi="宋体"/>
          <w:color w:val="auto"/>
          <w:highlight w:val="none"/>
        </w:rPr>
      </w:pPr>
    </w:p>
    <w:p>
      <w:pPr>
        <w:pStyle w:val="29"/>
        <w:jc w:val="center"/>
        <w:rPr>
          <w:color w:val="auto"/>
          <w:highlight w:val="none"/>
        </w:rPr>
      </w:pPr>
    </w:p>
    <w:p>
      <w:pPr>
        <w:pStyle w:val="29"/>
        <w:jc w:val="center"/>
        <w:rPr>
          <w:rFonts w:hAnsi="宋体"/>
          <w:color w:val="auto"/>
          <w:highlight w:val="none"/>
        </w:rPr>
      </w:pPr>
    </w:p>
    <w:p>
      <w:pPr>
        <w:pStyle w:val="29"/>
        <w:spacing w:line="420" w:lineRule="exact"/>
        <w:jc w:val="center"/>
        <w:rPr>
          <w:rFonts w:hAnsi="宋体"/>
          <w:color w:val="auto"/>
          <w:highlight w:val="none"/>
        </w:rPr>
      </w:pPr>
      <w:r>
        <w:rPr>
          <w:rFonts w:hint="eastAsia" w:hAnsi="宋体"/>
          <w:color w:val="auto"/>
          <w:highlight w:val="none"/>
        </w:rPr>
        <w:t>合同使用说明：根据《中华人民共和国政府采购法》、《中华人民共和国民法典》等法律、法规规定，</w:t>
      </w:r>
    </w:p>
    <w:p>
      <w:pPr>
        <w:pStyle w:val="29"/>
        <w:snapToGrid w:val="0"/>
        <w:spacing w:before="120" w:after="120"/>
        <w:jc w:val="center"/>
        <w:outlineLvl w:val="0"/>
        <w:rPr>
          <w:rFonts w:hAnsi="宋体"/>
          <w:color w:val="auto"/>
          <w:highlight w:val="none"/>
        </w:rPr>
      </w:pPr>
      <w:r>
        <w:rPr>
          <w:rFonts w:hint="eastAsia" w:hAnsi="宋体"/>
          <w:color w:val="auto"/>
          <w:highlight w:val="none"/>
        </w:rPr>
        <w:t xml:space="preserve">        按照招标文件规定条款和中标供应商投标文件及其承诺，甲乙双方签订本合同。</w:t>
      </w:r>
    </w:p>
    <w:p>
      <w:pPr>
        <w:pStyle w:val="29"/>
        <w:snapToGrid w:val="0"/>
        <w:spacing w:before="120" w:after="120"/>
        <w:jc w:val="center"/>
        <w:outlineLvl w:val="0"/>
        <w:rPr>
          <w:rFonts w:hAnsi="宋体"/>
          <w:color w:val="auto"/>
          <w:highlight w:val="none"/>
        </w:rPr>
      </w:pPr>
    </w:p>
    <w:p>
      <w:pPr>
        <w:pStyle w:val="29"/>
        <w:snapToGrid w:val="0"/>
        <w:spacing w:before="120" w:after="120"/>
        <w:jc w:val="center"/>
        <w:outlineLvl w:val="0"/>
        <w:rPr>
          <w:rFonts w:hAnsi="宋体"/>
          <w:color w:val="auto"/>
          <w:highlight w:val="none"/>
        </w:rPr>
      </w:pPr>
    </w:p>
    <w:p>
      <w:pPr>
        <w:spacing w:line="300" w:lineRule="auto"/>
        <w:ind w:left="420" w:hanging="420"/>
        <w:jc w:val="left"/>
        <w:rPr>
          <w:rFonts w:ascii="黑体" w:eastAsia="黑体"/>
          <w:b/>
          <w:color w:val="auto"/>
          <w:szCs w:val="21"/>
          <w:highlight w:val="none"/>
        </w:rPr>
      </w:pPr>
      <w:r>
        <w:rPr>
          <w:rFonts w:hint="eastAsia" w:ascii="黑体" w:eastAsia="黑体"/>
          <w:bCs/>
          <w:color w:val="auto"/>
          <w:szCs w:val="21"/>
          <w:highlight w:val="none"/>
        </w:rPr>
        <w:t>采购人可根据“第二章招标项目采购需求”中的要求补全/调整：</w:t>
      </w:r>
    </w:p>
    <w:p>
      <w:pPr>
        <w:spacing w:line="300" w:lineRule="auto"/>
        <w:ind w:left="420" w:hanging="420"/>
        <w:jc w:val="center"/>
        <w:rPr>
          <w:rFonts w:ascii="黑体" w:eastAsia="黑体"/>
          <w:b/>
          <w:bCs/>
          <w:color w:val="auto"/>
          <w:sz w:val="44"/>
          <w:szCs w:val="44"/>
          <w:highlight w:val="none"/>
        </w:rPr>
      </w:pPr>
      <w:r>
        <w:rPr>
          <w:rFonts w:hint="eastAsia" w:ascii="黑体" w:eastAsia="黑体"/>
          <w:b/>
          <w:color w:val="auto"/>
          <w:sz w:val="44"/>
          <w:szCs w:val="44"/>
          <w:highlight w:val="none"/>
        </w:rPr>
        <w:t>采购</w:t>
      </w:r>
      <w:r>
        <w:rPr>
          <w:rFonts w:hint="eastAsia" w:ascii="黑体" w:eastAsia="黑体"/>
          <w:b/>
          <w:bCs/>
          <w:color w:val="auto"/>
          <w:sz w:val="44"/>
          <w:szCs w:val="44"/>
          <w:highlight w:val="none"/>
        </w:rPr>
        <w:t>合同文本（格式）</w:t>
      </w:r>
    </w:p>
    <w:p>
      <w:pPr>
        <w:snapToGrid w:val="0"/>
        <w:spacing w:line="300" w:lineRule="exact"/>
        <w:jc w:val="center"/>
        <w:rPr>
          <w:rFonts w:ascii="宋体"/>
          <w:b/>
          <w:bCs/>
          <w:color w:val="auto"/>
          <w:szCs w:val="21"/>
          <w:highlight w:val="none"/>
        </w:rPr>
      </w:pPr>
      <w:r>
        <w:rPr>
          <w:rFonts w:hint="eastAsia" w:ascii="宋体"/>
          <w:b/>
          <w:bCs/>
          <w:color w:val="auto"/>
          <w:szCs w:val="21"/>
          <w:highlight w:val="none"/>
        </w:rPr>
        <w:t>广西壮族自治区政府采购合同</w:t>
      </w:r>
    </w:p>
    <w:p>
      <w:pPr>
        <w:snapToGrid w:val="0"/>
        <w:spacing w:line="300" w:lineRule="exact"/>
        <w:ind w:right="480" w:firstLine="5985" w:firstLineChars="2850"/>
        <w:rPr>
          <w:rFonts w:ascii="宋体"/>
          <w:bCs/>
          <w:color w:val="auto"/>
          <w:szCs w:val="21"/>
          <w:highlight w:val="none"/>
          <w:u w:val="single"/>
        </w:rPr>
      </w:pPr>
      <w:r>
        <w:rPr>
          <w:rFonts w:hint="eastAsia" w:ascii="宋体"/>
          <w:bCs/>
          <w:color w:val="auto"/>
          <w:szCs w:val="21"/>
          <w:highlight w:val="none"/>
        </w:rPr>
        <w:t>合同编号：</w:t>
      </w:r>
    </w:p>
    <w:p>
      <w:pPr>
        <w:snapToGrid w:val="0"/>
        <w:spacing w:line="360" w:lineRule="exact"/>
        <w:rPr>
          <w:rFonts w:ascii="宋体"/>
          <w:color w:val="auto"/>
          <w:szCs w:val="21"/>
          <w:highlight w:val="none"/>
        </w:rPr>
      </w:pPr>
    </w:p>
    <w:p>
      <w:pPr>
        <w:snapToGrid w:val="0"/>
        <w:spacing w:line="360" w:lineRule="exact"/>
        <w:rPr>
          <w:rFonts w:ascii="宋体"/>
          <w:color w:val="auto"/>
          <w:szCs w:val="21"/>
          <w:highlight w:val="none"/>
          <w:u w:val="single"/>
        </w:rPr>
      </w:pPr>
      <w:r>
        <w:rPr>
          <w:rFonts w:hint="eastAsia" w:ascii="宋体"/>
          <w:color w:val="auto"/>
          <w:szCs w:val="21"/>
          <w:highlight w:val="none"/>
        </w:rPr>
        <w:t>采购单位（甲方）</w:t>
      </w:r>
      <w:r>
        <w:rPr>
          <w:rFonts w:hint="eastAsia" w:ascii="宋体"/>
          <w:color w:val="auto"/>
          <w:szCs w:val="21"/>
          <w:highlight w:val="none"/>
          <w:u w:val="single"/>
        </w:rPr>
        <w:t xml:space="preserve">                          </w:t>
      </w:r>
      <w:r>
        <w:rPr>
          <w:rFonts w:hint="eastAsia" w:ascii="宋体"/>
          <w:color w:val="auto"/>
          <w:szCs w:val="21"/>
          <w:highlight w:val="none"/>
        </w:rPr>
        <w:t xml:space="preserve">  </w:t>
      </w:r>
      <w:r>
        <w:rPr>
          <w:rFonts w:hint="eastAsia" w:ascii="宋体"/>
          <w:color w:val="auto"/>
          <w:spacing w:val="-20"/>
          <w:szCs w:val="21"/>
          <w:highlight w:val="none"/>
        </w:rPr>
        <w:t>采 购 计 划 号</w:t>
      </w:r>
      <w:r>
        <w:rPr>
          <w:rFonts w:hint="eastAsia" w:ascii="宋体"/>
          <w:color w:val="auto"/>
          <w:szCs w:val="21"/>
          <w:highlight w:val="none"/>
          <w:u w:val="single"/>
        </w:rPr>
        <w:t xml:space="preserve">                              </w:t>
      </w:r>
    </w:p>
    <w:p>
      <w:pPr>
        <w:snapToGrid w:val="0"/>
        <w:spacing w:line="360" w:lineRule="exact"/>
        <w:rPr>
          <w:rFonts w:ascii="宋体"/>
          <w:color w:val="auto"/>
          <w:szCs w:val="21"/>
          <w:highlight w:val="none"/>
        </w:rPr>
      </w:pPr>
    </w:p>
    <w:p>
      <w:pPr>
        <w:snapToGrid w:val="0"/>
        <w:spacing w:line="360" w:lineRule="exact"/>
        <w:rPr>
          <w:rFonts w:ascii="宋体"/>
          <w:color w:val="auto"/>
          <w:szCs w:val="21"/>
          <w:highlight w:val="none"/>
          <w:u w:val="single"/>
        </w:rPr>
      </w:pPr>
      <w:r>
        <w:rPr>
          <w:rFonts w:hint="eastAsia" w:ascii="宋体"/>
          <w:color w:val="auto"/>
          <w:szCs w:val="21"/>
          <w:highlight w:val="none"/>
        </w:rPr>
        <w:t>供 应 商（乙方）</w:t>
      </w:r>
      <w:r>
        <w:rPr>
          <w:rFonts w:hint="eastAsia" w:ascii="宋体"/>
          <w:color w:val="auto"/>
          <w:szCs w:val="21"/>
          <w:highlight w:val="none"/>
          <w:u w:val="single"/>
        </w:rPr>
        <w:t xml:space="preserve">                          </w:t>
      </w:r>
      <w:r>
        <w:rPr>
          <w:rFonts w:hint="eastAsia" w:ascii="宋体"/>
          <w:color w:val="auto"/>
          <w:szCs w:val="21"/>
          <w:highlight w:val="none"/>
        </w:rPr>
        <w:t xml:space="preserve">  项目名称</w:t>
      </w:r>
      <w:r>
        <w:rPr>
          <w:rFonts w:hint="eastAsia" w:ascii="宋体"/>
          <w:color w:val="auto"/>
          <w:spacing w:val="-20"/>
          <w:szCs w:val="21"/>
          <w:highlight w:val="none"/>
        </w:rPr>
        <w:t>编号</w:t>
      </w:r>
      <w:r>
        <w:rPr>
          <w:rFonts w:hint="eastAsia" w:ascii="宋体"/>
          <w:color w:val="auto"/>
          <w:szCs w:val="21"/>
          <w:highlight w:val="none"/>
          <w:u w:val="single"/>
        </w:rPr>
        <w:t xml:space="preserve">                             </w:t>
      </w:r>
    </w:p>
    <w:p>
      <w:pPr>
        <w:snapToGrid w:val="0"/>
        <w:spacing w:line="360" w:lineRule="exact"/>
        <w:rPr>
          <w:rFonts w:ascii="宋体"/>
          <w:color w:val="auto"/>
          <w:szCs w:val="21"/>
          <w:highlight w:val="none"/>
          <w:u w:val="single"/>
        </w:rPr>
      </w:pPr>
      <w:r>
        <w:rPr>
          <w:rFonts w:hint="eastAsia" w:ascii="宋体"/>
          <w:color w:val="auto"/>
          <w:szCs w:val="21"/>
          <w:highlight w:val="none"/>
        </w:rPr>
        <w:t xml:space="preserve">签  订  地  点  </w:t>
      </w:r>
      <w:r>
        <w:rPr>
          <w:rFonts w:hint="eastAsia" w:ascii="宋体"/>
          <w:color w:val="auto"/>
          <w:szCs w:val="21"/>
          <w:highlight w:val="none"/>
          <w:u w:val="single"/>
        </w:rPr>
        <w:t xml:space="preserve">                          </w:t>
      </w:r>
      <w:r>
        <w:rPr>
          <w:rFonts w:hint="eastAsia" w:ascii="宋体"/>
          <w:color w:val="auto"/>
          <w:szCs w:val="21"/>
          <w:highlight w:val="none"/>
        </w:rPr>
        <w:t xml:space="preserve">  签 订 时 间</w:t>
      </w:r>
      <w:r>
        <w:rPr>
          <w:rFonts w:hint="eastAsia" w:ascii="宋体"/>
          <w:color w:val="auto"/>
          <w:szCs w:val="21"/>
          <w:highlight w:val="none"/>
          <w:u w:val="single"/>
        </w:rPr>
        <w:t xml:space="preserve">                              </w:t>
      </w:r>
    </w:p>
    <w:p>
      <w:pPr>
        <w:snapToGrid w:val="0"/>
        <w:spacing w:line="360" w:lineRule="exact"/>
        <w:ind w:firstLine="420" w:firstLineChars="200"/>
        <w:rPr>
          <w:rFonts w:ascii="宋体"/>
          <w:color w:val="auto"/>
          <w:szCs w:val="21"/>
          <w:highlight w:val="none"/>
        </w:rPr>
      </w:pPr>
    </w:p>
    <w:p>
      <w:pPr>
        <w:pStyle w:val="29"/>
        <w:spacing w:line="360" w:lineRule="exact"/>
        <w:ind w:firstLine="420" w:firstLineChars="200"/>
        <w:rPr>
          <w:color w:val="auto"/>
          <w:highlight w:val="none"/>
        </w:rPr>
      </w:pPr>
      <w:r>
        <w:rPr>
          <w:rFonts w:hint="eastAsia"/>
          <w:color w:val="auto"/>
          <w:highlight w:val="none"/>
        </w:rPr>
        <w:t>根据《中华人民共和国政府采购法》、《中华人民共和国民法典》等法律、法规规定，按照招标文件规定条款和中标供应商投标文件及其承诺，甲乙双方签订本合同。</w:t>
      </w:r>
    </w:p>
    <w:p>
      <w:pPr>
        <w:snapToGrid w:val="0"/>
        <w:spacing w:line="360" w:lineRule="exact"/>
        <w:ind w:firstLine="421" w:firstLineChars="200"/>
        <w:rPr>
          <w:rFonts w:ascii="宋体"/>
          <w:b/>
          <w:color w:val="auto"/>
          <w:szCs w:val="21"/>
          <w:highlight w:val="none"/>
        </w:rPr>
      </w:pPr>
      <w:r>
        <w:rPr>
          <w:rFonts w:hint="eastAsia" w:ascii="宋体"/>
          <w:b/>
          <w:color w:val="auto"/>
          <w:szCs w:val="21"/>
          <w:highlight w:val="none"/>
        </w:rPr>
        <w:t>第一条　合同标的</w:t>
      </w:r>
    </w:p>
    <w:p>
      <w:pPr>
        <w:snapToGrid w:val="0"/>
        <w:spacing w:line="360" w:lineRule="exact"/>
        <w:ind w:firstLine="420" w:firstLineChars="200"/>
        <w:rPr>
          <w:rFonts w:ascii="宋体"/>
          <w:color w:val="auto"/>
          <w:szCs w:val="21"/>
          <w:highlight w:val="none"/>
        </w:rPr>
      </w:pPr>
      <w:r>
        <w:rPr>
          <w:rFonts w:hint="eastAsia" w:ascii="宋体"/>
          <w:color w:val="auto"/>
          <w:szCs w:val="21"/>
          <w:highlight w:val="none"/>
        </w:rPr>
        <w:t>1、供货一览表</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04"/>
        <w:gridCol w:w="1081"/>
        <w:gridCol w:w="1194"/>
        <w:gridCol w:w="1193"/>
        <w:gridCol w:w="672"/>
        <w:gridCol w:w="108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olor w:val="auto"/>
                <w:szCs w:val="21"/>
                <w:highlight w:val="none"/>
              </w:rPr>
            </w:pPr>
            <w:r>
              <w:rPr>
                <w:rFonts w:hint="eastAsia" w:ascii="宋体"/>
                <w:color w:val="auto"/>
                <w:szCs w:val="21"/>
                <w:highlight w:val="none"/>
              </w:rPr>
              <w:t>序号</w:t>
            </w:r>
          </w:p>
        </w:tc>
        <w:tc>
          <w:tcPr>
            <w:tcW w:w="130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olor w:val="auto"/>
                <w:szCs w:val="21"/>
                <w:highlight w:val="none"/>
              </w:rPr>
            </w:pPr>
            <w:r>
              <w:rPr>
                <w:rFonts w:hint="eastAsia" w:ascii="宋体"/>
                <w:color w:val="auto"/>
                <w:szCs w:val="21"/>
                <w:highlight w:val="none"/>
              </w:rPr>
              <w:t>产品</w:t>
            </w:r>
          </w:p>
          <w:p>
            <w:pPr>
              <w:snapToGrid w:val="0"/>
              <w:jc w:val="center"/>
              <w:rPr>
                <w:rFonts w:ascii="宋体"/>
                <w:color w:val="auto"/>
                <w:szCs w:val="21"/>
                <w:highlight w:val="none"/>
              </w:rPr>
            </w:pPr>
            <w:r>
              <w:rPr>
                <w:rFonts w:hint="eastAsia" w:ascii="宋体"/>
                <w:color w:val="auto"/>
                <w:szCs w:val="21"/>
                <w:highlight w:val="none"/>
              </w:rPr>
              <w:t>名称</w:t>
            </w:r>
          </w:p>
        </w:tc>
        <w:tc>
          <w:tcPr>
            <w:tcW w:w="10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olor w:val="auto"/>
                <w:szCs w:val="21"/>
                <w:highlight w:val="none"/>
              </w:rPr>
            </w:pPr>
            <w:r>
              <w:rPr>
                <w:rFonts w:hint="eastAsia" w:ascii="宋体"/>
                <w:color w:val="auto"/>
                <w:szCs w:val="21"/>
                <w:highlight w:val="none"/>
              </w:rPr>
              <w:t>商标</w:t>
            </w:r>
          </w:p>
          <w:p>
            <w:pPr>
              <w:snapToGrid w:val="0"/>
              <w:jc w:val="center"/>
              <w:rPr>
                <w:rFonts w:ascii="宋体"/>
                <w:color w:val="auto"/>
                <w:szCs w:val="21"/>
                <w:highlight w:val="none"/>
              </w:rPr>
            </w:pPr>
            <w:r>
              <w:rPr>
                <w:rFonts w:hint="eastAsia" w:ascii="宋体"/>
                <w:color w:val="auto"/>
                <w:szCs w:val="21"/>
                <w:highlight w:val="none"/>
              </w:rPr>
              <w:t>品牌</w:t>
            </w:r>
          </w:p>
        </w:tc>
        <w:tc>
          <w:tcPr>
            <w:tcW w:w="11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olor w:val="auto"/>
                <w:szCs w:val="21"/>
                <w:highlight w:val="none"/>
              </w:rPr>
            </w:pPr>
            <w:r>
              <w:rPr>
                <w:rFonts w:hint="eastAsia" w:ascii="宋体"/>
                <w:color w:val="auto"/>
                <w:szCs w:val="21"/>
                <w:highlight w:val="none"/>
              </w:rPr>
              <w:t>规格</w:t>
            </w:r>
          </w:p>
          <w:p>
            <w:pPr>
              <w:snapToGrid w:val="0"/>
              <w:jc w:val="center"/>
              <w:rPr>
                <w:rFonts w:ascii="宋体"/>
                <w:color w:val="auto"/>
                <w:szCs w:val="21"/>
                <w:highlight w:val="none"/>
              </w:rPr>
            </w:pPr>
            <w:r>
              <w:rPr>
                <w:rFonts w:hint="eastAsia" w:ascii="宋体"/>
                <w:color w:val="auto"/>
                <w:szCs w:val="21"/>
                <w:highlight w:val="none"/>
              </w:rPr>
              <w:t>型号</w:t>
            </w:r>
          </w:p>
        </w:tc>
        <w:tc>
          <w:tcPr>
            <w:tcW w:w="11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olor w:val="auto"/>
                <w:szCs w:val="21"/>
                <w:highlight w:val="none"/>
              </w:rPr>
            </w:pPr>
            <w:r>
              <w:rPr>
                <w:rFonts w:hint="eastAsia" w:ascii="宋体"/>
                <w:color w:val="auto"/>
                <w:szCs w:val="21"/>
                <w:highlight w:val="none"/>
              </w:rPr>
              <w:t>生产</w:t>
            </w:r>
          </w:p>
          <w:p>
            <w:pPr>
              <w:snapToGrid w:val="0"/>
              <w:jc w:val="center"/>
              <w:rPr>
                <w:rFonts w:ascii="宋体"/>
                <w:color w:val="auto"/>
                <w:szCs w:val="21"/>
                <w:highlight w:val="none"/>
              </w:rPr>
            </w:pPr>
            <w:r>
              <w:rPr>
                <w:rFonts w:hint="eastAsia" w:ascii="宋体"/>
                <w:color w:val="auto"/>
                <w:szCs w:val="21"/>
                <w:highlight w:val="none"/>
              </w:rPr>
              <w:t>厂家</w:t>
            </w:r>
          </w:p>
        </w:tc>
        <w:tc>
          <w:tcPr>
            <w:tcW w:w="67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olor w:val="auto"/>
                <w:szCs w:val="21"/>
                <w:highlight w:val="none"/>
              </w:rPr>
            </w:pPr>
            <w:r>
              <w:rPr>
                <w:rFonts w:hint="eastAsia" w:ascii="宋体"/>
                <w:color w:val="auto"/>
                <w:szCs w:val="21"/>
                <w:highlight w:val="none"/>
              </w:rPr>
              <w:t>数  量</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olor w:val="auto"/>
                <w:szCs w:val="21"/>
                <w:highlight w:val="none"/>
              </w:rPr>
            </w:pPr>
            <w:r>
              <w:rPr>
                <w:rFonts w:hint="eastAsia" w:ascii="宋体"/>
                <w:color w:val="auto"/>
                <w:szCs w:val="21"/>
                <w:highlight w:val="none"/>
              </w:rPr>
              <w:t>单位</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olor w:val="auto"/>
                <w:szCs w:val="21"/>
                <w:highlight w:val="none"/>
              </w:rPr>
            </w:pPr>
            <w:r>
              <w:rPr>
                <w:rFonts w:hint="eastAsia" w:ascii="宋体"/>
                <w:color w:val="auto"/>
                <w:szCs w:val="21"/>
                <w:highlight w:val="none"/>
              </w:rPr>
              <w:t>单  价</w:t>
            </w:r>
          </w:p>
          <w:p>
            <w:pPr>
              <w:snapToGrid w:val="0"/>
              <w:jc w:val="center"/>
              <w:rPr>
                <w:rFonts w:ascii="宋体"/>
                <w:color w:val="auto"/>
                <w:szCs w:val="21"/>
                <w:highlight w:val="none"/>
              </w:rPr>
            </w:pPr>
            <w:r>
              <w:rPr>
                <w:rFonts w:hint="eastAsia" w:ascii="宋体"/>
                <w:color w:val="auto"/>
                <w:szCs w:val="21"/>
                <w:highlight w:val="none"/>
              </w:rPr>
              <w:t>（元）</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olor w:val="auto"/>
                <w:szCs w:val="21"/>
                <w:highlight w:val="none"/>
              </w:rPr>
            </w:pPr>
            <w:r>
              <w:rPr>
                <w:rFonts w:hint="eastAsia" w:ascii="宋体"/>
                <w:color w:val="auto"/>
                <w:szCs w:val="21"/>
                <w:highlight w:val="none"/>
              </w:rPr>
              <w:t>金  额</w:t>
            </w:r>
          </w:p>
          <w:p>
            <w:pPr>
              <w:snapToGrid w:val="0"/>
              <w:jc w:val="center"/>
              <w:rPr>
                <w:rFonts w:ascii="宋体"/>
                <w:color w:val="auto"/>
                <w:szCs w:val="21"/>
                <w:highlight w:val="none"/>
              </w:rPr>
            </w:pPr>
            <w:r>
              <w:rPr>
                <w:rFonts w:hint="eastAsia" w:ascii="宋体"/>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color w:val="auto"/>
                <w:szCs w:val="21"/>
                <w:highlight w:val="none"/>
              </w:rPr>
            </w:pPr>
          </w:p>
        </w:tc>
        <w:tc>
          <w:tcPr>
            <w:tcW w:w="9044"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color w:val="auto"/>
                <w:szCs w:val="21"/>
                <w:highlight w:val="none"/>
              </w:rPr>
            </w:pPr>
            <w:r>
              <w:rPr>
                <w:rFonts w:hint="eastAsia" w:ascii="宋体"/>
                <w:color w:val="auto"/>
                <w:szCs w:val="21"/>
                <w:highlight w:val="none"/>
              </w:rPr>
              <w:t>详见投标报价明细表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540" w:type="dxa"/>
            <w:gridSpan w:val="9"/>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color w:val="auto"/>
                <w:szCs w:val="21"/>
                <w:highlight w:val="none"/>
              </w:rPr>
            </w:pPr>
            <w:r>
              <w:rPr>
                <w:rFonts w:hint="eastAsia" w:ascii="宋体"/>
                <w:color w:val="auto"/>
                <w:szCs w:val="21"/>
                <w:highlight w:val="none"/>
              </w:rPr>
              <w:t xml:space="preserve">人民币合计金额（大写）                          （小写）                 </w:t>
            </w:r>
          </w:p>
        </w:tc>
      </w:tr>
    </w:tbl>
    <w:p>
      <w:pPr>
        <w:snapToGrid w:val="0"/>
        <w:spacing w:line="390" w:lineRule="exact"/>
        <w:ind w:firstLine="420" w:firstLineChars="200"/>
        <w:rPr>
          <w:rFonts w:ascii="宋体"/>
          <w:color w:val="auto"/>
          <w:szCs w:val="21"/>
          <w:highlight w:val="none"/>
        </w:rPr>
      </w:pPr>
      <w:r>
        <w:rPr>
          <w:rFonts w:hint="eastAsia" w:ascii="宋体"/>
          <w:color w:val="auto"/>
          <w:szCs w:val="21"/>
          <w:highlight w:val="none"/>
        </w:rPr>
        <w:t>2.合同合计金额包括货物价款，标准附件、备品配件、专用工具、包装、运输、装卸、保险、税金、货物到就位以及安装、调试、检验、技术培训及技术资料、软件费、保修等全部费用。如招投标文件对其另有规定的，从其规定。</w:t>
      </w:r>
    </w:p>
    <w:p>
      <w:pPr>
        <w:snapToGrid w:val="0"/>
        <w:spacing w:line="390" w:lineRule="exact"/>
        <w:ind w:firstLine="421" w:firstLineChars="200"/>
        <w:rPr>
          <w:rFonts w:ascii="宋体"/>
          <w:color w:val="auto"/>
          <w:szCs w:val="21"/>
          <w:highlight w:val="none"/>
        </w:rPr>
      </w:pPr>
      <w:r>
        <w:rPr>
          <w:rFonts w:hint="eastAsia" w:ascii="宋体"/>
          <w:b/>
          <w:color w:val="auto"/>
          <w:szCs w:val="21"/>
          <w:highlight w:val="none"/>
        </w:rPr>
        <w:t>第二条　质量保证</w:t>
      </w:r>
    </w:p>
    <w:p>
      <w:pPr>
        <w:snapToGrid w:val="0"/>
        <w:spacing w:line="390" w:lineRule="exact"/>
        <w:ind w:firstLine="420" w:firstLineChars="200"/>
        <w:rPr>
          <w:rFonts w:ascii="宋体"/>
          <w:color w:val="auto"/>
          <w:szCs w:val="21"/>
          <w:highlight w:val="none"/>
        </w:rPr>
      </w:pPr>
      <w:r>
        <w:rPr>
          <w:rFonts w:hint="eastAsia" w:ascii="宋体"/>
          <w:color w:val="auto"/>
          <w:szCs w:val="21"/>
          <w:highlight w:val="none"/>
        </w:rPr>
        <w:t>1.乙方所提供的货物型号、技术规格、技术参数等质量必须与招投标文件和承诺相一致。乙方提供的节能和环保产品必须是列入政府采购清单的产品。</w:t>
      </w:r>
    </w:p>
    <w:p>
      <w:pPr>
        <w:snapToGrid w:val="0"/>
        <w:spacing w:line="390" w:lineRule="exact"/>
        <w:ind w:firstLine="420" w:firstLineChars="200"/>
        <w:rPr>
          <w:rFonts w:ascii="宋体"/>
          <w:color w:val="auto"/>
          <w:szCs w:val="21"/>
          <w:highlight w:val="none"/>
          <w:u w:val="single"/>
        </w:rPr>
      </w:pPr>
      <w:r>
        <w:rPr>
          <w:rFonts w:hint="eastAsia" w:ascii="宋体"/>
          <w:color w:val="auto"/>
          <w:szCs w:val="21"/>
          <w:highlight w:val="none"/>
        </w:rPr>
        <w:t>2.乙方所提供的货物必须是全新、未使用的原装产品，且在正常安装、使用和保养条件下，其使用寿命期内各项指标均达到质量要求。</w:t>
      </w:r>
    </w:p>
    <w:p>
      <w:pPr>
        <w:snapToGrid w:val="0"/>
        <w:spacing w:line="390" w:lineRule="exact"/>
        <w:ind w:firstLine="421" w:firstLineChars="200"/>
        <w:rPr>
          <w:rFonts w:ascii="宋体"/>
          <w:color w:val="auto"/>
          <w:szCs w:val="21"/>
          <w:highlight w:val="none"/>
        </w:rPr>
      </w:pPr>
      <w:r>
        <w:rPr>
          <w:rFonts w:hint="eastAsia" w:ascii="宋体"/>
          <w:b/>
          <w:color w:val="auto"/>
          <w:szCs w:val="21"/>
          <w:highlight w:val="none"/>
        </w:rPr>
        <w:t>第三条　权利保证</w:t>
      </w:r>
    </w:p>
    <w:p>
      <w:pPr>
        <w:snapToGrid w:val="0"/>
        <w:spacing w:line="390" w:lineRule="exact"/>
        <w:ind w:firstLine="420" w:firstLineChars="200"/>
        <w:rPr>
          <w:rFonts w:ascii="宋体"/>
          <w:color w:val="auto"/>
          <w:szCs w:val="21"/>
          <w:highlight w:val="none"/>
        </w:rPr>
      </w:pPr>
      <w:r>
        <w:rPr>
          <w:rFonts w:hint="eastAsia" w:ascii="宋体"/>
          <w:color w:val="auto"/>
          <w:szCs w:val="21"/>
          <w:highlight w:val="none"/>
        </w:rPr>
        <w:t>乙方应保证所提供货物在使用时不会侵犯任何第三方的专利权、商标权、工业设计权或其他权利。</w:t>
      </w:r>
    </w:p>
    <w:p>
      <w:pPr>
        <w:snapToGrid w:val="0"/>
        <w:spacing w:line="390" w:lineRule="exact"/>
        <w:ind w:firstLine="420" w:firstLineChars="200"/>
        <w:rPr>
          <w:rFonts w:ascii="宋体"/>
          <w:color w:val="auto"/>
          <w:szCs w:val="21"/>
          <w:highlight w:val="none"/>
        </w:rPr>
      </w:pPr>
      <w:r>
        <w:rPr>
          <w:rFonts w:hint="eastAsia" w:ascii="宋体"/>
          <w:color w:val="auto"/>
          <w:szCs w:val="21"/>
          <w:highlight w:val="none"/>
        </w:rPr>
        <w:t>乙方应按招标文件规定的时间向甲方提供使用货物的有关技术资料。</w:t>
      </w:r>
    </w:p>
    <w:p>
      <w:pPr>
        <w:snapToGrid w:val="0"/>
        <w:spacing w:line="390" w:lineRule="exact"/>
        <w:ind w:firstLine="420" w:firstLineChars="200"/>
        <w:rPr>
          <w:rFonts w:ascii="宋体"/>
          <w:color w:val="auto"/>
          <w:szCs w:val="21"/>
          <w:highlight w:val="none"/>
        </w:rPr>
      </w:pPr>
      <w:r>
        <w:rPr>
          <w:rFonts w:hint="eastAsia" w:ascii="宋体"/>
          <w:color w:val="auto"/>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90" w:lineRule="exact"/>
        <w:ind w:firstLine="420" w:firstLineChars="200"/>
        <w:rPr>
          <w:rFonts w:ascii="宋体"/>
          <w:color w:val="auto"/>
          <w:szCs w:val="21"/>
          <w:highlight w:val="none"/>
        </w:rPr>
      </w:pPr>
      <w:r>
        <w:rPr>
          <w:rFonts w:hint="eastAsia" w:ascii="宋体"/>
          <w:color w:val="auto"/>
          <w:szCs w:val="21"/>
          <w:highlight w:val="none"/>
        </w:rPr>
        <w:t>乙方保证所交付的货物的所有权完全属于乙方且无任何抵押、质押、查封等产权瑕疵。</w:t>
      </w:r>
    </w:p>
    <w:p>
      <w:pPr>
        <w:snapToGrid w:val="0"/>
        <w:spacing w:line="390" w:lineRule="exact"/>
        <w:ind w:firstLine="421" w:firstLineChars="200"/>
        <w:rPr>
          <w:rFonts w:ascii="宋体"/>
          <w:b/>
          <w:color w:val="auto"/>
          <w:szCs w:val="21"/>
          <w:highlight w:val="none"/>
        </w:rPr>
      </w:pPr>
      <w:r>
        <w:rPr>
          <w:rFonts w:hint="eastAsia" w:ascii="宋体"/>
          <w:b/>
          <w:color w:val="auto"/>
          <w:szCs w:val="21"/>
          <w:highlight w:val="none"/>
        </w:rPr>
        <w:t>第四条　包装和运输</w:t>
      </w:r>
    </w:p>
    <w:p>
      <w:pPr>
        <w:snapToGrid w:val="0"/>
        <w:spacing w:line="390" w:lineRule="exact"/>
        <w:ind w:firstLine="420" w:firstLineChars="200"/>
        <w:rPr>
          <w:rFonts w:ascii="宋体"/>
          <w:color w:val="auto"/>
          <w:szCs w:val="21"/>
          <w:highlight w:val="none"/>
        </w:rPr>
      </w:pPr>
      <w:r>
        <w:rPr>
          <w:rFonts w:hint="eastAsia" w:ascii="宋体"/>
          <w:color w:val="auto"/>
          <w:szCs w:val="21"/>
          <w:highlight w:val="none"/>
        </w:rPr>
        <w:t>1.乙方提供的货物均应按招投标文件要求的包装材料、包装标准、包装方式进行包装，每一包装单元内应附详细的装箱单和质量合格证。</w:t>
      </w:r>
    </w:p>
    <w:p>
      <w:pPr>
        <w:snapToGrid w:val="0"/>
        <w:spacing w:line="390" w:lineRule="exact"/>
        <w:ind w:firstLine="420" w:firstLineChars="200"/>
        <w:rPr>
          <w:rFonts w:ascii="宋体"/>
          <w:color w:val="auto"/>
          <w:szCs w:val="21"/>
          <w:highlight w:val="none"/>
        </w:rPr>
      </w:pPr>
      <w:r>
        <w:rPr>
          <w:rFonts w:hint="eastAsia" w:ascii="宋体"/>
          <w:color w:val="auto"/>
          <w:szCs w:val="21"/>
          <w:highlight w:val="none"/>
        </w:rPr>
        <w:t>2.货物的运输方式：</w:t>
      </w:r>
      <w:r>
        <w:rPr>
          <w:rFonts w:hint="eastAsia" w:ascii="宋体"/>
          <w:color w:val="auto"/>
          <w:szCs w:val="21"/>
          <w:highlight w:val="none"/>
          <w:u w:val="single"/>
        </w:rPr>
        <w:t xml:space="preserve">             。</w:t>
      </w:r>
    </w:p>
    <w:p>
      <w:pPr>
        <w:snapToGrid w:val="0"/>
        <w:spacing w:line="390" w:lineRule="exact"/>
        <w:ind w:firstLine="420" w:firstLineChars="200"/>
        <w:rPr>
          <w:rFonts w:ascii="宋体"/>
          <w:color w:val="auto"/>
          <w:szCs w:val="21"/>
          <w:highlight w:val="none"/>
          <w:u w:val="single"/>
        </w:rPr>
      </w:pPr>
      <w:r>
        <w:rPr>
          <w:rFonts w:hint="eastAsia" w:ascii="宋体"/>
          <w:color w:val="auto"/>
          <w:szCs w:val="21"/>
          <w:highlight w:val="none"/>
        </w:rPr>
        <w:t>3.乙方负责货物运输，货物运输合理损耗及计算方法：</w:t>
      </w:r>
      <w:r>
        <w:rPr>
          <w:rFonts w:hint="eastAsia" w:ascii="宋体"/>
          <w:color w:val="auto"/>
          <w:szCs w:val="21"/>
          <w:highlight w:val="none"/>
          <w:u w:val="single"/>
        </w:rPr>
        <w:t xml:space="preserve">                 。</w:t>
      </w:r>
    </w:p>
    <w:p>
      <w:pPr>
        <w:snapToGrid w:val="0"/>
        <w:spacing w:line="390" w:lineRule="exact"/>
        <w:ind w:firstLine="421" w:firstLineChars="200"/>
        <w:rPr>
          <w:rFonts w:ascii="宋体"/>
          <w:color w:val="auto"/>
          <w:szCs w:val="21"/>
          <w:highlight w:val="none"/>
        </w:rPr>
      </w:pPr>
      <w:r>
        <w:rPr>
          <w:rFonts w:hint="eastAsia" w:ascii="宋体"/>
          <w:b/>
          <w:color w:val="auto"/>
          <w:szCs w:val="21"/>
          <w:highlight w:val="none"/>
        </w:rPr>
        <w:t>第五条　交付和验收</w:t>
      </w:r>
    </w:p>
    <w:p>
      <w:pPr>
        <w:snapToGrid w:val="0"/>
        <w:spacing w:line="390" w:lineRule="exact"/>
        <w:ind w:firstLine="420" w:firstLineChars="200"/>
        <w:rPr>
          <w:rFonts w:ascii="宋体"/>
          <w:color w:val="auto"/>
          <w:szCs w:val="21"/>
          <w:highlight w:val="none"/>
        </w:rPr>
      </w:pPr>
      <w:r>
        <w:rPr>
          <w:rFonts w:hint="eastAsia" w:ascii="宋体"/>
          <w:color w:val="auto"/>
          <w:szCs w:val="21"/>
          <w:highlight w:val="none"/>
        </w:rPr>
        <w:t>1.交付使用时间、地点。</w:t>
      </w:r>
    </w:p>
    <w:p>
      <w:pPr>
        <w:spacing w:line="390" w:lineRule="exact"/>
        <w:ind w:firstLine="524" w:firstLineChars="249"/>
        <w:rPr>
          <w:rFonts w:ascii="宋体"/>
          <w:b/>
          <w:color w:val="auto"/>
          <w:szCs w:val="21"/>
          <w:highlight w:val="none"/>
        </w:rPr>
      </w:pPr>
      <w:r>
        <w:rPr>
          <w:rFonts w:hint="eastAsia" w:ascii="宋体"/>
          <w:b/>
          <w:color w:val="auto"/>
          <w:szCs w:val="21"/>
          <w:highlight w:val="none"/>
        </w:rPr>
        <w:t>交付使用时间：按乙方投标文件中所承诺的时间；交付使用地点：采购人指定地点。</w:t>
      </w:r>
    </w:p>
    <w:p>
      <w:pPr>
        <w:snapToGrid w:val="0"/>
        <w:spacing w:line="390" w:lineRule="exact"/>
        <w:ind w:firstLine="420" w:firstLineChars="200"/>
        <w:rPr>
          <w:rFonts w:ascii="宋体"/>
          <w:color w:val="auto"/>
          <w:szCs w:val="21"/>
          <w:highlight w:val="none"/>
        </w:rPr>
      </w:pPr>
      <w:r>
        <w:rPr>
          <w:rFonts w:hint="eastAsia" w:ascii="宋体"/>
          <w:color w:val="auto"/>
          <w:szCs w:val="21"/>
          <w:highlight w:val="none"/>
        </w:rPr>
        <w:t>2.乙方提供不符合招投标文件和本合同规定的货物，甲方有权拒绝接受。</w:t>
      </w:r>
    </w:p>
    <w:p>
      <w:pPr>
        <w:snapToGrid w:val="0"/>
        <w:spacing w:line="390" w:lineRule="exact"/>
        <w:ind w:firstLine="420" w:firstLineChars="200"/>
        <w:rPr>
          <w:rFonts w:ascii="宋体"/>
          <w:color w:val="auto"/>
          <w:szCs w:val="21"/>
          <w:highlight w:val="none"/>
        </w:rPr>
      </w:pPr>
      <w:r>
        <w:rPr>
          <w:rFonts w:hint="eastAsia" w:ascii="宋体"/>
          <w:color w:val="auto"/>
          <w:szCs w:val="21"/>
          <w:highlight w:val="none"/>
        </w:rPr>
        <w:t>3.乙方应将所提供货物的装箱清单、用户手册、原厂保修卡、随机资料、工具和备品、备件等交付给甲方，如有缺失应及时补齐，否则视为逾期交货。</w:t>
      </w:r>
    </w:p>
    <w:p>
      <w:pPr>
        <w:snapToGrid w:val="0"/>
        <w:spacing w:line="390" w:lineRule="exact"/>
        <w:ind w:firstLine="420" w:firstLineChars="200"/>
        <w:rPr>
          <w:rFonts w:ascii="宋体"/>
          <w:color w:val="auto"/>
          <w:szCs w:val="21"/>
          <w:highlight w:val="none"/>
        </w:rPr>
      </w:pPr>
      <w:r>
        <w:rPr>
          <w:rFonts w:hint="eastAsia" w:ascii="宋体"/>
          <w:color w:val="auto"/>
          <w:szCs w:val="21"/>
          <w:highlight w:val="none"/>
        </w:rPr>
        <w:t>4.甲方应当在到货（安装、调试完）后十个工作日内进行验收，逾期不验收的，乙方可视同验收合格。验收合格后由甲乙双方签署货物验收单并加盖采购单位公章，甲乙双方各执一份。</w:t>
      </w:r>
    </w:p>
    <w:p>
      <w:pPr>
        <w:snapToGrid w:val="0"/>
        <w:spacing w:line="390" w:lineRule="exact"/>
        <w:ind w:firstLine="420" w:firstLineChars="200"/>
        <w:rPr>
          <w:rFonts w:ascii="宋体"/>
          <w:color w:val="auto"/>
          <w:szCs w:val="21"/>
          <w:highlight w:val="none"/>
        </w:rPr>
      </w:pPr>
      <w:r>
        <w:rPr>
          <w:rFonts w:hint="eastAsia" w:ascii="宋体"/>
          <w:color w:val="auto"/>
          <w:szCs w:val="21"/>
          <w:highlight w:val="none"/>
        </w:rPr>
        <w:t xml:space="preserve">5.甲方对验收有异议的，在验收后五个工作日内以书面形式向乙方提出，乙方应自收到甲方书面异议后 </w:t>
      </w:r>
      <w:r>
        <w:rPr>
          <w:rFonts w:hint="eastAsia" w:ascii="宋体"/>
          <w:color w:val="auto"/>
          <w:szCs w:val="21"/>
          <w:highlight w:val="none"/>
          <w:u w:val="single"/>
        </w:rPr>
        <w:t xml:space="preserve">五 </w:t>
      </w:r>
      <w:r>
        <w:rPr>
          <w:rFonts w:hint="eastAsia" w:ascii="宋体"/>
          <w:color w:val="auto"/>
          <w:szCs w:val="21"/>
          <w:highlight w:val="none"/>
        </w:rPr>
        <w:t>日内及时予以解决。</w:t>
      </w:r>
    </w:p>
    <w:p>
      <w:pPr>
        <w:snapToGrid w:val="0"/>
        <w:spacing w:line="390" w:lineRule="exact"/>
        <w:ind w:firstLine="421" w:firstLineChars="200"/>
        <w:rPr>
          <w:rFonts w:ascii="宋体"/>
          <w:b/>
          <w:color w:val="auto"/>
          <w:szCs w:val="21"/>
          <w:highlight w:val="none"/>
        </w:rPr>
      </w:pPr>
      <w:r>
        <w:rPr>
          <w:rFonts w:hint="eastAsia" w:ascii="宋体"/>
          <w:b/>
          <w:color w:val="auto"/>
          <w:szCs w:val="21"/>
          <w:highlight w:val="none"/>
        </w:rPr>
        <w:t>第六条　安装和培训</w:t>
      </w:r>
    </w:p>
    <w:p>
      <w:pPr>
        <w:snapToGrid w:val="0"/>
        <w:spacing w:line="390" w:lineRule="exact"/>
        <w:ind w:firstLine="420" w:firstLineChars="200"/>
        <w:rPr>
          <w:rFonts w:ascii="宋体"/>
          <w:color w:val="auto"/>
          <w:szCs w:val="21"/>
          <w:highlight w:val="none"/>
        </w:rPr>
      </w:pPr>
      <w:r>
        <w:rPr>
          <w:rFonts w:hint="eastAsia" w:ascii="宋体"/>
          <w:color w:val="auto"/>
          <w:szCs w:val="21"/>
          <w:highlight w:val="none"/>
        </w:rPr>
        <w:t>1.甲方应提供必要安装条件（如场地、电源、水源等）。</w:t>
      </w:r>
    </w:p>
    <w:p>
      <w:pPr>
        <w:snapToGrid w:val="0"/>
        <w:spacing w:line="390" w:lineRule="exact"/>
        <w:ind w:firstLine="420" w:firstLineChars="200"/>
        <w:rPr>
          <w:rFonts w:ascii="宋体"/>
          <w:color w:val="auto"/>
          <w:szCs w:val="21"/>
          <w:highlight w:val="none"/>
          <w:u w:val="single"/>
        </w:rPr>
      </w:pPr>
      <w:r>
        <w:rPr>
          <w:rFonts w:hint="eastAsia" w:ascii="宋体"/>
          <w:color w:val="auto"/>
          <w:szCs w:val="21"/>
          <w:highlight w:val="none"/>
        </w:rPr>
        <w:t>2.乙方负责甲方有关人员的培训。培训时间、地点：</w:t>
      </w:r>
      <w:r>
        <w:rPr>
          <w:rFonts w:hint="eastAsia"/>
          <w:b/>
          <w:color w:val="auto"/>
          <w:szCs w:val="21"/>
          <w:highlight w:val="none"/>
          <w:u w:val="single"/>
        </w:rPr>
        <w:t>按交付使用时间、地点培训</w:t>
      </w:r>
      <w:r>
        <w:rPr>
          <w:rFonts w:hint="eastAsia" w:ascii="宋体"/>
          <w:color w:val="auto"/>
          <w:szCs w:val="21"/>
          <w:highlight w:val="none"/>
        </w:rPr>
        <w:t>。</w:t>
      </w:r>
    </w:p>
    <w:p>
      <w:pPr>
        <w:snapToGrid w:val="0"/>
        <w:spacing w:line="390" w:lineRule="exact"/>
        <w:ind w:firstLine="421" w:firstLineChars="200"/>
        <w:rPr>
          <w:rFonts w:ascii="宋体"/>
          <w:b/>
          <w:color w:val="auto"/>
          <w:szCs w:val="21"/>
          <w:highlight w:val="none"/>
        </w:rPr>
      </w:pPr>
      <w:r>
        <w:rPr>
          <w:rFonts w:hint="eastAsia" w:ascii="宋体"/>
          <w:b/>
          <w:color w:val="auto"/>
          <w:szCs w:val="21"/>
          <w:highlight w:val="none"/>
        </w:rPr>
        <w:t>第七条  售后服务、保修期</w:t>
      </w:r>
    </w:p>
    <w:p>
      <w:pPr>
        <w:snapToGrid w:val="0"/>
        <w:spacing w:line="390" w:lineRule="exact"/>
        <w:ind w:firstLine="420" w:firstLineChars="200"/>
        <w:rPr>
          <w:rFonts w:ascii="宋体"/>
          <w:color w:val="auto"/>
          <w:szCs w:val="21"/>
          <w:highlight w:val="none"/>
        </w:rPr>
      </w:pPr>
      <w:r>
        <w:rPr>
          <w:rFonts w:hint="eastAsia" w:ascii="宋体"/>
          <w:color w:val="auto"/>
          <w:szCs w:val="21"/>
          <w:highlight w:val="none"/>
        </w:rPr>
        <w:t>1.乙方应按照国家有关法律法规和“三包”规定以及招投标文件和本合同所附的《服务承诺》，为甲方提供售后服务。</w:t>
      </w:r>
    </w:p>
    <w:p>
      <w:pPr>
        <w:snapToGrid w:val="0"/>
        <w:spacing w:line="390" w:lineRule="exact"/>
        <w:ind w:firstLine="420" w:firstLineChars="200"/>
        <w:rPr>
          <w:rFonts w:ascii="宋体"/>
          <w:color w:val="auto"/>
          <w:szCs w:val="21"/>
          <w:highlight w:val="none"/>
          <w:u w:val="single"/>
        </w:rPr>
      </w:pPr>
      <w:r>
        <w:rPr>
          <w:rFonts w:hint="eastAsia" w:ascii="宋体"/>
          <w:color w:val="auto"/>
          <w:szCs w:val="21"/>
          <w:highlight w:val="none"/>
        </w:rPr>
        <w:t>2.货物保修期：</w:t>
      </w:r>
      <w:r>
        <w:rPr>
          <w:rFonts w:hint="eastAsia"/>
          <w:b/>
          <w:color w:val="auto"/>
          <w:szCs w:val="21"/>
          <w:highlight w:val="none"/>
          <w:u w:val="single"/>
        </w:rPr>
        <w:t>分项有要求的按分项要求，分项无要求的按国家标准实行</w:t>
      </w:r>
      <w:r>
        <w:rPr>
          <w:b/>
          <w:color w:val="auto"/>
          <w:szCs w:val="21"/>
          <w:highlight w:val="none"/>
          <w:u w:val="single"/>
        </w:rPr>
        <w:t>“</w:t>
      </w:r>
      <w:r>
        <w:rPr>
          <w:rFonts w:hint="eastAsia"/>
          <w:b/>
          <w:color w:val="auto"/>
          <w:szCs w:val="21"/>
          <w:highlight w:val="none"/>
          <w:u w:val="single"/>
        </w:rPr>
        <w:t>三包</w:t>
      </w:r>
      <w:r>
        <w:rPr>
          <w:b/>
          <w:color w:val="auto"/>
          <w:szCs w:val="21"/>
          <w:highlight w:val="none"/>
          <w:u w:val="single"/>
        </w:rPr>
        <w:t>”</w:t>
      </w:r>
      <w:r>
        <w:rPr>
          <w:rFonts w:hint="eastAsia" w:ascii="宋体"/>
          <w:color w:val="auto"/>
          <w:szCs w:val="21"/>
          <w:highlight w:val="none"/>
        </w:rPr>
        <w:t>。</w:t>
      </w:r>
    </w:p>
    <w:p>
      <w:pPr>
        <w:snapToGrid w:val="0"/>
        <w:spacing w:line="390" w:lineRule="exact"/>
        <w:ind w:firstLine="420" w:firstLineChars="200"/>
        <w:rPr>
          <w:rFonts w:ascii="宋体"/>
          <w:color w:val="auto"/>
          <w:szCs w:val="21"/>
          <w:highlight w:val="none"/>
          <w:u w:val="single"/>
        </w:rPr>
      </w:pPr>
      <w:r>
        <w:rPr>
          <w:rFonts w:hint="eastAsia" w:ascii="宋体"/>
          <w:color w:val="auto"/>
          <w:szCs w:val="21"/>
          <w:highlight w:val="none"/>
        </w:rPr>
        <w:t>3.乙方提供的服务承诺和售后服务及保修期责任等其它具体约定事项。（见合同附件）</w:t>
      </w:r>
    </w:p>
    <w:p>
      <w:pPr>
        <w:snapToGrid w:val="0"/>
        <w:spacing w:line="390" w:lineRule="exact"/>
        <w:ind w:firstLine="421" w:firstLineChars="200"/>
        <w:rPr>
          <w:rFonts w:ascii="宋体"/>
          <w:color w:val="auto"/>
          <w:szCs w:val="21"/>
          <w:highlight w:val="none"/>
        </w:rPr>
      </w:pPr>
      <w:r>
        <w:rPr>
          <w:rFonts w:hint="eastAsia" w:ascii="宋体"/>
          <w:b/>
          <w:color w:val="auto"/>
          <w:szCs w:val="21"/>
          <w:highlight w:val="none"/>
        </w:rPr>
        <w:t>第八条　付款方式和保证金</w:t>
      </w:r>
    </w:p>
    <w:p>
      <w:pPr>
        <w:pStyle w:val="29"/>
        <w:snapToGrid w:val="0"/>
        <w:spacing w:line="390" w:lineRule="exact"/>
        <w:rPr>
          <w:color w:val="auto"/>
          <w:highlight w:val="none"/>
        </w:rPr>
      </w:pPr>
      <w:r>
        <w:rPr>
          <w:rFonts w:hint="eastAsia"/>
          <w:bCs/>
          <w:color w:val="auto"/>
          <w:highlight w:val="none"/>
          <w:lang w:val="en-US" w:eastAsia="zh-CN"/>
        </w:rPr>
        <w:t xml:space="preserve">    </w:t>
      </w:r>
      <w:r>
        <w:rPr>
          <w:rFonts w:hint="eastAsia"/>
          <w:bCs/>
          <w:color w:val="auto"/>
          <w:highlight w:val="none"/>
        </w:rPr>
        <w:t>1.</w:t>
      </w:r>
      <w:r>
        <w:rPr>
          <w:rFonts w:hint="eastAsia"/>
          <w:color w:val="auto"/>
          <w:highlight w:val="none"/>
        </w:rPr>
        <w:t>当采购数量与实际使用数量不一致时，乙方应根据实际使用量供货，合同的最终结算金额按实际使用量乘以成交单价进行计算。</w:t>
      </w:r>
    </w:p>
    <w:p>
      <w:pPr>
        <w:snapToGrid w:val="0"/>
        <w:spacing w:line="390" w:lineRule="exact"/>
        <w:ind w:firstLine="420" w:firstLineChars="200"/>
        <w:rPr>
          <w:rFonts w:ascii="宋体"/>
          <w:color w:val="auto"/>
          <w:szCs w:val="21"/>
          <w:highlight w:val="none"/>
          <w:u w:val="single"/>
        </w:rPr>
      </w:pPr>
      <w:r>
        <w:rPr>
          <w:rFonts w:hint="eastAsia" w:ascii="宋体"/>
          <w:color w:val="auto"/>
          <w:szCs w:val="21"/>
          <w:highlight w:val="none"/>
        </w:rPr>
        <w:t>2.资金性质：</w:t>
      </w:r>
      <w:r>
        <w:rPr>
          <w:rFonts w:hint="eastAsia" w:ascii="宋体"/>
          <w:b/>
          <w:color w:val="auto"/>
          <w:szCs w:val="21"/>
          <w:highlight w:val="none"/>
          <w:u w:val="single"/>
        </w:rPr>
        <w:t>财政性资金</w:t>
      </w:r>
      <w:r>
        <w:rPr>
          <w:rFonts w:hint="eastAsia" w:ascii="宋体"/>
          <w:b/>
          <w:color w:val="auto"/>
          <w:szCs w:val="21"/>
          <w:highlight w:val="none"/>
        </w:rPr>
        <w:t>。</w:t>
      </w:r>
    </w:p>
    <w:p>
      <w:pPr>
        <w:snapToGrid w:val="0"/>
        <w:spacing w:line="390" w:lineRule="exact"/>
        <w:rPr>
          <w:rFonts w:ascii="宋体"/>
          <w:color w:val="auto"/>
          <w:highlight w:val="none"/>
        </w:rPr>
      </w:pPr>
      <w:r>
        <w:rPr>
          <w:rFonts w:hint="eastAsia" w:ascii="宋体"/>
          <w:color w:val="auto"/>
          <w:highlight w:val="none"/>
          <w:lang w:val="en-US" w:eastAsia="zh-CN"/>
        </w:rPr>
        <w:t xml:space="preserve">    </w:t>
      </w:r>
      <w:r>
        <w:rPr>
          <w:rFonts w:hint="eastAsia" w:ascii="宋体"/>
          <w:color w:val="auto"/>
          <w:highlight w:val="none"/>
        </w:rPr>
        <w:t>3.付款方式：</w:t>
      </w:r>
    </w:p>
    <w:p>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①预付款：签订合同之日起10个工作日内，</w:t>
      </w:r>
      <w:r>
        <w:rPr>
          <w:rFonts w:hint="eastAsia" w:ascii="宋体" w:hAnsi="宋体"/>
          <w:color w:val="auto"/>
          <w:szCs w:val="21"/>
          <w:highlight w:val="none"/>
          <w:lang w:eastAsia="zh-CN"/>
        </w:rPr>
        <w:t>乙方</w:t>
      </w:r>
      <w:r>
        <w:rPr>
          <w:rFonts w:hint="eastAsia" w:ascii="宋体" w:hAnsi="宋体"/>
          <w:color w:val="auto"/>
          <w:szCs w:val="21"/>
          <w:highlight w:val="none"/>
        </w:rPr>
        <w:t>开具合同总价款的 30%的等额价值保函(保函有效期应在 2025年 12月30日后)给采购人后，</w:t>
      </w:r>
      <w:r>
        <w:rPr>
          <w:rFonts w:hint="eastAsia" w:ascii="宋体" w:hAnsi="宋体"/>
          <w:color w:val="auto"/>
          <w:szCs w:val="21"/>
          <w:highlight w:val="none"/>
          <w:lang w:eastAsia="zh-CN"/>
        </w:rPr>
        <w:t>甲方</w:t>
      </w:r>
      <w:r>
        <w:rPr>
          <w:rFonts w:hint="eastAsia" w:ascii="宋体" w:hAnsi="宋体"/>
          <w:color w:val="auto"/>
          <w:szCs w:val="21"/>
          <w:highlight w:val="none"/>
        </w:rPr>
        <w:t>支付合同总价款的30%作为预付款。</w:t>
      </w:r>
    </w:p>
    <w:p>
      <w:pPr>
        <w:snapToGrid w:val="0"/>
        <w:spacing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②进度款：全部设备到货后，经</w:t>
      </w:r>
      <w:r>
        <w:rPr>
          <w:rFonts w:hint="eastAsia" w:ascii="宋体" w:hAnsi="宋体"/>
          <w:color w:val="auto"/>
          <w:szCs w:val="21"/>
          <w:highlight w:val="none"/>
          <w:lang w:eastAsia="zh-CN"/>
        </w:rPr>
        <w:t>甲方</w:t>
      </w:r>
      <w:r>
        <w:rPr>
          <w:rFonts w:hint="eastAsia" w:ascii="宋体" w:hAnsi="宋体"/>
          <w:color w:val="auto"/>
          <w:szCs w:val="21"/>
          <w:highlight w:val="none"/>
        </w:rPr>
        <w:t>确认后在十个工作日内向中标供应商付款方式支付合同价款的50%；所有货物安装调试完成、试运行正常且验收合格，并经</w:t>
      </w:r>
      <w:r>
        <w:rPr>
          <w:rFonts w:hint="eastAsia" w:ascii="宋体" w:hAnsi="宋体"/>
          <w:color w:val="auto"/>
          <w:szCs w:val="21"/>
          <w:highlight w:val="none"/>
          <w:lang w:eastAsia="zh-CN"/>
        </w:rPr>
        <w:t>甲方</w:t>
      </w:r>
      <w:r>
        <w:rPr>
          <w:rFonts w:hint="eastAsia" w:ascii="宋体" w:hAnsi="宋体"/>
          <w:color w:val="auto"/>
          <w:szCs w:val="21"/>
          <w:highlight w:val="none"/>
        </w:rPr>
        <w:t>确认后，在十个工作日内向中标供应商支付合同价款的20%</w:t>
      </w:r>
      <w:r>
        <w:rPr>
          <w:rFonts w:hint="eastAsia" w:ascii="宋体" w:hAnsi="宋体"/>
          <w:color w:val="auto"/>
          <w:szCs w:val="21"/>
          <w:highlight w:val="none"/>
          <w:lang w:eastAsia="zh-CN"/>
        </w:rPr>
        <w:t>。</w:t>
      </w:r>
    </w:p>
    <w:p>
      <w:pPr>
        <w:pStyle w:val="601"/>
        <w:spacing w:after="0" w:line="390" w:lineRule="exact"/>
        <w:rPr>
          <w:rFonts w:ascii="宋体" w:hAnsi="宋体"/>
          <w:bCs/>
          <w:color w:val="auto"/>
          <w:sz w:val="21"/>
          <w:szCs w:val="21"/>
          <w:highlight w:val="none"/>
          <w:u w:val="single"/>
          <w:lang w:val="en" w:eastAsia="zh-CN"/>
        </w:rPr>
      </w:pPr>
      <w:r>
        <w:rPr>
          <w:rFonts w:hint="eastAsia" w:ascii="宋体" w:hAnsi="宋体"/>
          <w:bCs/>
          <w:color w:val="auto"/>
          <w:sz w:val="21"/>
          <w:szCs w:val="21"/>
          <w:highlight w:val="none"/>
          <w:lang w:eastAsia="zh-CN"/>
        </w:rPr>
        <w:t xml:space="preserve"> </w:t>
      </w:r>
      <w:r>
        <w:rPr>
          <w:rFonts w:ascii="宋体" w:hAnsi="宋体"/>
          <w:bCs/>
          <w:color w:val="auto"/>
          <w:sz w:val="21"/>
          <w:szCs w:val="21"/>
          <w:highlight w:val="none"/>
          <w:u w:val="single"/>
          <w:lang w:val="en" w:eastAsia="zh-CN"/>
        </w:rPr>
        <w:t xml:space="preserve">                                                                                      </w:t>
      </w:r>
    </w:p>
    <w:p>
      <w:pPr>
        <w:pStyle w:val="601"/>
        <w:spacing w:after="0" w:line="390" w:lineRule="exact"/>
        <w:rPr>
          <w:rFonts w:ascii="宋体" w:hAnsi="宋体"/>
          <w:bCs/>
          <w:color w:val="auto"/>
          <w:sz w:val="21"/>
          <w:szCs w:val="21"/>
          <w:highlight w:val="none"/>
          <w:u w:val="single"/>
          <w:lang w:val="en" w:eastAsia="zh-CN"/>
        </w:rPr>
      </w:pPr>
      <w:r>
        <w:rPr>
          <w:rFonts w:ascii="宋体" w:hAnsi="宋体"/>
          <w:bCs/>
          <w:color w:val="auto"/>
          <w:sz w:val="21"/>
          <w:szCs w:val="21"/>
          <w:highlight w:val="none"/>
          <w:u w:val="single"/>
          <w:lang w:val="en" w:eastAsia="zh-CN"/>
        </w:rPr>
        <w:t xml:space="preserve">                                                                                          </w:t>
      </w:r>
    </w:p>
    <w:p>
      <w:pPr>
        <w:snapToGrid w:val="0"/>
        <w:spacing w:line="390" w:lineRule="exact"/>
        <w:ind w:firstLine="516" w:firstLineChars="245"/>
        <w:rPr>
          <w:rFonts w:ascii="宋体"/>
          <w:b/>
          <w:color w:val="auto"/>
          <w:szCs w:val="21"/>
          <w:highlight w:val="none"/>
        </w:rPr>
      </w:pPr>
      <w:r>
        <w:rPr>
          <w:rFonts w:hint="eastAsia" w:ascii="宋体"/>
          <w:b/>
          <w:color w:val="auto"/>
          <w:szCs w:val="21"/>
          <w:highlight w:val="none"/>
        </w:rPr>
        <w:t>第九条　履约保证金</w:t>
      </w:r>
    </w:p>
    <w:p>
      <w:pPr>
        <w:autoSpaceDE w:val="0"/>
        <w:autoSpaceDN w:val="0"/>
        <w:snapToGrid w:val="0"/>
        <w:spacing w:line="360" w:lineRule="auto"/>
        <w:ind w:firstLine="424" w:firstLineChars="202"/>
        <w:textAlignment w:val="bottom"/>
        <w:rPr>
          <w:rFonts w:ascii="宋体" w:hAnsi="宋体" w:cs="宋体"/>
          <w:color w:val="auto"/>
          <w:szCs w:val="21"/>
          <w:highlight w:val="none"/>
        </w:rPr>
      </w:pPr>
      <w:r>
        <w:rPr>
          <w:rFonts w:hint="eastAsia" w:ascii="宋体" w:hAnsi="宋体" w:cs="宋体"/>
          <w:color w:val="auto"/>
          <w:szCs w:val="21"/>
          <w:highlight w:val="none"/>
        </w:rPr>
        <w:t>1.履约保证金金额：中标金额的5%（中小企业2%）。即</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元。</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履约保证金递交方式：银行转账、支票、汇票等非现金方式</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履约保证金缴纳期限: 自中标通知书发出之日起 5日内。</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履约保证金退付方式、时间及条件：中标供应商按合同要求完全履约，项目验收合格后，待中标供应商履行完质保义务且无违约情况下后由</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无息退还。合同履行期间，中标供应商存在违约的，</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有权从履约保证金中先行抵扣，不足部分由中标供应商另行支付，</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直接从履约保证金中扣除的，中标供应商应于接到</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补足履约保证金通知之日起3个工作日内补足。</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向履约保证金收取单位提供《广西壮族自治区政府采购项目合同验收书》（详见桂财采〔2015〕22号），保证金收取单位在收到合格材料后5个工作日内办理退还手续（不计利息）。</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不予退还的情形：签订合同后，如</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不按双方签订的合同规定履约，则其全部履约保证金不予退还。</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履约保证金指定账户：</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开户名称：广西艺术学院    </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开户银行：建行南宁市桃源支行    </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银行账号：45001604559050500909 </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备注：</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1、根据《广西壮族自治区财政厅关于持续优化政府采购营商环境推动高质量发展的通知》（桂财采〔2024〕55号）的通知规定，鼓励</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在与中小微企业签订政府采购合同时，减少或免于收取履约保证金，有必要收取履约保证金的，收取的履约保证金不得超过政府采购合同金额的2%。</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pPr>
        <w:snapToGrid w:val="0"/>
        <w:spacing w:line="390" w:lineRule="exact"/>
        <w:ind w:firstLine="420" w:firstLineChars="200"/>
        <w:rPr>
          <w:rFonts w:ascii="宋体" w:hAnsi="宋体"/>
          <w:bCs/>
          <w:color w:val="auto"/>
          <w:szCs w:val="21"/>
          <w:highlight w:val="none"/>
          <w:u w:val="single"/>
          <w:lang w:val="en"/>
        </w:rPr>
      </w:pPr>
      <w:r>
        <w:rPr>
          <w:rFonts w:hint="eastAsia" w:ascii="宋体" w:hAnsi="宋体" w:cs="宋体"/>
          <w:color w:val="auto"/>
          <w:szCs w:val="21"/>
          <w:highlight w:val="none"/>
        </w:rPr>
        <w:t>3、采用金融、担保机构出具的保函的，必须为无条件保函，否则不予签订合同。</w:t>
      </w:r>
      <w:r>
        <w:rPr>
          <w:rFonts w:ascii="宋体" w:hAnsi="宋体"/>
          <w:bCs/>
          <w:color w:val="auto"/>
          <w:szCs w:val="21"/>
          <w:highlight w:val="none"/>
          <w:u w:val="single"/>
          <w:lang w:val="en"/>
        </w:rPr>
        <w:t xml:space="preserve">                                                                                      </w:t>
      </w:r>
    </w:p>
    <w:p>
      <w:pPr>
        <w:pStyle w:val="37"/>
        <w:spacing w:before="0" w:after="0" w:line="390" w:lineRule="exact"/>
        <w:ind w:firstLine="0" w:firstLineChars="0"/>
        <w:rPr>
          <w:color w:val="auto"/>
          <w:highlight w:val="none"/>
        </w:rPr>
      </w:pPr>
      <w:r>
        <w:rPr>
          <w:rFonts w:ascii="宋体"/>
          <w:color w:val="auto"/>
          <w:highlight w:val="none"/>
          <w:u w:val="single"/>
          <w:lang w:val="en"/>
        </w:rPr>
        <w:t xml:space="preserve">                                                                                          </w:t>
      </w:r>
    </w:p>
    <w:p>
      <w:pPr>
        <w:snapToGrid w:val="0"/>
        <w:spacing w:line="390" w:lineRule="exact"/>
        <w:ind w:firstLine="421" w:firstLineChars="200"/>
        <w:rPr>
          <w:rFonts w:ascii="宋体" w:hAnsi="Courier New" w:cs="Courier New"/>
          <w:color w:val="auto"/>
          <w:szCs w:val="21"/>
          <w:highlight w:val="none"/>
        </w:rPr>
      </w:pPr>
      <w:r>
        <w:rPr>
          <w:rFonts w:hint="eastAsia" w:ascii="宋体" w:hAnsi="Courier New" w:cs="Courier New"/>
          <w:b/>
          <w:color w:val="auto"/>
          <w:szCs w:val="21"/>
          <w:highlight w:val="none"/>
        </w:rPr>
        <w:t>第十条 税费</w:t>
      </w:r>
    </w:p>
    <w:p>
      <w:pPr>
        <w:snapToGrid w:val="0"/>
        <w:spacing w:line="390" w:lineRule="exact"/>
        <w:ind w:firstLine="420" w:firstLineChars="200"/>
        <w:rPr>
          <w:rFonts w:ascii="宋体" w:hAnsi="Courier New" w:cs="Courier New"/>
          <w:color w:val="auto"/>
          <w:szCs w:val="21"/>
          <w:highlight w:val="none"/>
        </w:rPr>
      </w:pPr>
      <w:r>
        <w:rPr>
          <w:rFonts w:hint="eastAsia" w:ascii="宋体" w:hAnsi="Courier New" w:cs="Courier New"/>
          <w:color w:val="auto"/>
          <w:szCs w:val="21"/>
          <w:highlight w:val="none"/>
        </w:rPr>
        <w:t>本合同执行中相关的一切税费均由乙方负担。</w:t>
      </w:r>
    </w:p>
    <w:p>
      <w:pPr>
        <w:snapToGrid w:val="0"/>
        <w:spacing w:line="390" w:lineRule="exact"/>
        <w:ind w:firstLine="421" w:firstLineChars="200"/>
        <w:rPr>
          <w:rFonts w:ascii="宋体"/>
          <w:b/>
          <w:color w:val="auto"/>
          <w:szCs w:val="21"/>
          <w:highlight w:val="none"/>
        </w:rPr>
      </w:pPr>
      <w:r>
        <w:rPr>
          <w:rFonts w:hint="eastAsia" w:ascii="宋体"/>
          <w:b/>
          <w:color w:val="auto"/>
          <w:szCs w:val="21"/>
          <w:highlight w:val="none"/>
        </w:rPr>
        <w:t>第十一条  质量保证及售后服务</w:t>
      </w:r>
    </w:p>
    <w:p>
      <w:pPr>
        <w:snapToGrid w:val="0"/>
        <w:spacing w:line="390" w:lineRule="exact"/>
        <w:ind w:firstLine="420" w:firstLineChars="200"/>
        <w:rPr>
          <w:rFonts w:ascii="宋体"/>
          <w:color w:val="auto"/>
          <w:szCs w:val="21"/>
          <w:highlight w:val="none"/>
        </w:rPr>
      </w:pPr>
      <w:r>
        <w:rPr>
          <w:rFonts w:hint="eastAsia" w:ascii="宋体"/>
          <w:color w:val="auto"/>
          <w:szCs w:val="21"/>
          <w:highlight w:val="none"/>
        </w:rPr>
        <w:t>1. 乙方应按招标文件规定的货物性能、技术要求、质量标准向甲方提供未经使用的全新产品。</w:t>
      </w:r>
      <w:r>
        <w:rPr>
          <w:rFonts w:hint="eastAsia" w:ascii="宋体"/>
          <w:color w:val="auto"/>
          <w:highlight w:val="none"/>
        </w:rPr>
        <w:t>乙方提供货物的质量保证期按交货验收合格之日起计（期限见《招标项目采购需求》中各分标的要求）。在保证期内因货物本身的质量问题发生故障，乙方应负责免费修理和更换零部件。对达不到技术要求者，根据实际情况，甲方有权按以下办法处理</w:t>
      </w:r>
      <w:r>
        <w:rPr>
          <w:rFonts w:hint="eastAsia" w:ascii="宋体"/>
          <w:color w:val="auto"/>
          <w:szCs w:val="21"/>
          <w:highlight w:val="none"/>
        </w:rPr>
        <w:t>：</w:t>
      </w:r>
    </w:p>
    <w:p>
      <w:pPr>
        <w:pStyle w:val="29"/>
        <w:snapToGrid w:val="0"/>
        <w:spacing w:line="390" w:lineRule="exact"/>
        <w:ind w:firstLine="315" w:firstLineChars="150"/>
        <w:rPr>
          <w:color w:val="auto"/>
          <w:highlight w:val="none"/>
        </w:rPr>
      </w:pPr>
      <w:r>
        <w:rPr>
          <w:rFonts w:hint="eastAsia"/>
          <w:color w:val="auto"/>
          <w:highlight w:val="none"/>
        </w:rPr>
        <w:t xml:space="preserve"> ⑴更换：由乙方承担所发生的全部费用。</w:t>
      </w:r>
    </w:p>
    <w:p>
      <w:pPr>
        <w:pStyle w:val="29"/>
        <w:snapToGrid w:val="0"/>
        <w:spacing w:line="390" w:lineRule="exact"/>
        <w:ind w:firstLine="420"/>
        <w:rPr>
          <w:color w:val="auto"/>
          <w:highlight w:val="none"/>
        </w:rPr>
      </w:pPr>
      <w:r>
        <w:rPr>
          <w:rFonts w:hint="eastAsia"/>
          <w:color w:val="auto"/>
          <w:highlight w:val="none"/>
        </w:rPr>
        <w:t>⑵贬值处理：由甲乙双方合议定价。</w:t>
      </w:r>
    </w:p>
    <w:p>
      <w:pPr>
        <w:pStyle w:val="29"/>
        <w:snapToGrid w:val="0"/>
        <w:spacing w:line="390" w:lineRule="exact"/>
        <w:rPr>
          <w:color w:val="auto"/>
          <w:highlight w:val="none"/>
        </w:rPr>
      </w:pPr>
      <w:r>
        <w:rPr>
          <w:rFonts w:hint="eastAsia"/>
          <w:color w:val="auto"/>
          <w:highlight w:val="none"/>
        </w:rPr>
        <w:t>⑶退货处理：乙方应退还甲方支付的合同款，同时应承担该货物的直接费用（运输、保险、检验、货款利息及银行手续费等）。</w:t>
      </w:r>
    </w:p>
    <w:p>
      <w:pPr>
        <w:pStyle w:val="29"/>
        <w:snapToGrid w:val="0"/>
        <w:spacing w:line="390" w:lineRule="exact"/>
        <w:ind w:firstLine="420" w:firstLineChars="200"/>
        <w:rPr>
          <w:color w:val="auto"/>
          <w:highlight w:val="none"/>
        </w:rPr>
      </w:pPr>
      <w:r>
        <w:rPr>
          <w:rFonts w:hint="eastAsia"/>
          <w:color w:val="auto"/>
          <w:highlight w:val="none"/>
        </w:rPr>
        <w:t>2. 如在使用过程中发生质量问题，乙方在接到甲方通知后在</w:t>
      </w:r>
      <w:r>
        <w:rPr>
          <w:rFonts w:hint="eastAsia"/>
          <w:color w:val="auto"/>
          <w:highlight w:val="none"/>
          <w:u w:val="single"/>
        </w:rPr>
        <w:t xml:space="preserve">    </w:t>
      </w:r>
      <w:r>
        <w:rPr>
          <w:rFonts w:hint="eastAsia"/>
          <w:color w:val="auto"/>
          <w:highlight w:val="none"/>
        </w:rPr>
        <w:t>小时内到达甲方现场。</w:t>
      </w:r>
    </w:p>
    <w:p>
      <w:pPr>
        <w:pStyle w:val="29"/>
        <w:snapToGrid w:val="0"/>
        <w:spacing w:line="390" w:lineRule="exact"/>
        <w:ind w:firstLine="420" w:firstLineChars="200"/>
        <w:rPr>
          <w:color w:val="auto"/>
          <w:highlight w:val="none"/>
        </w:rPr>
      </w:pPr>
      <w:r>
        <w:rPr>
          <w:rFonts w:hint="eastAsia"/>
          <w:color w:val="auto"/>
          <w:highlight w:val="none"/>
        </w:rPr>
        <w:t>3. 在质保期内，乙方应对货物出现的质量及安全问题负责处理解决并承担一切费用。</w:t>
      </w:r>
    </w:p>
    <w:p>
      <w:pPr>
        <w:pStyle w:val="29"/>
        <w:snapToGrid w:val="0"/>
        <w:spacing w:line="390" w:lineRule="exact"/>
        <w:ind w:firstLine="420" w:firstLineChars="200"/>
        <w:rPr>
          <w:color w:val="auto"/>
          <w:highlight w:val="none"/>
        </w:rPr>
      </w:pPr>
      <w:r>
        <w:rPr>
          <w:rFonts w:hint="eastAsia"/>
          <w:color w:val="auto"/>
          <w:highlight w:val="none"/>
        </w:rPr>
        <w:t>4.上述的货物免费保修期为</w:t>
      </w:r>
      <w:r>
        <w:rPr>
          <w:rFonts w:hint="eastAsia"/>
          <w:color w:val="auto"/>
          <w:highlight w:val="none"/>
          <w:u w:val="single"/>
        </w:rPr>
        <w:t xml:space="preserve">     </w:t>
      </w:r>
      <w:r>
        <w:rPr>
          <w:rFonts w:hint="eastAsia"/>
          <w:color w:val="auto"/>
          <w:highlight w:val="none"/>
        </w:rPr>
        <w:t>年，因人为因素出现的故障不在免费保修范围内。超过保修期的机器设备，终生维修，维修时只收部件成本费。</w:t>
      </w:r>
    </w:p>
    <w:p>
      <w:pPr>
        <w:pStyle w:val="29"/>
        <w:snapToGrid w:val="0"/>
        <w:spacing w:line="390" w:lineRule="exact"/>
        <w:ind w:firstLine="413" w:firstLineChars="196"/>
        <w:rPr>
          <w:b/>
          <w:color w:val="auto"/>
          <w:highlight w:val="none"/>
        </w:rPr>
      </w:pPr>
      <w:r>
        <w:rPr>
          <w:rFonts w:hint="eastAsia"/>
          <w:b/>
          <w:color w:val="auto"/>
          <w:highlight w:val="none"/>
        </w:rPr>
        <w:t>第十二条  调试和验收</w:t>
      </w:r>
    </w:p>
    <w:p>
      <w:pPr>
        <w:pStyle w:val="29"/>
        <w:snapToGrid w:val="0"/>
        <w:spacing w:line="390" w:lineRule="exact"/>
        <w:ind w:firstLine="420" w:firstLineChars="200"/>
        <w:rPr>
          <w:color w:val="auto"/>
          <w:highlight w:val="none"/>
        </w:rPr>
      </w:pPr>
      <w:r>
        <w:rPr>
          <w:rFonts w:hint="eastAsia"/>
          <w:color w:val="auto"/>
          <w:highlight w:val="none"/>
        </w:rPr>
        <w:t>1. 甲方对乙方提交的货物依据招标文件上的技术规格要求和国家有关质量标准进行现场初步验收，外观、说明书符合招标文件技术要求的，给予签收，初步验收不合格的不予签收。货到后，</w:t>
      </w:r>
      <w:r>
        <w:rPr>
          <w:rFonts w:hint="eastAsia"/>
          <w:bCs/>
          <w:color w:val="auto"/>
          <w:highlight w:val="none"/>
        </w:rPr>
        <w:t>甲方应当在到货（安装、调试完）后十个工作日内进行初步验收</w:t>
      </w:r>
      <w:r>
        <w:rPr>
          <w:rFonts w:hint="eastAsia"/>
          <w:color w:val="auto"/>
          <w:highlight w:val="none"/>
        </w:rPr>
        <w:t>。</w:t>
      </w:r>
    </w:p>
    <w:p>
      <w:pPr>
        <w:pStyle w:val="29"/>
        <w:snapToGrid w:val="0"/>
        <w:spacing w:line="390" w:lineRule="exact"/>
        <w:ind w:firstLine="420" w:firstLineChars="200"/>
        <w:rPr>
          <w:color w:val="auto"/>
          <w:highlight w:val="none"/>
        </w:rPr>
      </w:pPr>
      <w:r>
        <w:rPr>
          <w:rFonts w:hint="eastAsia"/>
          <w:color w:val="auto"/>
          <w:highlight w:val="none"/>
        </w:rPr>
        <w:t>2. 乙方交货前应对产品作出全面检查和对验收文件进行整理，并列出清单，作为甲方收货验收和使用的技术条件依据，检验的结果应随货物交甲方。</w:t>
      </w:r>
    </w:p>
    <w:p>
      <w:pPr>
        <w:pStyle w:val="29"/>
        <w:snapToGrid w:val="0"/>
        <w:spacing w:line="390" w:lineRule="exact"/>
        <w:ind w:firstLine="420" w:firstLineChars="200"/>
        <w:rPr>
          <w:color w:val="auto"/>
          <w:highlight w:val="none"/>
        </w:rPr>
      </w:pPr>
      <w:r>
        <w:rPr>
          <w:rFonts w:hint="eastAsia"/>
          <w:color w:val="auto"/>
          <w:highlight w:val="none"/>
        </w:rPr>
        <w:t>3. 甲方对乙方提供的货物在使用前进行调试时，乙方需负责安装并培训甲方的使用操作人员，并协助甲方一起调试，直到符合技术要求，甲方才做最终验收。</w:t>
      </w:r>
    </w:p>
    <w:p>
      <w:pPr>
        <w:pStyle w:val="29"/>
        <w:snapToGrid w:val="0"/>
        <w:spacing w:line="390" w:lineRule="exact"/>
        <w:ind w:firstLine="420" w:firstLineChars="200"/>
        <w:rPr>
          <w:color w:val="auto"/>
          <w:highlight w:val="none"/>
        </w:rPr>
      </w:pPr>
      <w:r>
        <w:rPr>
          <w:rFonts w:hint="eastAsia" w:hAnsi="宋体"/>
          <w:color w:val="auto"/>
          <w:highlight w:val="none"/>
        </w:rPr>
        <w:t>4. 对技术复杂的货物，甲方应请国家认可的专业检测机构参与初步验收及最终验收，并由其出具质量检测报告，检测相关费用由</w:t>
      </w:r>
      <w:r>
        <w:rPr>
          <w:rFonts w:hint="eastAsia" w:hAnsi="宋体"/>
          <w:color w:val="auto"/>
          <w:highlight w:val="none"/>
          <w:u w:val="single"/>
        </w:rPr>
        <w:t xml:space="preserve">乙   </w:t>
      </w:r>
      <w:r>
        <w:rPr>
          <w:rFonts w:hint="eastAsia" w:hAnsi="宋体"/>
          <w:color w:val="auto"/>
          <w:highlight w:val="none"/>
        </w:rPr>
        <w:t>方承担。</w:t>
      </w:r>
    </w:p>
    <w:p>
      <w:pPr>
        <w:pStyle w:val="29"/>
        <w:snapToGrid w:val="0"/>
        <w:spacing w:line="390" w:lineRule="exact"/>
        <w:ind w:firstLine="420" w:firstLineChars="200"/>
        <w:rPr>
          <w:color w:val="auto"/>
          <w:highlight w:val="none"/>
        </w:rPr>
      </w:pPr>
      <w:r>
        <w:rPr>
          <w:rFonts w:hint="eastAsia"/>
          <w:color w:val="auto"/>
          <w:highlight w:val="none"/>
        </w:rPr>
        <w:t>5. 对技术复杂的货物，甲方应请国家认可的专业检测机构参与初步验收及最终验收，并由其出具质量检测报告。</w:t>
      </w:r>
    </w:p>
    <w:p>
      <w:pPr>
        <w:pStyle w:val="29"/>
        <w:snapToGrid w:val="0"/>
        <w:spacing w:line="390" w:lineRule="exact"/>
        <w:ind w:firstLine="420" w:firstLineChars="200"/>
        <w:rPr>
          <w:color w:val="auto"/>
          <w:highlight w:val="none"/>
        </w:rPr>
      </w:pPr>
      <w:r>
        <w:rPr>
          <w:rFonts w:hint="eastAsia"/>
          <w:color w:val="auto"/>
          <w:highlight w:val="none"/>
        </w:rPr>
        <w:t>6. 验收时乙方必须在现场，验收完毕后作出验收结果报告；验收费用由乙方负责。</w:t>
      </w:r>
    </w:p>
    <w:p>
      <w:pPr>
        <w:pStyle w:val="29"/>
        <w:snapToGrid w:val="0"/>
        <w:spacing w:line="390" w:lineRule="exact"/>
        <w:ind w:firstLine="413" w:firstLineChars="196"/>
        <w:rPr>
          <w:b/>
          <w:color w:val="auto"/>
          <w:highlight w:val="none"/>
        </w:rPr>
      </w:pPr>
      <w:r>
        <w:rPr>
          <w:rFonts w:hint="eastAsia"/>
          <w:b/>
          <w:color w:val="auto"/>
          <w:highlight w:val="none"/>
        </w:rPr>
        <w:t>第十三条 货物包装、发运及运输</w:t>
      </w:r>
    </w:p>
    <w:p>
      <w:pPr>
        <w:pStyle w:val="29"/>
        <w:snapToGrid w:val="0"/>
        <w:spacing w:line="390" w:lineRule="exact"/>
        <w:rPr>
          <w:color w:val="auto"/>
          <w:highlight w:val="none"/>
        </w:rPr>
      </w:pPr>
      <w:r>
        <w:rPr>
          <w:rFonts w:hint="eastAsia"/>
          <w:color w:val="auto"/>
          <w:highlight w:val="none"/>
        </w:rPr>
        <w:t>1. 乙方应在货物发运前对其进行满足运输距离、防潮、防震、防锈和防破损装卸等要求包装，以保证货物安全运达甲方指定地点。</w:t>
      </w:r>
    </w:p>
    <w:p>
      <w:pPr>
        <w:pStyle w:val="29"/>
        <w:snapToGrid w:val="0"/>
        <w:spacing w:line="390" w:lineRule="exact"/>
        <w:rPr>
          <w:color w:val="auto"/>
          <w:highlight w:val="none"/>
        </w:rPr>
      </w:pPr>
      <w:r>
        <w:rPr>
          <w:rFonts w:hint="eastAsia"/>
          <w:color w:val="auto"/>
          <w:highlight w:val="none"/>
        </w:rPr>
        <w:t>2. 使用说明书、质量检验证明书、随配附件和工具以及清单一并附于货物内。</w:t>
      </w:r>
    </w:p>
    <w:p>
      <w:pPr>
        <w:pStyle w:val="29"/>
        <w:snapToGrid w:val="0"/>
        <w:spacing w:line="390" w:lineRule="exact"/>
        <w:rPr>
          <w:color w:val="auto"/>
          <w:highlight w:val="none"/>
        </w:rPr>
      </w:pPr>
      <w:r>
        <w:rPr>
          <w:rFonts w:hint="eastAsia"/>
          <w:color w:val="auto"/>
          <w:highlight w:val="none"/>
        </w:rPr>
        <w:t>3. 乙方在货物发运手续办理完毕后二十四小时内或货到甲方四十八小时前通知甲方，以准备接货。</w:t>
      </w:r>
    </w:p>
    <w:p>
      <w:pPr>
        <w:pStyle w:val="29"/>
        <w:snapToGrid w:val="0"/>
        <w:spacing w:line="390" w:lineRule="exact"/>
        <w:rPr>
          <w:color w:val="auto"/>
          <w:highlight w:val="none"/>
        </w:rPr>
      </w:pPr>
      <w:r>
        <w:rPr>
          <w:rFonts w:hint="eastAsia"/>
          <w:color w:val="auto"/>
          <w:highlight w:val="none"/>
        </w:rPr>
        <w:t>4. 货物在交付甲方前发生的风险均由乙方负责。</w:t>
      </w:r>
    </w:p>
    <w:p>
      <w:pPr>
        <w:pStyle w:val="29"/>
        <w:snapToGrid w:val="0"/>
        <w:spacing w:line="390" w:lineRule="exact"/>
        <w:rPr>
          <w:color w:val="auto"/>
          <w:spacing w:val="-8"/>
          <w:highlight w:val="none"/>
        </w:rPr>
      </w:pPr>
      <w:r>
        <w:rPr>
          <w:rFonts w:hint="eastAsia"/>
          <w:color w:val="auto"/>
          <w:highlight w:val="none"/>
        </w:rPr>
        <w:t>5. 货</w:t>
      </w:r>
      <w:r>
        <w:rPr>
          <w:rFonts w:hint="eastAsia"/>
          <w:color w:val="auto"/>
          <w:spacing w:val="-8"/>
          <w:highlight w:val="none"/>
        </w:rPr>
        <w:t>物在规定的交付期限内由乙方送达甲方指定的地点视为交付，乙方同时需通知甲方货物已送达。</w:t>
      </w:r>
    </w:p>
    <w:p>
      <w:pPr>
        <w:snapToGrid w:val="0"/>
        <w:spacing w:line="390" w:lineRule="exact"/>
        <w:ind w:firstLine="421" w:firstLineChars="200"/>
        <w:rPr>
          <w:rFonts w:ascii="宋体"/>
          <w:b/>
          <w:color w:val="auto"/>
          <w:szCs w:val="21"/>
          <w:highlight w:val="none"/>
        </w:rPr>
      </w:pPr>
      <w:r>
        <w:rPr>
          <w:rFonts w:hint="eastAsia" w:ascii="宋体"/>
          <w:b/>
          <w:color w:val="auto"/>
          <w:szCs w:val="21"/>
          <w:highlight w:val="none"/>
        </w:rPr>
        <w:t>第十四条　违约责任</w:t>
      </w:r>
    </w:p>
    <w:p>
      <w:pPr>
        <w:snapToGrid w:val="0"/>
        <w:spacing w:line="390" w:lineRule="exact"/>
        <w:ind w:firstLine="525" w:firstLineChars="250"/>
        <w:rPr>
          <w:rFonts w:ascii="宋体"/>
          <w:color w:val="auto"/>
          <w:szCs w:val="21"/>
          <w:highlight w:val="none"/>
        </w:rPr>
      </w:pPr>
      <w:r>
        <w:rPr>
          <w:rFonts w:hint="eastAsia" w:ascii="宋体"/>
          <w:color w:val="auto"/>
          <w:szCs w:val="21"/>
          <w:highlight w:val="none"/>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90" w:lineRule="exact"/>
        <w:ind w:firstLine="472" w:firstLineChars="225"/>
        <w:rPr>
          <w:rFonts w:ascii="宋体"/>
          <w:color w:val="auto"/>
          <w:szCs w:val="21"/>
          <w:highlight w:val="none"/>
        </w:rPr>
      </w:pPr>
      <w:r>
        <w:rPr>
          <w:rFonts w:hint="eastAsia" w:ascii="宋体"/>
          <w:color w:val="auto"/>
          <w:szCs w:val="21"/>
          <w:highlight w:val="none"/>
        </w:rPr>
        <w:t>2．乙方提供的货物如侵犯了第三方合法权益而引发的任何纠纷或诉讼，均由乙方负责交涉并承担全部责任。</w:t>
      </w:r>
    </w:p>
    <w:p>
      <w:pPr>
        <w:snapToGrid w:val="0"/>
        <w:spacing w:line="390" w:lineRule="exact"/>
        <w:ind w:firstLine="420" w:firstLineChars="200"/>
        <w:rPr>
          <w:rFonts w:ascii="宋体"/>
          <w:color w:val="auto"/>
          <w:szCs w:val="21"/>
          <w:highlight w:val="none"/>
        </w:rPr>
      </w:pPr>
      <w:r>
        <w:rPr>
          <w:rFonts w:hint="eastAsia" w:ascii="宋体"/>
          <w:color w:val="auto"/>
          <w:szCs w:val="21"/>
          <w:highlight w:val="none"/>
        </w:rPr>
        <w:t>3．因包装、运输引起的货物损坏，按质量不合格处罚。</w:t>
      </w:r>
    </w:p>
    <w:p>
      <w:pPr>
        <w:snapToGrid w:val="0"/>
        <w:spacing w:line="390" w:lineRule="exact"/>
        <w:ind w:firstLine="420" w:firstLineChars="200"/>
        <w:rPr>
          <w:rFonts w:ascii="宋体"/>
          <w:color w:val="auto"/>
          <w:szCs w:val="21"/>
          <w:highlight w:val="none"/>
        </w:rPr>
      </w:pPr>
      <w:r>
        <w:rPr>
          <w:rFonts w:hint="eastAsia" w:ascii="宋体"/>
          <w:color w:val="auto"/>
          <w:szCs w:val="21"/>
          <w:highlight w:val="none"/>
        </w:rPr>
        <w:t>4．乙方逾期交货的，每天向对方偿付违约货款额3‰违约金，但违约金累计不得超过违约货款额</w:t>
      </w:r>
      <w:r>
        <w:rPr>
          <w:rFonts w:hint="eastAsia" w:ascii="宋体"/>
          <w:color w:val="auto"/>
          <w:szCs w:val="21"/>
          <w:highlight w:val="none"/>
          <w:u w:val="single"/>
        </w:rPr>
        <w:t>5%</w:t>
      </w:r>
      <w:r>
        <w:rPr>
          <w:rFonts w:hint="eastAsia" w:ascii="宋体"/>
          <w:color w:val="auto"/>
          <w:szCs w:val="21"/>
          <w:highlight w:val="none"/>
        </w:rPr>
        <w:t>，超过</w:t>
      </w:r>
      <w:r>
        <w:rPr>
          <w:rFonts w:hint="eastAsia" w:ascii="宋体"/>
          <w:color w:val="auto"/>
          <w:szCs w:val="21"/>
          <w:highlight w:val="none"/>
          <w:u w:val="single"/>
        </w:rPr>
        <w:t xml:space="preserve">   </w:t>
      </w:r>
      <w:r>
        <w:rPr>
          <w:rFonts w:hint="eastAsia" w:ascii="宋体"/>
          <w:color w:val="auto"/>
          <w:szCs w:val="21"/>
          <w:highlight w:val="none"/>
        </w:rPr>
        <w:t>天对方有权解除合同，违约方承担因此给对方造成经济损失；甲方延期付货款的，每天向乙方偿付延期货款额</w:t>
      </w:r>
      <w:r>
        <w:rPr>
          <w:rFonts w:hint="eastAsia" w:ascii="宋体"/>
          <w:color w:val="auto"/>
          <w:szCs w:val="21"/>
          <w:highlight w:val="none"/>
          <w:u w:val="single"/>
        </w:rPr>
        <w:t xml:space="preserve">3‰ </w:t>
      </w:r>
      <w:r>
        <w:rPr>
          <w:rFonts w:hint="eastAsia" w:ascii="宋体"/>
          <w:color w:val="auto"/>
          <w:szCs w:val="21"/>
          <w:highlight w:val="none"/>
        </w:rPr>
        <w:t>滞纳金，但滞纳金累计不得超过延期货款额</w:t>
      </w:r>
      <w:r>
        <w:rPr>
          <w:rFonts w:hint="eastAsia" w:ascii="宋体"/>
          <w:color w:val="auto"/>
          <w:szCs w:val="21"/>
          <w:highlight w:val="none"/>
          <w:u w:val="single"/>
        </w:rPr>
        <w:t>5%</w:t>
      </w:r>
      <w:r>
        <w:rPr>
          <w:rFonts w:hint="eastAsia" w:ascii="宋体"/>
          <w:color w:val="auto"/>
          <w:szCs w:val="21"/>
          <w:highlight w:val="none"/>
        </w:rPr>
        <w:t>。</w:t>
      </w:r>
    </w:p>
    <w:p>
      <w:pPr>
        <w:snapToGrid w:val="0"/>
        <w:spacing w:line="390" w:lineRule="exact"/>
        <w:ind w:firstLine="420" w:firstLineChars="200"/>
        <w:rPr>
          <w:rFonts w:ascii="宋体"/>
          <w:color w:val="auto"/>
          <w:szCs w:val="21"/>
          <w:highlight w:val="none"/>
        </w:rPr>
      </w:pPr>
      <w:r>
        <w:rPr>
          <w:rFonts w:hint="eastAsia" w:ascii="宋体"/>
          <w:color w:val="auto"/>
          <w:szCs w:val="21"/>
          <w:highlight w:val="none"/>
        </w:rPr>
        <w:t>5．乙方未按本合同和投标文件中规定的服务承诺提供售后服务的，乙方应按本合同合计金额</w:t>
      </w:r>
      <w:r>
        <w:rPr>
          <w:rFonts w:hint="eastAsia" w:ascii="宋体"/>
          <w:color w:val="auto"/>
          <w:szCs w:val="21"/>
          <w:highlight w:val="none"/>
          <w:u w:val="single"/>
        </w:rPr>
        <w:t xml:space="preserve"> 5%</w:t>
      </w:r>
      <w:r>
        <w:rPr>
          <w:rFonts w:hint="eastAsia" w:ascii="宋体"/>
          <w:color w:val="auto"/>
          <w:szCs w:val="21"/>
          <w:highlight w:val="none"/>
        </w:rPr>
        <w:t>向甲方支付违约金。</w:t>
      </w:r>
    </w:p>
    <w:p>
      <w:pPr>
        <w:snapToGrid w:val="0"/>
        <w:spacing w:line="390" w:lineRule="exact"/>
        <w:ind w:firstLine="420" w:firstLineChars="200"/>
        <w:rPr>
          <w:rFonts w:ascii="宋体"/>
          <w:color w:val="auto"/>
          <w:szCs w:val="21"/>
          <w:highlight w:val="none"/>
        </w:rPr>
      </w:pPr>
      <w:r>
        <w:rPr>
          <w:rFonts w:hint="eastAsia" w:ascii="宋体"/>
          <w:color w:val="auto"/>
          <w:szCs w:val="21"/>
          <w:highlight w:val="none"/>
        </w:rPr>
        <w:t>6．乙方提供的货物在质量保证期内，因设计、工艺或材料的缺陷和其它质量原因造成的问题，由乙方负责，费用从</w:t>
      </w:r>
      <w:r>
        <w:rPr>
          <w:rFonts w:hint="eastAsia"/>
          <w:color w:val="auto"/>
          <w:highlight w:val="none"/>
        </w:rPr>
        <w:t>履</w:t>
      </w:r>
      <w:r>
        <w:rPr>
          <w:rFonts w:hint="eastAsia" w:ascii="宋体"/>
          <w:color w:val="auto"/>
          <w:szCs w:val="21"/>
          <w:highlight w:val="none"/>
        </w:rPr>
        <w:t>约保证金中扣除，履约保证金不足以支付的，由乙方另行支付。</w:t>
      </w:r>
    </w:p>
    <w:p>
      <w:pPr>
        <w:snapToGrid w:val="0"/>
        <w:spacing w:line="390" w:lineRule="exact"/>
        <w:ind w:firstLine="420" w:firstLineChars="200"/>
        <w:rPr>
          <w:rFonts w:ascii="宋体"/>
          <w:color w:val="auto"/>
          <w:szCs w:val="21"/>
          <w:highlight w:val="none"/>
        </w:rPr>
      </w:pPr>
      <w:r>
        <w:rPr>
          <w:rFonts w:hint="eastAsia" w:ascii="宋体"/>
          <w:color w:val="auto"/>
          <w:szCs w:val="21"/>
          <w:highlight w:val="none"/>
        </w:rPr>
        <w:t>7．其它违约行为按违约货款额5%收取违约金并赔偿经济损失。</w:t>
      </w:r>
    </w:p>
    <w:p>
      <w:pPr>
        <w:pStyle w:val="29"/>
        <w:snapToGrid w:val="0"/>
        <w:spacing w:line="390" w:lineRule="exact"/>
        <w:ind w:firstLine="413" w:firstLineChars="196"/>
        <w:rPr>
          <w:b/>
          <w:color w:val="auto"/>
          <w:highlight w:val="none"/>
        </w:rPr>
      </w:pPr>
      <w:r>
        <w:rPr>
          <w:rFonts w:hint="eastAsia"/>
          <w:b/>
          <w:color w:val="auto"/>
          <w:highlight w:val="none"/>
        </w:rPr>
        <w:t>第十五条  不可抗力事件处理</w:t>
      </w:r>
    </w:p>
    <w:p>
      <w:pPr>
        <w:pStyle w:val="29"/>
        <w:snapToGrid w:val="0"/>
        <w:spacing w:line="390" w:lineRule="exact"/>
        <w:ind w:firstLine="420" w:firstLineChars="200"/>
        <w:rPr>
          <w:color w:val="auto"/>
          <w:highlight w:val="none"/>
        </w:rPr>
      </w:pPr>
      <w:r>
        <w:rPr>
          <w:rFonts w:hint="eastAsia"/>
          <w:color w:val="auto"/>
          <w:highlight w:val="none"/>
        </w:rPr>
        <w:t>1. 在合同有效期内，任何一方因不可抗力事件导致不能履行合同，则合同履行期可延长，其延长期与不可抗力影响期相同。</w:t>
      </w:r>
    </w:p>
    <w:p>
      <w:pPr>
        <w:pStyle w:val="29"/>
        <w:snapToGrid w:val="0"/>
        <w:spacing w:line="390" w:lineRule="exact"/>
        <w:ind w:firstLine="420" w:firstLineChars="200"/>
        <w:rPr>
          <w:color w:val="auto"/>
          <w:highlight w:val="none"/>
        </w:rPr>
      </w:pPr>
      <w:r>
        <w:rPr>
          <w:rFonts w:hint="eastAsia"/>
          <w:color w:val="auto"/>
          <w:highlight w:val="none"/>
        </w:rPr>
        <w:t>2. 不可抗力事件发生后，应立即通知对方，并寄送有关权威机构出具的证明。</w:t>
      </w:r>
    </w:p>
    <w:p>
      <w:pPr>
        <w:pStyle w:val="29"/>
        <w:snapToGrid w:val="0"/>
        <w:spacing w:line="390" w:lineRule="exact"/>
        <w:ind w:firstLine="420" w:firstLineChars="200"/>
        <w:rPr>
          <w:color w:val="auto"/>
          <w:highlight w:val="none"/>
        </w:rPr>
      </w:pPr>
      <w:r>
        <w:rPr>
          <w:rFonts w:hint="eastAsia"/>
          <w:color w:val="auto"/>
          <w:highlight w:val="none"/>
        </w:rPr>
        <w:t>3. 不可抗力事件延续一百二十天以上，双方应通过友好协商，确定是否继续履行合同。</w:t>
      </w:r>
    </w:p>
    <w:p>
      <w:pPr>
        <w:snapToGrid w:val="0"/>
        <w:spacing w:line="390" w:lineRule="exact"/>
        <w:ind w:firstLine="421" w:firstLineChars="200"/>
        <w:rPr>
          <w:rFonts w:ascii="宋体"/>
          <w:color w:val="auto"/>
          <w:szCs w:val="21"/>
          <w:highlight w:val="none"/>
        </w:rPr>
      </w:pPr>
      <w:r>
        <w:rPr>
          <w:rFonts w:hint="eastAsia" w:ascii="宋体"/>
          <w:b/>
          <w:color w:val="auto"/>
          <w:szCs w:val="21"/>
          <w:highlight w:val="none"/>
        </w:rPr>
        <w:t>第十六条  合同争议解决</w:t>
      </w:r>
    </w:p>
    <w:p>
      <w:pPr>
        <w:snapToGrid w:val="0"/>
        <w:spacing w:line="390" w:lineRule="exact"/>
        <w:ind w:firstLine="420" w:firstLineChars="200"/>
        <w:rPr>
          <w:rFonts w:ascii="宋体"/>
          <w:color w:val="auto"/>
          <w:szCs w:val="21"/>
          <w:highlight w:val="none"/>
        </w:rPr>
      </w:pPr>
      <w:r>
        <w:rPr>
          <w:rFonts w:hint="eastAsia" w:ascii="宋体"/>
          <w:color w:val="auto"/>
          <w:szCs w:val="21"/>
          <w:highlight w:val="none"/>
        </w:rPr>
        <w:t>1．因货物质量问题发生争议的，应邀请国家认可的质量检测机构对货物质量进行鉴定。货物符合标准的，鉴定费由甲方承担；货物不符合标准的，鉴定费由乙方承担。</w:t>
      </w:r>
    </w:p>
    <w:p>
      <w:pPr>
        <w:snapToGrid w:val="0"/>
        <w:spacing w:line="390" w:lineRule="exact"/>
        <w:ind w:firstLine="420" w:firstLineChars="200"/>
        <w:rPr>
          <w:rFonts w:ascii="宋体"/>
          <w:color w:val="auto"/>
          <w:szCs w:val="21"/>
          <w:highlight w:val="none"/>
        </w:rPr>
      </w:pPr>
      <w:r>
        <w:rPr>
          <w:rFonts w:hint="eastAsia" w:ascii="宋体"/>
          <w:color w:val="auto"/>
          <w:szCs w:val="21"/>
          <w:highlight w:val="none"/>
        </w:rPr>
        <w:t>2．因履行本合同引起的或与本合同有关的争议，甲乙双方应首先通过友好协商解决，如果协商不能解决，可向甲方所在地的有管辖权人民法院提起诉讼。</w:t>
      </w:r>
    </w:p>
    <w:p>
      <w:pPr>
        <w:snapToGrid w:val="0"/>
        <w:spacing w:line="390" w:lineRule="exact"/>
        <w:ind w:firstLine="420" w:firstLineChars="200"/>
        <w:rPr>
          <w:rFonts w:ascii="宋体"/>
          <w:color w:val="auto"/>
          <w:szCs w:val="21"/>
          <w:highlight w:val="none"/>
        </w:rPr>
      </w:pPr>
      <w:r>
        <w:rPr>
          <w:rFonts w:hint="eastAsia" w:ascii="宋体"/>
          <w:color w:val="auto"/>
          <w:szCs w:val="21"/>
          <w:highlight w:val="none"/>
        </w:rPr>
        <w:t>3．诉讼期间，本合同继续履行。</w:t>
      </w:r>
    </w:p>
    <w:p>
      <w:pPr>
        <w:pStyle w:val="29"/>
        <w:snapToGrid w:val="0"/>
        <w:spacing w:line="390" w:lineRule="exact"/>
        <w:ind w:firstLine="413" w:firstLineChars="196"/>
        <w:rPr>
          <w:b/>
          <w:color w:val="auto"/>
          <w:highlight w:val="none"/>
        </w:rPr>
      </w:pPr>
      <w:r>
        <w:rPr>
          <w:rFonts w:hint="eastAsia"/>
          <w:b/>
          <w:color w:val="auto"/>
          <w:highlight w:val="none"/>
        </w:rPr>
        <w:t>第十七条  诉讼</w:t>
      </w:r>
    </w:p>
    <w:p>
      <w:pPr>
        <w:pStyle w:val="29"/>
        <w:snapToGrid w:val="0"/>
        <w:spacing w:line="390" w:lineRule="exact"/>
        <w:rPr>
          <w:color w:val="auto"/>
          <w:highlight w:val="none"/>
        </w:rPr>
      </w:pPr>
      <w:r>
        <w:rPr>
          <w:rFonts w:hint="eastAsia"/>
          <w:color w:val="auto"/>
          <w:highlight w:val="none"/>
        </w:rPr>
        <w:t xml:space="preserve">    双方在执行合同中所发生的一切争议，应通过协商解决。如果协商不能解决，可向仲裁委员会申请仲裁或向人民法院提起诉讼。</w:t>
      </w:r>
    </w:p>
    <w:p>
      <w:pPr>
        <w:pStyle w:val="29"/>
        <w:snapToGrid w:val="0"/>
        <w:spacing w:line="390" w:lineRule="exact"/>
        <w:rPr>
          <w:b/>
          <w:color w:val="auto"/>
          <w:highlight w:val="none"/>
        </w:rPr>
      </w:pPr>
      <w:r>
        <w:rPr>
          <w:rFonts w:hint="eastAsia"/>
          <w:b/>
          <w:color w:val="auto"/>
          <w:highlight w:val="none"/>
        </w:rPr>
        <w:t xml:space="preserve">    第十八条  合同生效及其它</w:t>
      </w:r>
    </w:p>
    <w:p>
      <w:pPr>
        <w:pStyle w:val="29"/>
        <w:snapToGrid w:val="0"/>
        <w:spacing w:line="390" w:lineRule="exact"/>
        <w:rPr>
          <w:color w:val="auto"/>
          <w:highlight w:val="none"/>
        </w:rPr>
      </w:pPr>
      <w:r>
        <w:rPr>
          <w:rFonts w:hint="eastAsia"/>
          <w:b/>
          <w:color w:val="auto"/>
          <w:highlight w:val="none"/>
        </w:rPr>
        <w:t xml:space="preserve">   </w:t>
      </w:r>
      <w:r>
        <w:rPr>
          <w:rFonts w:hint="eastAsia"/>
          <w:color w:val="auto"/>
          <w:highlight w:val="none"/>
        </w:rPr>
        <w:t xml:space="preserve"> 1．合同经双方法定代表人或授权代表签字并加盖单位公章后生效。</w:t>
      </w:r>
    </w:p>
    <w:p>
      <w:pPr>
        <w:pStyle w:val="29"/>
        <w:snapToGrid w:val="0"/>
        <w:spacing w:line="390" w:lineRule="exact"/>
        <w:rPr>
          <w:color w:val="auto"/>
          <w:highlight w:val="none"/>
        </w:rPr>
      </w:pPr>
      <w:r>
        <w:rPr>
          <w:rFonts w:hint="eastAsia"/>
          <w:color w:val="auto"/>
          <w:highlight w:val="none"/>
        </w:rPr>
        <w:t xml:space="preserve">    2．合同执行中涉及采购资金和采购内容修改或补充的，须经财政部门审批，并签书面补充协议报财政部门备案，方可作为主合同不可分割的一部分。</w:t>
      </w:r>
    </w:p>
    <w:p>
      <w:pPr>
        <w:pStyle w:val="29"/>
        <w:snapToGrid w:val="0"/>
        <w:spacing w:line="390" w:lineRule="exact"/>
        <w:rPr>
          <w:color w:val="auto"/>
          <w:highlight w:val="none"/>
        </w:rPr>
      </w:pPr>
      <w:r>
        <w:rPr>
          <w:rFonts w:hint="eastAsia"/>
          <w:color w:val="auto"/>
          <w:highlight w:val="none"/>
        </w:rPr>
        <w:t xml:space="preserve">    3．</w:t>
      </w:r>
      <w:r>
        <w:rPr>
          <w:rFonts w:hint="eastAsia" w:hAnsi="宋体" w:cs="宋体"/>
          <w:color w:val="auto"/>
          <w:highlight w:val="none"/>
        </w:rPr>
        <w:t>本合同未尽事宜</w:t>
      </w:r>
      <w:r>
        <w:rPr>
          <w:rFonts w:hint="eastAsia" w:hAnsi="宋体" w:cs="宋体"/>
          <w:color w:val="auto"/>
          <w:kern w:val="1"/>
          <w:highlight w:val="none"/>
        </w:rPr>
        <w:t>（包括采购文件及投标文件）</w:t>
      </w:r>
      <w:r>
        <w:rPr>
          <w:rFonts w:hint="eastAsia"/>
          <w:color w:val="auto"/>
          <w:highlight w:val="none"/>
        </w:rPr>
        <w:t>，遵照《中华人民共和国民法典》有关条文执行。</w:t>
      </w:r>
    </w:p>
    <w:p>
      <w:pPr>
        <w:pStyle w:val="29"/>
        <w:snapToGrid w:val="0"/>
        <w:spacing w:line="390" w:lineRule="exact"/>
        <w:rPr>
          <w:b/>
          <w:color w:val="auto"/>
          <w:highlight w:val="none"/>
        </w:rPr>
      </w:pPr>
      <w:r>
        <w:rPr>
          <w:rFonts w:hint="eastAsia" w:hAnsi="宋体"/>
          <w:color w:val="auto"/>
          <w:highlight w:val="none"/>
        </w:rPr>
        <w:t xml:space="preserve">    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snapToGrid w:val="0"/>
        <w:spacing w:line="390" w:lineRule="exact"/>
        <w:ind w:firstLine="421" w:firstLineChars="200"/>
        <w:rPr>
          <w:rFonts w:ascii="宋体"/>
          <w:b/>
          <w:color w:val="auto"/>
          <w:szCs w:val="21"/>
          <w:highlight w:val="none"/>
        </w:rPr>
      </w:pPr>
      <w:r>
        <w:rPr>
          <w:rFonts w:hint="eastAsia" w:ascii="宋体"/>
          <w:b/>
          <w:color w:val="auto"/>
          <w:szCs w:val="21"/>
          <w:highlight w:val="none"/>
        </w:rPr>
        <w:t>第十九条　合同的变更、终止与转让</w:t>
      </w:r>
    </w:p>
    <w:p>
      <w:pPr>
        <w:snapToGrid w:val="0"/>
        <w:spacing w:line="390" w:lineRule="exact"/>
        <w:ind w:firstLine="420" w:firstLineChars="200"/>
        <w:rPr>
          <w:rFonts w:ascii="宋体"/>
          <w:color w:val="auto"/>
          <w:szCs w:val="21"/>
          <w:highlight w:val="none"/>
        </w:rPr>
      </w:pPr>
      <w:r>
        <w:rPr>
          <w:rFonts w:hint="eastAsia" w:ascii="宋体"/>
          <w:color w:val="auto"/>
          <w:szCs w:val="21"/>
          <w:highlight w:val="none"/>
        </w:rPr>
        <w:t>1．除《中华人民共和国政府采购法》第五十条规定的情形外，本合同一经签订，甲乙双方不得擅自变更、中止或终止。</w:t>
      </w:r>
    </w:p>
    <w:p>
      <w:pPr>
        <w:pStyle w:val="29"/>
        <w:snapToGrid w:val="0"/>
        <w:spacing w:line="390" w:lineRule="exact"/>
        <w:ind w:firstLine="411" w:firstLineChars="196"/>
        <w:rPr>
          <w:b/>
          <w:color w:val="auto"/>
          <w:highlight w:val="none"/>
        </w:rPr>
      </w:pPr>
      <w:r>
        <w:rPr>
          <w:rFonts w:hint="eastAsia"/>
          <w:color w:val="auto"/>
          <w:highlight w:val="none"/>
        </w:rPr>
        <w:t>2．乙方不得擅自转让（无进口资格的供应商委托进口货物除外）其应履行的合同义务。</w:t>
      </w:r>
    </w:p>
    <w:p>
      <w:pPr>
        <w:snapToGrid w:val="0"/>
        <w:spacing w:line="390" w:lineRule="exact"/>
        <w:ind w:firstLine="421" w:firstLineChars="200"/>
        <w:rPr>
          <w:rFonts w:ascii="宋体"/>
          <w:b/>
          <w:color w:val="auto"/>
          <w:szCs w:val="21"/>
          <w:highlight w:val="none"/>
        </w:rPr>
      </w:pPr>
      <w:r>
        <w:rPr>
          <w:rFonts w:hint="eastAsia" w:ascii="宋体"/>
          <w:b/>
          <w:color w:val="auto"/>
          <w:szCs w:val="21"/>
          <w:highlight w:val="none"/>
        </w:rPr>
        <w:t>第二十条　签订本合同依据</w:t>
      </w:r>
    </w:p>
    <w:p>
      <w:pPr>
        <w:snapToGrid w:val="0"/>
        <w:spacing w:line="390" w:lineRule="exact"/>
        <w:ind w:firstLine="420" w:firstLineChars="200"/>
        <w:rPr>
          <w:rFonts w:ascii="宋体"/>
          <w:color w:val="auto"/>
          <w:szCs w:val="21"/>
          <w:highlight w:val="none"/>
        </w:rPr>
      </w:pPr>
      <w:r>
        <w:rPr>
          <w:rFonts w:hint="eastAsia" w:ascii="宋体"/>
          <w:color w:val="auto"/>
          <w:szCs w:val="21"/>
          <w:highlight w:val="none"/>
        </w:rPr>
        <w:t>1．政府采购招标文件；</w:t>
      </w:r>
    </w:p>
    <w:p>
      <w:pPr>
        <w:snapToGrid w:val="0"/>
        <w:spacing w:line="390" w:lineRule="exact"/>
        <w:ind w:firstLine="420" w:firstLineChars="200"/>
        <w:rPr>
          <w:rFonts w:ascii="宋体"/>
          <w:color w:val="auto"/>
          <w:szCs w:val="21"/>
          <w:highlight w:val="none"/>
        </w:rPr>
      </w:pPr>
      <w:r>
        <w:rPr>
          <w:rFonts w:hint="eastAsia" w:ascii="宋体"/>
          <w:color w:val="auto"/>
          <w:szCs w:val="21"/>
          <w:highlight w:val="none"/>
        </w:rPr>
        <w:t>2．乙方提供的投标文件；</w:t>
      </w:r>
    </w:p>
    <w:p>
      <w:pPr>
        <w:snapToGrid w:val="0"/>
        <w:spacing w:line="390" w:lineRule="exact"/>
        <w:ind w:firstLine="420" w:firstLineChars="200"/>
        <w:rPr>
          <w:rFonts w:ascii="宋体"/>
          <w:color w:val="auto"/>
          <w:szCs w:val="21"/>
          <w:highlight w:val="none"/>
        </w:rPr>
      </w:pPr>
      <w:r>
        <w:rPr>
          <w:rFonts w:hint="eastAsia" w:ascii="宋体"/>
          <w:color w:val="auto"/>
          <w:szCs w:val="21"/>
          <w:highlight w:val="none"/>
        </w:rPr>
        <w:t>3．投标承诺书；</w:t>
      </w:r>
    </w:p>
    <w:p>
      <w:pPr>
        <w:snapToGrid w:val="0"/>
        <w:spacing w:line="390" w:lineRule="exact"/>
        <w:ind w:firstLine="420" w:firstLineChars="200"/>
        <w:rPr>
          <w:rFonts w:ascii="宋体"/>
          <w:color w:val="auto"/>
          <w:szCs w:val="21"/>
          <w:highlight w:val="none"/>
        </w:rPr>
      </w:pPr>
      <w:r>
        <w:rPr>
          <w:rFonts w:hint="eastAsia" w:ascii="宋体"/>
          <w:color w:val="auto"/>
          <w:szCs w:val="21"/>
          <w:highlight w:val="none"/>
        </w:rPr>
        <w:t>4．中标通知书。</w:t>
      </w:r>
    </w:p>
    <w:p>
      <w:pPr>
        <w:snapToGrid w:val="0"/>
        <w:spacing w:line="390" w:lineRule="exact"/>
        <w:ind w:firstLine="421" w:firstLineChars="200"/>
        <w:rPr>
          <w:rFonts w:ascii="宋体"/>
          <w:color w:val="auto"/>
          <w:szCs w:val="21"/>
          <w:highlight w:val="none"/>
        </w:rPr>
      </w:pPr>
      <w:r>
        <w:rPr>
          <w:rFonts w:hint="eastAsia" w:ascii="宋体"/>
          <w:b/>
          <w:color w:val="auto"/>
          <w:szCs w:val="21"/>
          <w:highlight w:val="none"/>
        </w:rPr>
        <w:t>第二十一条　</w:t>
      </w:r>
      <w:r>
        <w:rPr>
          <w:rFonts w:hint="eastAsia" w:ascii="宋体"/>
          <w:bCs/>
          <w:color w:val="auto"/>
          <w:szCs w:val="21"/>
          <w:highlight w:val="none"/>
          <w:lang w:val="en"/>
        </w:rPr>
        <w:t>本合同一式六份，具有同等法律效力。广西壮族自治区财政厅政府采购监督管理处、代理机构各一份，甲方三份，乙方一份。自签订之日起两个工作日内，采购人应当将合同通过广西政府采购云平台上传完成合同网上公示。</w:t>
      </w:r>
    </w:p>
    <w:p>
      <w:pPr>
        <w:snapToGrid w:val="0"/>
        <w:spacing w:line="390" w:lineRule="exact"/>
        <w:ind w:firstLine="420" w:firstLineChars="200"/>
        <w:rPr>
          <w:rFonts w:ascii="宋体"/>
          <w:color w:val="auto"/>
          <w:szCs w:val="21"/>
          <w:highlight w:val="none"/>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color w:val="auto"/>
                <w:szCs w:val="21"/>
                <w:highlight w:val="none"/>
              </w:rPr>
            </w:pPr>
            <w:r>
              <w:rPr>
                <w:rFonts w:hint="eastAsia" w:ascii="宋体"/>
                <w:color w:val="auto"/>
                <w:szCs w:val="21"/>
                <w:highlight w:val="none"/>
              </w:rPr>
              <w:t xml:space="preserve">甲方（章）           </w:t>
            </w:r>
          </w:p>
          <w:p>
            <w:pPr>
              <w:snapToGrid w:val="0"/>
              <w:spacing w:line="360" w:lineRule="exact"/>
              <w:rPr>
                <w:rFonts w:ascii="宋体"/>
                <w:color w:val="auto"/>
                <w:szCs w:val="21"/>
                <w:highlight w:val="none"/>
              </w:rPr>
            </w:pPr>
          </w:p>
          <w:p>
            <w:pPr>
              <w:snapToGrid w:val="0"/>
              <w:spacing w:line="360" w:lineRule="exact"/>
              <w:rPr>
                <w:rFonts w:ascii="宋体"/>
                <w:color w:val="auto"/>
                <w:szCs w:val="21"/>
                <w:highlight w:val="none"/>
              </w:rPr>
            </w:pPr>
          </w:p>
          <w:p>
            <w:pPr>
              <w:snapToGrid w:val="0"/>
              <w:spacing w:line="360" w:lineRule="exact"/>
              <w:ind w:firstLine="945" w:firstLineChars="450"/>
              <w:jc w:val="right"/>
              <w:rPr>
                <w:rFonts w:ascii="宋体"/>
                <w:color w:val="auto"/>
                <w:szCs w:val="21"/>
                <w:highlight w:val="none"/>
              </w:rPr>
            </w:pPr>
            <w:r>
              <w:rPr>
                <w:rFonts w:hint="eastAsia" w:ascii="宋体"/>
                <w:color w:val="auto"/>
                <w:szCs w:val="21"/>
                <w:highlight w:val="none"/>
              </w:rPr>
              <w:t>年   月   日</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color w:val="auto"/>
                <w:szCs w:val="21"/>
                <w:highlight w:val="none"/>
              </w:rPr>
            </w:pPr>
            <w:r>
              <w:rPr>
                <w:rFonts w:hint="eastAsia" w:ascii="宋体"/>
                <w:color w:val="auto"/>
                <w:szCs w:val="21"/>
                <w:highlight w:val="none"/>
              </w:rPr>
              <w:t xml:space="preserve">乙方（章）             </w:t>
            </w:r>
          </w:p>
          <w:p>
            <w:pPr>
              <w:snapToGrid w:val="0"/>
              <w:spacing w:line="360" w:lineRule="exact"/>
              <w:rPr>
                <w:rFonts w:ascii="宋体"/>
                <w:color w:val="auto"/>
                <w:szCs w:val="21"/>
                <w:highlight w:val="none"/>
              </w:rPr>
            </w:pPr>
          </w:p>
          <w:p>
            <w:pPr>
              <w:snapToGrid w:val="0"/>
              <w:spacing w:line="360" w:lineRule="exact"/>
              <w:rPr>
                <w:rFonts w:ascii="宋体"/>
                <w:color w:val="auto"/>
                <w:szCs w:val="21"/>
                <w:highlight w:val="none"/>
              </w:rPr>
            </w:pPr>
          </w:p>
          <w:p>
            <w:pPr>
              <w:snapToGrid w:val="0"/>
              <w:spacing w:line="360" w:lineRule="exact"/>
              <w:jc w:val="right"/>
              <w:rPr>
                <w:rFonts w:ascii="宋体"/>
                <w:color w:val="auto"/>
                <w:szCs w:val="21"/>
                <w:highlight w:val="none"/>
              </w:rPr>
            </w:pPr>
            <w:r>
              <w:rPr>
                <w:rFonts w:hint="eastAsia" w:ascii="宋体"/>
                <w:color w:val="auto"/>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auto"/>
                <w:szCs w:val="21"/>
                <w:highlight w:val="none"/>
              </w:rPr>
            </w:pPr>
            <w:r>
              <w:rPr>
                <w:rFonts w:hint="eastAsia" w:ascii="宋体" w:hAnsi="宋体"/>
                <w:color w:val="auto"/>
                <w:szCs w:val="21"/>
                <w:highlight w:val="none"/>
              </w:rPr>
              <w:t>通讯地址：</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auto"/>
                <w:szCs w:val="21"/>
                <w:highlight w:val="none"/>
              </w:rPr>
            </w:pPr>
            <w:r>
              <w:rPr>
                <w:rFonts w:hint="eastAsia" w:ascii="宋体" w:hAnsi="宋体"/>
                <w:color w:val="auto"/>
                <w:szCs w:val="21"/>
                <w:highlight w:val="none"/>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color w:val="auto"/>
                <w:szCs w:val="21"/>
                <w:highlight w:val="none"/>
              </w:rPr>
            </w:pPr>
            <w:r>
              <w:rPr>
                <w:rFonts w:hint="eastAsia" w:ascii="宋体"/>
                <w:color w:val="auto"/>
                <w:szCs w:val="21"/>
                <w:highlight w:val="none"/>
              </w:rPr>
              <w:t>法定代表人：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color w:val="auto"/>
                <w:szCs w:val="21"/>
                <w:highlight w:val="none"/>
              </w:rPr>
            </w:pPr>
            <w:r>
              <w:rPr>
                <w:rFonts w:hint="eastAsia" w:ascii="宋体"/>
                <w:color w:val="auto"/>
                <w:szCs w:val="21"/>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color w:val="auto"/>
                <w:szCs w:val="21"/>
                <w:highlight w:val="none"/>
              </w:rPr>
            </w:pPr>
            <w:r>
              <w:rPr>
                <w:rFonts w:hint="eastAsia" w:ascii="宋体"/>
                <w:color w:val="auto"/>
                <w:szCs w:val="21"/>
                <w:highlight w:val="none"/>
              </w:rPr>
              <w:t>委托代理人：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color w:val="auto"/>
                <w:szCs w:val="21"/>
                <w:highlight w:val="none"/>
              </w:rPr>
            </w:pPr>
            <w:r>
              <w:rPr>
                <w:rFonts w:hint="eastAsia" w:ascii="宋体"/>
                <w:color w:val="auto"/>
                <w:szCs w:val="21"/>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color w:val="auto"/>
                <w:szCs w:val="21"/>
                <w:highlight w:val="none"/>
              </w:rPr>
            </w:pPr>
            <w:r>
              <w:rPr>
                <w:rFonts w:hint="eastAsia" w:ascii="宋体"/>
                <w:color w:val="auto"/>
                <w:szCs w:val="21"/>
                <w:highlight w:val="none"/>
              </w:rPr>
              <w:t>电话：</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color w:val="auto"/>
                <w:szCs w:val="21"/>
                <w:highlight w:val="none"/>
              </w:rPr>
            </w:pPr>
            <w:r>
              <w:rPr>
                <w:rFonts w:hint="eastAsia" w:ascii="宋体"/>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color w:val="auto"/>
                <w:szCs w:val="21"/>
                <w:highlight w:val="none"/>
              </w:rPr>
            </w:pPr>
            <w:r>
              <w:rPr>
                <w:rFonts w:hint="eastAsia" w:ascii="宋体"/>
                <w:color w:val="auto"/>
                <w:szCs w:val="21"/>
                <w:highlight w:val="none"/>
              </w:rPr>
              <w:t>电子邮箱：</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color w:val="auto"/>
                <w:szCs w:val="21"/>
                <w:highlight w:val="none"/>
              </w:rPr>
            </w:pPr>
            <w:r>
              <w:rPr>
                <w:rFonts w:hint="eastAsia" w:ascii="宋体"/>
                <w:color w:val="auto"/>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color w:val="auto"/>
                <w:szCs w:val="21"/>
                <w:highlight w:val="none"/>
              </w:rPr>
            </w:pPr>
            <w:r>
              <w:rPr>
                <w:rFonts w:hint="eastAsia" w:ascii="宋体"/>
                <w:color w:val="auto"/>
                <w:szCs w:val="21"/>
                <w:highlight w:val="none"/>
              </w:rPr>
              <w:t>开户银行：</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color w:val="auto"/>
                <w:szCs w:val="21"/>
                <w:highlight w:val="none"/>
              </w:rPr>
            </w:pPr>
            <w:r>
              <w:rPr>
                <w:rFonts w:hint="eastAsia" w:ascii="宋体"/>
                <w:color w:val="auto"/>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color w:val="auto"/>
                <w:szCs w:val="21"/>
                <w:highlight w:val="none"/>
              </w:rPr>
            </w:pPr>
            <w:r>
              <w:rPr>
                <w:rFonts w:hint="eastAsia" w:ascii="宋体"/>
                <w:color w:val="auto"/>
                <w:szCs w:val="21"/>
                <w:highlight w:val="none"/>
              </w:rPr>
              <w:t>账号：</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color w:val="auto"/>
                <w:szCs w:val="21"/>
                <w:highlight w:val="none"/>
              </w:rPr>
            </w:pPr>
            <w:r>
              <w:rPr>
                <w:rFonts w:hint="eastAsia" w:ascii="宋体"/>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color w:val="auto"/>
                <w:szCs w:val="21"/>
                <w:highlight w:val="none"/>
              </w:rPr>
            </w:pPr>
            <w:r>
              <w:rPr>
                <w:rFonts w:hint="eastAsia" w:ascii="宋体"/>
                <w:color w:val="auto"/>
                <w:szCs w:val="21"/>
                <w:highlight w:val="none"/>
              </w:rPr>
              <w:t>邮政编码：</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color w:val="auto"/>
                <w:szCs w:val="21"/>
                <w:highlight w:val="none"/>
              </w:rPr>
            </w:pPr>
            <w:r>
              <w:rPr>
                <w:rFonts w:hint="eastAsia" w:ascii="宋体"/>
                <w:color w:val="auto"/>
                <w:szCs w:val="21"/>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9288"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color w:val="auto"/>
                <w:szCs w:val="21"/>
                <w:highlight w:val="none"/>
              </w:rPr>
            </w:pPr>
            <w:r>
              <w:rPr>
                <w:rFonts w:hint="eastAsia" w:ascii="宋体"/>
                <w:color w:val="auto"/>
                <w:szCs w:val="21"/>
                <w:highlight w:val="none"/>
              </w:rPr>
              <w:t>经办人：</w:t>
            </w:r>
          </w:p>
          <w:p>
            <w:pPr>
              <w:snapToGrid w:val="0"/>
              <w:spacing w:line="360" w:lineRule="exact"/>
              <w:rPr>
                <w:rFonts w:ascii="宋体"/>
                <w:color w:val="auto"/>
                <w:szCs w:val="21"/>
                <w:highlight w:val="none"/>
              </w:rPr>
            </w:pPr>
          </w:p>
          <w:p>
            <w:pPr>
              <w:snapToGrid w:val="0"/>
              <w:spacing w:line="360" w:lineRule="exact"/>
              <w:rPr>
                <w:rFonts w:ascii="宋体"/>
                <w:color w:val="auto"/>
                <w:szCs w:val="21"/>
                <w:highlight w:val="none"/>
              </w:rPr>
            </w:pPr>
          </w:p>
          <w:p>
            <w:pPr>
              <w:snapToGrid w:val="0"/>
              <w:spacing w:line="360" w:lineRule="exact"/>
              <w:rPr>
                <w:rFonts w:ascii="宋体"/>
                <w:color w:val="auto"/>
                <w:szCs w:val="21"/>
                <w:highlight w:val="none"/>
              </w:rPr>
            </w:pPr>
          </w:p>
          <w:p>
            <w:pPr>
              <w:snapToGrid w:val="0"/>
              <w:spacing w:line="360" w:lineRule="exact"/>
              <w:ind w:firstLine="630" w:firstLineChars="300"/>
              <w:jc w:val="right"/>
              <w:rPr>
                <w:rFonts w:hint="eastAsia" w:ascii="宋体"/>
                <w:color w:val="auto"/>
                <w:szCs w:val="21"/>
                <w:highlight w:val="none"/>
              </w:rPr>
            </w:pPr>
          </w:p>
          <w:p>
            <w:pPr>
              <w:snapToGrid w:val="0"/>
              <w:spacing w:line="360" w:lineRule="exact"/>
              <w:ind w:firstLine="630" w:firstLineChars="300"/>
              <w:jc w:val="right"/>
              <w:rPr>
                <w:rFonts w:ascii="宋体"/>
                <w:color w:val="auto"/>
                <w:szCs w:val="21"/>
                <w:highlight w:val="none"/>
              </w:rPr>
            </w:pPr>
            <w:r>
              <w:rPr>
                <w:rFonts w:hint="eastAsia" w:ascii="宋体"/>
                <w:color w:val="auto"/>
                <w:szCs w:val="21"/>
                <w:highlight w:val="none"/>
              </w:rPr>
              <w:t>年    月    日</w:t>
            </w:r>
          </w:p>
        </w:tc>
      </w:tr>
    </w:tbl>
    <w:p>
      <w:pPr>
        <w:snapToGrid w:val="0"/>
        <w:spacing w:line="360" w:lineRule="exact"/>
        <w:jc w:val="center"/>
        <w:rPr>
          <w:rFonts w:ascii="宋体"/>
          <w:b/>
          <w:color w:val="auto"/>
          <w:sz w:val="28"/>
          <w:szCs w:val="28"/>
          <w:highlight w:val="none"/>
        </w:rPr>
      </w:pPr>
    </w:p>
    <w:p>
      <w:pPr>
        <w:snapToGrid w:val="0"/>
        <w:spacing w:line="360" w:lineRule="exact"/>
        <w:jc w:val="center"/>
        <w:rPr>
          <w:rFonts w:ascii="宋体"/>
          <w:b/>
          <w:color w:val="auto"/>
          <w:sz w:val="28"/>
          <w:szCs w:val="28"/>
          <w:highlight w:val="none"/>
        </w:rPr>
      </w:pPr>
    </w:p>
    <w:p>
      <w:pPr>
        <w:snapToGrid w:val="0"/>
        <w:spacing w:line="360" w:lineRule="exact"/>
        <w:jc w:val="center"/>
        <w:rPr>
          <w:rFonts w:ascii="宋体"/>
          <w:b/>
          <w:color w:val="auto"/>
          <w:sz w:val="28"/>
          <w:szCs w:val="28"/>
          <w:highlight w:val="none"/>
        </w:rPr>
      </w:pPr>
    </w:p>
    <w:p>
      <w:pPr>
        <w:snapToGrid w:val="0"/>
        <w:spacing w:line="360" w:lineRule="exact"/>
        <w:jc w:val="center"/>
        <w:rPr>
          <w:rFonts w:hint="eastAsia" w:ascii="宋体"/>
          <w:b/>
          <w:color w:val="auto"/>
          <w:sz w:val="28"/>
          <w:szCs w:val="28"/>
          <w:highlight w:val="none"/>
        </w:rPr>
      </w:pPr>
    </w:p>
    <w:p>
      <w:pPr>
        <w:snapToGrid w:val="0"/>
        <w:spacing w:line="360" w:lineRule="exact"/>
        <w:jc w:val="center"/>
        <w:rPr>
          <w:rFonts w:hint="eastAsia" w:ascii="宋体"/>
          <w:b/>
          <w:color w:val="auto"/>
          <w:sz w:val="28"/>
          <w:szCs w:val="28"/>
          <w:highlight w:val="none"/>
        </w:rPr>
      </w:pPr>
    </w:p>
    <w:p>
      <w:pPr>
        <w:snapToGrid w:val="0"/>
        <w:spacing w:line="360" w:lineRule="exact"/>
        <w:jc w:val="center"/>
        <w:rPr>
          <w:rFonts w:hint="eastAsia" w:ascii="宋体"/>
          <w:b/>
          <w:color w:val="auto"/>
          <w:sz w:val="28"/>
          <w:szCs w:val="28"/>
          <w:highlight w:val="none"/>
        </w:rPr>
      </w:pPr>
    </w:p>
    <w:p>
      <w:pPr>
        <w:snapToGrid w:val="0"/>
        <w:spacing w:line="360" w:lineRule="exact"/>
        <w:jc w:val="center"/>
        <w:rPr>
          <w:rFonts w:hint="eastAsia" w:ascii="宋体"/>
          <w:b/>
          <w:color w:val="auto"/>
          <w:sz w:val="28"/>
          <w:szCs w:val="28"/>
          <w:highlight w:val="none"/>
        </w:rPr>
      </w:pPr>
    </w:p>
    <w:p>
      <w:pPr>
        <w:snapToGrid w:val="0"/>
        <w:spacing w:line="360" w:lineRule="exact"/>
        <w:jc w:val="center"/>
        <w:rPr>
          <w:rFonts w:hint="eastAsia" w:ascii="宋体"/>
          <w:b/>
          <w:color w:val="auto"/>
          <w:sz w:val="28"/>
          <w:szCs w:val="28"/>
          <w:highlight w:val="none"/>
        </w:rPr>
      </w:pPr>
    </w:p>
    <w:p>
      <w:pPr>
        <w:snapToGrid w:val="0"/>
        <w:spacing w:line="360" w:lineRule="exact"/>
        <w:jc w:val="center"/>
        <w:rPr>
          <w:rFonts w:hint="eastAsia" w:ascii="宋体"/>
          <w:b/>
          <w:color w:val="auto"/>
          <w:sz w:val="28"/>
          <w:szCs w:val="28"/>
          <w:highlight w:val="none"/>
        </w:rPr>
      </w:pPr>
    </w:p>
    <w:p>
      <w:pPr>
        <w:snapToGrid w:val="0"/>
        <w:spacing w:line="360" w:lineRule="exact"/>
        <w:jc w:val="center"/>
        <w:rPr>
          <w:rFonts w:hint="eastAsia" w:ascii="宋体"/>
          <w:b/>
          <w:color w:val="auto"/>
          <w:sz w:val="28"/>
          <w:szCs w:val="28"/>
          <w:highlight w:val="none"/>
        </w:rPr>
      </w:pPr>
    </w:p>
    <w:p>
      <w:pPr>
        <w:snapToGrid w:val="0"/>
        <w:spacing w:line="360" w:lineRule="exact"/>
        <w:jc w:val="center"/>
        <w:rPr>
          <w:rFonts w:hint="eastAsia" w:ascii="宋体"/>
          <w:b/>
          <w:color w:val="auto"/>
          <w:sz w:val="28"/>
          <w:szCs w:val="28"/>
          <w:highlight w:val="none"/>
        </w:rPr>
      </w:pPr>
    </w:p>
    <w:p>
      <w:pPr>
        <w:snapToGrid w:val="0"/>
        <w:spacing w:line="360" w:lineRule="exact"/>
        <w:jc w:val="center"/>
        <w:rPr>
          <w:rFonts w:ascii="宋体"/>
          <w:b/>
          <w:color w:val="auto"/>
          <w:sz w:val="28"/>
          <w:szCs w:val="28"/>
          <w:highlight w:val="none"/>
        </w:rPr>
      </w:pPr>
      <w:r>
        <w:rPr>
          <w:rFonts w:hint="eastAsia" w:ascii="宋体"/>
          <w:b/>
          <w:color w:val="auto"/>
          <w:sz w:val="28"/>
          <w:szCs w:val="28"/>
          <w:highlight w:val="none"/>
        </w:rPr>
        <w:t>合 同 附 件</w:t>
      </w:r>
    </w:p>
    <w:p>
      <w:pPr>
        <w:snapToGrid w:val="0"/>
        <w:spacing w:line="360" w:lineRule="exact"/>
        <w:jc w:val="center"/>
        <w:rPr>
          <w:rFonts w:ascii="宋体"/>
          <w:b/>
          <w:color w:val="auto"/>
          <w:szCs w:val="21"/>
          <w:highlight w:val="none"/>
        </w:rPr>
      </w:pPr>
    </w:p>
    <w:tbl>
      <w:tblPr>
        <w:tblStyle w:val="53"/>
        <w:tblW w:w="0" w:type="auto"/>
        <w:tblInd w:w="0" w:type="dxa"/>
        <w:tblLayout w:type="fixed"/>
        <w:tblCellMar>
          <w:top w:w="0" w:type="dxa"/>
          <w:left w:w="108" w:type="dxa"/>
          <w:bottom w:w="0" w:type="dxa"/>
          <w:right w:w="108" w:type="dxa"/>
        </w:tblCellMar>
      </w:tblPr>
      <w:tblGrid>
        <w:gridCol w:w="4788"/>
        <w:gridCol w:w="4680"/>
      </w:tblGrid>
      <w:tr>
        <w:tblPrEx>
          <w:tblCellMar>
            <w:top w:w="0" w:type="dxa"/>
            <w:left w:w="108" w:type="dxa"/>
            <w:bottom w:w="0" w:type="dxa"/>
            <w:right w:w="108" w:type="dxa"/>
          </w:tblCellMar>
        </w:tblPrEx>
        <w:trPr>
          <w:trHeight w:val="2260"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color w:val="auto"/>
                <w:szCs w:val="21"/>
                <w:highlight w:val="none"/>
              </w:rPr>
            </w:pPr>
            <w:r>
              <w:rPr>
                <w:rFonts w:hint="eastAsia" w:ascii="宋体"/>
                <w:b/>
                <w:color w:val="auto"/>
                <w:szCs w:val="21"/>
                <w:highlight w:val="none"/>
              </w:rPr>
              <w:t>1、供应商承诺具体事项：</w:t>
            </w:r>
          </w:p>
        </w:tc>
      </w:tr>
      <w:tr>
        <w:tblPrEx>
          <w:tblCellMar>
            <w:top w:w="0" w:type="dxa"/>
            <w:left w:w="108" w:type="dxa"/>
            <w:bottom w:w="0" w:type="dxa"/>
            <w:right w:w="108" w:type="dxa"/>
          </w:tblCellMar>
        </w:tblPrEx>
        <w:trPr>
          <w:trHeight w:val="2145"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color w:val="auto"/>
                <w:szCs w:val="21"/>
                <w:highlight w:val="none"/>
              </w:rPr>
            </w:pPr>
            <w:r>
              <w:rPr>
                <w:rFonts w:hint="eastAsia" w:ascii="宋体"/>
                <w:b/>
                <w:color w:val="auto"/>
                <w:szCs w:val="21"/>
                <w:highlight w:val="none"/>
              </w:rPr>
              <w:t>2、售后服务具体事项：</w:t>
            </w:r>
          </w:p>
        </w:tc>
      </w:tr>
      <w:tr>
        <w:tblPrEx>
          <w:tblCellMar>
            <w:top w:w="0" w:type="dxa"/>
            <w:left w:w="108" w:type="dxa"/>
            <w:bottom w:w="0" w:type="dxa"/>
            <w:right w:w="108" w:type="dxa"/>
          </w:tblCellMar>
        </w:tblPrEx>
        <w:trPr>
          <w:trHeight w:val="2267"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color w:val="auto"/>
                <w:szCs w:val="21"/>
                <w:highlight w:val="none"/>
              </w:rPr>
            </w:pPr>
            <w:r>
              <w:rPr>
                <w:rFonts w:hint="eastAsia" w:ascii="宋体"/>
                <w:b/>
                <w:color w:val="auto"/>
                <w:szCs w:val="21"/>
                <w:highlight w:val="none"/>
              </w:rPr>
              <w:t>3、保修期责任：</w:t>
            </w:r>
          </w:p>
        </w:tc>
      </w:tr>
      <w:tr>
        <w:tblPrEx>
          <w:tblCellMar>
            <w:top w:w="0" w:type="dxa"/>
            <w:left w:w="108" w:type="dxa"/>
            <w:bottom w:w="0" w:type="dxa"/>
            <w:right w:w="108" w:type="dxa"/>
          </w:tblCellMar>
        </w:tblPrEx>
        <w:trPr>
          <w:trHeight w:val="2062"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color w:val="auto"/>
                <w:szCs w:val="21"/>
                <w:highlight w:val="none"/>
              </w:rPr>
            </w:pPr>
            <w:r>
              <w:rPr>
                <w:rFonts w:hint="eastAsia" w:ascii="宋体"/>
                <w:b/>
                <w:color w:val="auto"/>
                <w:szCs w:val="21"/>
                <w:highlight w:val="none"/>
              </w:rPr>
              <w:t>4、其他具体事项：</w:t>
            </w:r>
          </w:p>
        </w:tc>
      </w:tr>
      <w:tr>
        <w:tblPrEx>
          <w:tblCellMar>
            <w:top w:w="0" w:type="dxa"/>
            <w:left w:w="108" w:type="dxa"/>
            <w:bottom w:w="0" w:type="dxa"/>
            <w:right w:w="108" w:type="dxa"/>
          </w:tblCellMar>
        </w:tblPrEx>
        <w:trPr>
          <w:trHeight w:val="3267" w:hRule="atLeast"/>
        </w:trPr>
        <w:tc>
          <w:tcPr>
            <w:tcW w:w="478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1" w:firstLineChars="200"/>
              <w:rPr>
                <w:rFonts w:ascii="宋体"/>
                <w:b/>
                <w:color w:val="auto"/>
                <w:szCs w:val="21"/>
                <w:highlight w:val="none"/>
              </w:rPr>
            </w:pPr>
            <w:r>
              <w:rPr>
                <w:rFonts w:hint="eastAsia" w:ascii="宋体"/>
                <w:b/>
                <w:color w:val="auto"/>
                <w:szCs w:val="21"/>
                <w:highlight w:val="none"/>
              </w:rPr>
              <w:t>甲方（章）</w:t>
            </w:r>
          </w:p>
          <w:p>
            <w:pPr>
              <w:snapToGrid w:val="0"/>
              <w:spacing w:line="360" w:lineRule="exact"/>
              <w:ind w:firstLine="421" w:firstLineChars="200"/>
              <w:rPr>
                <w:rFonts w:ascii="宋体"/>
                <w:b/>
                <w:color w:val="auto"/>
                <w:szCs w:val="21"/>
                <w:highlight w:val="none"/>
              </w:rPr>
            </w:pPr>
          </w:p>
          <w:p>
            <w:pPr>
              <w:snapToGrid w:val="0"/>
              <w:spacing w:line="360" w:lineRule="exact"/>
              <w:ind w:firstLine="421" w:firstLineChars="200"/>
              <w:rPr>
                <w:rFonts w:ascii="宋体"/>
                <w:b/>
                <w:color w:val="auto"/>
                <w:szCs w:val="21"/>
                <w:highlight w:val="none"/>
              </w:rPr>
            </w:pPr>
          </w:p>
          <w:p>
            <w:pPr>
              <w:snapToGrid w:val="0"/>
              <w:spacing w:line="360" w:lineRule="exact"/>
              <w:ind w:firstLine="421" w:firstLineChars="200"/>
              <w:rPr>
                <w:rFonts w:ascii="宋体"/>
                <w:b/>
                <w:color w:val="auto"/>
                <w:szCs w:val="21"/>
                <w:highlight w:val="none"/>
              </w:rPr>
            </w:pPr>
          </w:p>
          <w:p>
            <w:pPr>
              <w:snapToGrid w:val="0"/>
              <w:spacing w:line="360" w:lineRule="exact"/>
              <w:ind w:firstLine="421" w:firstLineChars="200"/>
              <w:rPr>
                <w:rFonts w:ascii="宋体"/>
                <w:b/>
                <w:color w:val="auto"/>
                <w:szCs w:val="21"/>
                <w:highlight w:val="none"/>
              </w:rPr>
            </w:pPr>
          </w:p>
          <w:p>
            <w:pPr>
              <w:snapToGrid w:val="0"/>
              <w:spacing w:line="360" w:lineRule="exact"/>
              <w:ind w:firstLine="421" w:firstLineChars="200"/>
              <w:rPr>
                <w:rFonts w:ascii="宋体"/>
                <w:b/>
                <w:color w:val="auto"/>
                <w:szCs w:val="21"/>
                <w:highlight w:val="none"/>
              </w:rPr>
            </w:pPr>
          </w:p>
          <w:p>
            <w:pPr>
              <w:snapToGrid w:val="0"/>
              <w:spacing w:line="360" w:lineRule="exact"/>
              <w:ind w:firstLine="421" w:firstLineChars="200"/>
              <w:rPr>
                <w:rFonts w:ascii="宋体"/>
                <w:b/>
                <w:color w:val="auto"/>
                <w:szCs w:val="21"/>
                <w:highlight w:val="none"/>
              </w:rPr>
            </w:pPr>
            <w:r>
              <w:rPr>
                <w:rFonts w:hint="eastAsia" w:ascii="宋体"/>
                <w:b/>
                <w:color w:val="auto"/>
                <w:szCs w:val="21"/>
                <w:highlight w:val="none"/>
              </w:rPr>
              <w:t xml:space="preserve">                      年   月   日 </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1" w:firstLineChars="200"/>
              <w:rPr>
                <w:rFonts w:ascii="宋体"/>
                <w:b/>
                <w:color w:val="auto"/>
                <w:szCs w:val="21"/>
                <w:highlight w:val="none"/>
              </w:rPr>
            </w:pPr>
            <w:r>
              <w:rPr>
                <w:rFonts w:hint="eastAsia" w:ascii="宋体"/>
                <w:b/>
                <w:color w:val="auto"/>
                <w:szCs w:val="21"/>
                <w:highlight w:val="none"/>
              </w:rPr>
              <w:t>乙方（章）</w:t>
            </w:r>
          </w:p>
          <w:p>
            <w:pPr>
              <w:snapToGrid w:val="0"/>
              <w:spacing w:line="360" w:lineRule="exact"/>
              <w:ind w:firstLine="421" w:firstLineChars="200"/>
              <w:rPr>
                <w:rFonts w:ascii="宋体"/>
                <w:b/>
                <w:color w:val="auto"/>
                <w:szCs w:val="21"/>
                <w:highlight w:val="none"/>
              </w:rPr>
            </w:pPr>
          </w:p>
          <w:p>
            <w:pPr>
              <w:snapToGrid w:val="0"/>
              <w:spacing w:line="360" w:lineRule="exact"/>
              <w:ind w:firstLine="421" w:firstLineChars="200"/>
              <w:rPr>
                <w:rFonts w:ascii="宋体"/>
                <w:b/>
                <w:color w:val="auto"/>
                <w:szCs w:val="21"/>
                <w:highlight w:val="none"/>
              </w:rPr>
            </w:pPr>
          </w:p>
          <w:p>
            <w:pPr>
              <w:snapToGrid w:val="0"/>
              <w:spacing w:line="360" w:lineRule="exact"/>
              <w:ind w:firstLine="421" w:firstLineChars="200"/>
              <w:rPr>
                <w:rFonts w:ascii="宋体"/>
                <w:b/>
                <w:color w:val="auto"/>
                <w:szCs w:val="21"/>
                <w:highlight w:val="none"/>
              </w:rPr>
            </w:pPr>
          </w:p>
          <w:p>
            <w:pPr>
              <w:snapToGrid w:val="0"/>
              <w:spacing w:line="360" w:lineRule="exact"/>
              <w:ind w:firstLine="421" w:firstLineChars="200"/>
              <w:rPr>
                <w:rFonts w:ascii="宋体"/>
                <w:b/>
                <w:color w:val="auto"/>
                <w:szCs w:val="21"/>
                <w:highlight w:val="none"/>
              </w:rPr>
            </w:pPr>
          </w:p>
          <w:p>
            <w:pPr>
              <w:snapToGrid w:val="0"/>
              <w:spacing w:line="360" w:lineRule="exact"/>
              <w:ind w:firstLine="421" w:firstLineChars="200"/>
              <w:rPr>
                <w:rFonts w:ascii="宋体"/>
                <w:b/>
                <w:color w:val="auto"/>
                <w:szCs w:val="21"/>
                <w:highlight w:val="none"/>
              </w:rPr>
            </w:pPr>
          </w:p>
          <w:p>
            <w:pPr>
              <w:snapToGrid w:val="0"/>
              <w:spacing w:line="360" w:lineRule="exact"/>
              <w:ind w:firstLine="421" w:firstLineChars="200"/>
              <w:rPr>
                <w:rFonts w:ascii="宋体"/>
                <w:b/>
                <w:color w:val="auto"/>
                <w:szCs w:val="21"/>
                <w:highlight w:val="none"/>
              </w:rPr>
            </w:pPr>
            <w:r>
              <w:rPr>
                <w:rFonts w:hint="eastAsia" w:ascii="宋体"/>
                <w:b/>
                <w:color w:val="auto"/>
                <w:szCs w:val="21"/>
                <w:highlight w:val="none"/>
              </w:rPr>
              <w:t xml:space="preserve">                       年   月   日</w:t>
            </w:r>
          </w:p>
        </w:tc>
      </w:tr>
    </w:tbl>
    <w:p>
      <w:pPr>
        <w:snapToGrid w:val="0"/>
        <w:spacing w:line="360" w:lineRule="exact"/>
        <w:rPr>
          <w:rFonts w:ascii="宋体"/>
          <w:color w:val="auto"/>
          <w:szCs w:val="21"/>
          <w:highlight w:val="none"/>
        </w:rPr>
      </w:pPr>
      <w:r>
        <w:rPr>
          <w:rFonts w:hint="eastAsia" w:ascii="宋体"/>
          <w:color w:val="auto"/>
          <w:szCs w:val="21"/>
          <w:highlight w:val="none"/>
        </w:rPr>
        <w:t xml:space="preserve">  注：售后服务事项填不下时可另加附页</w:t>
      </w:r>
    </w:p>
    <w:p>
      <w:pPr>
        <w:pStyle w:val="29"/>
        <w:snapToGrid w:val="0"/>
        <w:spacing w:before="120" w:after="120"/>
        <w:jc w:val="center"/>
        <w:outlineLvl w:val="0"/>
        <w:rPr>
          <w:rFonts w:ascii="黑体" w:eastAsia="黑体"/>
          <w:b/>
          <w:color w:val="auto"/>
          <w:sz w:val="44"/>
          <w:szCs w:val="44"/>
          <w:highlight w:val="none"/>
        </w:rPr>
      </w:pPr>
      <w:r>
        <w:rPr>
          <w:rFonts w:ascii="黑体" w:eastAsia="黑体"/>
          <w:b/>
          <w:color w:val="auto"/>
          <w:sz w:val="44"/>
          <w:szCs w:val="44"/>
          <w:highlight w:val="none"/>
        </w:rPr>
        <w:br w:type="page"/>
      </w:r>
    </w:p>
    <w:p>
      <w:pPr>
        <w:pStyle w:val="29"/>
        <w:snapToGrid w:val="0"/>
        <w:spacing w:before="120" w:after="120"/>
        <w:jc w:val="center"/>
        <w:outlineLvl w:val="0"/>
        <w:rPr>
          <w:rFonts w:ascii="黑体" w:eastAsia="黑体"/>
          <w:b/>
          <w:color w:val="auto"/>
          <w:sz w:val="44"/>
          <w:szCs w:val="44"/>
          <w:highlight w:val="none"/>
        </w:rPr>
      </w:pPr>
    </w:p>
    <w:p>
      <w:pPr>
        <w:pStyle w:val="29"/>
        <w:snapToGrid w:val="0"/>
        <w:spacing w:before="120" w:after="120"/>
        <w:jc w:val="center"/>
        <w:outlineLvl w:val="0"/>
        <w:rPr>
          <w:rFonts w:ascii="黑体" w:eastAsia="黑体"/>
          <w:b/>
          <w:color w:val="auto"/>
          <w:sz w:val="44"/>
          <w:szCs w:val="44"/>
          <w:highlight w:val="none"/>
        </w:rPr>
      </w:pPr>
    </w:p>
    <w:p>
      <w:pPr>
        <w:pStyle w:val="29"/>
        <w:snapToGrid w:val="0"/>
        <w:spacing w:before="120" w:after="120"/>
        <w:jc w:val="center"/>
        <w:outlineLvl w:val="0"/>
        <w:rPr>
          <w:rFonts w:ascii="黑体" w:eastAsia="黑体"/>
          <w:b/>
          <w:color w:val="auto"/>
          <w:sz w:val="44"/>
          <w:szCs w:val="44"/>
          <w:highlight w:val="none"/>
        </w:rPr>
      </w:pPr>
    </w:p>
    <w:p>
      <w:pPr>
        <w:pStyle w:val="29"/>
        <w:snapToGrid w:val="0"/>
        <w:spacing w:before="120" w:after="120"/>
        <w:jc w:val="center"/>
        <w:outlineLvl w:val="0"/>
        <w:rPr>
          <w:rFonts w:ascii="黑体" w:eastAsia="黑体"/>
          <w:b/>
          <w:color w:val="auto"/>
          <w:sz w:val="44"/>
          <w:szCs w:val="44"/>
          <w:highlight w:val="none"/>
        </w:rPr>
      </w:pPr>
    </w:p>
    <w:p>
      <w:pPr>
        <w:pStyle w:val="29"/>
        <w:snapToGrid w:val="0"/>
        <w:spacing w:before="120" w:after="120"/>
        <w:jc w:val="center"/>
        <w:outlineLvl w:val="0"/>
        <w:rPr>
          <w:rFonts w:ascii="黑体" w:eastAsia="黑体"/>
          <w:b/>
          <w:color w:val="auto"/>
          <w:sz w:val="44"/>
          <w:szCs w:val="44"/>
          <w:highlight w:val="none"/>
        </w:rPr>
      </w:pPr>
    </w:p>
    <w:p>
      <w:pPr>
        <w:pStyle w:val="29"/>
        <w:snapToGrid w:val="0"/>
        <w:spacing w:before="120" w:after="120"/>
        <w:jc w:val="center"/>
        <w:outlineLvl w:val="0"/>
        <w:rPr>
          <w:rFonts w:ascii="黑体" w:eastAsia="黑体"/>
          <w:b/>
          <w:color w:val="auto"/>
          <w:sz w:val="44"/>
          <w:szCs w:val="44"/>
          <w:highlight w:val="none"/>
        </w:rPr>
      </w:pPr>
    </w:p>
    <w:p>
      <w:pPr>
        <w:pStyle w:val="29"/>
        <w:snapToGrid w:val="0"/>
        <w:spacing w:before="120" w:after="120"/>
        <w:jc w:val="center"/>
        <w:outlineLvl w:val="0"/>
        <w:rPr>
          <w:rFonts w:ascii="黑体" w:eastAsia="黑体"/>
          <w:b/>
          <w:color w:val="auto"/>
          <w:sz w:val="44"/>
          <w:szCs w:val="44"/>
          <w:highlight w:val="none"/>
        </w:rPr>
      </w:pPr>
    </w:p>
    <w:p>
      <w:pPr>
        <w:pStyle w:val="29"/>
        <w:snapToGrid w:val="0"/>
        <w:spacing w:before="120" w:after="120"/>
        <w:jc w:val="center"/>
        <w:outlineLvl w:val="0"/>
        <w:rPr>
          <w:rFonts w:ascii="黑体" w:eastAsia="黑体"/>
          <w:b/>
          <w:color w:val="auto"/>
          <w:sz w:val="44"/>
          <w:szCs w:val="44"/>
          <w:highlight w:val="none"/>
        </w:rPr>
      </w:pPr>
      <w:r>
        <w:rPr>
          <w:rFonts w:hint="eastAsia" w:ascii="仿宋_GB2312" w:eastAsia="仿宋_GB2312"/>
          <w:b/>
          <w:color w:val="auto"/>
          <w:sz w:val="44"/>
          <w:szCs w:val="44"/>
          <w:highlight w:val="none"/>
        </w:rPr>
        <w:t>第六章　投标文件格式</w:t>
      </w:r>
    </w:p>
    <w:p>
      <w:pPr>
        <w:snapToGrid w:val="0"/>
        <w:spacing w:before="50" w:after="50"/>
        <w:outlineLvl w:val="1"/>
        <w:rPr>
          <w:rFonts w:ascii="仿宋_GB2312" w:eastAsia="仿宋_GB2312"/>
          <w:color w:val="auto"/>
          <w:sz w:val="32"/>
          <w:szCs w:val="20"/>
          <w:highlight w:val="none"/>
        </w:rPr>
      </w:pPr>
      <w:r>
        <w:rPr>
          <w:rFonts w:ascii="仿宋_GB2312" w:eastAsia="仿宋_GB2312"/>
          <w:color w:val="auto"/>
          <w:sz w:val="32"/>
          <w:szCs w:val="20"/>
          <w:highlight w:val="none"/>
        </w:rPr>
        <w:br w:type="page"/>
      </w:r>
      <w:bookmarkStart w:id="9" w:name="_Toc254970556"/>
      <w:bookmarkStart w:id="10" w:name="_Toc254970697"/>
    </w:p>
    <w:p>
      <w:pPr>
        <w:snapToGrid w:val="0"/>
        <w:spacing w:before="50" w:after="50"/>
        <w:outlineLvl w:val="1"/>
        <w:rPr>
          <w:rFonts w:ascii="仿宋_GB2312" w:eastAsia="仿宋_GB2312"/>
          <w:color w:val="auto"/>
          <w:sz w:val="32"/>
          <w:szCs w:val="20"/>
          <w:highlight w:val="none"/>
        </w:rPr>
      </w:pPr>
    </w:p>
    <w:p>
      <w:pPr>
        <w:snapToGrid w:val="0"/>
        <w:spacing w:before="50" w:after="50"/>
        <w:outlineLvl w:val="1"/>
        <w:rPr>
          <w:rFonts w:ascii="宋体"/>
          <w:b/>
          <w:bCs/>
          <w:color w:val="auto"/>
          <w:szCs w:val="21"/>
          <w:highlight w:val="none"/>
        </w:rPr>
      </w:pPr>
    </w:p>
    <w:bookmarkEnd w:id="9"/>
    <w:bookmarkEnd w:id="10"/>
    <w:p>
      <w:pPr>
        <w:snapToGrid w:val="0"/>
        <w:spacing w:before="156" w:beforeLines="50" w:after="50" w:line="360" w:lineRule="exact"/>
        <w:jc w:val="center"/>
        <w:outlineLvl w:val="1"/>
        <w:rPr>
          <w:rFonts w:ascii="仿宋_GB2312" w:hAnsi="宋体" w:eastAsia="仿宋_GB2312"/>
          <w:b/>
          <w:bCs/>
          <w:color w:val="auto"/>
          <w:sz w:val="32"/>
          <w:szCs w:val="32"/>
          <w:highlight w:val="none"/>
        </w:rPr>
      </w:pPr>
      <w:r>
        <w:rPr>
          <w:rFonts w:hint="eastAsia" w:ascii="仿宋_GB2312" w:hAnsi="宋体" w:eastAsia="仿宋_GB2312"/>
          <w:b/>
          <w:color w:val="auto"/>
          <w:sz w:val="32"/>
          <w:szCs w:val="32"/>
          <w:highlight w:val="none"/>
        </w:rPr>
        <w:t>投标文件格式</w:t>
      </w:r>
    </w:p>
    <w:p>
      <w:pPr>
        <w:snapToGrid w:val="0"/>
        <w:spacing w:before="156" w:beforeLines="50" w:after="50" w:line="360" w:lineRule="exact"/>
        <w:jc w:val="center"/>
        <w:outlineLvl w:val="0"/>
        <w:rPr>
          <w:rFonts w:ascii="宋体" w:hAnsi="宋体"/>
          <w:b/>
          <w:bCs/>
          <w:color w:val="auto"/>
          <w:szCs w:val="21"/>
          <w:highlight w:val="none"/>
        </w:rPr>
      </w:pPr>
      <w:r>
        <w:rPr>
          <w:rFonts w:hint="eastAsia" w:ascii="宋体" w:hAnsi="宋体"/>
          <w:b/>
          <w:bCs/>
          <w:color w:val="auto"/>
          <w:szCs w:val="21"/>
          <w:highlight w:val="none"/>
        </w:rPr>
        <w:t>一、</w:t>
      </w:r>
      <w:r>
        <w:rPr>
          <w:rFonts w:hint="eastAsia" w:ascii="宋体" w:hAnsi="宋体"/>
          <w:b/>
          <w:color w:val="auto"/>
          <w:szCs w:val="21"/>
          <w:highlight w:val="none"/>
        </w:rPr>
        <w:t>投标文件封面</w:t>
      </w:r>
      <w:r>
        <w:rPr>
          <w:rFonts w:hint="eastAsia" w:ascii="宋体" w:hAnsi="宋体"/>
          <w:b/>
          <w:bCs/>
          <w:color w:val="auto"/>
          <w:szCs w:val="21"/>
          <w:highlight w:val="none"/>
        </w:rPr>
        <w:t>格式</w:t>
      </w:r>
    </w:p>
    <w:p>
      <w:pPr>
        <w:snapToGrid w:val="0"/>
        <w:spacing w:before="156" w:beforeLines="50" w:after="50" w:line="360" w:lineRule="exact"/>
        <w:rPr>
          <w:rFonts w:ascii="宋体" w:hAnsi="宋体"/>
          <w:b/>
          <w:color w:val="auto"/>
          <w:szCs w:val="21"/>
          <w:highlight w:val="none"/>
        </w:rPr>
      </w:pPr>
    </w:p>
    <w:p>
      <w:pPr>
        <w:snapToGrid w:val="0"/>
        <w:spacing w:before="156" w:beforeLines="50" w:after="50" w:line="360" w:lineRule="exact"/>
        <w:rPr>
          <w:rFonts w:ascii="仿宋_GB2312" w:hAnsi="宋体" w:eastAsia="仿宋_GB2312"/>
          <w:color w:val="auto"/>
          <w:sz w:val="24"/>
          <w:highlight w:val="none"/>
        </w:rPr>
      </w:pPr>
    </w:p>
    <w:p>
      <w:pPr>
        <w:snapToGrid w:val="0"/>
        <w:spacing w:before="156" w:beforeLines="50" w:after="50" w:line="360" w:lineRule="exact"/>
        <w:rPr>
          <w:rFonts w:ascii="仿宋_GB2312" w:hAnsi="宋体" w:eastAsia="仿宋_GB2312"/>
          <w:bCs/>
          <w:color w:val="auto"/>
          <w:sz w:val="24"/>
          <w:highlight w:val="none"/>
        </w:rPr>
      </w:pPr>
      <w:r>
        <w:rPr>
          <w:rFonts w:hint="eastAsia" w:ascii="仿宋_GB2312" w:hAnsi="宋体" w:eastAsia="仿宋_GB2312"/>
          <w:color w:val="auto"/>
          <w:sz w:val="24"/>
          <w:highlight w:val="none"/>
        </w:rPr>
        <w:t xml:space="preserve">                                                   </w:t>
      </w:r>
    </w:p>
    <w:p>
      <w:pPr>
        <w:snapToGrid w:val="0"/>
        <w:spacing w:before="156" w:beforeLines="50" w:after="50" w:line="36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投标文件</w:t>
      </w:r>
    </w:p>
    <w:p>
      <w:pPr>
        <w:snapToGrid w:val="0"/>
        <w:spacing w:before="156" w:beforeLines="50" w:after="50" w:line="360" w:lineRule="exact"/>
        <w:rPr>
          <w:rFonts w:ascii="仿宋_GB2312" w:hAnsi="宋体" w:eastAsia="仿宋_GB2312"/>
          <w:bCs/>
          <w:color w:val="auto"/>
          <w:sz w:val="24"/>
          <w:highlight w:val="none"/>
        </w:rPr>
      </w:pPr>
    </w:p>
    <w:p>
      <w:pPr>
        <w:snapToGrid w:val="0"/>
        <w:spacing w:before="156" w:beforeLines="50" w:after="50" w:line="360" w:lineRule="exact"/>
        <w:ind w:firstLine="630" w:firstLineChars="300"/>
        <w:rPr>
          <w:rFonts w:ascii="宋体" w:hAnsi="宋体"/>
          <w:bCs/>
          <w:color w:val="auto"/>
          <w:szCs w:val="21"/>
          <w:highlight w:val="none"/>
        </w:rPr>
      </w:pPr>
      <w:r>
        <w:rPr>
          <w:rFonts w:hint="eastAsia" w:ascii="宋体" w:hAnsi="宋体"/>
          <w:bCs/>
          <w:color w:val="auto"/>
          <w:szCs w:val="21"/>
          <w:highlight w:val="none"/>
        </w:rPr>
        <w:t xml:space="preserve">项目名称： </w:t>
      </w:r>
    </w:p>
    <w:p>
      <w:pPr>
        <w:snapToGrid w:val="0"/>
        <w:spacing w:before="156" w:beforeLines="50" w:after="50" w:line="360" w:lineRule="exact"/>
        <w:ind w:firstLine="630" w:firstLineChars="300"/>
        <w:rPr>
          <w:rFonts w:ascii="宋体" w:hAnsi="宋体"/>
          <w:bCs/>
          <w:color w:val="auto"/>
          <w:szCs w:val="21"/>
          <w:highlight w:val="none"/>
        </w:rPr>
      </w:pPr>
      <w:r>
        <w:rPr>
          <w:rFonts w:hint="eastAsia" w:ascii="宋体" w:hAnsi="宋体"/>
          <w:bCs/>
          <w:color w:val="auto"/>
          <w:szCs w:val="21"/>
          <w:highlight w:val="none"/>
        </w:rPr>
        <w:t xml:space="preserve">项目编号： </w:t>
      </w:r>
    </w:p>
    <w:p>
      <w:pPr>
        <w:snapToGrid w:val="0"/>
        <w:spacing w:before="156" w:beforeLines="50" w:after="50" w:line="360" w:lineRule="exact"/>
        <w:ind w:firstLine="630" w:firstLineChars="300"/>
        <w:rPr>
          <w:rFonts w:hint="default" w:ascii="宋体" w:hAnsi="宋体"/>
          <w:bCs/>
          <w:color w:val="auto"/>
          <w:szCs w:val="21"/>
          <w:highlight w:val="none"/>
          <w:lang w:val="en-US" w:eastAsia="zh-CN"/>
        </w:rPr>
      </w:pPr>
      <w:r>
        <w:rPr>
          <w:rFonts w:hint="eastAsia" w:ascii="宋体" w:hAnsi="宋体"/>
          <w:bCs/>
          <w:color w:val="auto"/>
          <w:szCs w:val="21"/>
          <w:highlight w:val="none"/>
        </w:rPr>
        <w:t>所投分标：</w:t>
      </w:r>
      <w:r>
        <w:rPr>
          <w:rFonts w:hint="eastAsia" w:ascii="宋体" w:hAnsi="宋体"/>
          <w:bCs/>
          <w:color w:val="auto"/>
          <w:szCs w:val="21"/>
          <w:highlight w:val="none"/>
          <w:lang w:val="en-US" w:eastAsia="zh-CN"/>
        </w:rPr>
        <w:t>分标</w:t>
      </w:r>
      <w:r>
        <w:rPr>
          <w:rFonts w:hint="eastAsia" w:ascii="宋体" w:hAnsi="宋体"/>
          <w:bCs/>
          <w:color w:val="auto"/>
          <w:szCs w:val="21"/>
          <w:highlight w:val="none"/>
          <w:u w:val="single"/>
          <w:lang w:val="en-US" w:eastAsia="zh-CN"/>
        </w:rPr>
        <w:t xml:space="preserve">     </w:t>
      </w:r>
    </w:p>
    <w:p>
      <w:pPr>
        <w:snapToGrid w:val="0"/>
        <w:spacing w:before="156" w:beforeLines="50" w:after="50" w:line="360" w:lineRule="exact"/>
        <w:ind w:firstLine="630" w:firstLineChars="300"/>
        <w:rPr>
          <w:rFonts w:ascii="宋体" w:hAnsi="宋体"/>
          <w:bCs/>
          <w:color w:val="auto"/>
          <w:szCs w:val="21"/>
          <w:highlight w:val="none"/>
        </w:rPr>
      </w:pPr>
      <w:r>
        <w:rPr>
          <w:rFonts w:hint="eastAsia" w:ascii="宋体" w:hAnsi="宋体"/>
          <w:bCs/>
          <w:color w:val="auto"/>
          <w:szCs w:val="21"/>
          <w:highlight w:val="none"/>
        </w:rPr>
        <w:t>投标人名称：（盖章）</w:t>
      </w:r>
    </w:p>
    <w:p>
      <w:pPr>
        <w:snapToGrid w:val="0"/>
        <w:spacing w:before="156" w:beforeLines="50" w:after="50" w:line="360" w:lineRule="exact"/>
        <w:ind w:firstLine="630" w:firstLineChars="300"/>
        <w:rPr>
          <w:rFonts w:ascii="宋体" w:hAnsi="宋体"/>
          <w:bCs/>
          <w:color w:val="auto"/>
          <w:szCs w:val="21"/>
          <w:highlight w:val="none"/>
        </w:rPr>
      </w:pPr>
      <w:r>
        <w:rPr>
          <w:rFonts w:hint="eastAsia" w:ascii="宋体" w:hAnsi="宋体"/>
          <w:bCs/>
          <w:color w:val="auto"/>
          <w:szCs w:val="21"/>
          <w:highlight w:val="none"/>
        </w:rPr>
        <w:t>投标人地址：</w:t>
      </w:r>
    </w:p>
    <w:p>
      <w:pPr>
        <w:snapToGrid w:val="0"/>
        <w:spacing w:before="156" w:beforeLines="50" w:after="50" w:line="360" w:lineRule="exact"/>
        <w:jc w:val="center"/>
        <w:outlineLvl w:val="1"/>
        <w:rPr>
          <w:rFonts w:ascii="宋体" w:hAnsi="宋体"/>
          <w:color w:val="auto"/>
          <w:szCs w:val="21"/>
          <w:highlight w:val="none"/>
        </w:rPr>
      </w:pPr>
      <w:r>
        <w:rPr>
          <w:rFonts w:hint="eastAsia" w:ascii="仿宋_GB2312" w:hAnsi="宋体" w:eastAsia="仿宋_GB2312"/>
          <w:color w:val="auto"/>
          <w:sz w:val="24"/>
          <w:highlight w:val="none"/>
        </w:rPr>
        <w:t xml:space="preserve">                        年  月  日</w:t>
      </w:r>
    </w:p>
    <w:p>
      <w:pPr>
        <w:snapToGrid w:val="0"/>
        <w:spacing w:before="156" w:beforeLines="50" w:after="50" w:line="360" w:lineRule="exact"/>
        <w:jc w:val="center"/>
        <w:outlineLvl w:val="1"/>
        <w:rPr>
          <w:rFonts w:ascii="宋体" w:hAnsi="宋体"/>
          <w:bCs/>
          <w:color w:val="auto"/>
          <w:szCs w:val="21"/>
          <w:highlight w:val="none"/>
        </w:rPr>
      </w:pPr>
      <w:bookmarkStart w:id="11" w:name="_Toc254970557"/>
      <w:bookmarkStart w:id="12" w:name="_Toc254970698"/>
    </w:p>
    <w:p>
      <w:pPr>
        <w:snapToGrid w:val="0"/>
        <w:spacing w:before="156" w:beforeLines="50" w:after="50" w:line="360" w:lineRule="exact"/>
        <w:jc w:val="left"/>
        <w:outlineLvl w:val="1"/>
        <w:rPr>
          <w:rFonts w:ascii="宋体" w:hAnsi="宋体"/>
          <w:bCs/>
          <w:color w:val="auto"/>
          <w:szCs w:val="21"/>
          <w:highlight w:val="none"/>
        </w:rPr>
      </w:pPr>
      <w:r>
        <w:rPr>
          <w:rFonts w:hint="eastAsia" w:ascii="宋体" w:hAnsi="宋体"/>
          <w:bCs/>
          <w:color w:val="auto"/>
          <w:szCs w:val="21"/>
          <w:highlight w:val="none"/>
        </w:rPr>
        <w:t>[注：</w:t>
      </w:r>
      <w:r>
        <w:rPr>
          <w:rFonts w:hint="eastAsia" w:ascii="宋体"/>
          <w:color w:val="auto"/>
          <w:szCs w:val="21"/>
          <w:highlight w:val="none"/>
        </w:rPr>
        <w:t>投标文件由资格文件、资信及商务文件、技术文件、投标报价文件</w:t>
      </w:r>
      <w:r>
        <w:rPr>
          <w:rFonts w:hint="eastAsia" w:ascii="宋体"/>
          <w:b/>
          <w:color w:val="auto"/>
          <w:szCs w:val="21"/>
          <w:highlight w:val="none"/>
        </w:rPr>
        <w:t>四部份</w:t>
      </w:r>
      <w:r>
        <w:rPr>
          <w:rFonts w:hint="eastAsia" w:ascii="宋体"/>
          <w:color w:val="auto"/>
          <w:szCs w:val="21"/>
          <w:highlight w:val="none"/>
        </w:rPr>
        <w:t>组成</w:t>
      </w:r>
      <w:r>
        <w:rPr>
          <w:rFonts w:hint="eastAsia" w:ascii="宋体" w:cs="Arial"/>
          <w:b/>
          <w:color w:val="auto"/>
          <w:szCs w:val="21"/>
          <w:highlight w:val="none"/>
        </w:rPr>
        <w:t>，</w:t>
      </w:r>
      <w:r>
        <w:rPr>
          <w:rFonts w:hint="eastAsia" w:ascii="宋体" w:hAnsi="宋体"/>
          <w:bCs/>
          <w:color w:val="auto"/>
          <w:szCs w:val="21"/>
          <w:highlight w:val="none"/>
        </w:rPr>
        <w:t>其中资信及商务文件、技术文件、报价文件部分分别用封面标记分隔]</w:t>
      </w:r>
    </w:p>
    <w:p>
      <w:pPr>
        <w:snapToGrid w:val="0"/>
        <w:spacing w:before="156" w:beforeLines="50" w:after="50" w:line="360" w:lineRule="exact"/>
        <w:jc w:val="center"/>
        <w:outlineLvl w:val="1"/>
        <w:rPr>
          <w:rFonts w:ascii="黑体" w:hAnsi="宋体" w:eastAsia="黑体"/>
          <w:bCs/>
          <w:color w:val="auto"/>
          <w:sz w:val="24"/>
          <w:highlight w:val="none"/>
        </w:rPr>
      </w:pPr>
    </w:p>
    <w:p>
      <w:pPr>
        <w:snapToGrid w:val="0"/>
        <w:spacing w:before="156" w:beforeLines="50" w:after="50" w:line="360" w:lineRule="exact"/>
        <w:jc w:val="center"/>
        <w:outlineLvl w:val="0"/>
        <w:rPr>
          <w:rFonts w:ascii="黑体" w:hAnsi="宋体" w:eastAsia="黑体"/>
          <w:bCs/>
          <w:color w:val="auto"/>
          <w:sz w:val="32"/>
          <w:szCs w:val="32"/>
          <w:highlight w:val="none"/>
        </w:rPr>
      </w:pPr>
    </w:p>
    <w:p>
      <w:pPr>
        <w:snapToGrid w:val="0"/>
        <w:spacing w:before="156" w:beforeLines="50" w:after="50" w:line="360" w:lineRule="exact"/>
        <w:jc w:val="center"/>
        <w:outlineLvl w:val="0"/>
        <w:rPr>
          <w:rFonts w:ascii="黑体" w:hAnsi="宋体" w:eastAsia="黑体"/>
          <w:bCs/>
          <w:color w:val="auto"/>
          <w:sz w:val="32"/>
          <w:szCs w:val="32"/>
          <w:highlight w:val="none"/>
        </w:rPr>
      </w:pPr>
    </w:p>
    <w:p>
      <w:pPr>
        <w:snapToGrid w:val="0"/>
        <w:spacing w:before="156" w:beforeLines="50" w:after="50" w:line="360" w:lineRule="exact"/>
        <w:jc w:val="center"/>
        <w:outlineLvl w:val="0"/>
        <w:rPr>
          <w:rFonts w:ascii="黑体" w:hAnsi="宋体" w:eastAsia="黑体"/>
          <w:bCs/>
          <w:color w:val="auto"/>
          <w:sz w:val="32"/>
          <w:szCs w:val="32"/>
          <w:highlight w:val="none"/>
        </w:rPr>
      </w:pPr>
    </w:p>
    <w:p>
      <w:pPr>
        <w:snapToGrid w:val="0"/>
        <w:spacing w:before="156" w:beforeLines="50" w:after="50" w:line="360" w:lineRule="exact"/>
        <w:jc w:val="center"/>
        <w:outlineLvl w:val="0"/>
        <w:rPr>
          <w:rFonts w:ascii="黑体" w:hAnsi="宋体" w:eastAsia="黑体"/>
          <w:bCs/>
          <w:color w:val="auto"/>
          <w:sz w:val="32"/>
          <w:szCs w:val="32"/>
          <w:highlight w:val="none"/>
        </w:rPr>
      </w:pPr>
    </w:p>
    <w:p>
      <w:pPr>
        <w:snapToGrid w:val="0"/>
        <w:spacing w:before="156" w:beforeLines="50" w:after="50" w:line="360" w:lineRule="exact"/>
        <w:jc w:val="center"/>
        <w:outlineLvl w:val="0"/>
        <w:rPr>
          <w:rFonts w:ascii="黑体" w:hAnsi="宋体" w:eastAsia="黑体"/>
          <w:bCs/>
          <w:color w:val="auto"/>
          <w:sz w:val="32"/>
          <w:szCs w:val="32"/>
          <w:highlight w:val="none"/>
        </w:rPr>
      </w:pPr>
    </w:p>
    <w:p>
      <w:pPr>
        <w:snapToGrid w:val="0"/>
        <w:spacing w:before="156" w:beforeLines="50" w:after="50" w:line="360" w:lineRule="exact"/>
        <w:jc w:val="center"/>
        <w:outlineLvl w:val="0"/>
        <w:rPr>
          <w:rFonts w:ascii="黑体" w:hAnsi="宋体" w:eastAsia="黑体"/>
          <w:bCs/>
          <w:color w:val="auto"/>
          <w:sz w:val="32"/>
          <w:szCs w:val="32"/>
          <w:highlight w:val="none"/>
        </w:rPr>
      </w:pPr>
    </w:p>
    <w:p>
      <w:pPr>
        <w:snapToGrid w:val="0"/>
        <w:spacing w:before="156" w:beforeLines="50" w:after="50" w:line="360" w:lineRule="exact"/>
        <w:jc w:val="center"/>
        <w:outlineLvl w:val="0"/>
        <w:rPr>
          <w:rFonts w:ascii="黑体" w:hAnsi="宋体" w:eastAsia="黑体"/>
          <w:bCs/>
          <w:color w:val="auto"/>
          <w:sz w:val="32"/>
          <w:szCs w:val="32"/>
          <w:highlight w:val="none"/>
        </w:rPr>
      </w:pPr>
    </w:p>
    <w:p>
      <w:pPr>
        <w:snapToGrid w:val="0"/>
        <w:spacing w:before="156" w:beforeLines="50" w:after="50" w:line="360" w:lineRule="exact"/>
        <w:jc w:val="center"/>
        <w:outlineLvl w:val="0"/>
        <w:rPr>
          <w:rFonts w:ascii="黑体" w:hAnsi="宋体" w:eastAsia="黑体"/>
          <w:bCs/>
          <w:color w:val="auto"/>
          <w:sz w:val="32"/>
          <w:szCs w:val="32"/>
          <w:highlight w:val="none"/>
        </w:rPr>
      </w:pPr>
    </w:p>
    <w:p>
      <w:pPr>
        <w:snapToGrid w:val="0"/>
        <w:spacing w:before="156" w:beforeLines="50" w:after="50" w:line="360" w:lineRule="exact"/>
        <w:jc w:val="center"/>
        <w:outlineLvl w:val="0"/>
        <w:rPr>
          <w:rFonts w:ascii="黑体" w:hAnsi="宋体" w:eastAsia="黑体"/>
          <w:bCs/>
          <w:color w:val="auto"/>
          <w:sz w:val="32"/>
          <w:szCs w:val="32"/>
          <w:highlight w:val="none"/>
        </w:rPr>
      </w:pPr>
    </w:p>
    <w:p>
      <w:pPr>
        <w:snapToGrid w:val="0"/>
        <w:spacing w:before="156" w:beforeLines="50" w:after="50" w:line="360" w:lineRule="exact"/>
        <w:jc w:val="center"/>
        <w:outlineLvl w:val="0"/>
        <w:rPr>
          <w:rFonts w:ascii="黑体" w:hAnsi="宋体" w:eastAsia="黑体"/>
          <w:bCs/>
          <w:color w:val="auto"/>
          <w:sz w:val="32"/>
          <w:szCs w:val="32"/>
          <w:highlight w:val="none"/>
        </w:rPr>
      </w:pPr>
      <w:r>
        <w:rPr>
          <w:rFonts w:hint="eastAsia" w:ascii="黑体" w:hAnsi="宋体" w:eastAsia="黑体"/>
          <w:bCs/>
          <w:color w:val="auto"/>
          <w:sz w:val="32"/>
          <w:szCs w:val="32"/>
          <w:highlight w:val="none"/>
        </w:rPr>
        <w:t>二、投标文件目录</w:t>
      </w:r>
    </w:p>
    <w:p>
      <w:pPr>
        <w:snapToGrid w:val="0"/>
        <w:spacing w:before="156" w:beforeLines="50" w:after="50" w:line="360" w:lineRule="exact"/>
        <w:jc w:val="center"/>
        <w:outlineLvl w:val="1"/>
        <w:rPr>
          <w:rFonts w:ascii="宋体" w:hAnsi="宋体"/>
          <w:bCs/>
          <w:color w:val="auto"/>
          <w:szCs w:val="21"/>
          <w:highlight w:val="none"/>
        </w:rPr>
      </w:pPr>
    </w:p>
    <w:p>
      <w:pPr>
        <w:snapToGrid w:val="0"/>
        <w:spacing w:before="156" w:beforeLines="50"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1.资格文件：</w:t>
      </w:r>
    </w:p>
    <w:p>
      <w:pPr>
        <w:snapToGrid w:val="0"/>
        <w:spacing w:line="360" w:lineRule="exact"/>
        <w:ind w:firstLine="413" w:firstLineChars="196"/>
        <w:jc w:val="left"/>
        <w:rPr>
          <w:rFonts w:ascii="宋体" w:hAnsi="宋体"/>
          <w:color w:val="auto"/>
          <w:szCs w:val="21"/>
          <w:highlight w:val="none"/>
        </w:rPr>
      </w:pPr>
      <w:r>
        <w:rPr>
          <w:rFonts w:hint="eastAsia" w:ascii="宋体" w:hAnsi="宋体"/>
          <w:b/>
          <w:color w:val="auto"/>
          <w:szCs w:val="21"/>
          <w:highlight w:val="none"/>
        </w:rPr>
        <w:t>（1）</w:t>
      </w:r>
      <w:r>
        <w:rPr>
          <w:rFonts w:hint="eastAsia" w:ascii="宋体" w:hAnsi="宋体"/>
          <w:color w:val="auto"/>
          <w:szCs w:val="21"/>
          <w:highlight w:val="none"/>
        </w:rPr>
        <w:t>有效的营业执照等证明文件复印件；</w:t>
      </w:r>
    </w:p>
    <w:p>
      <w:pPr>
        <w:pStyle w:val="29"/>
        <w:adjustRightInd w:val="0"/>
        <w:snapToGrid w:val="0"/>
        <w:spacing w:line="400" w:lineRule="exact"/>
        <w:ind w:firstLine="424" w:firstLineChars="202"/>
        <w:rPr>
          <w:rFonts w:hAnsi="宋体"/>
          <w:b/>
          <w:color w:val="auto"/>
          <w:highlight w:val="none"/>
        </w:rPr>
      </w:pPr>
      <w:r>
        <w:rPr>
          <w:rFonts w:hint="eastAsia" w:hAnsi="宋体"/>
          <w:color w:val="auto"/>
          <w:highlight w:val="none"/>
        </w:rPr>
        <w:t>①投标人有效的营业执照等证明文件扫描件或其他电子文件，同时要加盖单位公章</w:t>
      </w:r>
      <w:r>
        <w:rPr>
          <w:rFonts w:hint="eastAsia" w:hAnsi="宋体"/>
          <w:b/>
          <w:color w:val="auto"/>
          <w:highlight w:val="none"/>
        </w:rPr>
        <w:t>（必须提供）</w:t>
      </w:r>
      <w:r>
        <w:rPr>
          <w:rFonts w:hint="eastAsia" w:hAnsi="宋体"/>
          <w:color w:val="auto"/>
          <w:highlight w:val="none"/>
        </w:rPr>
        <w:t>；</w:t>
      </w:r>
    </w:p>
    <w:p>
      <w:pPr>
        <w:snapToGrid w:val="0"/>
        <w:spacing w:line="360" w:lineRule="exact"/>
        <w:ind w:firstLine="424" w:firstLineChars="202"/>
        <w:jc w:val="left"/>
        <w:rPr>
          <w:rFonts w:hAnsi="宋体"/>
          <w:b/>
          <w:color w:val="auto"/>
          <w:highlight w:val="none"/>
        </w:rPr>
      </w:pPr>
      <w:r>
        <w:rPr>
          <w:rFonts w:hint="eastAsia" w:hAnsi="宋体"/>
          <w:color w:val="auto"/>
          <w:highlight w:val="none"/>
        </w:rPr>
        <w:t>②对于有经营资质要求的，投标人必须提供有效的经营资质证书副本内页扫描件或其他电子文件，同时要加盖单位公章。</w:t>
      </w:r>
    </w:p>
    <w:p>
      <w:pPr>
        <w:snapToGrid w:val="0"/>
        <w:spacing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（2）</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b/>
          <w:color w:val="auto"/>
          <w:szCs w:val="21"/>
          <w:highlight w:val="none"/>
        </w:rPr>
        <w:t>和信用记录查询方法；</w:t>
      </w:r>
    </w:p>
    <w:p>
      <w:pPr>
        <w:snapToGrid w:val="0"/>
        <w:spacing w:line="360" w:lineRule="exact"/>
        <w:ind w:firstLine="411" w:firstLineChars="196"/>
        <w:jc w:val="left"/>
        <w:rPr>
          <w:rFonts w:ascii="宋体" w:hAnsi="宋体"/>
          <w:color w:val="auto"/>
          <w:szCs w:val="21"/>
          <w:highlight w:val="none"/>
        </w:rPr>
      </w:pPr>
      <w:r>
        <w:rPr>
          <w:rFonts w:hint="eastAsia" w:ascii="宋体" w:hAnsi="宋体"/>
          <w:color w:val="auto"/>
          <w:szCs w:val="21"/>
          <w:highlight w:val="none"/>
        </w:rPr>
        <w:t>①</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color w:val="auto"/>
          <w:szCs w:val="21"/>
          <w:highlight w:val="none"/>
        </w:rPr>
        <w:t>（格式自拟，必须提供）；</w:t>
      </w:r>
    </w:p>
    <w:p>
      <w:pPr>
        <w:snapToGrid w:val="0"/>
        <w:spacing w:line="360" w:lineRule="exact"/>
        <w:ind w:firstLine="411" w:firstLineChars="196"/>
        <w:jc w:val="left"/>
        <w:rPr>
          <w:rFonts w:ascii="宋体" w:hAnsi="宋体"/>
          <w:color w:val="auto"/>
          <w:szCs w:val="21"/>
          <w:highlight w:val="none"/>
        </w:rPr>
      </w:pPr>
      <w:r>
        <w:rPr>
          <w:rFonts w:hint="eastAsia" w:ascii="宋体" w:hAnsi="宋体"/>
          <w:color w:val="auto"/>
          <w:szCs w:val="21"/>
          <w:highlight w:val="none"/>
        </w:rPr>
        <w:t>②供应商可在“信用中国”网站（www.creditchina.gov.cn）、中国政府采购网（www.ccgp.gov.cn）查询相关供应商主体信用记录。</w:t>
      </w:r>
    </w:p>
    <w:p>
      <w:pPr>
        <w:snapToGrid w:val="0"/>
        <w:spacing w:line="360" w:lineRule="exact"/>
        <w:ind w:firstLine="411" w:firstLineChars="196"/>
        <w:jc w:val="left"/>
        <w:rPr>
          <w:rFonts w:ascii="宋体" w:hAnsi="宋体"/>
          <w:color w:val="auto"/>
          <w:szCs w:val="21"/>
          <w:highlight w:val="none"/>
        </w:rPr>
      </w:pPr>
      <w:r>
        <w:rPr>
          <w:rFonts w:hint="eastAsia" w:ascii="宋体" w:hAnsi="宋体"/>
          <w:color w:val="auto"/>
          <w:szCs w:val="21"/>
          <w:highlight w:val="none"/>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ascii="宋体" w:hAnsi="宋体"/>
          <w:color w:val="auto"/>
          <w:szCs w:val="21"/>
          <w:highlight w:val="none"/>
        </w:rPr>
      </w:pPr>
      <w:r>
        <w:rPr>
          <w:rFonts w:hint="eastAsia" w:ascii="宋体" w:hAnsi="宋体"/>
          <w:color w:val="auto"/>
          <w:szCs w:val="21"/>
          <w:highlight w:val="none"/>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snapToGrid w:val="0"/>
        <w:spacing w:line="360" w:lineRule="exact"/>
        <w:ind w:firstLine="411" w:firstLineChars="196"/>
        <w:jc w:val="left"/>
        <w:rPr>
          <w:rFonts w:hAnsi="宋体"/>
          <w:b/>
          <w:color w:val="auto"/>
          <w:highlight w:val="none"/>
        </w:rPr>
      </w:pPr>
      <w:r>
        <w:rPr>
          <w:rFonts w:hint="eastAsia" w:ascii="宋体" w:hAnsi="宋体"/>
          <w:color w:val="auto"/>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156" w:beforeLines="50"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2.资信及商务文件：</w:t>
      </w:r>
    </w:p>
    <w:p>
      <w:pPr>
        <w:snapToGrid w:val="0"/>
        <w:spacing w:line="360" w:lineRule="exact"/>
        <w:ind w:firstLine="413" w:firstLineChars="196"/>
        <w:jc w:val="left"/>
        <w:rPr>
          <w:rFonts w:ascii="宋体" w:hAnsi="宋体"/>
          <w:color w:val="auto"/>
          <w:szCs w:val="21"/>
          <w:highlight w:val="none"/>
        </w:rPr>
      </w:pPr>
      <w:r>
        <w:rPr>
          <w:rFonts w:hint="eastAsia" w:ascii="宋体" w:hAnsi="宋体"/>
          <w:b/>
          <w:color w:val="auto"/>
          <w:szCs w:val="21"/>
          <w:highlight w:val="none"/>
        </w:rPr>
        <w:t>（1）投标保证金的相关证明扫描件或其他电子文件（</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w:t>
      </w:r>
    </w:p>
    <w:p>
      <w:pPr>
        <w:snapToGrid w:val="0"/>
        <w:spacing w:line="360" w:lineRule="exact"/>
        <w:ind w:firstLine="413" w:firstLineChars="196"/>
        <w:jc w:val="left"/>
        <w:rPr>
          <w:rFonts w:ascii="宋体" w:hAnsi="宋体"/>
          <w:color w:val="auto"/>
          <w:szCs w:val="21"/>
          <w:highlight w:val="none"/>
        </w:rPr>
      </w:pPr>
      <w:r>
        <w:rPr>
          <w:rFonts w:hint="eastAsia" w:ascii="宋体" w:hAnsi="宋体"/>
          <w:b/>
          <w:color w:val="auto"/>
          <w:szCs w:val="21"/>
          <w:highlight w:val="none"/>
          <w:u w:val="single"/>
        </w:rPr>
        <w:t>（2）投标声明书 (格式见第六章)（必须提供）</w:t>
      </w:r>
      <w:r>
        <w:rPr>
          <w:rFonts w:hint="eastAsia" w:ascii="宋体" w:hAnsi="宋体"/>
          <w:color w:val="auto"/>
          <w:szCs w:val="21"/>
          <w:highlight w:val="none"/>
        </w:rPr>
        <w:t>；</w:t>
      </w:r>
    </w:p>
    <w:p>
      <w:pPr>
        <w:snapToGrid w:val="0"/>
        <w:spacing w:line="360" w:lineRule="exact"/>
        <w:ind w:firstLine="413" w:firstLineChars="196"/>
        <w:jc w:val="left"/>
        <w:rPr>
          <w:rFonts w:ascii="宋体" w:hAnsi="宋体"/>
          <w:color w:val="auto"/>
          <w:szCs w:val="21"/>
          <w:highlight w:val="none"/>
        </w:rPr>
      </w:pPr>
      <w:r>
        <w:rPr>
          <w:rFonts w:hint="eastAsia" w:ascii="宋体" w:hAnsi="宋体"/>
          <w:b/>
          <w:color w:val="auto"/>
          <w:szCs w:val="21"/>
          <w:highlight w:val="none"/>
        </w:rPr>
        <w:t>（3）法定代表人授权委托书和委托代理人身份证扫描件或其他电子文件（格式见第六章)（必须提供）</w:t>
      </w:r>
      <w:r>
        <w:rPr>
          <w:rFonts w:hint="eastAsia" w:ascii="宋体" w:hAnsi="宋体"/>
          <w:color w:val="auto"/>
          <w:szCs w:val="21"/>
          <w:highlight w:val="none"/>
        </w:rPr>
        <w:t>；（格式见第六章)；</w:t>
      </w:r>
      <w:r>
        <w:rPr>
          <w:rFonts w:hint="eastAsia" w:ascii="宋体" w:hAnsi="宋体"/>
          <w:b/>
          <w:color w:val="auto"/>
          <w:szCs w:val="21"/>
          <w:highlight w:val="none"/>
        </w:rPr>
        <w:t>当法定代表人参加投标时，必须提供法定代表人身份证扫描件或其他电子文件</w:t>
      </w:r>
      <w:r>
        <w:rPr>
          <w:rFonts w:hint="eastAsia" w:ascii="宋体" w:hAnsi="宋体"/>
          <w:color w:val="auto"/>
          <w:szCs w:val="21"/>
          <w:highlight w:val="none"/>
        </w:rPr>
        <w:t>；</w:t>
      </w:r>
    </w:p>
    <w:p>
      <w:pPr>
        <w:snapToGrid w:val="0"/>
        <w:spacing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（4）投标截止之日前半年内投标人连续三个月的依法缴纳税费或依法免缴税费的证明（复印件，，格式自拟）（</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无纳税记录的，应提供由投标人所在地主管国税或地税部门出具的《依法纳税或依法免税证明》（格式自拟，复印件，）。</w:t>
      </w:r>
    </w:p>
    <w:p>
      <w:pPr>
        <w:snapToGrid w:val="0"/>
        <w:spacing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（5）投标截止之日前半年内投标人连续三个月的依法缴纳社保费的缴费凭证</w:t>
      </w:r>
      <w:r>
        <w:rPr>
          <w:rFonts w:hint="eastAsia" w:ascii="宋体" w:hAnsi="宋体"/>
          <w:color w:val="auto"/>
          <w:szCs w:val="21"/>
          <w:highlight w:val="none"/>
        </w:rPr>
        <w:t>（</w:t>
      </w:r>
      <w:r>
        <w:rPr>
          <w:rFonts w:hint="eastAsia" w:ascii="宋体" w:hAnsi="宋体"/>
          <w:b/>
          <w:color w:val="auto"/>
          <w:szCs w:val="21"/>
          <w:highlight w:val="none"/>
        </w:rPr>
        <w:t>扫描件或其他电子文件，格式自拟）（</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无缴费记录的，应提供由投标人所在地社保部门出具的《依法缴纳或依法免缴社保费证明》（格式自拟，</w:t>
      </w:r>
      <w:r>
        <w:rPr>
          <w:rFonts w:hint="eastAsia" w:ascii="宋体" w:hAnsi="宋体"/>
          <w:b/>
          <w:color w:val="auto"/>
          <w:szCs w:val="21"/>
          <w:highlight w:val="none"/>
        </w:rPr>
        <w:t>扫描件或其他电子文件</w:t>
      </w:r>
      <w:r>
        <w:rPr>
          <w:rFonts w:hint="eastAsia" w:ascii="宋体" w:hAnsi="宋体"/>
          <w:color w:val="auto"/>
          <w:szCs w:val="21"/>
          <w:highlight w:val="none"/>
        </w:rPr>
        <w:t>）。</w:t>
      </w:r>
    </w:p>
    <w:p>
      <w:pPr>
        <w:snapToGrid w:val="0"/>
        <w:spacing w:line="360" w:lineRule="exact"/>
        <w:ind w:firstLine="421" w:firstLineChars="200"/>
        <w:jc w:val="left"/>
        <w:rPr>
          <w:rFonts w:hAnsi="宋体"/>
          <w:b/>
          <w:color w:val="auto"/>
          <w:szCs w:val="21"/>
          <w:highlight w:val="none"/>
        </w:rPr>
      </w:pPr>
      <w:r>
        <w:rPr>
          <w:rFonts w:hint="eastAsia" w:hAnsi="宋体"/>
          <w:b/>
          <w:color w:val="auto"/>
          <w:szCs w:val="21"/>
          <w:highlight w:val="none"/>
        </w:rPr>
        <w:t>（6）财务状况报告（</w:t>
      </w:r>
      <w:r>
        <w:rPr>
          <w:rFonts w:hint="eastAsia" w:hAnsi="宋体"/>
          <w:b/>
          <w:color w:val="auto"/>
          <w:szCs w:val="21"/>
          <w:highlight w:val="none"/>
          <w:u w:val="single"/>
        </w:rPr>
        <w:t>格式自拟，必须提供</w:t>
      </w:r>
      <w:r>
        <w:rPr>
          <w:rFonts w:hint="eastAsia" w:hAnsi="宋体"/>
          <w:b/>
          <w:color w:val="auto"/>
          <w:szCs w:val="21"/>
          <w:highlight w:val="none"/>
        </w:rPr>
        <w:t>）；</w:t>
      </w:r>
    </w:p>
    <w:p>
      <w:pPr>
        <w:snapToGrid w:val="0"/>
        <w:spacing w:line="360" w:lineRule="exact"/>
        <w:ind w:firstLine="413" w:firstLineChars="196"/>
        <w:jc w:val="left"/>
        <w:rPr>
          <w:rFonts w:hAnsi="宋体"/>
          <w:color w:val="auto"/>
          <w:szCs w:val="21"/>
          <w:highlight w:val="none"/>
        </w:rPr>
      </w:pPr>
      <w:r>
        <w:rPr>
          <w:rFonts w:hint="eastAsia" w:hAnsi="宋体" w:cs="宋体"/>
          <w:b/>
          <w:color w:val="auto"/>
          <w:kern w:val="0"/>
          <w:szCs w:val="21"/>
          <w:highlight w:val="none"/>
        </w:rPr>
        <w:t>（7）</w:t>
      </w:r>
      <w:r>
        <w:rPr>
          <w:rFonts w:hint="eastAsia" w:hAnsi="宋体"/>
          <w:b/>
          <w:color w:val="auto"/>
          <w:szCs w:val="21"/>
          <w:highlight w:val="none"/>
        </w:rPr>
        <w:t>具备履行合同所必需的设备和专业技术能力的证明材料（</w:t>
      </w:r>
      <w:r>
        <w:rPr>
          <w:rFonts w:hint="eastAsia" w:hAnsi="宋体"/>
          <w:b/>
          <w:color w:val="auto"/>
          <w:szCs w:val="21"/>
          <w:highlight w:val="none"/>
          <w:u w:val="single"/>
        </w:rPr>
        <w:t>内容、格式自拟，必须提供</w:t>
      </w:r>
      <w:r>
        <w:rPr>
          <w:rFonts w:hint="eastAsia" w:hAnsi="宋体"/>
          <w:b/>
          <w:color w:val="auto"/>
          <w:szCs w:val="21"/>
          <w:highlight w:val="none"/>
        </w:rPr>
        <w:t>）</w:t>
      </w:r>
      <w:r>
        <w:rPr>
          <w:rFonts w:hint="eastAsia" w:hAnsi="宋体" w:cs="宋体"/>
          <w:b/>
          <w:color w:val="auto"/>
          <w:kern w:val="0"/>
          <w:szCs w:val="21"/>
          <w:highlight w:val="none"/>
        </w:rPr>
        <w:t>；</w:t>
      </w:r>
    </w:p>
    <w:p>
      <w:pPr>
        <w:snapToGrid w:val="0"/>
        <w:spacing w:line="360" w:lineRule="exact"/>
        <w:ind w:firstLine="411" w:firstLineChars="196"/>
        <w:jc w:val="left"/>
        <w:rPr>
          <w:rFonts w:hAnsi="宋体" w:cs="宋体"/>
          <w:color w:val="auto"/>
          <w:kern w:val="0"/>
          <w:szCs w:val="21"/>
          <w:highlight w:val="none"/>
        </w:rPr>
      </w:pPr>
      <w:r>
        <w:rPr>
          <w:rFonts w:hint="eastAsia" w:hAnsi="宋体" w:cs="宋体"/>
          <w:color w:val="auto"/>
          <w:kern w:val="0"/>
          <w:szCs w:val="21"/>
          <w:highlight w:val="none"/>
        </w:rPr>
        <w:t>（8）税务登记证</w:t>
      </w:r>
      <w:r>
        <w:rPr>
          <w:rFonts w:hint="eastAsia" w:ascii="宋体" w:hAnsi="宋体"/>
          <w:b/>
          <w:color w:val="auto"/>
          <w:szCs w:val="21"/>
          <w:highlight w:val="none"/>
        </w:rPr>
        <w:t>扫描件</w:t>
      </w:r>
      <w:r>
        <w:rPr>
          <w:rFonts w:hint="eastAsia" w:hAnsi="宋体" w:cs="宋体"/>
          <w:color w:val="auto"/>
          <w:kern w:val="0"/>
          <w:szCs w:val="21"/>
          <w:highlight w:val="none"/>
        </w:rPr>
        <w:t>；</w:t>
      </w:r>
    </w:p>
    <w:p>
      <w:pPr>
        <w:snapToGrid w:val="0"/>
        <w:spacing w:line="360" w:lineRule="exact"/>
        <w:ind w:firstLine="411" w:firstLineChars="196"/>
        <w:jc w:val="left"/>
        <w:rPr>
          <w:rFonts w:hAnsi="宋体"/>
          <w:color w:val="auto"/>
          <w:szCs w:val="21"/>
          <w:highlight w:val="none"/>
        </w:rPr>
      </w:pPr>
      <w:r>
        <w:rPr>
          <w:rFonts w:hint="eastAsia" w:ascii="宋体" w:hAnsi="宋体"/>
          <w:color w:val="auto"/>
          <w:szCs w:val="21"/>
          <w:highlight w:val="none"/>
        </w:rPr>
        <w:t>（</w:t>
      </w:r>
      <w:r>
        <w:rPr>
          <w:rFonts w:hint="eastAsia" w:hAnsi="宋体"/>
          <w:color w:val="auto"/>
          <w:szCs w:val="21"/>
          <w:highlight w:val="none"/>
        </w:rPr>
        <w:t>9</w:t>
      </w:r>
      <w:r>
        <w:rPr>
          <w:rFonts w:hint="eastAsia" w:ascii="宋体" w:hAnsi="宋体"/>
          <w:color w:val="auto"/>
          <w:szCs w:val="21"/>
          <w:highlight w:val="none"/>
        </w:rPr>
        <w:t>）产品销售许可证；</w:t>
      </w:r>
    </w:p>
    <w:p>
      <w:pPr>
        <w:snapToGrid w:val="0"/>
        <w:spacing w:line="360" w:lineRule="exact"/>
        <w:ind w:firstLine="411" w:firstLineChars="196"/>
        <w:jc w:val="left"/>
        <w:rPr>
          <w:rFonts w:hAnsi="宋体"/>
          <w:color w:val="auto"/>
          <w:szCs w:val="21"/>
          <w:highlight w:val="none"/>
        </w:rPr>
      </w:pPr>
      <w:r>
        <w:rPr>
          <w:rFonts w:hint="eastAsia" w:hAnsi="宋体"/>
          <w:color w:val="auto"/>
          <w:szCs w:val="21"/>
          <w:highlight w:val="none"/>
        </w:rPr>
        <w:t>（10）安全生产许可证扫描件、产品代理资格证明文件扫描件；</w:t>
      </w:r>
    </w:p>
    <w:p>
      <w:pPr>
        <w:snapToGrid w:val="0"/>
        <w:spacing w:line="360" w:lineRule="exact"/>
        <w:ind w:firstLine="413" w:firstLineChars="196"/>
        <w:jc w:val="left"/>
        <w:rPr>
          <w:rFonts w:hAnsi="宋体"/>
          <w:b/>
          <w:color w:val="auto"/>
          <w:szCs w:val="21"/>
          <w:highlight w:val="none"/>
        </w:rPr>
      </w:pPr>
      <w:r>
        <w:rPr>
          <w:rFonts w:hint="eastAsia" w:hAnsi="宋体"/>
          <w:b/>
          <w:color w:val="auto"/>
          <w:szCs w:val="21"/>
          <w:highlight w:val="none"/>
        </w:rPr>
        <w:t>（11）商务响应表</w:t>
      </w:r>
      <w:r>
        <w:rPr>
          <w:rFonts w:hint="eastAsia" w:hAnsi="宋体"/>
          <w:color w:val="auto"/>
          <w:szCs w:val="21"/>
          <w:highlight w:val="none"/>
        </w:rPr>
        <w:t>（格式见第六章）</w:t>
      </w:r>
      <w:r>
        <w:rPr>
          <w:rFonts w:hint="eastAsia" w:hAnsi="宋体"/>
          <w:b/>
          <w:color w:val="auto"/>
          <w:szCs w:val="21"/>
          <w:highlight w:val="none"/>
        </w:rPr>
        <w:t>（</w:t>
      </w:r>
      <w:r>
        <w:rPr>
          <w:rFonts w:hint="eastAsia" w:hAnsi="宋体"/>
          <w:b/>
          <w:color w:val="auto"/>
          <w:szCs w:val="21"/>
          <w:highlight w:val="none"/>
          <w:u w:val="single"/>
        </w:rPr>
        <w:t>必须提供</w:t>
      </w:r>
      <w:r>
        <w:rPr>
          <w:rFonts w:hint="eastAsia" w:hAnsi="宋体"/>
          <w:b/>
          <w:color w:val="auto"/>
          <w:szCs w:val="21"/>
          <w:highlight w:val="none"/>
        </w:rPr>
        <w:t>）；</w:t>
      </w:r>
    </w:p>
    <w:p>
      <w:pPr>
        <w:snapToGrid w:val="0"/>
        <w:spacing w:line="360" w:lineRule="exact"/>
        <w:ind w:firstLine="411" w:firstLineChars="196"/>
        <w:jc w:val="left"/>
        <w:rPr>
          <w:rFonts w:hAnsi="宋体"/>
          <w:b/>
          <w:color w:val="auto"/>
          <w:szCs w:val="21"/>
          <w:highlight w:val="none"/>
        </w:rPr>
      </w:pPr>
      <w:r>
        <w:rPr>
          <w:rFonts w:hint="eastAsia" w:hAnsi="宋体"/>
          <w:color w:val="auto"/>
          <w:highlight w:val="none"/>
        </w:rPr>
        <w:t>▲</w:t>
      </w:r>
      <w:r>
        <w:rPr>
          <w:rFonts w:hint="eastAsia" w:hAnsi="宋体"/>
          <w:color w:val="auto"/>
          <w:szCs w:val="21"/>
          <w:highlight w:val="none"/>
        </w:rPr>
        <w:t>（12）</w:t>
      </w:r>
      <w:r>
        <w:rPr>
          <w:rFonts w:hint="eastAsia" w:hAnsi="宋体"/>
          <w:b/>
          <w:color w:val="auto"/>
          <w:szCs w:val="21"/>
          <w:highlight w:val="none"/>
        </w:rPr>
        <w:t>招标项目采购需求中要求必须提供的材料等；</w:t>
      </w:r>
    </w:p>
    <w:p>
      <w:pPr>
        <w:snapToGrid w:val="0"/>
        <w:spacing w:line="360" w:lineRule="exact"/>
        <w:ind w:firstLine="411" w:firstLineChars="196"/>
        <w:jc w:val="left"/>
        <w:rPr>
          <w:rFonts w:hAnsi="宋体"/>
          <w:b/>
          <w:color w:val="auto"/>
          <w:szCs w:val="21"/>
          <w:highlight w:val="none"/>
        </w:rPr>
      </w:pPr>
      <w:r>
        <w:rPr>
          <w:rFonts w:hint="eastAsia" w:hAnsi="宋体"/>
          <w:color w:val="auto"/>
          <w:szCs w:val="21"/>
          <w:highlight w:val="none"/>
        </w:rPr>
        <w:t>（13）具备法律、行政法规规定的其他条件的证明材料</w:t>
      </w:r>
      <w:r>
        <w:rPr>
          <w:rFonts w:hint="eastAsia" w:hAnsi="宋体"/>
          <w:b/>
          <w:color w:val="auto"/>
          <w:szCs w:val="21"/>
          <w:highlight w:val="none"/>
        </w:rPr>
        <w:t>(如有规定,则必须提供)。</w:t>
      </w:r>
    </w:p>
    <w:p>
      <w:pPr>
        <w:snapToGrid w:val="0"/>
        <w:spacing w:line="360" w:lineRule="exact"/>
        <w:ind w:firstLine="413" w:firstLineChars="196"/>
        <w:jc w:val="left"/>
        <w:rPr>
          <w:rFonts w:hAnsi="宋体"/>
          <w:b/>
          <w:color w:val="auto"/>
          <w:szCs w:val="21"/>
          <w:highlight w:val="none"/>
        </w:rPr>
      </w:pPr>
      <w:r>
        <w:rPr>
          <w:rFonts w:hint="eastAsia" w:hAnsi="宋体"/>
          <w:b/>
          <w:bCs/>
          <w:color w:val="auto"/>
          <w:szCs w:val="21"/>
          <w:highlight w:val="none"/>
        </w:rPr>
        <w:t xml:space="preserve">可作为投标人资信评分的资质证明材料（可选）  </w:t>
      </w:r>
    </w:p>
    <w:p>
      <w:pPr>
        <w:snapToGrid w:val="0"/>
        <w:spacing w:line="360" w:lineRule="exact"/>
        <w:ind w:left="937" w:leftChars="196" w:hanging="525" w:hangingChars="250"/>
        <w:jc w:val="left"/>
        <w:rPr>
          <w:rFonts w:hAnsi="宋体"/>
          <w:color w:val="auto"/>
          <w:szCs w:val="21"/>
          <w:highlight w:val="none"/>
        </w:rPr>
      </w:pPr>
      <w:r>
        <w:rPr>
          <w:rFonts w:hint="eastAsia" w:hAnsi="宋体"/>
          <w:color w:val="auto"/>
          <w:szCs w:val="21"/>
          <w:highlight w:val="none"/>
        </w:rPr>
        <w:t>（14）类似案例成功的业绩（投标人同类项目实施情况一览表、合同扫描件）；</w:t>
      </w:r>
    </w:p>
    <w:p>
      <w:pPr>
        <w:snapToGrid w:val="0"/>
        <w:spacing w:line="360" w:lineRule="exact"/>
        <w:ind w:firstLine="421" w:firstLineChars="200"/>
        <w:jc w:val="left"/>
        <w:rPr>
          <w:rFonts w:hAnsi="宋体"/>
          <w:color w:val="auto"/>
          <w:szCs w:val="21"/>
          <w:highlight w:val="none"/>
        </w:rPr>
      </w:pPr>
      <w:r>
        <w:rPr>
          <w:rFonts w:hint="eastAsia" w:hAnsi="宋体"/>
          <w:b/>
          <w:color w:val="auto"/>
          <w:szCs w:val="21"/>
          <w:highlight w:val="none"/>
        </w:rPr>
        <w:t>（</w:t>
      </w:r>
      <w:r>
        <w:rPr>
          <w:rFonts w:hint="eastAsia" w:hAnsi="宋体"/>
          <w:color w:val="auto"/>
          <w:szCs w:val="21"/>
          <w:highlight w:val="none"/>
        </w:rPr>
        <w:t>15</w:t>
      </w:r>
      <w:r>
        <w:rPr>
          <w:rFonts w:hint="eastAsia" w:hAnsi="宋体"/>
          <w:b/>
          <w:color w:val="auto"/>
          <w:szCs w:val="21"/>
          <w:highlight w:val="none"/>
        </w:rPr>
        <w:t>）</w:t>
      </w:r>
      <w:r>
        <w:rPr>
          <w:rFonts w:hint="eastAsia" w:hAnsi="宋体"/>
          <w:color w:val="auto"/>
          <w:szCs w:val="21"/>
          <w:highlight w:val="none"/>
        </w:rPr>
        <w:t>其他特殊资质证书（如本地化服务能力等）；</w:t>
      </w:r>
    </w:p>
    <w:p>
      <w:pPr>
        <w:snapToGrid w:val="0"/>
        <w:spacing w:line="360" w:lineRule="exact"/>
        <w:ind w:firstLine="411" w:firstLineChars="196"/>
        <w:jc w:val="left"/>
        <w:rPr>
          <w:rFonts w:hAnsi="宋体"/>
          <w:b/>
          <w:color w:val="auto"/>
          <w:szCs w:val="21"/>
          <w:highlight w:val="none"/>
        </w:rPr>
      </w:pPr>
      <w:r>
        <w:rPr>
          <w:rFonts w:hint="eastAsia" w:hAnsi="宋体"/>
          <w:color w:val="auto"/>
          <w:szCs w:val="21"/>
          <w:highlight w:val="none"/>
        </w:rPr>
        <w:t>（16）节能环保产品或政府强制采购节能产品清单证书</w:t>
      </w:r>
      <w:r>
        <w:rPr>
          <w:rFonts w:hint="eastAsia" w:hAnsi="宋体"/>
          <w:b/>
          <w:color w:val="auto"/>
          <w:szCs w:val="21"/>
          <w:highlight w:val="none"/>
        </w:rPr>
        <w:t>；</w:t>
      </w:r>
    </w:p>
    <w:p>
      <w:pPr>
        <w:snapToGrid w:val="0"/>
        <w:spacing w:line="360" w:lineRule="exact"/>
        <w:ind w:firstLine="411" w:firstLineChars="196"/>
        <w:jc w:val="left"/>
        <w:rPr>
          <w:rFonts w:hAnsi="宋体"/>
          <w:color w:val="auto"/>
          <w:szCs w:val="21"/>
          <w:highlight w:val="none"/>
        </w:rPr>
      </w:pPr>
      <w:r>
        <w:rPr>
          <w:rFonts w:hint="eastAsia" w:hAnsi="宋体"/>
          <w:color w:val="auto"/>
          <w:szCs w:val="21"/>
          <w:highlight w:val="none"/>
        </w:rPr>
        <w:t>（17）投标人质量管理和质量保证体系等方面的认证证书；</w:t>
      </w:r>
    </w:p>
    <w:p>
      <w:pPr>
        <w:snapToGrid w:val="0"/>
        <w:spacing w:line="360" w:lineRule="exact"/>
        <w:ind w:firstLine="411" w:firstLineChars="196"/>
        <w:jc w:val="left"/>
        <w:rPr>
          <w:rFonts w:hAnsi="宋体"/>
          <w:color w:val="auto"/>
          <w:szCs w:val="21"/>
          <w:highlight w:val="none"/>
        </w:rPr>
      </w:pPr>
      <w:r>
        <w:rPr>
          <w:rFonts w:hint="eastAsia" w:hAnsi="宋体"/>
          <w:color w:val="auto"/>
          <w:szCs w:val="21"/>
          <w:highlight w:val="none"/>
        </w:rPr>
        <w:t>（18）投标人认为可以证明其能力或业绩的其他材料；</w:t>
      </w:r>
    </w:p>
    <w:p>
      <w:pPr>
        <w:snapToGrid w:val="0"/>
        <w:spacing w:line="360" w:lineRule="exact"/>
        <w:ind w:firstLine="411" w:firstLineChars="196"/>
        <w:jc w:val="left"/>
        <w:rPr>
          <w:rFonts w:hAnsi="宋体"/>
          <w:color w:val="auto"/>
          <w:szCs w:val="21"/>
          <w:highlight w:val="none"/>
        </w:rPr>
      </w:pPr>
      <w:r>
        <w:rPr>
          <w:rFonts w:hint="eastAsia" w:hAnsi="宋体"/>
          <w:color w:val="auto"/>
          <w:szCs w:val="21"/>
          <w:highlight w:val="none"/>
        </w:rPr>
        <w:t>（19）投标人关于产品生产时间、升级或者更新淘汰计划、配件供应以及本单位债务纠纷、违法违规记录等方面的情况（内容见投标声明书）；</w:t>
      </w:r>
    </w:p>
    <w:p>
      <w:pPr>
        <w:snapToGrid w:val="0"/>
        <w:spacing w:line="360" w:lineRule="exact"/>
        <w:ind w:firstLine="411" w:firstLineChars="196"/>
        <w:jc w:val="left"/>
        <w:rPr>
          <w:rFonts w:hAnsi="宋体"/>
          <w:color w:val="auto"/>
          <w:szCs w:val="21"/>
          <w:highlight w:val="none"/>
        </w:rPr>
      </w:pPr>
      <w:r>
        <w:rPr>
          <w:rFonts w:hint="eastAsia" w:hAnsi="宋体"/>
          <w:color w:val="auto"/>
          <w:szCs w:val="21"/>
          <w:highlight w:val="none"/>
        </w:rPr>
        <w:t>（20）投标人情况介绍；</w:t>
      </w:r>
    </w:p>
    <w:p>
      <w:pPr>
        <w:snapToGrid w:val="0"/>
        <w:spacing w:line="360" w:lineRule="exact"/>
        <w:ind w:firstLine="411" w:firstLineChars="196"/>
        <w:jc w:val="left"/>
        <w:rPr>
          <w:rFonts w:hAnsi="宋体"/>
          <w:color w:val="auto"/>
          <w:szCs w:val="21"/>
          <w:highlight w:val="none"/>
        </w:rPr>
      </w:pPr>
      <w:r>
        <w:rPr>
          <w:rFonts w:hint="eastAsia" w:ascii="宋体" w:hAnsi="宋体"/>
          <w:color w:val="auto"/>
          <w:szCs w:val="21"/>
          <w:highlight w:val="none"/>
        </w:rPr>
        <w:t>（</w:t>
      </w:r>
      <w:r>
        <w:rPr>
          <w:rFonts w:hint="eastAsia" w:hAnsi="宋体"/>
          <w:color w:val="auto"/>
          <w:szCs w:val="21"/>
          <w:highlight w:val="none"/>
        </w:rPr>
        <w:t>21</w:t>
      </w:r>
      <w:r>
        <w:rPr>
          <w:rFonts w:hint="eastAsia" w:ascii="宋体" w:hAnsi="宋体"/>
          <w:color w:val="auto"/>
          <w:szCs w:val="21"/>
          <w:highlight w:val="none"/>
        </w:rPr>
        <w:t>）</w:t>
      </w:r>
      <w:r>
        <w:rPr>
          <w:rFonts w:ascii="宋体" w:hAnsi="宋体"/>
          <w:color w:val="auto"/>
          <w:highlight w:val="none"/>
        </w:rPr>
        <w:t>中小企业声明函</w:t>
      </w:r>
      <w:r>
        <w:rPr>
          <w:rFonts w:hint="eastAsia" w:ascii="宋体" w:hAnsi="宋体"/>
          <w:color w:val="auto"/>
          <w:szCs w:val="21"/>
          <w:highlight w:val="none"/>
        </w:rPr>
        <w:t>（按最新相关政策执行，格式见第六章，如有请提供）</w:t>
      </w:r>
      <w:r>
        <w:rPr>
          <w:rFonts w:hint="eastAsia" w:ascii="宋体" w:hAnsi="宋体"/>
          <w:color w:val="auto"/>
          <w:highlight w:val="none"/>
        </w:rPr>
        <w:t>。</w:t>
      </w:r>
    </w:p>
    <w:p>
      <w:pPr>
        <w:snapToGrid w:val="0"/>
        <w:spacing w:before="156" w:beforeLines="50"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3.技术文件</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（1）对本项目系统总体要求的理解；</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技术响应表（</w:t>
      </w:r>
      <w:r>
        <w:rPr>
          <w:rFonts w:hint="eastAsia" w:ascii="宋体" w:hAnsi="宋体"/>
          <w:b/>
          <w:color w:val="auto"/>
          <w:szCs w:val="21"/>
          <w:highlight w:val="none"/>
          <w:u w:val="single"/>
        </w:rPr>
        <w:t>必须提供</w:t>
      </w:r>
      <w:r>
        <w:rPr>
          <w:rFonts w:hint="eastAsia" w:ascii="宋体" w:hAnsi="宋体"/>
          <w:b/>
          <w:color w:val="auto"/>
          <w:szCs w:val="21"/>
          <w:highlight w:val="none"/>
        </w:rPr>
        <w:t>）；</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（3）设备配置清单（均不含报价）；</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b/>
          <w:color w:val="auto"/>
          <w:highlight w:val="none"/>
        </w:rPr>
        <w:t>售后服务承诺书</w:t>
      </w:r>
      <w:r>
        <w:rPr>
          <w:rFonts w:hint="eastAsia"/>
          <w:color w:val="auto"/>
          <w:highlight w:val="none"/>
        </w:rPr>
        <w:t>（应据项目实际要求描述如：</w:t>
      </w:r>
      <w:r>
        <w:rPr>
          <w:rFonts w:hint="eastAsia" w:ascii="宋体" w:hAnsi="宋体"/>
          <w:color w:val="auto"/>
          <w:szCs w:val="21"/>
          <w:highlight w:val="none"/>
        </w:rPr>
        <w:t>投标人建议的安装、调试、验收方法或方案；技术服务、技术培训、售后服务的内容和措施等），</w:t>
      </w:r>
      <w:r>
        <w:rPr>
          <w:rFonts w:hint="eastAsia" w:ascii="宋体" w:hAnsi="宋体"/>
          <w:b/>
          <w:color w:val="auto"/>
          <w:szCs w:val="21"/>
          <w:highlight w:val="none"/>
        </w:rPr>
        <w:t>(</w:t>
      </w:r>
      <w:r>
        <w:rPr>
          <w:rFonts w:hint="eastAsia" w:ascii="宋体" w:hAnsi="宋体"/>
          <w:b/>
          <w:color w:val="auto"/>
          <w:szCs w:val="21"/>
          <w:highlight w:val="none"/>
          <w:u w:val="single"/>
        </w:rPr>
        <w:t>格式自拟,必须提供</w:t>
      </w:r>
      <w:r>
        <w:rPr>
          <w:rFonts w:hint="eastAsia" w:ascii="宋体" w:hAnsi="宋体"/>
          <w:b/>
          <w:color w:val="auto"/>
          <w:szCs w:val="21"/>
          <w:highlight w:val="none"/>
        </w:rPr>
        <w:t>)</w:t>
      </w:r>
      <w:r>
        <w:rPr>
          <w:rFonts w:hint="eastAsia" w:ascii="宋体" w:hAnsi="宋体"/>
          <w:color w:val="auto"/>
          <w:szCs w:val="21"/>
          <w:highlight w:val="none"/>
        </w:rPr>
        <w:t>；</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（5）投标人拥有主要装备和检测设施的情况和现状（格式自拟）及项目实施人员一览表； </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（7）投标人对本项目的合理化建议和改进措施；</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（8）投标人需要说明的其他文件和说明（格式略）；</w:t>
      </w:r>
    </w:p>
    <w:p>
      <w:pPr>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▲（9）招标项目采购需求中要求必须提供的材料。</w:t>
      </w:r>
    </w:p>
    <w:p>
      <w:pPr>
        <w:snapToGrid w:val="0"/>
        <w:spacing w:before="156" w:beforeLines="50"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4.报价文件：</w:t>
      </w:r>
    </w:p>
    <w:p>
      <w:pPr>
        <w:tabs>
          <w:tab w:val="left" w:pos="3870"/>
          <w:tab w:val="left" w:pos="4085"/>
        </w:tabs>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（1）投标函（格式见第六章）； </w:t>
      </w:r>
    </w:p>
    <w:p>
      <w:pPr>
        <w:tabs>
          <w:tab w:val="left" w:pos="3870"/>
          <w:tab w:val="left" w:pos="4085"/>
        </w:tabs>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（2）投标报价明细表（格式见第六章）；</w:t>
      </w:r>
    </w:p>
    <w:p>
      <w:pPr>
        <w:tabs>
          <w:tab w:val="left" w:pos="3870"/>
          <w:tab w:val="left" w:pos="4085"/>
        </w:tabs>
        <w:snapToGri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（3）投标人针对报价需要说明的其他文件和说明（格式自拟）；</w:t>
      </w:r>
    </w:p>
    <w:p>
      <w:pPr>
        <w:tabs>
          <w:tab w:val="left" w:pos="3870"/>
          <w:tab w:val="left" w:pos="4085"/>
        </w:tabs>
        <w:snapToGrid w:val="0"/>
        <w:spacing w:line="360" w:lineRule="exact"/>
        <w:ind w:firstLine="420" w:firstLineChars="200"/>
        <w:jc w:val="left"/>
        <w:rPr>
          <w:rFonts w:ascii="宋体" w:hAnsi="宋体" w:eastAsia="等线"/>
          <w:color w:val="auto"/>
          <w:szCs w:val="21"/>
          <w:highlight w:val="none"/>
        </w:rPr>
      </w:pPr>
      <w:r>
        <w:rPr>
          <w:rFonts w:hint="eastAsia" w:ascii="宋体" w:hAnsi="宋体"/>
          <w:color w:val="auto"/>
          <w:szCs w:val="21"/>
          <w:highlight w:val="none"/>
        </w:rPr>
        <w:t>（4）开标一览表（格式见第六章）。</w:t>
      </w:r>
    </w:p>
    <w:p>
      <w:pPr>
        <w:pStyle w:val="46"/>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b/>
          <w:bCs/>
          <w:color w:val="auto"/>
          <w:szCs w:val="21"/>
          <w:highlight w:val="none"/>
        </w:rPr>
        <w:t>注：法定代表人授权委托书、投标声明书、投标函、开标一览表必须按</w:t>
      </w:r>
      <w:r>
        <w:rPr>
          <w:rFonts w:hint="eastAsia" w:ascii="宋体" w:hAnsi="宋体"/>
          <w:b/>
          <w:color w:val="auto"/>
          <w:szCs w:val="21"/>
          <w:highlight w:val="none"/>
        </w:rPr>
        <w:t>招标文件格式要求</w:t>
      </w:r>
      <w:r>
        <w:rPr>
          <w:rFonts w:hint="eastAsia" w:ascii="宋体" w:hAnsi="宋体"/>
          <w:b/>
          <w:color w:val="auto"/>
          <w:szCs w:val="21"/>
          <w:highlight w:val="none"/>
          <w:lang w:eastAsia="zh-CN"/>
        </w:rPr>
        <w:t>签字或签章</w:t>
      </w:r>
      <w:r>
        <w:rPr>
          <w:rFonts w:hint="eastAsia" w:ascii="宋体" w:hAnsi="宋体"/>
          <w:b/>
          <w:bCs/>
          <w:color w:val="auto"/>
          <w:szCs w:val="21"/>
          <w:highlight w:val="none"/>
        </w:rPr>
        <w:t>并加盖单位公章。</w:t>
      </w:r>
    </w:p>
    <w:p>
      <w:pPr>
        <w:pStyle w:val="46"/>
        <w:spacing w:line="360" w:lineRule="exact"/>
        <w:ind w:firstLine="420" w:firstLineChars="200"/>
        <w:rPr>
          <w:rFonts w:ascii="宋体" w:hAnsi="宋体"/>
          <w:color w:val="auto"/>
          <w:szCs w:val="21"/>
          <w:highlight w:val="none"/>
        </w:rPr>
      </w:pPr>
    </w:p>
    <w:p>
      <w:pPr>
        <w:snapToGrid w:val="0"/>
        <w:spacing w:before="50" w:after="156" w:afterLines="50" w:line="360" w:lineRule="exact"/>
        <w:ind w:firstLine="3895" w:firstLineChars="1617"/>
        <w:jc w:val="left"/>
        <w:rPr>
          <w:rFonts w:ascii="宋体" w:hAnsi="宋体"/>
          <w:b/>
          <w:color w:val="auto"/>
          <w:sz w:val="24"/>
          <w:highlight w:val="none"/>
        </w:rPr>
      </w:pPr>
    </w:p>
    <w:p>
      <w:pPr>
        <w:snapToGrid w:val="0"/>
        <w:spacing w:before="50" w:after="156" w:afterLines="50" w:line="360" w:lineRule="exact"/>
        <w:ind w:firstLine="3895" w:firstLineChars="1617"/>
        <w:jc w:val="left"/>
        <w:rPr>
          <w:rFonts w:ascii="宋体" w:hAnsi="宋体"/>
          <w:b/>
          <w:color w:val="auto"/>
          <w:sz w:val="24"/>
          <w:highlight w:val="none"/>
        </w:rPr>
      </w:pPr>
    </w:p>
    <w:p>
      <w:pPr>
        <w:snapToGrid w:val="0"/>
        <w:spacing w:before="50" w:after="156" w:afterLines="50" w:line="360" w:lineRule="exact"/>
        <w:ind w:firstLine="3895" w:firstLineChars="1617"/>
        <w:jc w:val="left"/>
        <w:rPr>
          <w:rFonts w:ascii="宋体" w:hAnsi="宋体"/>
          <w:b/>
          <w:color w:val="auto"/>
          <w:sz w:val="24"/>
          <w:highlight w:val="none"/>
        </w:rPr>
      </w:pPr>
    </w:p>
    <w:p>
      <w:pPr>
        <w:snapToGrid w:val="0"/>
        <w:spacing w:before="50" w:after="156" w:afterLines="50" w:line="360" w:lineRule="exact"/>
        <w:ind w:firstLine="3895" w:firstLineChars="1617"/>
        <w:jc w:val="left"/>
        <w:rPr>
          <w:rFonts w:ascii="宋体" w:hAnsi="宋体"/>
          <w:b/>
          <w:color w:val="auto"/>
          <w:sz w:val="24"/>
          <w:highlight w:val="none"/>
        </w:rPr>
      </w:pPr>
    </w:p>
    <w:p>
      <w:pPr>
        <w:snapToGrid w:val="0"/>
        <w:spacing w:before="50" w:after="156" w:afterLines="50" w:line="360" w:lineRule="exact"/>
        <w:ind w:firstLine="3895" w:firstLineChars="1617"/>
        <w:jc w:val="left"/>
        <w:rPr>
          <w:rFonts w:ascii="宋体" w:hAnsi="宋体"/>
          <w:b/>
          <w:color w:val="auto"/>
          <w:sz w:val="24"/>
          <w:highlight w:val="none"/>
        </w:rPr>
      </w:pPr>
    </w:p>
    <w:p>
      <w:pPr>
        <w:snapToGrid w:val="0"/>
        <w:spacing w:before="50" w:after="156" w:afterLines="50" w:line="360" w:lineRule="exact"/>
        <w:ind w:firstLine="3895" w:firstLineChars="1617"/>
        <w:jc w:val="left"/>
        <w:outlineLvl w:val="0"/>
        <w:rPr>
          <w:rFonts w:ascii="宋体" w:hAnsi="宋体"/>
          <w:b/>
          <w:color w:val="auto"/>
          <w:sz w:val="24"/>
          <w:highlight w:val="none"/>
        </w:rPr>
      </w:pPr>
      <w:r>
        <w:rPr>
          <w:rFonts w:hint="eastAsia" w:ascii="宋体" w:hAnsi="宋体"/>
          <w:b/>
          <w:color w:val="auto"/>
          <w:sz w:val="24"/>
          <w:highlight w:val="none"/>
        </w:rPr>
        <w:t>三、投标文件格式</w:t>
      </w:r>
    </w:p>
    <w:p>
      <w:pPr>
        <w:snapToGrid w:val="0"/>
        <w:spacing w:before="50" w:after="156" w:afterLines="50" w:line="360" w:lineRule="exact"/>
        <w:jc w:val="left"/>
        <w:outlineLvl w:val="0"/>
        <w:rPr>
          <w:rFonts w:ascii="宋体" w:hAnsi="宋体"/>
          <w:b/>
          <w:color w:val="auto"/>
          <w:szCs w:val="21"/>
          <w:highlight w:val="none"/>
        </w:rPr>
      </w:pPr>
    </w:p>
    <w:p>
      <w:pPr>
        <w:snapToGrid w:val="0"/>
        <w:spacing w:before="50" w:after="156" w:afterLines="50" w:line="360" w:lineRule="exact"/>
        <w:jc w:val="left"/>
        <w:outlineLvl w:val="0"/>
        <w:rPr>
          <w:rFonts w:ascii="宋体" w:hAnsi="宋体"/>
          <w:b/>
          <w:bCs/>
          <w:color w:val="auto"/>
          <w:szCs w:val="21"/>
          <w:highlight w:val="none"/>
        </w:rPr>
      </w:pPr>
      <w:r>
        <w:rPr>
          <w:rFonts w:hint="eastAsia" w:ascii="宋体" w:hAnsi="宋体"/>
          <w:b/>
          <w:color w:val="auto"/>
          <w:szCs w:val="21"/>
          <w:highlight w:val="none"/>
        </w:rPr>
        <w:t xml:space="preserve">  一）</w:t>
      </w:r>
      <w:r>
        <w:rPr>
          <w:rFonts w:hint="eastAsia" w:ascii="宋体" w:hAnsi="宋体"/>
          <w:b/>
          <w:bCs/>
          <w:color w:val="auto"/>
          <w:szCs w:val="21"/>
          <w:highlight w:val="none"/>
        </w:rPr>
        <w:t>资格文件部分（格式）</w:t>
      </w:r>
    </w:p>
    <w:p>
      <w:pPr>
        <w:snapToGrid w:val="0"/>
        <w:spacing w:line="360" w:lineRule="exact"/>
        <w:ind w:firstLine="413" w:firstLineChars="196"/>
        <w:jc w:val="left"/>
        <w:rPr>
          <w:rFonts w:ascii="宋体" w:hAnsi="宋体"/>
          <w:color w:val="auto"/>
          <w:szCs w:val="21"/>
          <w:highlight w:val="none"/>
        </w:rPr>
      </w:pPr>
      <w:r>
        <w:rPr>
          <w:rFonts w:hint="eastAsia" w:ascii="宋体" w:hAnsi="宋体"/>
          <w:b/>
          <w:color w:val="auto"/>
          <w:szCs w:val="21"/>
          <w:highlight w:val="none"/>
        </w:rPr>
        <w:t>（1）</w:t>
      </w:r>
      <w:r>
        <w:rPr>
          <w:rFonts w:hint="eastAsia" w:ascii="宋体" w:hAnsi="宋体"/>
          <w:color w:val="auto"/>
          <w:szCs w:val="21"/>
          <w:highlight w:val="none"/>
        </w:rPr>
        <w:t>有效的营业执照等证明文件复印件；</w:t>
      </w:r>
    </w:p>
    <w:p>
      <w:pPr>
        <w:pStyle w:val="29"/>
        <w:adjustRightInd w:val="0"/>
        <w:snapToGrid w:val="0"/>
        <w:spacing w:line="400" w:lineRule="exact"/>
        <w:ind w:firstLine="424" w:firstLineChars="202"/>
        <w:rPr>
          <w:rFonts w:hAnsi="宋体"/>
          <w:b/>
          <w:color w:val="auto"/>
          <w:highlight w:val="none"/>
        </w:rPr>
      </w:pPr>
      <w:r>
        <w:rPr>
          <w:rFonts w:hint="eastAsia" w:hAnsi="宋体"/>
          <w:color w:val="auto"/>
          <w:highlight w:val="none"/>
        </w:rPr>
        <w:t>①投标人有效的营业执照等证明文件扫描件或其他电子文件，同时要加盖单位公章</w:t>
      </w:r>
      <w:r>
        <w:rPr>
          <w:rFonts w:hint="eastAsia" w:hAnsi="宋体"/>
          <w:b/>
          <w:color w:val="auto"/>
          <w:highlight w:val="none"/>
        </w:rPr>
        <w:t>（必须提供）</w:t>
      </w:r>
      <w:r>
        <w:rPr>
          <w:rFonts w:hint="eastAsia" w:hAnsi="宋体"/>
          <w:color w:val="auto"/>
          <w:highlight w:val="none"/>
        </w:rPr>
        <w:t>；</w:t>
      </w:r>
    </w:p>
    <w:p>
      <w:pPr>
        <w:snapToGrid w:val="0"/>
        <w:spacing w:line="360" w:lineRule="exact"/>
        <w:ind w:firstLine="424" w:firstLineChars="202"/>
        <w:jc w:val="left"/>
        <w:rPr>
          <w:rFonts w:hAnsi="宋体"/>
          <w:b/>
          <w:color w:val="auto"/>
          <w:highlight w:val="none"/>
        </w:rPr>
      </w:pPr>
      <w:r>
        <w:rPr>
          <w:rFonts w:hint="eastAsia" w:hAnsi="宋体"/>
          <w:color w:val="auto"/>
          <w:highlight w:val="none"/>
        </w:rPr>
        <w:t>②对于有经营资质要求的，投标人必须提供有效的经营资质证书副本内页扫描件或其他电子文件，同时要加盖单位公章。</w:t>
      </w:r>
    </w:p>
    <w:p>
      <w:pPr>
        <w:snapToGrid w:val="0"/>
        <w:spacing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（2）</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b/>
          <w:color w:val="auto"/>
          <w:szCs w:val="21"/>
          <w:highlight w:val="none"/>
        </w:rPr>
        <w:t>和信用记录查询方法；</w:t>
      </w:r>
    </w:p>
    <w:p>
      <w:pPr>
        <w:snapToGrid w:val="0"/>
        <w:spacing w:line="360" w:lineRule="exact"/>
        <w:ind w:firstLine="411" w:firstLineChars="196"/>
        <w:jc w:val="left"/>
        <w:rPr>
          <w:rFonts w:ascii="宋体" w:hAnsi="宋体"/>
          <w:color w:val="auto"/>
          <w:szCs w:val="21"/>
          <w:highlight w:val="none"/>
        </w:rPr>
      </w:pPr>
      <w:r>
        <w:rPr>
          <w:rFonts w:hint="eastAsia" w:ascii="宋体" w:hAnsi="宋体"/>
          <w:color w:val="auto"/>
          <w:szCs w:val="21"/>
          <w:highlight w:val="none"/>
        </w:rPr>
        <w:t>①</w:t>
      </w:r>
      <w:r>
        <w:rPr>
          <w:rFonts w:hint="eastAsia" w:ascii="宋体" w:hAnsi="宋体" w:cs="宋体"/>
          <w:color w:val="auto"/>
          <w:kern w:val="0"/>
          <w:szCs w:val="21"/>
          <w:highlight w:val="none"/>
        </w:rPr>
        <w:t>参加政府采购活动前三年内在经营活动中没有</w:t>
      </w:r>
      <w:r>
        <w:rPr>
          <w:rFonts w:hint="eastAsia" w:ascii="宋体" w:hAnsi="宋体" w:cs="宋体"/>
          <w:b/>
          <w:color w:val="auto"/>
          <w:kern w:val="0"/>
          <w:szCs w:val="21"/>
          <w:highlight w:val="none"/>
        </w:rPr>
        <w:t>重大违法记录的书面声明</w:t>
      </w:r>
      <w:r>
        <w:rPr>
          <w:rFonts w:hint="eastAsia" w:ascii="宋体" w:hAnsi="宋体"/>
          <w:color w:val="auto"/>
          <w:szCs w:val="21"/>
          <w:highlight w:val="none"/>
        </w:rPr>
        <w:t>（格式自拟，必须提供）；</w:t>
      </w:r>
    </w:p>
    <w:p>
      <w:pPr>
        <w:snapToGrid w:val="0"/>
        <w:spacing w:line="360" w:lineRule="exact"/>
        <w:ind w:firstLine="411" w:firstLineChars="196"/>
        <w:jc w:val="left"/>
        <w:rPr>
          <w:rFonts w:ascii="宋体" w:hAnsi="宋体"/>
          <w:color w:val="auto"/>
          <w:szCs w:val="21"/>
          <w:highlight w:val="none"/>
        </w:rPr>
      </w:pPr>
      <w:r>
        <w:rPr>
          <w:rFonts w:hint="eastAsia" w:ascii="宋体" w:hAnsi="宋体"/>
          <w:color w:val="auto"/>
          <w:szCs w:val="21"/>
          <w:highlight w:val="none"/>
        </w:rPr>
        <w:t>②供应商可在“信用中国”网站（www.creditchina.gov.cn）、中国政府采购网（www.ccgp.gov.cn）查询相关供应商主体信用记录。</w:t>
      </w:r>
    </w:p>
    <w:p>
      <w:pPr>
        <w:snapToGrid w:val="0"/>
        <w:spacing w:line="360" w:lineRule="exact"/>
        <w:ind w:firstLine="411" w:firstLineChars="196"/>
        <w:jc w:val="left"/>
        <w:rPr>
          <w:rFonts w:ascii="宋体" w:hAnsi="宋体"/>
          <w:color w:val="auto"/>
          <w:szCs w:val="21"/>
          <w:highlight w:val="none"/>
        </w:rPr>
      </w:pPr>
      <w:r>
        <w:rPr>
          <w:rFonts w:hint="eastAsia" w:ascii="宋体" w:hAnsi="宋体"/>
          <w:color w:val="auto"/>
          <w:szCs w:val="21"/>
          <w:highlight w:val="none"/>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ascii="宋体" w:hAnsi="宋体"/>
          <w:color w:val="auto"/>
          <w:szCs w:val="21"/>
          <w:highlight w:val="none"/>
        </w:rPr>
      </w:pPr>
      <w:r>
        <w:rPr>
          <w:rFonts w:hint="eastAsia" w:ascii="宋体" w:hAnsi="宋体"/>
          <w:color w:val="auto"/>
          <w:szCs w:val="21"/>
          <w:highlight w:val="none"/>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snapToGrid w:val="0"/>
        <w:spacing w:line="360" w:lineRule="exact"/>
        <w:ind w:firstLine="411" w:firstLineChars="196"/>
        <w:jc w:val="left"/>
        <w:rPr>
          <w:rFonts w:ascii="宋体" w:hAnsi="宋体"/>
          <w:b/>
          <w:color w:val="auto"/>
          <w:szCs w:val="21"/>
          <w:highlight w:val="none"/>
        </w:rPr>
      </w:pPr>
      <w:r>
        <w:rPr>
          <w:rFonts w:hint="eastAsia" w:ascii="宋体" w:hAnsi="宋体"/>
          <w:color w:val="auto"/>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line="360" w:lineRule="exact"/>
        <w:jc w:val="center"/>
        <w:rPr>
          <w:rFonts w:ascii="宋体" w:hAnsi="宋体" w:cs="宋体"/>
          <w:b/>
          <w:color w:val="auto"/>
          <w:kern w:val="0"/>
          <w:sz w:val="28"/>
          <w:szCs w:val="28"/>
          <w:highlight w:val="none"/>
        </w:rPr>
      </w:pPr>
      <w:r>
        <w:rPr>
          <w:rFonts w:hint="eastAsia" w:ascii="宋体" w:hAnsi="宋体"/>
          <w:b/>
          <w:color w:val="auto"/>
          <w:szCs w:val="21"/>
          <w:highlight w:val="none"/>
        </w:rPr>
        <w:t xml:space="preserve"> </w:t>
      </w:r>
    </w:p>
    <w:p>
      <w:pPr>
        <w:snapToGrid w:val="0"/>
        <w:spacing w:line="360" w:lineRule="exact"/>
        <w:jc w:val="center"/>
        <w:rPr>
          <w:rFonts w:ascii="宋体" w:hAnsi="宋体" w:cs="宋体"/>
          <w:b/>
          <w:color w:val="auto"/>
          <w:kern w:val="0"/>
          <w:sz w:val="28"/>
          <w:szCs w:val="28"/>
          <w:highlight w:val="none"/>
        </w:rPr>
      </w:pPr>
    </w:p>
    <w:p>
      <w:pPr>
        <w:snapToGrid w:val="0"/>
        <w:spacing w:line="36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参加政府采购活动前三年内在经营活动中没有重大违法记录的书面声明</w:t>
      </w:r>
    </w:p>
    <w:p>
      <w:pPr>
        <w:snapToGrid w:val="0"/>
        <w:spacing w:line="360" w:lineRule="exact"/>
        <w:jc w:val="center"/>
        <w:rPr>
          <w:rFonts w:ascii="宋体" w:hAnsi="宋体"/>
          <w:b/>
          <w:color w:val="auto"/>
          <w:szCs w:val="21"/>
          <w:highlight w:val="none"/>
        </w:rPr>
      </w:pPr>
      <w:r>
        <w:rPr>
          <w:rFonts w:hint="eastAsia" w:ascii="宋体" w:hAnsi="宋体"/>
          <w:b/>
          <w:color w:val="auto"/>
          <w:szCs w:val="21"/>
          <w:highlight w:val="none"/>
        </w:rPr>
        <w:t>（格式自拟，必须提供）</w:t>
      </w:r>
    </w:p>
    <w:p>
      <w:pPr>
        <w:snapToGrid w:val="0"/>
        <w:spacing w:line="360" w:lineRule="exact"/>
        <w:ind w:firstLine="413" w:firstLineChars="196"/>
        <w:jc w:val="center"/>
        <w:rPr>
          <w:rFonts w:ascii="宋体" w:hAnsi="宋体"/>
          <w:b/>
          <w:color w:val="auto"/>
          <w:szCs w:val="21"/>
          <w:highlight w:val="none"/>
        </w:rPr>
      </w:pPr>
    </w:p>
    <w:p>
      <w:pPr>
        <w:snapToGrid w:val="0"/>
        <w:spacing w:line="360" w:lineRule="exact"/>
        <w:ind w:firstLine="413" w:firstLineChars="196"/>
        <w:jc w:val="center"/>
        <w:rPr>
          <w:rFonts w:ascii="宋体" w:hAnsi="宋体"/>
          <w:b/>
          <w:color w:val="auto"/>
          <w:szCs w:val="21"/>
          <w:highlight w:val="none"/>
        </w:rPr>
      </w:pPr>
    </w:p>
    <w:p>
      <w:pPr>
        <w:snapToGrid w:val="0"/>
        <w:spacing w:line="360" w:lineRule="exact"/>
        <w:ind w:firstLine="413" w:firstLineChars="196"/>
        <w:jc w:val="center"/>
        <w:rPr>
          <w:rFonts w:ascii="宋体" w:hAnsi="宋体"/>
          <w:b/>
          <w:color w:val="auto"/>
          <w:szCs w:val="21"/>
          <w:highlight w:val="none"/>
        </w:rPr>
      </w:pPr>
    </w:p>
    <w:p>
      <w:pPr>
        <w:snapToGrid w:val="0"/>
        <w:spacing w:line="360" w:lineRule="exact"/>
        <w:ind w:firstLine="413" w:firstLineChars="196"/>
        <w:jc w:val="center"/>
        <w:rPr>
          <w:rFonts w:ascii="宋体" w:hAnsi="宋体"/>
          <w:b/>
          <w:color w:val="auto"/>
          <w:szCs w:val="21"/>
          <w:highlight w:val="none"/>
        </w:rPr>
      </w:pPr>
    </w:p>
    <w:p>
      <w:pPr>
        <w:snapToGrid w:val="0"/>
        <w:spacing w:before="156" w:beforeLines="50" w:line="340" w:lineRule="exact"/>
        <w:ind w:firstLine="3509" w:firstLineChars="1671"/>
        <w:rPr>
          <w:rFonts w:ascii="宋体" w:hAnsi="宋体"/>
          <w:color w:val="auto"/>
          <w:szCs w:val="21"/>
          <w:highlight w:val="none"/>
        </w:rPr>
      </w:pPr>
      <w:r>
        <w:rPr>
          <w:rFonts w:hint="eastAsia" w:ascii="宋体" w:hAnsi="宋体"/>
          <w:color w:val="auto"/>
          <w:szCs w:val="21"/>
          <w:highlight w:val="none"/>
        </w:rPr>
        <w:t>法定代表人（或机构负责人）或委托代理人</w:t>
      </w:r>
      <w:r>
        <w:rPr>
          <w:rFonts w:hint="eastAsia" w:ascii="宋体" w:hAnsi="宋体"/>
          <w:color w:val="auto"/>
          <w:sz w:val="24"/>
          <w:highlight w:val="none"/>
        </w:rPr>
        <w:t>签名（或签章）</w:t>
      </w:r>
      <w:r>
        <w:rPr>
          <w:rFonts w:hint="eastAsia" w:ascii="宋体" w:hAnsi="宋体"/>
          <w:color w:val="auto"/>
          <w:szCs w:val="21"/>
          <w:highlight w:val="none"/>
        </w:rPr>
        <w:t xml:space="preserve">：             </w:t>
      </w:r>
    </w:p>
    <w:p>
      <w:pPr>
        <w:snapToGrid w:val="0"/>
        <w:spacing w:before="156" w:beforeLines="50" w:after="50" w:line="340" w:lineRule="exact"/>
        <w:ind w:firstLine="3570" w:firstLineChars="1700"/>
        <w:rPr>
          <w:rFonts w:ascii="宋体" w:hAnsi="宋体"/>
          <w:color w:val="auto"/>
          <w:szCs w:val="21"/>
          <w:highlight w:val="none"/>
        </w:rPr>
      </w:pPr>
      <w:r>
        <w:rPr>
          <w:rFonts w:hint="eastAsia" w:ascii="宋体" w:hAnsi="宋体"/>
          <w:color w:val="auto"/>
          <w:szCs w:val="21"/>
          <w:highlight w:val="none"/>
        </w:rPr>
        <w:t xml:space="preserve">投标人公章：                                    </w:t>
      </w:r>
    </w:p>
    <w:p>
      <w:pPr>
        <w:pStyle w:val="29"/>
        <w:tabs>
          <w:tab w:val="left" w:pos="5580"/>
        </w:tabs>
        <w:spacing w:line="360" w:lineRule="auto"/>
        <w:ind w:left="1080" w:leftChars="257" w:hanging="540"/>
        <w:rPr>
          <w:rFonts w:ascii="仿宋_GB2312" w:hAnsi="宋体" w:eastAsia="仿宋_GB2312"/>
          <w:b/>
          <w:color w:val="auto"/>
          <w:sz w:val="24"/>
          <w:highlight w:val="none"/>
        </w:rPr>
      </w:pPr>
      <w:r>
        <w:rPr>
          <w:rFonts w:hint="eastAsia" w:hAnsi="宋体"/>
          <w:color w:val="auto"/>
          <w:highlight w:val="none"/>
        </w:rPr>
        <w:t xml:space="preserve">                                          年    月    日</w:t>
      </w:r>
    </w:p>
    <w:p>
      <w:pPr>
        <w:snapToGrid w:val="0"/>
        <w:spacing w:line="360" w:lineRule="exact"/>
        <w:ind w:firstLine="664" w:firstLineChars="368"/>
        <w:jc w:val="left"/>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说明:1.投标人应按照相关法规规定如实做出书面声明。</w:t>
      </w:r>
    </w:p>
    <w:p>
      <w:pPr>
        <w:snapToGrid w:val="0"/>
        <w:spacing w:line="360" w:lineRule="exact"/>
        <w:ind w:firstLine="1152" w:firstLineChars="638"/>
        <w:jc w:val="left"/>
        <w:rPr>
          <w:rFonts w:ascii="宋体" w:hAnsi="宋体" w:cs="宋体"/>
          <w:b/>
          <w:color w:val="auto"/>
          <w:kern w:val="0"/>
          <w:sz w:val="18"/>
          <w:szCs w:val="18"/>
          <w:highlight w:val="none"/>
        </w:rPr>
      </w:pPr>
      <w:r>
        <w:rPr>
          <w:rFonts w:hint="eastAsia" w:ascii="宋体" w:hAnsi="宋体" w:cs="宋体"/>
          <w:b/>
          <w:color w:val="auto"/>
          <w:kern w:val="0"/>
          <w:sz w:val="18"/>
          <w:szCs w:val="18"/>
          <w:highlight w:val="none"/>
        </w:rPr>
        <w:t>2．按照采购文件的规定盖章（自然人投标的无需盖章，需要</w:t>
      </w:r>
      <w:r>
        <w:rPr>
          <w:rFonts w:hint="eastAsia" w:ascii="宋体" w:hAnsi="宋体" w:cs="宋体"/>
          <w:b/>
          <w:color w:val="auto"/>
          <w:kern w:val="0"/>
          <w:sz w:val="18"/>
          <w:szCs w:val="18"/>
          <w:highlight w:val="none"/>
          <w:lang w:eastAsia="zh-CN"/>
        </w:rPr>
        <w:t>签字或签章</w:t>
      </w:r>
      <w:r>
        <w:rPr>
          <w:rFonts w:hint="eastAsia" w:ascii="宋体" w:hAnsi="宋体" w:cs="宋体"/>
          <w:b/>
          <w:color w:val="auto"/>
          <w:kern w:val="0"/>
          <w:sz w:val="18"/>
          <w:szCs w:val="18"/>
          <w:highlight w:val="none"/>
        </w:rPr>
        <w:t>）。</w:t>
      </w:r>
    </w:p>
    <w:bookmarkEnd w:id="11"/>
    <w:bookmarkEnd w:id="12"/>
    <w:p>
      <w:pPr>
        <w:snapToGrid w:val="0"/>
        <w:spacing w:before="50" w:after="156" w:afterLines="50" w:line="360" w:lineRule="exact"/>
        <w:jc w:val="left"/>
        <w:outlineLvl w:val="0"/>
        <w:rPr>
          <w:rFonts w:ascii="宋体" w:hAnsi="宋体"/>
          <w:b/>
          <w:color w:val="auto"/>
          <w:szCs w:val="21"/>
          <w:highlight w:val="none"/>
        </w:rPr>
      </w:pPr>
    </w:p>
    <w:p>
      <w:pPr>
        <w:snapToGrid w:val="0"/>
        <w:spacing w:before="50" w:after="156" w:afterLines="50" w:line="360" w:lineRule="exact"/>
        <w:jc w:val="left"/>
        <w:outlineLvl w:val="0"/>
        <w:rPr>
          <w:rFonts w:ascii="宋体" w:hAnsi="宋体"/>
          <w:b/>
          <w:color w:val="auto"/>
          <w:szCs w:val="21"/>
          <w:highlight w:val="none"/>
        </w:rPr>
      </w:pPr>
    </w:p>
    <w:p>
      <w:pPr>
        <w:snapToGrid w:val="0"/>
        <w:spacing w:before="50" w:after="156" w:afterLines="50" w:line="360" w:lineRule="exact"/>
        <w:jc w:val="left"/>
        <w:outlineLvl w:val="0"/>
        <w:rPr>
          <w:rFonts w:ascii="宋体" w:hAnsi="宋体"/>
          <w:b/>
          <w:color w:val="auto"/>
          <w:szCs w:val="21"/>
          <w:highlight w:val="none"/>
        </w:rPr>
      </w:pPr>
    </w:p>
    <w:p>
      <w:pPr>
        <w:snapToGrid w:val="0"/>
        <w:spacing w:before="50" w:after="156" w:afterLines="50" w:line="360" w:lineRule="exact"/>
        <w:jc w:val="left"/>
        <w:outlineLvl w:val="0"/>
        <w:rPr>
          <w:rFonts w:ascii="宋体" w:hAnsi="宋体"/>
          <w:b/>
          <w:color w:val="auto"/>
          <w:szCs w:val="21"/>
          <w:highlight w:val="none"/>
        </w:rPr>
      </w:pPr>
      <w:r>
        <w:rPr>
          <w:rFonts w:hint="eastAsia" w:ascii="宋体" w:hAnsi="宋体"/>
          <w:b/>
          <w:color w:val="auto"/>
          <w:szCs w:val="21"/>
          <w:highlight w:val="none"/>
        </w:rPr>
        <w:t>二）</w:t>
      </w:r>
      <w:r>
        <w:rPr>
          <w:rFonts w:hint="eastAsia" w:ascii="宋体" w:hAnsi="宋体"/>
          <w:b/>
          <w:bCs/>
          <w:color w:val="auto"/>
          <w:szCs w:val="21"/>
          <w:highlight w:val="none"/>
        </w:rPr>
        <w:t>资信及商务文件部分（格式）</w:t>
      </w:r>
    </w:p>
    <w:p>
      <w:pPr>
        <w:snapToGrid w:val="0"/>
        <w:spacing w:before="50" w:after="156" w:afterLines="50" w:line="360" w:lineRule="exact"/>
        <w:ind w:firstLine="204" w:firstLineChars="97"/>
        <w:jc w:val="left"/>
        <w:rPr>
          <w:rFonts w:ascii="宋体" w:hAnsi="宋体"/>
          <w:b/>
          <w:color w:val="auto"/>
          <w:szCs w:val="21"/>
          <w:highlight w:val="none"/>
        </w:rPr>
      </w:pPr>
      <w:r>
        <w:rPr>
          <w:rFonts w:hint="eastAsia" w:ascii="宋体" w:hAnsi="宋体"/>
          <w:b/>
          <w:bCs/>
          <w:color w:val="auto"/>
          <w:szCs w:val="21"/>
          <w:highlight w:val="none"/>
        </w:rPr>
        <w:t>（1）</w:t>
      </w:r>
      <w:r>
        <w:rPr>
          <w:rFonts w:hint="eastAsia" w:ascii="宋体" w:hAnsi="宋体"/>
          <w:color w:val="auto"/>
          <w:szCs w:val="21"/>
          <w:highlight w:val="none"/>
        </w:rPr>
        <w:t>投标保证金的相关证明扫描件或其他电子文件</w:t>
      </w:r>
    </w:p>
    <w:p>
      <w:pPr>
        <w:snapToGrid w:val="0"/>
        <w:spacing w:before="50" w:after="156" w:afterLines="50" w:line="360" w:lineRule="exact"/>
        <w:ind w:firstLine="204" w:firstLineChars="97"/>
        <w:jc w:val="left"/>
        <w:rPr>
          <w:rFonts w:ascii="宋体" w:hAnsi="宋体"/>
          <w:b/>
          <w:color w:val="auto"/>
          <w:szCs w:val="21"/>
          <w:highlight w:val="none"/>
        </w:rPr>
      </w:pPr>
    </w:p>
    <w:p>
      <w:pPr>
        <w:snapToGrid w:val="0"/>
        <w:spacing w:before="50" w:after="156" w:afterLines="50" w:line="360" w:lineRule="exact"/>
        <w:ind w:firstLine="204" w:firstLineChars="97"/>
        <w:jc w:val="left"/>
        <w:rPr>
          <w:rFonts w:ascii="宋体" w:hAnsi="宋体"/>
          <w:b/>
          <w:color w:val="auto"/>
          <w:szCs w:val="21"/>
          <w:highlight w:val="none"/>
        </w:rPr>
      </w:pPr>
      <w:r>
        <w:rPr>
          <w:rFonts w:hint="eastAsia" w:ascii="宋体" w:hAnsi="宋体"/>
          <w:b/>
          <w:color w:val="auto"/>
          <w:szCs w:val="21"/>
          <w:highlight w:val="none"/>
        </w:rPr>
        <w:t>（2）投标声明书格式：</w:t>
      </w:r>
    </w:p>
    <w:p>
      <w:pPr>
        <w:snapToGrid w:val="0"/>
        <w:spacing w:before="156" w:beforeLines="50" w:after="50" w:line="360" w:lineRule="exact"/>
        <w:jc w:val="center"/>
        <w:rPr>
          <w:rFonts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rPr>
        <w:t>投标声明书</w:t>
      </w:r>
    </w:p>
    <w:p>
      <w:pPr>
        <w:snapToGrid w:val="0"/>
        <w:spacing w:before="156" w:beforeLines="50" w:after="50" w:line="340" w:lineRule="exact"/>
        <w:rPr>
          <w:rFonts w:ascii="宋体" w:hAnsi="宋体"/>
          <w:color w:val="auto"/>
          <w:szCs w:val="21"/>
          <w:highlight w:val="none"/>
        </w:rPr>
      </w:pPr>
      <w:r>
        <w:rPr>
          <w:rFonts w:hint="eastAsia" w:ascii="宋体" w:hAnsi="宋体"/>
          <w:color w:val="auto"/>
          <w:szCs w:val="21"/>
          <w:highlight w:val="none"/>
        </w:rPr>
        <w:t>致：_</w:t>
      </w:r>
      <w:r>
        <w:rPr>
          <w:rFonts w:hint="eastAsia"/>
          <w:color w:val="auto"/>
          <w:highlight w:val="none"/>
          <w:u w:val="single"/>
        </w:rPr>
        <w:t>广西壮族自治区政府采购中心</w:t>
      </w:r>
      <w:r>
        <w:rPr>
          <w:rFonts w:hint="eastAsia" w:ascii="宋体" w:hAnsi="宋体"/>
          <w:color w:val="auto"/>
          <w:szCs w:val="21"/>
          <w:highlight w:val="none"/>
        </w:rPr>
        <w:t>：</w:t>
      </w:r>
    </w:p>
    <w:p>
      <w:pPr>
        <w:snapToGrid w:val="0"/>
        <w:spacing w:before="156" w:beforeLines="50" w:after="50" w:line="340" w:lineRule="exact"/>
        <w:ind w:firstLine="630" w:firstLineChars="300"/>
        <w:rPr>
          <w:rFonts w:ascii="宋体" w:hAnsi="宋体"/>
          <w:color w:val="auto"/>
          <w:szCs w:val="21"/>
          <w:highlight w:val="none"/>
        </w:rPr>
      </w:pPr>
      <w:r>
        <w:rPr>
          <w:rFonts w:hint="eastAsia" w:ascii="宋体" w:hAnsi="宋体"/>
          <w:color w:val="auto"/>
          <w:szCs w:val="21"/>
          <w:highlight w:val="none"/>
        </w:rPr>
        <w:t>______</w:t>
      </w:r>
      <w:r>
        <w:rPr>
          <w:rFonts w:hint="eastAsia" w:ascii="宋体" w:hAnsi="宋体"/>
          <w:color w:val="auto"/>
          <w:szCs w:val="21"/>
          <w:highlight w:val="none"/>
          <w:u w:val="single"/>
        </w:rPr>
        <w:t>_     _</w:t>
      </w:r>
      <w:r>
        <w:rPr>
          <w:rFonts w:hint="eastAsia" w:ascii="宋体" w:hAnsi="宋体"/>
          <w:color w:val="auto"/>
          <w:szCs w:val="21"/>
          <w:highlight w:val="none"/>
        </w:rPr>
        <w:t>_（投标人名称）系中华人民共和国合法企业，经营地址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napToGrid w:val="0"/>
        <w:spacing w:before="156" w:beforeLines="50" w:after="50" w:line="340" w:lineRule="exact"/>
        <w:ind w:firstLine="645"/>
        <w:rPr>
          <w:rFonts w:ascii="宋体" w:hAnsi="宋体"/>
          <w:color w:val="auto"/>
          <w:szCs w:val="21"/>
          <w:highlight w:val="none"/>
        </w:rPr>
      </w:pPr>
      <w:r>
        <w:rPr>
          <w:rFonts w:hint="eastAsia" w:ascii="宋体" w:hAnsi="宋体"/>
          <w:color w:val="auto"/>
          <w:szCs w:val="21"/>
          <w:highlight w:val="none"/>
        </w:rPr>
        <w:t>我___</w:t>
      </w:r>
      <w:r>
        <w:rPr>
          <w:rFonts w:hint="eastAsia" w:ascii="宋体" w:hAnsi="宋体"/>
          <w:color w:val="auto"/>
          <w:szCs w:val="21"/>
          <w:highlight w:val="none"/>
          <w:u w:val="single"/>
        </w:rPr>
        <w:t xml:space="preserve">    _</w:t>
      </w:r>
      <w:r>
        <w:rPr>
          <w:rFonts w:hint="eastAsia" w:ascii="宋体" w:hAnsi="宋体"/>
          <w:color w:val="auto"/>
          <w:szCs w:val="21"/>
          <w:highlight w:val="none"/>
        </w:rPr>
        <w:t>_（姓名）系______</w:t>
      </w:r>
      <w:r>
        <w:rPr>
          <w:rFonts w:hint="eastAsia" w:ascii="宋体" w:hAnsi="宋体"/>
          <w:color w:val="auto"/>
          <w:szCs w:val="21"/>
          <w:highlight w:val="none"/>
          <w:u w:val="single"/>
        </w:rPr>
        <w:t>_     _</w:t>
      </w:r>
      <w:r>
        <w:rPr>
          <w:rFonts w:hint="eastAsia" w:ascii="宋体" w:hAnsi="宋体"/>
          <w:color w:val="auto"/>
          <w:szCs w:val="21"/>
          <w:highlight w:val="none"/>
        </w:rPr>
        <w:t>_（投标人名称）的法定代表人，我方愿意参加贵方组织的_____</w:t>
      </w:r>
      <w:r>
        <w:rPr>
          <w:rFonts w:hint="eastAsia" w:ascii="宋体" w:hAnsi="宋体"/>
          <w:color w:val="auto"/>
          <w:szCs w:val="21"/>
          <w:highlight w:val="none"/>
          <w:u w:val="single"/>
        </w:rPr>
        <w:t>_              _     _</w:t>
      </w:r>
      <w:r>
        <w:rPr>
          <w:rFonts w:hint="eastAsia" w:ascii="宋体" w:hAnsi="宋体"/>
          <w:color w:val="auto"/>
          <w:szCs w:val="21"/>
          <w:highlight w:val="none"/>
        </w:rPr>
        <w:t>_项目的投标，为便于贵方公正、择优地确定中标人及其投标产品和服务，我方就本次投标有关事项郑重声明如下：</w:t>
      </w:r>
    </w:p>
    <w:p>
      <w:pPr>
        <w:snapToGrid w:val="0"/>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1.我方向贵方提交的所有投标文件、资料都是准确的和真实的。</w:t>
      </w:r>
    </w:p>
    <w:p>
      <w:pPr>
        <w:snapToGrid w:val="0"/>
        <w:spacing w:before="156" w:beforeLines="50" w:line="340" w:lineRule="exact"/>
        <w:ind w:firstLine="420" w:firstLineChars="200"/>
        <w:rPr>
          <w:rFonts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ascii="宋体" w:hAnsi="宋体"/>
          <w:color w:val="auto"/>
          <w:szCs w:val="21"/>
          <w:highlight w:val="none"/>
        </w:rPr>
      </w:pPr>
      <w:r>
        <w:rPr>
          <w:rFonts w:hint="eastAsia" w:ascii="宋体" w:hAnsi="宋体"/>
          <w:color w:val="auto"/>
          <w:szCs w:val="21"/>
          <w:highlight w:val="none"/>
        </w:rPr>
        <w:t>3.我方此次向贵方提供的产品名称为：</w:t>
      </w:r>
      <w:r>
        <w:rPr>
          <w:rFonts w:hint="eastAsia" w:ascii="宋体" w:hAnsi="宋体"/>
          <w:color w:val="auto"/>
          <w:szCs w:val="21"/>
          <w:highlight w:val="none"/>
          <w:u w:val="single"/>
        </w:rPr>
        <w:t xml:space="preserve">                 </w:t>
      </w:r>
      <w:r>
        <w:rPr>
          <w:rFonts w:hint="eastAsia" w:ascii="宋体" w:hAnsi="宋体"/>
          <w:color w:val="auto"/>
          <w:szCs w:val="21"/>
          <w:highlight w:val="none"/>
        </w:rPr>
        <w:t>；规格型号：</w:t>
      </w:r>
      <w:r>
        <w:rPr>
          <w:rFonts w:hint="eastAsia" w:ascii="宋体" w:hAnsi="宋体"/>
          <w:color w:val="auto"/>
          <w:szCs w:val="21"/>
          <w:highlight w:val="none"/>
          <w:u w:val="single"/>
        </w:rPr>
        <w:t xml:space="preserve">                     </w:t>
      </w:r>
      <w:r>
        <w:rPr>
          <w:rFonts w:hint="eastAsia" w:ascii="宋体" w:hAnsi="宋体"/>
          <w:color w:val="auto"/>
          <w:szCs w:val="21"/>
          <w:highlight w:val="none"/>
        </w:rPr>
        <w:t>；该型号产品我方有现货可供，并已于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月生产完工或向　</w:t>
      </w:r>
      <w:r>
        <w:rPr>
          <w:rFonts w:hint="eastAsia" w:ascii="宋体" w:hAnsi="宋体"/>
          <w:color w:val="auto"/>
          <w:szCs w:val="21"/>
          <w:highlight w:val="none"/>
          <w:u w:val="single"/>
        </w:rPr>
        <w:t xml:space="preserve">　              </w:t>
      </w:r>
      <w:r>
        <w:rPr>
          <w:rFonts w:hint="eastAsia" w:ascii="宋体" w:hAnsi="宋体"/>
          <w:color w:val="auto"/>
          <w:szCs w:val="21"/>
          <w:highlight w:val="none"/>
        </w:rPr>
        <w:t>（原厂商名称）购进［</w:t>
      </w:r>
      <w:r>
        <w:rPr>
          <w:rFonts w:hint="eastAsia" w:ascii="宋体" w:hAnsi="宋体"/>
          <w:b/>
          <w:bCs/>
          <w:color w:val="auto"/>
          <w:szCs w:val="21"/>
          <w:highlight w:val="none"/>
        </w:rPr>
        <w:t>或</w:t>
      </w:r>
      <w:r>
        <w:rPr>
          <w:rFonts w:hint="eastAsia" w:ascii="宋体" w:hAnsi="宋体"/>
          <w:color w:val="auto"/>
          <w:szCs w:val="21"/>
          <w:highlight w:val="none"/>
        </w:rPr>
        <w:t>需在中标后向</w:t>
      </w:r>
      <w:r>
        <w:rPr>
          <w:rFonts w:hint="eastAsia" w:ascii="宋体" w:hAnsi="宋体"/>
          <w:color w:val="auto"/>
          <w:szCs w:val="21"/>
          <w:highlight w:val="none"/>
          <w:u w:val="single"/>
        </w:rPr>
        <w:t xml:space="preserve">               </w:t>
      </w:r>
      <w:r>
        <w:rPr>
          <w:rFonts w:hint="eastAsia" w:ascii="宋体" w:hAnsi="宋体"/>
          <w:color w:val="auto"/>
          <w:szCs w:val="21"/>
          <w:highlight w:val="none"/>
        </w:rPr>
        <w:t>订购］。</w:t>
      </w:r>
    </w:p>
    <w:p>
      <w:pPr>
        <w:snapToGrid w:val="0"/>
        <w:spacing w:before="156" w:beforeLines="50" w:line="340" w:lineRule="exact"/>
        <w:ind w:firstLine="420" w:firstLineChars="200"/>
        <w:rPr>
          <w:rFonts w:ascii="宋体" w:hAnsi="宋体"/>
          <w:color w:val="auto"/>
          <w:szCs w:val="21"/>
          <w:highlight w:val="none"/>
        </w:rPr>
      </w:pPr>
      <w:r>
        <w:rPr>
          <w:rFonts w:hint="eastAsia" w:ascii="宋体" w:hAnsi="宋体"/>
          <w:color w:val="auto"/>
          <w:szCs w:val="21"/>
          <w:highlight w:val="none"/>
        </w:rPr>
        <w:t>4.我方诚意提请贵方关注：近期有关该型号产品的生产、供货、售后服务以及性能等方面的重大决策和事项有：</w:t>
      </w:r>
    </w:p>
    <w:p>
      <w:pPr>
        <w:snapToGrid w:val="0"/>
        <w:spacing w:before="156" w:beforeLines="50" w:line="34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　　　　　　　　　　　　　　　　　　　　　　　　　　　</w:t>
      </w:r>
    </w:p>
    <w:p>
      <w:pPr>
        <w:snapToGrid w:val="0"/>
        <w:spacing w:before="156" w:beforeLines="50" w:line="340" w:lineRule="exact"/>
        <w:ind w:firstLine="420" w:firstLineChars="200"/>
        <w:rPr>
          <w:rFonts w:ascii="宋体" w:hAnsi="宋体"/>
          <w:color w:val="auto"/>
          <w:szCs w:val="21"/>
          <w:highlight w:val="none"/>
        </w:rPr>
      </w:pPr>
      <w:r>
        <w:rPr>
          <w:rFonts w:hint="eastAsia" w:ascii="宋体" w:hAnsi="宋体"/>
          <w:color w:val="auto"/>
          <w:szCs w:val="21"/>
          <w:highlight w:val="none"/>
          <w:u w:val="single"/>
        </w:rPr>
        <w:t>　　　　　　　　　　　　　　　　　　　　　　　　　　　</w:t>
      </w:r>
    </w:p>
    <w:p>
      <w:pPr>
        <w:rPr>
          <w:rFonts w:ascii="宋体" w:hAnsi="宋体"/>
          <w:color w:val="auto"/>
          <w:szCs w:val="21"/>
          <w:highlight w:val="none"/>
        </w:rPr>
      </w:pPr>
      <w:r>
        <w:rPr>
          <w:rFonts w:hint="eastAsia" w:ascii="宋体" w:hAnsi="宋体"/>
          <w:color w:val="auto"/>
          <w:szCs w:val="21"/>
          <w:highlight w:val="none"/>
        </w:rPr>
        <w:t>5. 我方参加政府采购活动前三年内在经营活动中重大违法记录和不良信用记录情况：</w:t>
      </w:r>
    </w:p>
    <w:p>
      <w:pPr>
        <w:snapToGrid w:val="0"/>
        <w:spacing w:before="156" w:beforeLines="50" w:line="340" w:lineRule="exact"/>
        <w:ind w:firstLine="421" w:firstLineChars="200"/>
        <w:rPr>
          <w:rFonts w:ascii="宋体" w:hAnsi="宋体"/>
          <w:color w:val="auto"/>
          <w:szCs w:val="21"/>
          <w:highlight w:val="none"/>
          <w:u w:val="single"/>
        </w:rPr>
      </w:pPr>
      <w:r>
        <w:rPr>
          <w:rFonts w:hint="eastAsia" w:ascii="宋体" w:hAnsi="宋体"/>
          <w:b/>
          <w:color w:val="auto"/>
          <w:szCs w:val="21"/>
          <w:highlight w:val="none"/>
          <w:u w:val="single"/>
        </w:rPr>
        <w:t>　　　　　　</w:t>
      </w:r>
      <w:r>
        <w:rPr>
          <w:rFonts w:hint="eastAsia" w:ascii="宋体" w:hAnsi="宋体"/>
          <w:color w:val="auto"/>
          <w:szCs w:val="21"/>
          <w:highlight w:val="none"/>
          <w:u w:val="single"/>
        </w:rPr>
        <w:t>　　　　　　　　　　　　　　　　　　　　　</w:t>
      </w:r>
    </w:p>
    <w:p>
      <w:pPr>
        <w:snapToGrid w:val="0"/>
        <w:spacing w:before="156" w:beforeLines="50" w:line="340" w:lineRule="exact"/>
        <w:ind w:firstLine="420" w:firstLineChars="200"/>
        <w:rPr>
          <w:rFonts w:ascii="宋体" w:hAnsi="宋体"/>
          <w:color w:val="auto"/>
          <w:szCs w:val="21"/>
          <w:highlight w:val="none"/>
        </w:rPr>
      </w:pPr>
      <w:r>
        <w:rPr>
          <w:rFonts w:hint="eastAsia" w:ascii="宋体" w:hAnsi="宋体"/>
          <w:color w:val="auto"/>
          <w:szCs w:val="21"/>
          <w:highlight w:val="none"/>
        </w:rPr>
        <w:t>6.以上事项如有虚假或隐瞒，我方愿意承担一切后果。</w:t>
      </w:r>
    </w:p>
    <w:p>
      <w:pPr>
        <w:snapToGrid w:val="0"/>
        <w:spacing w:before="156" w:beforeLines="50" w:line="340" w:lineRule="exact"/>
        <w:ind w:firstLine="3509" w:firstLineChars="1671"/>
        <w:rPr>
          <w:rFonts w:ascii="宋体" w:hAnsi="宋体"/>
          <w:color w:val="auto"/>
          <w:szCs w:val="21"/>
          <w:highlight w:val="none"/>
          <w:u w:val="single"/>
        </w:rPr>
      </w:pPr>
      <w:r>
        <w:rPr>
          <w:rFonts w:hint="eastAsia" w:ascii="宋体" w:hAnsi="宋体"/>
          <w:color w:val="auto"/>
          <w:szCs w:val="21"/>
          <w:highlight w:val="none"/>
        </w:rPr>
        <w:t>法定代表人或委托代理人</w:t>
      </w:r>
      <w:r>
        <w:rPr>
          <w:rFonts w:hint="eastAsia" w:ascii="宋体" w:hAnsi="宋体"/>
          <w:color w:val="auto"/>
          <w:szCs w:val="21"/>
          <w:highlight w:val="none"/>
          <w:lang w:eastAsia="zh-CN"/>
        </w:rPr>
        <w:t>签字或签章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pPr>
        <w:snapToGrid w:val="0"/>
        <w:spacing w:before="156" w:beforeLines="50" w:after="50" w:line="340" w:lineRule="exact"/>
        <w:ind w:firstLine="3570" w:firstLineChars="1700"/>
        <w:rPr>
          <w:rFonts w:ascii="宋体" w:hAnsi="宋体"/>
          <w:color w:val="auto"/>
          <w:szCs w:val="21"/>
          <w:highlight w:val="none"/>
        </w:rPr>
      </w:pPr>
      <w:r>
        <w:rPr>
          <w:rFonts w:hint="eastAsia" w:ascii="宋体" w:hAnsi="宋体"/>
          <w:color w:val="auto"/>
          <w:szCs w:val="21"/>
          <w:highlight w:val="none"/>
        </w:rPr>
        <w:t>投标人公章：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napToGrid w:val="0"/>
        <w:spacing w:before="156" w:beforeLines="50" w:after="50" w:line="340" w:lineRule="exact"/>
        <w:ind w:firstLine="210" w:firstLineChars="100"/>
        <w:rPr>
          <w:rFonts w:ascii="宋体" w:hAnsi="宋体"/>
          <w:color w:val="auto"/>
          <w:szCs w:val="21"/>
          <w:highlight w:val="none"/>
        </w:rPr>
      </w:pPr>
      <w:r>
        <w:rPr>
          <w:rFonts w:hint="eastAsia" w:ascii="宋体" w:hAnsi="宋体"/>
          <w:color w:val="auto"/>
          <w:szCs w:val="21"/>
          <w:highlight w:val="none"/>
        </w:rPr>
        <w:t xml:space="preserve">                                          年    月    日</w:t>
      </w:r>
    </w:p>
    <w:p>
      <w:pPr>
        <w:widowControl/>
        <w:spacing w:before="100" w:beforeAutospacing="1" w:after="100" w:afterAutospacing="1" w:line="432" w:lineRule="auto"/>
        <w:ind w:firstLine="413" w:firstLineChars="196"/>
        <w:jc w:val="left"/>
        <w:rPr>
          <w:rFonts w:ascii="宋体" w:hAnsi="宋体"/>
          <w:b/>
          <w:color w:val="auto"/>
          <w:szCs w:val="21"/>
          <w:highlight w:val="none"/>
          <w:u w:val="single"/>
        </w:rPr>
      </w:pPr>
      <w:r>
        <w:rPr>
          <w:rFonts w:hint="eastAsia" w:ascii="宋体" w:hAnsi="宋体"/>
          <w:b/>
          <w:color w:val="auto"/>
          <w:szCs w:val="21"/>
          <w:highlight w:val="none"/>
          <w:u w:val="single"/>
        </w:rPr>
        <w:t>（重大违法记录，是指供应商因违法经营受到刑事处罚或者责令停产停业、吊销许可证或者执照、较大数额罚款等行政处罚。）</w:t>
      </w:r>
    </w:p>
    <w:p>
      <w:pPr>
        <w:snapToGrid w:val="0"/>
        <w:spacing w:before="50" w:after="156" w:afterLines="50" w:line="340" w:lineRule="exact"/>
        <w:jc w:val="left"/>
        <w:rPr>
          <w:rFonts w:ascii="宋体" w:hAnsi="宋体"/>
          <w:b/>
          <w:color w:val="auto"/>
          <w:szCs w:val="21"/>
          <w:highlight w:val="none"/>
        </w:rPr>
      </w:pPr>
    </w:p>
    <w:p>
      <w:pPr>
        <w:snapToGrid w:val="0"/>
        <w:spacing w:before="50" w:after="156" w:afterLines="50" w:line="340" w:lineRule="exact"/>
        <w:jc w:val="left"/>
        <w:rPr>
          <w:rFonts w:ascii="宋体" w:hAnsi="宋体"/>
          <w:b/>
          <w:color w:val="auto"/>
          <w:szCs w:val="21"/>
          <w:highlight w:val="none"/>
        </w:rPr>
      </w:pPr>
      <w:r>
        <w:rPr>
          <w:rFonts w:hint="eastAsia" w:ascii="宋体" w:hAnsi="宋体"/>
          <w:b/>
          <w:color w:val="auto"/>
          <w:szCs w:val="21"/>
          <w:highlight w:val="none"/>
        </w:rPr>
        <w:t>（3）法定代表人授权委托书格式：</w:t>
      </w:r>
    </w:p>
    <w:p>
      <w:pPr>
        <w:snapToGrid w:val="0"/>
        <w:spacing w:before="156" w:beforeLines="50" w:after="50" w:line="340" w:lineRule="exact"/>
        <w:jc w:val="center"/>
        <w:rPr>
          <w:rFonts w:ascii="仿宋_GB2312" w:hAnsi="宋体" w:eastAsia="仿宋_GB2312"/>
          <w:b/>
          <w:color w:val="auto"/>
          <w:sz w:val="30"/>
          <w:szCs w:val="30"/>
          <w:highlight w:val="none"/>
        </w:rPr>
      </w:pPr>
    </w:p>
    <w:p>
      <w:pPr>
        <w:snapToGrid w:val="0"/>
        <w:spacing w:before="156" w:beforeLines="50" w:after="50" w:line="340" w:lineRule="exact"/>
        <w:jc w:val="center"/>
        <w:rPr>
          <w:rFonts w:ascii="仿宋_GB2312" w:hAnsi="宋体" w:eastAsia="仿宋_GB2312"/>
          <w:b/>
          <w:color w:val="auto"/>
          <w:sz w:val="30"/>
          <w:szCs w:val="30"/>
          <w:highlight w:val="none"/>
        </w:rPr>
      </w:pPr>
    </w:p>
    <w:p>
      <w:pPr>
        <w:snapToGrid w:val="0"/>
        <w:spacing w:before="156" w:beforeLines="50" w:after="50" w:line="340" w:lineRule="exact"/>
        <w:jc w:val="center"/>
        <w:rPr>
          <w:rFonts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rPr>
        <w:t>法定代表人授权委托书</w:t>
      </w:r>
    </w:p>
    <w:p>
      <w:pPr>
        <w:snapToGrid w:val="0"/>
        <w:spacing w:before="156" w:beforeLines="50" w:after="50" w:line="480" w:lineRule="auto"/>
        <w:rPr>
          <w:rFonts w:ascii="宋体" w:hAnsi="宋体"/>
          <w:b/>
          <w:bCs/>
          <w:color w:val="auto"/>
          <w:szCs w:val="21"/>
          <w:highlight w:val="none"/>
        </w:rPr>
      </w:pPr>
      <w:r>
        <w:rPr>
          <w:rFonts w:hint="eastAsia" w:ascii="宋体" w:hAnsi="宋体"/>
          <w:bCs/>
          <w:color w:val="auto"/>
          <w:szCs w:val="21"/>
          <w:highlight w:val="none"/>
        </w:rPr>
        <w:t>致：</w:t>
      </w:r>
      <w:r>
        <w:rPr>
          <w:rFonts w:hint="eastAsia" w:ascii="宋体" w:hAnsi="宋体"/>
          <w:color w:val="auto"/>
          <w:szCs w:val="21"/>
          <w:highlight w:val="none"/>
        </w:rPr>
        <w:t>_</w:t>
      </w:r>
      <w:r>
        <w:rPr>
          <w:rFonts w:hint="eastAsia"/>
          <w:color w:val="auto"/>
          <w:highlight w:val="none"/>
          <w:u w:val="single"/>
        </w:rPr>
        <w:t>广西壮族自治区政府采购中心</w:t>
      </w:r>
      <w:r>
        <w:rPr>
          <w:rFonts w:hint="eastAsia" w:ascii="宋体" w:hAnsi="宋体"/>
          <w:color w:val="auto"/>
          <w:szCs w:val="21"/>
          <w:highlight w:val="none"/>
        </w:rPr>
        <w:t>：</w:t>
      </w:r>
    </w:p>
    <w:p>
      <w:pPr>
        <w:snapToGrid w:val="0"/>
        <w:spacing w:before="156" w:beforeLines="50" w:after="50" w:line="480" w:lineRule="auto"/>
        <w:ind w:firstLine="630" w:firstLineChars="300"/>
        <w:rPr>
          <w:rFonts w:ascii="宋体" w:hAnsi="宋体"/>
          <w:color w:val="auto"/>
          <w:szCs w:val="21"/>
          <w:highlight w:val="none"/>
        </w:rPr>
      </w:pPr>
      <w:r>
        <w:rPr>
          <w:rFonts w:hint="eastAsia" w:ascii="宋体" w:hAnsi="宋体"/>
          <w:color w:val="auto"/>
          <w:szCs w:val="21"/>
          <w:highlight w:val="none"/>
        </w:rPr>
        <w:t>我______</w:t>
      </w:r>
      <w:r>
        <w:rPr>
          <w:rFonts w:hint="eastAsia" w:ascii="宋体" w:hAnsi="宋体"/>
          <w:color w:val="auto"/>
          <w:szCs w:val="21"/>
          <w:highlight w:val="none"/>
          <w:u w:val="single"/>
        </w:rPr>
        <w:t>_     _</w:t>
      </w:r>
      <w:r>
        <w:rPr>
          <w:rFonts w:hint="eastAsia" w:ascii="宋体" w:hAnsi="宋体"/>
          <w:color w:val="auto"/>
          <w:szCs w:val="21"/>
          <w:highlight w:val="none"/>
        </w:rPr>
        <w:t>_（姓名）系______</w:t>
      </w:r>
      <w:r>
        <w:rPr>
          <w:rFonts w:hint="eastAsia" w:ascii="宋体" w:hAnsi="宋体"/>
          <w:color w:val="auto"/>
          <w:szCs w:val="21"/>
          <w:highlight w:val="none"/>
          <w:u w:val="single"/>
        </w:rPr>
        <w:t>_     _</w:t>
      </w:r>
      <w:r>
        <w:rPr>
          <w:rFonts w:hint="eastAsia" w:ascii="宋体" w:hAnsi="宋体"/>
          <w:color w:val="auto"/>
          <w:szCs w:val="21"/>
          <w:highlight w:val="none"/>
        </w:rPr>
        <w:t xml:space="preserve">_（投标人名称）的法定代表人，现授权委托本单位在职职工 </w:t>
      </w:r>
      <w:r>
        <w:rPr>
          <w:rFonts w:hint="eastAsia" w:ascii="宋体" w:hAnsi="宋体"/>
          <w:color w:val="auto"/>
          <w:szCs w:val="21"/>
          <w:highlight w:val="none"/>
          <w:u w:val="single"/>
        </w:rPr>
        <w:t xml:space="preserve">              </w:t>
      </w:r>
      <w:r>
        <w:rPr>
          <w:rFonts w:hint="eastAsia" w:ascii="宋体" w:hAnsi="宋体"/>
          <w:color w:val="auto"/>
          <w:szCs w:val="21"/>
          <w:highlight w:val="none"/>
        </w:rPr>
        <w:t>（姓名）以我方的名义参加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项目的投标活动，并代表我方全权办理针对上述项目的投标、开标、评标、签约等具体事务和签署相关文件。</w:t>
      </w:r>
    </w:p>
    <w:p>
      <w:pPr>
        <w:snapToGrid w:val="0"/>
        <w:spacing w:before="156" w:beforeLines="50" w:after="50" w:line="480" w:lineRule="auto"/>
        <w:rPr>
          <w:rFonts w:ascii="宋体" w:hAnsi="宋体"/>
          <w:color w:val="auto"/>
          <w:szCs w:val="21"/>
          <w:highlight w:val="none"/>
        </w:rPr>
      </w:pPr>
      <w:r>
        <w:rPr>
          <w:rFonts w:hint="eastAsia" w:ascii="宋体" w:hAnsi="宋体"/>
          <w:color w:val="auto"/>
          <w:szCs w:val="21"/>
          <w:highlight w:val="none"/>
        </w:rPr>
        <w:t xml:space="preserve">    我方对被授权人的签名事项负全部责任。</w:t>
      </w:r>
    </w:p>
    <w:p>
      <w:pPr>
        <w:snapToGrid w:val="0"/>
        <w:spacing w:before="156" w:beforeLines="50" w:after="50" w:line="480" w:lineRule="auto"/>
        <w:ind w:firstLine="480"/>
        <w:rPr>
          <w:rFonts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pPr>
        <w:snapToGrid w:val="0"/>
        <w:spacing w:before="156" w:beforeLines="50" w:after="50" w:line="480" w:lineRule="auto"/>
        <w:ind w:firstLine="480"/>
        <w:rPr>
          <w:rFonts w:ascii="宋体" w:hAnsi="宋体"/>
          <w:color w:val="auto"/>
          <w:szCs w:val="21"/>
          <w:highlight w:val="none"/>
        </w:rPr>
      </w:pPr>
      <w:r>
        <w:rPr>
          <w:rFonts w:hint="eastAsia" w:ascii="宋体" w:hAnsi="宋体"/>
          <w:color w:val="auto"/>
          <w:szCs w:val="21"/>
          <w:highlight w:val="none"/>
        </w:rPr>
        <w:t>被授权人无转委托权，特此委托。</w:t>
      </w:r>
    </w:p>
    <w:p>
      <w:pPr>
        <w:snapToGrid w:val="0"/>
        <w:spacing w:before="156" w:beforeLines="50" w:after="50" w:line="480" w:lineRule="auto"/>
        <w:rPr>
          <w:rFonts w:ascii="宋体" w:hAnsi="宋体"/>
          <w:color w:val="auto"/>
          <w:szCs w:val="21"/>
          <w:highlight w:val="none"/>
          <w:u w:val="single"/>
        </w:rPr>
      </w:pPr>
      <w:r>
        <w:rPr>
          <w:rFonts w:hint="eastAsia" w:ascii="宋体" w:hAnsi="宋体"/>
          <w:color w:val="auto"/>
          <w:szCs w:val="21"/>
          <w:highlight w:val="none"/>
        </w:rPr>
        <w:t>被授权人签字（或签章）：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法定代表人签字（或签章）：</w:t>
      </w:r>
      <w:r>
        <w:rPr>
          <w:rFonts w:hint="eastAsia" w:ascii="宋体" w:hAnsi="宋体"/>
          <w:color w:val="auto"/>
          <w:szCs w:val="21"/>
          <w:highlight w:val="none"/>
          <w:u w:val="single"/>
        </w:rPr>
        <w:t xml:space="preserve">          </w:t>
      </w:r>
    </w:p>
    <w:p>
      <w:pPr>
        <w:snapToGrid w:val="0"/>
        <w:spacing w:before="156" w:beforeLines="50" w:after="50" w:line="480" w:lineRule="auto"/>
        <w:rPr>
          <w:rFonts w:ascii="宋体" w:hAnsi="宋体"/>
          <w:color w:val="auto"/>
          <w:szCs w:val="21"/>
          <w:highlight w:val="none"/>
        </w:rPr>
      </w:pPr>
      <w:r>
        <w:rPr>
          <w:rFonts w:hint="eastAsia" w:ascii="宋体" w:hAnsi="宋体"/>
          <w:color w:val="auto"/>
          <w:szCs w:val="21"/>
          <w:highlight w:val="none"/>
        </w:rPr>
        <w:t>所在部门职务：</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职务：</w:t>
      </w:r>
      <w:r>
        <w:rPr>
          <w:rFonts w:hint="eastAsia" w:ascii="宋体" w:hAnsi="宋体"/>
          <w:color w:val="auto"/>
          <w:szCs w:val="21"/>
          <w:highlight w:val="none"/>
          <w:u w:val="single"/>
        </w:rPr>
        <w:t xml:space="preserve">           </w:t>
      </w:r>
    </w:p>
    <w:p>
      <w:pPr>
        <w:snapToGrid w:val="0"/>
        <w:spacing w:before="156" w:beforeLines="50" w:after="50" w:line="480" w:lineRule="auto"/>
        <w:rPr>
          <w:rFonts w:ascii="宋体" w:hAnsi="宋体"/>
          <w:color w:val="auto"/>
          <w:szCs w:val="21"/>
          <w:highlight w:val="none"/>
        </w:rPr>
      </w:pPr>
      <w:r>
        <w:rPr>
          <w:rFonts w:hint="eastAsia" w:ascii="宋体" w:hAnsi="宋体"/>
          <w:color w:val="auto"/>
          <w:szCs w:val="21"/>
          <w:highlight w:val="none"/>
        </w:rPr>
        <w:t>被授权人身份证号码：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napToGrid w:val="0"/>
        <w:spacing w:before="156" w:beforeLines="50" w:after="50" w:line="480" w:lineRule="auto"/>
        <w:rPr>
          <w:rFonts w:ascii="宋体" w:hAnsi="宋体"/>
          <w:color w:val="auto"/>
          <w:szCs w:val="21"/>
          <w:highlight w:val="none"/>
        </w:rPr>
      </w:pPr>
      <w:r>
        <w:rPr>
          <w:rFonts w:hint="eastAsia" w:ascii="宋体" w:hAnsi="宋体"/>
          <w:color w:val="auto"/>
          <w:szCs w:val="21"/>
          <w:highlight w:val="none"/>
        </w:rPr>
        <w:t>贴附“委托代理人身份证复印件”（正反两面）</w:t>
      </w:r>
    </w:p>
    <w:p>
      <w:pPr>
        <w:snapToGrid w:val="0"/>
        <w:spacing w:before="156" w:beforeLines="50" w:after="50" w:line="480" w:lineRule="auto"/>
        <w:rPr>
          <w:rFonts w:ascii="宋体" w:hAnsi="宋体"/>
          <w:color w:val="auto"/>
          <w:szCs w:val="21"/>
          <w:highlight w:val="none"/>
        </w:rPr>
      </w:pPr>
    </w:p>
    <w:p>
      <w:pPr>
        <w:snapToGrid w:val="0"/>
        <w:spacing w:before="156" w:beforeLines="50" w:after="50" w:line="480" w:lineRule="auto"/>
        <w:rPr>
          <w:rFonts w:ascii="宋体" w:hAnsi="宋体"/>
          <w:color w:val="auto"/>
          <w:szCs w:val="21"/>
          <w:highlight w:val="none"/>
        </w:rPr>
      </w:pPr>
    </w:p>
    <w:p>
      <w:pPr>
        <w:snapToGrid w:val="0"/>
        <w:spacing w:before="156" w:beforeLines="50" w:after="50" w:line="480" w:lineRule="auto"/>
        <w:rPr>
          <w:rFonts w:ascii="宋体" w:hAnsi="宋体"/>
          <w:color w:val="auto"/>
          <w:szCs w:val="21"/>
          <w:highlight w:val="none"/>
        </w:rPr>
      </w:pPr>
    </w:p>
    <w:p>
      <w:pPr>
        <w:snapToGrid w:val="0"/>
        <w:spacing w:before="156" w:beforeLines="50" w:after="50" w:line="480" w:lineRule="auto"/>
        <w:ind w:firstLine="4620" w:firstLineChars="2200"/>
        <w:rPr>
          <w:rFonts w:ascii="宋体" w:hAnsi="宋体"/>
          <w:color w:val="auto"/>
          <w:szCs w:val="21"/>
          <w:highlight w:val="none"/>
        </w:rPr>
      </w:pPr>
      <w:r>
        <w:rPr>
          <w:rFonts w:hint="eastAsia" w:ascii="宋体" w:hAnsi="宋体"/>
          <w:color w:val="auto"/>
          <w:szCs w:val="21"/>
          <w:highlight w:val="none"/>
        </w:rPr>
        <w:t xml:space="preserve">  投标人公章：</w:t>
      </w:r>
    </w:p>
    <w:p>
      <w:pPr>
        <w:snapToGrid w:val="0"/>
        <w:spacing w:before="156" w:beforeLines="50" w:after="50" w:line="480" w:lineRule="auto"/>
        <w:jc w:val="center"/>
        <w:rPr>
          <w:rFonts w:ascii="宋体" w:hAnsi="宋体"/>
          <w:color w:val="auto"/>
          <w:szCs w:val="21"/>
          <w:highlight w:val="none"/>
        </w:rPr>
      </w:pPr>
      <w:r>
        <w:rPr>
          <w:rFonts w:hint="eastAsia" w:ascii="宋体" w:hAnsi="宋体"/>
          <w:color w:val="auto"/>
          <w:szCs w:val="21"/>
          <w:highlight w:val="none"/>
        </w:rPr>
        <w:t xml:space="preserve">                                        年    月    日</w:t>
      </w:r>
    </w:p>
    <w:p>
      <w:pPr>
        <w:snapToGrid w:val="0"/>
        <w:spacing w:before="312" w:beforeLines="100" w:after="312" w:afterLines="100"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（4）投标截止之日前半年内投标人连续三个月的依法缴纳税费或依法免缴税费的证明（扫描件或其他电子文件，格式自拟）（</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无纳税记录的，应提供由投标人所在地主管国税或地税部门出具的《依法纳税或依法免税证明》（格式自拟，</w:t>
      </w:r>
      <w:r>
        <w:rPr>
          <w:rFonts w:hint="eastAsia" w:ascii="宋体" w:hAnsi="宋体"/>
          <w:b/>
          <w:color w:val="auto"/>
          <w:szCs w:val="21"/>
          <w:highlight w:val="none"/>
        </w:rPr>
        <w:t>扫描件或其他电子文件</w:t>
      </w:r>
      <w:r>
        <w:rPr>
          <w:rFonts w:hint="eastAsia" w:ascii="宋体" w:hAnsi="宋体"/>
          <w:color w:val="auto"/>
          <w:szCs w:val="21"/>
          <w:highlight w:val="none"/>
        </w:rPr>
        <w:t>）。</w:t>
      </w:r>
    </w:p>
    <w:p>
      <w:pPr>
        <w:snapToGrid w:val="0"/>
        <w:spacing w:before="312" w:beforeLines="100" w:after="312" w:afterLines="100" w:line="360" w:lineRule="exact"/>
        <w:ind w:firstLine="413" w:firstLineChars="196"/>
        <w:jc w:val="left"/>
        <w:rPr>
          <w:rFonts w:ascii="宋体" w:hAnsi="宋体"/>
          <w:b/>
          <w:color w:val="auto"/>
          <w:szCs w:val="21"/>
          <w:highlight w:val="none"/>
        </w:rPr>
      </w:pPr>
      <w:r>
        <w:rPr>
          <w:rFonts w:hint="eastAsia" w:ascii="宋体" w:hAnsi="宋体"/>
          <w:b/>
          <w:color w:val="auto"/>
          <w:szCs w:val="21"/>
          <w:highlight w:val="none"/>
        </w:rPr>
        <w:t>（5）投标截止之日前半年内投标人连续三个月的依法缴纳社保费的缴费凭证</w:t>
      </w:r>
      <w:r>
        <w:rPr>
          <w:rFonts w:hint="eastAsia" w:ascii="宋体" w:hAnsi="宋体"/>
          <w:color w:val="auto"/>
          <w:szCs w:val="21"/>
          <w:highlight w:val="none"/>
        </w:rPr>
        <w:t>（</w:t>
      </w:r>
      <w:r>
        <w:rPr>
          <w:rFonts w:hint="eastAsia" w:ascii="宋体" w:hAnsi="宋体"/>
          <w:b/>
          <w:color w:val="auto"/>
          <w:szCs w:val="21"/>
          <w:highlight w:val="none"/>
        </w:rPr>
        <w:t>扫描件或其他电子文件，格式自拟）（</w:t>
      </w:r>
      <w:r>
        <w:rPr>
          <w:rFonts w:hint="eastAsia" w:ascii="宋体" w:hAnsi="宋体"/>
          <w:b/>
          <w:color w:val="auto"/>
          <w:szCs w:val="21"/>
          <w:highlight w:val="none"/>
          <w:u w:val="single"/>
        </w:rPr>
        <w:t>必须提供</w:t>
      </w:r>
      <w:r>
        <w:rPr>
          <w:rFonts w:hint="eastAsia" w:ascii="宋体" w:hAnsi="宋体"/>
          <w:b/>
          <w:color w:val="auto"/>
          <w:szCs w:val="21"/>
          <w:highlight w:val="none"/>
        </w:rPr>
        <w:t>）；</w:t>
      </w:r>
      <w:r>
        <w:rPr>
          <w:rFonts w:hint="eastAsia" w:ascii="宋体" w:hAnsi="宋体"/>
          <w:color w:val="auto"/>
          <w:szCs w:val="21"/>
          <w:highlight w:val="none"/>
        </w:rPr>
        <w:t>无缴费记录的，应提供由投标人所在地社保部门出具的《依法缴纳或依法免缴社保费证明》（格式自拟，</w:t>
      </w:r>
      <w:r>
        <w:rPr>
          <w:rFonts w:hint="eastAsia" w:ascii="宋体" w:hAnsi="宋体"/>
          <w:b/>
          <w:color w:val="auto"/>
          <w:szCs w:val="21"/>
          <w:highlight w:val="none"/>
        </w:rPr>
        <w:t>扫描件或其他电子文件</w:t>
      </w:r>
      <w:r>
        <w:rPr>
          <w:rFonts w:hint="eastAsia" w:ascii="宋体" w:hAnsi="宋体"/>
          <w:color w:val="auto"/>
          <w:szCs w:val="21"/>
          <w:highlight w:val="none"/>
        </w:rPr>
        <w:t>）。</w:t>
      </w:r>
    </w:p>
    <w:p>
      <w:pPr>
        <w:snapToGrid w:val="0"/>
        <w:spacing w:before="312" w:beforeLines="100" w:after="312" w:afterLines="100" w:line="360" w:lineRule="exact"/>
        <w:ind w:firstLine="421" w:firstLineChars="200"/>
        <w:jc w:val="left"/>
        <w:rPr>
          <w:rFonts w:hAnsi="宋体"/>
          <w:b/>
          <w:color w:val="auto"/>
          <w:szCs w:val="21"/>
          <w:highlight w:val="none"/>
        </w:rPr>
      </w:pPr>
      <w:r>
        <w:rPr>
          <w:rFonts w:hint="eastAsia" w:hAnsi="宋体"/>
          <w:b/>
          <w:color w:val="auto"/>
          <w:szCs w:val="21"/>
          <w:highlight w:val="none"/>
        </w:rPr>
        <w:t>（6）财务状况报告（</w:t>
      </w:r>
      <w:r>
        <w:rPr>
          <w:rFonts w:hint="eastAsia" w:hAnsi="宋体"/>
          <w:b/>
          <w:color w:val="auto"/>
          <w:szCs w:val="21"/>
          <w:highlight w:val="none"/>
          <w:u w:val="single"/>
        </w:rPr>
        <w:t>格式自拟，必须提供</w:t>
      </w:r>
      <w:r>
        <w:rPr>
          <w:rFonts w:hint="eastAsia" w:hAnsi="宋体"/>
          <w:b/>
          <w:color w:val="auto"/>
          <w:szCs w:val="21"/>
          <w:highlight w:val="none"/>
        </w:rPr>
        <w:t>）；</w:t>
      </w:r>
    </w:p>
    <w:p>
      <w:pPr>
        <w:snapToGrid w:val="0"/>
        <w:spacing w:before="312" w:beforeLines="100" w:after="312" w:afterLines="100" w:line="360" w:lineRule="exact"/>
        <w:ind w:firstLine="413" w:firstLineChars="196"/>
        <w:jc w:val="left"/>
        <w:rPr>
          <w:rFonts w:hAnsi="宋体"/>
          <w:color w:val="auto"/>
          <w:szCs w:val="21"/>
          <w:highlight w:val="none"/>
        </w:rPr>
      </w:pPr>
      <w:r>
        <w:rPr>
          <w:rFonts w:hint="eastAsia" w:hAnsi="宋体" w:cs="宋体"/>
          <w:b/>
          <w:color w:val="auto"/>
          <w:kern w:val="0"/>
          <w:szCs w:val="21"/>
          <w:highlight w:val="none"/>
        </w:rPr>
        <w:t>（7）</w:t>
      </w:r>
      <w:r>
        <w:rPr>
          <w:rFonts w:hint="eastAsia" w:hAnsi="宋体"/>
          <w:b/>
          <w:color w:val="auto"/>
          <w:szCs w:val="21"/>
          <w:highlight w:val="none"/>
        </w:rPr>
        <w:t>具备履行合同所必需的设备和专业技术能力的证明材料（</w:t>
      </w:r>
      <w:r>
        <w:rPr>
          <w:rFonts w:hint="eastAsia" w:hAnsi="宋体"/>
          <w:b/>
          <w:color w:val="auto"/>
          <w:szCs w:val="21"/>
          <w:highlight w:val="none"/>
          <w:u w:val="single"/>
        </w:rPr>
        <w:t>内容、格式自拟，必须提供</w:t>
      </w:r>
      <w:r>
        <w:rPr>
          <w:rFonts w:hint="eastAsia" w:hAnsi="宋体"/>
          <w:b/>
          <w:color w:val="auto"/>
          <w:szCs w:val="21"/>
          <w:highlight w:val="none"/>
        </w:rPr>
        <w:t>）</w:t>
      </w:r>
      <w:r>
        <w:rPr>
          <w:rFonts w:hint="eastAsia" w:hAnsi="宋体" w:cs="宋体"/>
          <w:b/>
          <w:color w:val="auto"/>
          <w:kern w:val="0"/>
          <w:szCs w:val="21"/>
          <w:highlight w:val="none"/>
        </w:rPr>
        <w:t>；</w:t>
      </w:r>
    </w:p>
    <w:p>
      <w:pPr>
        <w:snapToGrid w:val="0"/>
        <w:spacing w:before="312" w:beforeLines="100" w:after="312" w:afterLines="100" w:line="360" w:lineRule="exact"/>
        <w:ind w:firstLine="411" w:firstLineChars="196"/>
        <w:jc w:val="left"/>
        <w:rPr>
          <w:rFonts w:hAnsi="宋体" w:cs="宋体"/>
          <w:color w:val="auto"/>
          <w:kern w:val="0"/>
          <w:szCs w:val="21"/>
          <w:highlight w:val="none"/>
        </w:rPr>
      </w:pPr>
      <w:r>
        <w:rPr>
          <w:rFonts w:hint="eastAsia" w:hAnsi="宋体" w:cs="宋体"/>
          <w:color w:val="auto"/>
          <w:kern w:val="0"/>
          <w:szCs w:val="21"/>
          <w:highlight w:val="none"/>
        </w:rPr>
        <w:t>（8）税务登记证</w:t>
      </w:r>
      <w:r>
        <w:rPr>
          <w:rFonts w:hint="eastAsia" w:ascii="宋体" w:hAnsi="宋体"/>
          <w:b/>
          <w:color w:val="auto"/>
          <w:szCs w:val="21"/>
          <w:highlight w:val="none"/>
        </w:rPr>
        <w:t>扫描件</w:t>
      </w:r>
      <w:r>
        <w:rPr>
          <w:rFonts w:hint="eastAsia" w:hAnsi="宋体" w:cs="宋体"/>
          <w:color w:val="auto"/>
          <w:kern w:val="0"/>
          <w:szCs w:val="21"/>
          <w:highlight w:val="none"/>
        </w:rPr>
        <w:t>；</w:t>
      </w:r>
    </w:p>
    <w:p>
      <w:pPr>
        <w:snapToGrid w:val="0"/>
        <w:spacing w:before="312" w:beforeLines="100" w:after="312" w:afterLines="100" w:line="360" w:lineRule="exact"/>
        <w:ind w:firstLine="411" w:firstLineChars="196"/>
        <w:jc w:val="left"/>
        <w:rPr>
          <w:rFonts w:hAnsi="宋体"/>
          <w:color w:val="auto"/>
          <w:szCs w:val="21"/>
          <w:highlight w:val="none"/>
        </w:rPr>
      </w:pPr>
      <w:r>
        <w:rPr>
          <w:rFonts w:hint="eastAsia" w:ascii="宋体" w:hAnsi="宋体"/>
          <w:color w:val="auto"/>
          <w:szCs w:val="21"/>
          <w:highlight w:val="none"/>
        </w:rPr>
        <w:t>（</w:t>
      </w:r>
      <w:r>
        <w:rPr>
          <w:rFonts w:hint="eastAsia" w:hAnsi="宋体"/>
          <w:color w:val="auto"/>
          <w:szCs w:val="21"/>
          <w:highlight w:val="none"/>
        </w:rPr>
        <w:t>9</w:t>
      </w:r>
      <w:r>
        <w:rPr>
          <w:rFonts w:hint="eastAsia" w:ascii="宋体" w:hAnsi="宋体"/>
          <w:color w:val="auto"/>
          <w:szCs w:val="21"/>
          <w:highlight w:val="none"/>
        </w:rPr>
        <w:t>）产品销售许可证；</w:t>
      </w:r>
    </w:p>
    <w:p>
      <w:pPr>
        <w:snapToGrid w:val="0"/>
        <w:spacing w:before="312" w:beforeLines="100" w:after="312" w:afterLines="100" w:line="360" w:lineRule="exact"/>
        <w:ind w:firstLine="411" w:firstLineChars="196"/>
        <w:jc w:val="left"/>
        <w:rPr>
          <w:rFonts w:hAnsi="宋体"/>
          <w:color w:val="auto"/>
          <w:szCs w:val="21"/>
          <w:highlight w:val="none"/>
        </w:rPr>
      </w:pPr>
      <w:r>
        <w:rPr>
          <w:rFonts w:hint="eastAsia" w:hAnsi="宋体"/>
          <w:color w:val="auto"/>
          <w:szCs w:val="21"/>
          <w:highlight w:val="none"/>
        </w:rPr>
        <w:t>（10）安全生产许可证扫描件、产品代理资格证明文件扫描件；</w:t>
      </w:r>
    </w:p>
    <w:p>
      <w:pPr>
        <w:snapToGrid w:val="0"/>
        <w:spacing w:before="50" w:line="360" w:lineRule="exact"/>
        <w:jc w:val="left"/>
        <w:rPr>
          <w:rFonts w:ascii="宋体" w:hAnsi="宋体"/>
          <w:b/>
          <w:color w:val="auto"/>
          <w:szCs w:val="21"/>
          <w:highlight w:val="none"/>
        </w:rPr>
      </w:pPr>
      <w:r>
        <w:rPr>
          <w:rFonts w:hint="eastAsia" w:ascii="宋体" w:hAnsi="宋体"/>
          <w:b/>
          <w:color w:val="auto"/>
          <w:szCs w:val="21"/>
          <w:highlight w:val="none"/>
        </w:rPr>
        <w:t>（11）商务响应表格式：</w:t>
      </w:r>
    </w:p>
    <w:p>
      <w:pPr>
        <w:snapToGrid w:val="0"/>
        <w:spacing w:before="50" w:line="360" w:lineRule="exact"/>
        <w:jc w:val="center"/>
        <w:rPr>
          <w:rFonts w:ascii="宋体" w:hAnsi="宋体"/>
          <w:color w:val="auto"/>
          <w:szCs w:val="21"/>
          <w:highlight w:val="none"/>
          <w:u w:val="single"/>
        </w:rPr>
      </w:pPr>
      <w:r>
        <w:rPr>
          <w:rFonts w:hint="eastAsia" w:ascii="宋体" w:hAnsi="宋体"/>
          <w:b/>
          <w:color w:val="auto"/>
          <w:szCs w:val="21"/>
          <w:highlight w:val="none"/>
        </w:rPr>
        <w:t>商务响应表</w:t>
      </w:r>
    </w:p>
    <w:p>
      <w:pPr>
        <w:snapToGrid w:val="0"/>
        <w:spacing w:before="50" w:line="360" w:lineRule="exact"/>
        <w:jc w:val="left"/>
        <w:rPr>
          <w:rFonts w:ascii="宋体" w:hAnsi="宋体"/>
          <w:color w:val="auto"/>
          <w:szCs w:val="21"/>
          <w:highlight w:val="none"/>
          <w:u w:val="single"/>
        </w:rPr>
      </w:pPr>
    </w:p>
    <w:tbl>
      <w:tblPr>
        <w:tblStyle w:val="5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955"/>
        <w:gridCol w:w="2625"/>
        <w:gridCol w:w="23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color w:val="auto"/>
                <w:szCs w:val="21"/>
                <w:highlight w:val="none"/>
              </w:rPr>
            </w:pPr>
            <w:r>
              <w:rPr>
                <w:rFonts w:hint="eastAsia" w:ascii="宋体" w:hAnsi="宋体"/>
                <w:color w:val="auto"/>
                <w:szCs w:val="21"/>
                <w:highlight w:val="none"/>
              </w:rPr>
              <w:t>项号</w:t>
            </w:r>
          </w:p>
        </w:tc>
        <w:tc>
          <w:tcPr>
            <w:tcW w:w="2955"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color w:val="auto"/>
                <w:szCs w:val="21"/>
                <w:highlight w:val="none"/>
              </w:rPr>
            </w:pPr>
            <w:r>
              <w:rPr>
                <w:rFonts w:hint="eastAsia" w:ascii="宋体" w:hAnsi="宋体"/>
                <w:color w:val="auto"/>
                <w:szCs w:val="21"/>
                <w:highlight w:val="none"/>
              </w:rPr>
              <w:t>招标文件要求</w:t>
            </w:r>
          </w:p>
        </w:tc>
        <w:tc>
          <w:tcPr>
            <w:tcW w:w="2625"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color w:val="auto"/>
                <w:szCs w:val="21"/>
                <w:highlight w:val="none"/>
              </w:rPr>
            </w:pPr>
            <w:r>
              <w:rPr>
                <w:rFonts w:hint="eastAsia" w:ascii="宋体" w:hAnsi="宋体"/>
                <w:color w:val="auto"/>
                <w:szCs w:val="21"/>
                <w:highlight w:val="none"/>
              </w:rPr>
              <w:t>是否提供并响应</w:t>
            </w:r>
          </w:p>
        </w:tc>
        <w:tc>
          <w:tcPr>
            <w:tcW w:w="23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color w:val="auto"/>
                <w:szCs w:val="21"/>
                <w:highlight w:val="none"/>
              </w:rPr>
            </w:pPr>
            <w:r>
              <w:rPr>
                <w:rFonts w:hint="eastAsia" w:ascii="宋体" w:hAnsi="宋体"/>
                <w:color w:val="auto"/>
                <w:szCs w:val="21"/>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r>
              <w:rPr>
                <w:rFonts w:hint="eastAsia" w:ascii="宋体" w:hAnsi="宋体"/>
                <w:color w:val="auto"/>
                <w:szCs w:val="21"/>
                <w:highlight w:val="none"/>
              </w:rPr>
              <w:t>1</w:t>
            </w:r>
          </w:p>
        </w:tc>
        <w:tc>
          <w:tcPr>
            <w:tcW w:w="29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r>
              <w:rPr>
                <w:rFonts w:hint="eastAsia" w:hAnsi="宋体" w:cs="宋体"/>
                <w:color w:val="auto"/>
                <w:szCs w:val="21"/>
                <w:highlight w:val="none"/>
              </w:rPr>
              <w:t>交付使用时间</w:t>
            </w:r>
            <w:r>
              <w:rPr>
                <w:rFonts w:hint="eastAsia" w:ascii="宋体" w:hAnsi="宋体" w:cs="宋体"/>
                <w:color w:val="auto"/>
                <w:kern w:val="0"/>
                <w:szCs w:val="21"/>
                <w:highlight w:val="none"/>
              </w:rPr>
              <w:t>：</w:t>
            </w:r>
            <w:r>
              <w:rPr>
                <w:rFonts w:hint="eastAsia" w:ascii="宋体" w:hAnsi="宋体"/>
                <w:color w:val="auto"/>
                <w:szCs w:val="21"/>
                <w:highlight w:val="none"/>
              </w:rPr>
              <w:t>…</w:t>
            </w:r>
          </w:p>
        </w:tc>
        <w:tc>
          <w:tcPr>
            <w:tcW w:w="2625" w:type="dxa"/>
            <w:tcBorders>
              <w:top w:val="single" w:color="auto" w:sz="4" w:space="0"/>
              <w:left w:val="single" w:color="auto" w:sz="4" w:space="0"/>
              <w:bottom w:val="single" w:color="auto" w:sz="4" w:space="0"/>
              <w:right w:val="single" w:color="auto" w:sz="4" w:space="0"/>
            </w:tcBorders>
            <w:vAlign w:val="center"/>
          </w:tcPr>
          <w:p>
            <w:pPr>
              <w:snapToGrid w:val="0"/>
              <w:ind w:firstLine="315" w:firstLineChars="150"/>
              <w:rPr>
                <w:rFonts w:ascii="宋体" w:hAnsi="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9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r>
              <w:rPr>
                <w:rFonts w:hint="eastAsia" w:ascii="宋体" w:hAnsi="宋体" w:cs="宋体"/>
                <w:color w:val="auto"/>
                <w:kern w:val="0"/>
                <w:szCs w:val="21"/>
                <w:highlight w:val="none"/>
              </w:rPr>
              <w:t>交货地点：</w:t>
            </w:r>
            <w:r>
              <w:rPr>
                <w:rFonts w:ascii="宋体" w:hAnsi="宋体"/>
                <w:color w:val="auto"/>
                <w:szCs w:val="21"/>
                <w:highlight w:val="none"/>
              </w:rPr>
              <w:t xml:space="preserve"> </w:t>
            </w:r>
            <w:r>
              <w:rPr>
                <w:rFonts w:hint="eastAsia" w:ascii="宋体" w:hAnsi="宋体"/>
                <w:color w:val="auto"/>
                <w:szCs w:val="21"/>
                <w:highlight w:val="none"/>
              </w:rPr>
              <w:t>…</w:t>
            </w:r>
          </w:p>
        </w:tc>
        <w:tc>
          <w:tcPr>
            <w:tcW w:w="262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9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r>
              <w:rPr>
                <w:rFonts w:hint="eastAsia" w:ascii="宋体" w:hAnsi="宋体" w:cs="宋体"/>
                <w:color w:val="auto"/>
                <w:kern w:val="0"/>
                <w:szCs w:val="21"/>
                <w:highlight w:val="none"/>
              </w:rPr>
              <w:t>付款方式：</w:t>
            </w:r>
            <w:r>
              <w:rPr>
                <w:rFonts w:hint="eastAsia" w:ascii="宋体" w:hAnsi="宋体"/>
                <w:color w:val="auto"/>
                <w:szCs w:val="21"/>
                <w:highlight w:val="none"/>
              </w:rPr>
              <w:t>…</w:t>
            </w:r>
          </w:p>
        </w:tc>
        <w:tc>
          <w:tcPr>
            <w:tcW w:w="2625" w:type="dxa"/>
            <w:tcBorders>
              <w:top w:val="single" w:color="auto" w:sz="4" w:space="0"/>
              <w:left w:val="single" w:color="auto" w:sz="4" w:space="0"/>
              <w:bottom w:val="single" w:color="auto" w:sz="4" w:space="0"/>
              <w:right w:val="single" w:color="auto" w:sz="4" w:space="0"/>
            </w:tcBorders>
            <w:vAlign w:val="center"/>
          </w:tcPr>
          <w:p>
            <w:pPr>
              <w:snapToGrid w:val="0"/>
              <w:ind w:left="43"/>
              <w:rPr>
                <w:rFonts w:ascii="宋体" w:hAnsi="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ind w:left="43"/>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2955" w:type="dxa"/>
            <w:tcBorders>
              <w:top w:val="single" w:color="auto" w:sz="4" w:space="0"/>
              <w:left w:val="single" w:color="auto" w:sz="4" w:space="0"/>
              <w:bottom w:val="single" w:color="auto" w:sz="4" w:space="0"/>
              <w:right w:val="single" w:color="auto" w:sz="4" w:space="0"/>
            </w:tcBorders>
            <w:vAlign w:val="center"/>
          </w:tcPr>
          <w:p>
            <w:pPr>
              <w:snapToGrid w:val="0"/>
              <w:ind w:left="105" w:hanging="105" w:hangingChars="50"/>
              <w:jc w:val="center"/>
              <w:rPr>
                <w:rFonts w:ascii="宋体" w:hAnsi="宋体"/>
                <w:color w:val="auto"/>
                <w:szCs w:val="21"/>
                <w:highlight w:val="none"/>
              </w:rPr>
            </w:pPr>
            <w:r>
              <w:rPr>
                <w:rFonts w:hint="eastAsia" w:ascii="宋体" w:hAnsi="宋体" w:cs="宋体"/>
                <w:color w:val="auto"/>
                <w:kern w:val="0"/>
                <w:szCs w:val="21"/>
                <w:highlight w:val="none"/>
              </w:rPr>
              <w:t>质保期：</w:t>
            </w:r>
            <w:r>
              <w:rPr>
                <w:rFonts w:hint="eastAsia" w:ascii="宋体" w:hAnsi="宋体"/>
                <w:color w:val="auto"/>
                <w:szCs w:val="21"/>
                <w:highlight w:val="none"/>
              </w:rPr>
              <w:t>…</w:t>
            </w:r>
          </w:p>
        </w:tc>
        <w:tc>
          <w:tcPr>
            <w:tcW w:w="262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r>
              <w:rPr>
                <w:rFonts w:hint="eastAsia" w:ascii="宋体" w:hAnsi="宋体"/>
                <w:color w:val="auto"/>
                <w:szCs w:val="21"/>
                <w:highlight w:val="none"/>
              </w:rPr>
              <w:t>…</w:t>
            </w:r>
          </w:p>
        </w:tc>
        <w:tc>
          <w:tcPr>
            <w:tcW w:w="29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Cs w:val="21"/>
                <w:highlight w:val="none"/>
              </w:rPr>
            </w:pPr>
            <w:r>
              <w:rPr>
                <w:rFonts w:hint="eastAsia" w:ascii="宋体" w:hAnsi="宋体"/>
                <w:color w:val="auto"/>
                <w:szCs w:val="21"/>
                <w:highlight w:val="none"/>
              </w:rPr>
              <w:t>…</w:t>
            </w:r>
          </w:p>
        </w:tc>
        <w:tc>
          <w:tcPr>
            <w:tcW w:w="262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Cs w:val="21"/>
                <w:highlight w:val="none"/>
              </w:rPr>
            </w:pPr>
          </w:p>
        </w:tc>
      </w:tr>
    </w:tbl>
    <w:p>
      <w:pPr>
        <w:snapToGrid w:val="0"/>
        <w:spacing w:before="50" w:after="50" w:line="360" w:lineRule="exact"/>
        <w:rPr>
          <w:rFonts w:ascii="宋体" w:hAnsi="宋体"/>
          <w:color w:val="auto"/>
          <w:spacing w:val="20"/>
          <w:szCs w:val="21"/>
          <w:highlight w:val="none"/>
        </w:rPr>
      </w:pPr>
    </w:p>
    <w:p>
      <w:pPr>
        <w:snapToGrid w:val="0"/>
        <w:spacing w:before="50" w:after="50" w:line="360" w:lineRule="exact"/>
        <w:ind w:firstLine="210" w:firstLineChars="100"/>
        <w:rPr>
          <w:rFonts w:ascii="宋体" w:hAnsi="宋体"/>
          <w:color w:val="auto"/>
          <w:spacing w:val="20"/>
          <w:szCs w:val="21"/>
          <w:highlight w:val="none"/>
          <w:u w:val="single"/>
        </w:rPr>
      </w:pPr>
      <w:r>
        <w:rPr>
          <w:rFonts w:hint="eastAsia" w:ascii="宋体" w:hAnsi="宋体"/>
          <w:color w:val="auto"/>
          <w:szCs w:val="21"/>
          <w:highlight w:val="none"/>
        </w:rPr>
        <w:t>法定代表人或委托代理人</w:t>
      </w:r>
      <w:r>
        <w:rPr>
          <w:rFonts w:hint="eastAsia" w:ascii="宋体" w:hAnsi="宋体"/>
          <w:color w:val="auto"/>
          <w:szCs w:val="21"/>
          <w:highlight w:val="none"/>
          <w:lang w:eastAsia="zh-CN"/>
        </w:rPr>
        <w:t>签字或签章</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pPr>
        <w:snapToGrid w:val="0"/>
        <w:spacing w:line="360" w:lineRule="exact"/>
        <w:ind w:firstLine="245" w:firstLineChars="98"/>
        <w:jc w:val="left"/>
        <w:rPr>
          <w:rFonts w:ascii="宋体" w:hAnsi="宋体"/>
          <w:color w:val="auto"/>
          <w:spacing w:val="20"/>
          <w:szCs w:val="21"/>
          <w:highlight w:val="none"/>
        </w:rPr>
      </w:pPr>
    </w:p>
    <w:p>
      <w:pPr>
        <w:snapToGrid w:val="0"/>
        <w:spacing w:line="360" w:lineRule="exact"/>
        <w:ind w:firstLine="245" w:firstLineChars="98"/>
        <w:jc w:val="left"/>
        <w:rPr>
          <w:rFonts w:ascii="宋体" w:hAnsi="宋体"/>
          <w:b/>
          <w:color w:val="auto"/>
          <w:szCs w:val="21"/>
          <w:highlight w:val="none"/>
        </w:rPr>
      </w:pPr>
      <w:r>
        <w:rPr>
          <w:rFonts w:hint="eastAsia" w:ascii="宋体" w:hAnsi="宋体"/>
          <w:color w:val="auto"/>
          <w:spacing w:val="20"/>
          <w:szCs w:val="21"/>
          <w:highlight w:val="none"/>
        </w:rPr>
        <w:t>投标人盖章：</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rPr>
        <w:t xml:space="preserve">              日 期：</w:t>
      </w:r>
      <w:r>
        <w:rPr>
          <w:rFonts w:hint="eastAsia" w:ascii="宋体" w:hAnsi="宋体"/>
          <w:color w:val="auto"/>
          <w:spacing w:val="20"/>
          <w:szCs w:val="21"/>
          <w:highlight w:val="none"/>
          <w:u w:val="single"/>
        </w:rPr>
        <w:t xml:space="preserve">          </w:t>
      </w:r>
    </w:p>
    <w:p>
      <w:pPr>
        <w:snapToGrid w:val="0"/>
        <w:spacing w:line="360" w:lineRule="exact"/>
        <w:ind w:firstLine="206" w:firstLineChars="98"/>
        <w:jc w:val="left"/>
        <w:rPr>
          <w:rFonts w:ascii="宋体" w:hAnsi="宋体"/>
          <w:b/>
          <w:color w:val="auto"/>
          <w:szCs w:val="21"/>
          <w:highlight w:val="none"/>
        </w:rPr>
      </w:pPr>
    </w:p>
    <w:p>
      <w:pPr>
        <w:snapToGrid w:val="0"/>
        <w:spacing w:line="360" w:lineRule="exact"/>
        <w:ind w:left="840" w:hanging="840" w:hangingChars="400"/>
        <w:jc w:val="left"/>
        <w:rPr>
          <w:rFonts w:ascii="宋体" w:hAnsi="宋体"/>
          <w:b/>
          <w:color w:val="auto"/>
          <w:szCs w:val="21"/>
          <w:highlight w:val="none"/>
        </w:rPr>
      </w:pPr>
      <w:r>
        <w:rPr>
          <w:rFonts w:hAnsi="宋体"/>
          <w:color w:val="auto"/>
          <w:highlight w:val="none"/>
        </w:rPr>
        <w:br w:type="page"/>
      </w:r>
      <w:r>
        <w:rPr>
          <w:rFonts w:hint="eastAsia" w:hAnsi="宋体"/>
          <w:color w:val="auto"/>
          <w:highlight w:val="none"/>
        </w:rPr>
        <w:t>▲</w:t>
      </w:r>
      <w:r>
        <w:rPr>
          <w:rFonts w:hint="eastAsia" w:ascii="宋体" w:hAnsi="宋体"/>
          <w:b/>
          <w:color w:val="auto"/>
          <w:szCs w:val="21"/>
          <w:highlight w:val="none"/>
        </w:rPr>
        <w:t>（12）招标项目采购需求中要求必须提供的材料等；</w:t>
      </w:r>
      <w:r>
        <w:rPr>
          <w:rFonts w:hint="eastAsia" w:ascii="宋体" w:hAnsi="宋体"/>
          <w:color w:val="auto"/>
          <w:szCs w:val="21"/>
          <w:highlight w:val="none"/>
        </w:rPr>
        <w:t>（招标项目采购需求中要求必须提供的材料，据实提供）</w:t>
      </w:r>
    </w:p>
    <w:p>
      <w:pPr>
        <w:snapToGrid w:val="0"/>
        <w:spacing w:before="312" w:beforeLines="100" w:after="312" w:afterLines="100" w:line="360" w:lineRule="exact"/>
        <w:ind w:firstLine="205" w:firstLineChars="98"/>
        <w:jc w:val="left"/>
        <w:rPr>
          <w:rFonts w:ascii="宋体" w:hAnsi="宋体"/>
          <w:b/>
          <w:color w:val="auto"/>
          <w:szCs w:val="21"/>
          <w:highlight w:val="none"/>
        </w:rPr>
      </w:pPr>
      <w:r>
        <w:rPr>
          <w:rFonts w:hint="eastAsia" w:ascii="宋体" w:hAnsi="宋体"/>
          <w:color w:val="auto"/>
          <w:szCs w:val="21"/>
          <w:highlight w:val="none"/>
        </w:rPr>
        <w:t>（13）具备法律、行政法规规定的其他条件的证明材料</w:t>
      </w:r>
      <w:r>
        <w:rPr>
          <w:rFonts w:hint="eastAsia" w:ascii="宋体" w:hAnsi="宋体"/>
          <w:b/>
          <w:color w:val="auto"/>
          <w:szCs w:val="21"/>
          <w:highlight w:val="none"/>
        </w:rPr>
        <w:t>；</w:t>
      </w:r>
      <w:r>
        <w:rPr>
          <w:rFonts w:hint="eastAsia" w:ascii="宋体" w:hAnsi="宋体"/>
          <w:color w:val="auto"/>
          <w:szCs w:val="21"/>
          <w:highlight w:val="none"/>
        </w:rPr>
        <w:t>（格式自拟）</w:t>
      </w:r>
    </w:p>
    <w:p>
      <w:pPr>
        <w:snapToGrid w:val="0"/>
        <w:spacing w:before="312" w:beforeLines="100" w:after="312" w:afterLines="100" w:line="360" w:lineRule="exact"/>
        <w:ind w:firstLine="205" w:firstLineChars="98"/>
        <w:jc w:val="left"/>
        <w:rPr>
          <w:rFonts w:ascii="宋体" w:hAnsi="宋体"/>
          <w:b/>
          <w:color w:val="auto"/>
          <w:szCs w:val="21"/>
          <w:highlight w:val="none"/>
        </w:rPr>
      </w:pPr>
      <w:r>
        <w:rPr>
          <w:rFonts w:hint="eastAsia" w:ascii="宋体" w:hAnsi="宋体"/>
          <w:color w:val="auto"/>
          <w:szCs w:val="21"/>
          <w:highlight w:val="none"/>
        </w:rPr>
        <w:t>（14）</w:t>
      </w:r>
      <w:r>
        <w:rPr>
          <w:rFonts w:hint="eastAsia" w:hAnsi="宋体"/>
          <w:color w:val="auto"/>
          <w:szCs w:val="21"/>
          <w:highlight w:val="none"/>
        </w:rPr>
        <w:t>类似案例成功的业绩（投标人同类项目实施情况一览表、合同扫描件）；</w:t>
      </w:r>
    </w:p>
    <w:p>
      <w:pPr>
        <w:snapToGrid w:val="0"/>
        <w:spacing w:before="312" w:beforeLines="100" w:after="312" w:afterLines="100" w:line="360" w:lineRule="exact"/>
        <w:ind w:firstLine="420" w:firstLineChars="200"/>
        <w:jc w:val="left"/>
        <w:rPr>
          <w:rFonts w:hAnsi="宋体"/>
          <w:color w:val="auto"/>
          <w:szCs w:val="21"/>
          <w:highlight w:val="none"/>
        </w:rPr>
      </w:pPr>
      <w:r>
        <w:rPr>
          <w:rFonts w:hint="eastAsia" w:ascii="宋体" w:hAnsi="宋体" w:cs="宋体"/>
          <w:color w:val="auto"/>
          <w:szCs w:val="21"/>
          <w:highlight w:val="none"/>
        </w:rPr>
        <w:t>（15）</w:t>
      </w:r>
      <w:r>
        <w:rPr>
          <w:rFonts w:hint="eastAsia" w:hAnsi="宋体"/>
          <w:color w:val="auto"/>
          <w:szCs w:val="21"/>
          <w:highlight w:val="none"/>
        </w:rPr>
        <w:t>其他特殊资质证书（如本地化服务能力等）；</w:t>
      </w:r>
    </w:p>
    <w:p>
      <w:pPr>
        <w:snapToGrid w:val="0"/>
        <w:spacing w:before="312" w:beforeLines="100" w:after="312" w:afterLines="100" w:line="360" w:lineRule="exact"/>
        <w:ind w:firstLine="411" w:firstLineChars="196"/>
        <w:jc w:val="left"/>
        <w:rPr>
          <w:rFonts w:hAnsi="宋体"/>
          <w:b/>
          <w:color w:val="auto"/>
          <w:szCs w:val="21"/>
          <w:highlight w:val="none"/>
        </w:rPr>
      </w:pPr>
      <w:r>
        <w:rPr>
          <w:rFonts w:hint="eastAsia" w:ascii="宋体" w:hAnsi="宋体" w:cs="宋体"/>
          <w:color w:val="auto"/>
          <w:szCs w:val="21"/>
          <w:highlight w:val="none"/>
        </w:rPr>
        <w:t>（16）</w:t>
      </w:r>
      <w:r>
        <w:rPr>
          <w:rFonts w:hint="eastAsia" w:hAnsi="宋体"/>
          <w:color w:val="auto"/>
          <w:szCs w:val="21"/>
          <w:highlight w:val="none"/>
        </w:rPr>
        <w:t>节能环保产品或政府强制采购节能产品清单证书</w:t>
      </w:r>
      <w:r>
        <w:rPr>
          <w:rFonts w:hint="eastAsia" w:hAnsi="宋体"/>
          <w:b/>
          <w:color w:val="auto"/>
          <w:szCs w:val="21"/>
          <w:highlight w:val="none"/>
        </w:rPr>
        <w:t>；</w:t>
      </w:r>
    </w:p>
    <w:p>
      <w:pPr>
        <w:snapToGrid w:val="0"/>
        <w:spacing w:before="312" w:beforeLines="100" w:after="312" w:afterLines="100" w:line="360" w:lineRule="exact"/>
        <w:ind w:firstLine="411" w:firstLineChars="196"/>
        <w:jc w:val="left"/>
        <w:rPr>
          <w:rFonts w:hAnsi="宋体"/>
          <w:color w:val="auto"/>
          <w:szCs w:val="21"/>
          <w:highlight w:val="none"/>
        </w:rPr>
      </w:pPr>
      <w:r>
        <w:rPr>
          <w:rFonts w:hint="eastAsia" w:ascii="宋体" w:hAnsi="宋体" w:cs="宋体"/>
          <w:color w:val="auto"/>
          <w:szCs w:val="21"/>
          <w:highlight w:val="none"/>
        </w:rPr>
        <w:t>（17）</w:t>
      </w:r>
      <w:r>
        <w:rPr>
          <w:rFonts w:hint="eastAsia" w:hAnsi="宋体"/>
          <w:color w:val="auto"/>
          <w:szCs w:val="21"/>
          <w:highlight w:val="none"/>
        </w:rPr>
        <w:t>投标人质量管理和质量保证体系等方面的认证证书；</w:t>
      </w:r>
    </w:p>
    <w:p>
      <w:pPr>
        <w:snapToGrid w:val="0"/>
        <w:spacing w:before="312" w:beforeLines="100" w:after="312" w:afterLines="100" w:line="360" w:lineRule="exact"/>
        <w:ind w:firstLine="411" w:firstLineChars="196"/>
        <w:jc w:val="left"/>
        <w:rPr>
          <w:rFonts w:hAnsi="宋体"/>
          <w:color w:val="auto"/>
          <w:szCs w:val="21"/>
          <w:highlight w:val="none"/>
        </w:rPr>
      </w:pPr>
      <w:r>
        <w:rPr>
          <w:rFonts w:hint="eastAsia" w:hAnsi="宋体"/>
          <w:color w:val="auto"/>
          <w:szCs w:val="21"/>
          <w:highlight w:val="none"/>
        </w:rPr>
        <w:t>（18）投标人认为可以证明其能力或业绩的其他材料；</w:t>
      </w:r>
    </w:p>
    <w:p>
      <w:pPr>
        <w:snapToGrid w:val="0"/>
        <w:spacing w:before="312" w:beforeLines="100" w:after="312" w:afterLines="100" w:line="360" w:lineRule="exact"/>
        <w:ind w:firstLine="411" w:firstLineChars="196"/>
        <w:jc w:val="left"/>
        <w:rPr>
          <w:rFonts w:hAnsi="宋体"/>
          <w:color w:val="auto"/>
          <w:szCs w:val="21"/>
          <w:highlight w:val="none"/>
        </w:rPr>
      </w:pPr>
      <w:r>
        <w:rPr>
          <w:rFonts w:hint="eastAsia" w:hAnsi="宋体"/>
          <w:color w:val="auto"/>
          <w:szCs w:val="21"/>
          <w:highlight w:val="none"/>
        </w:rPr>
        <w:t>（19）投标人关于产品生产时间、升级或者更新淘汰计划、配件供应以及本单位债务纠纷、违法违规记录等方面的情况（内容见投标声明书）；</w:t>
      </w:r>
    </w:p>
    <w:p>
      <w:pPr>
        <w:snapToGrid w:val="0"/>
        <w:spacing w:before="312" w:beforeLines="100" w:after="312" w:afterLines="100" w:line="360" w:lineRule="exact"/>
        <w:ind w:firstLine="411" w:firstLineChars="196"/>
        <w:jc w:val="left"/>
        <w:rPr>
          <w:rFonts w:hAnsi="宋体"/>
          <w:color w:val="auto"/>
          <w:szCs w:val="21"/>
          <w:highlight w:val="none"/>
        </w:rPr>
      </w:pPr>
      <w:r>
        <w:rPr>
          <w:rFonts w:hint="eastAsia" w:hAnsi="宋体"/>
          <w:color w:val="auto"/>
          <w:szCs w:val="21"/>
          <w:highlight w:val="none"/>
        </w:rPr>
        <w:t>（20）投标人情况介绍；</w:t>
      </w:r>
    </w:p>
    <w:p>
      <w:pPr>
        <w:snapToGrid w:val="0"/>
        <w:spacing w:line="360" w:lineRule="exact"/>
        <w:ind w:firstLine="415" w:firstLineChars="198"/>
        <w:jc w:val="left"/>
        <w:rPr>
          <w:rFonts w:ascii="宋体" w:hAns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（21）</w:t>
      </w:r>
      <w:r>
        <w:rPr>
          <w:rFonts w:ascii="宋体" w:hAnsi="宋体"/>
          <w:color w:val="auto"/>
          <w:highlight w:val="none"/>
        </w:rPr>
        <w:t>中小企业声明函</w:t>
      </w:r>
      <w:r>
        <w:rPr>
          <w:rFonts w:hint="eastAsia" w:ascii="宋体" w:hAnsi="宋体"/>
          <w:color w:val="auto"/>
          <w:highlight w:val="none"/>
        </w:rPr>
        <w:t>格式：</w:t>
      </w:r>
    </w:p>
    <w:p>
      <w:pPr>
        <w:pStyle w:val="402"/>
        <w:spacing w:after="0"/>
        <w:rPr>
          <w:color w:val="auto"/>
          <w:highlight w:val="none"/>
        </w:rPr>
      </w:pPr>
      <w:r>
        <w:rPr>
          <w:color w:val="auto"/>
          <w:highlight w:val="none"/>
        </w:rPr>
        <w:t>中小企业声明函</w:t>
      </w:r>
    </w:p>
    <w:p>
      <w:pPr>
        <w:pStyle w:val="402"/>
        <w:spacing w:after="0"/>
        <w:rPr>
          <w:color w:val="auto"/>
          <w:highlight w:val="none"/>
        </w:rPr>
      </w:pPr>
    </w:p>
    <w:p>
      <w:pPr>
        <w:pStyle w:val="404"/>
        <w:spacing w:line="506" w:lineRule="exact"/>
        <w:ind w:firstLine="640"/>
        <w:jc w:val="both"/>
        <w:rPr>
          <w:color w:val="auto"/>
          <w:sz w:val="21"/>
          <w:szCs w:val="21"/>
          <w:highlight w:val="none"/>
        </w:rPr>
      </w:pPr>
      <w:r>
        <w:rPr>
          <w:color w:val="auto"/>
          <w:sz w:val="21"/>
          <w:szCs w:val="21"/>
          <w:highlight w:val="none"/>
        </w:rPr>
        <w:t>本公司（联合体）郑重声明，根据《政府采购促进中小企业发展管理办法》（财库〔2020〕46号）的规定，本公司 （联合体）参加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color w:val="auto"/>
          <w:sz w:val="21"/>
          <w:szCs w:val="21"/>
          <w:highlight w:val="none"/>
        </w:rPr>
        <w:t>釆购活动,提供的货物全部由符合政策要求的中小企业制造。相关企业（含联合体中的中小企业、签订分包意向协议的中小企业）的具体情况如下</w:t>
      </w:r>
      <w:bookmarkStart w:id="13" w:name="bookmark1"/>
      <w:bookmarkEnd w:id="13"/>
      <w:r>
        <w:rPr>
          <w:rFonts w:hint="eastAsia"/>
          <w:color w:val="auto"/>
          <w:sz w:val="21"/>
          <w:szCs w:val="21"/>
          <w:highlight w:val="none"/>
        </w:rPr>
        <w:t>：</w:t>
      </w:r>
    </w:p>
    <w:p>
      <w:pPr>
        <w:pStyle w:val="404"/>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color w:val="auto"/>
          <w:sz w:val="21"/>
          <w:szCs w:val="21"/>
          <w:highlight w:val="none"/>
        </w:rPr>
        <w:t>制造商为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pPr>
        <w:pStyle w:val="404"/>
        <w:spacing w:line="506" w:lineRule="exact"/>
        <w:ind w:firstLine="640"/>
        <w:jc w:val="both"/>
        <w:rPr>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color w:val="auto"/>
          <w:sz w:val="21"/>
          <w:szCs w:val="21"/>
          <w:highlight w:val="none"/>
        </w:rPr>
        <w:t>制造商为</w:t>
      </w:r>
      <w:r>
        <w:rPr>
          <w:color w:val="auto"/>
          <w:sz w:val="21"/>
          <w:szCs w:val="21"/>
          <w:highlight w:val="none"/>
          <w:u w:val="single"/>
        </w:rPr>
        <w:t>（企业名称）</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 企业、微型企业）</w:t>
      </w:r>
      <w:r>
        <w:rPr>
          <w:rFonts w:hint="eastAsia"/>
          <w:color w:val="auto"/>
          <w:sz w:val="21"/>
          <w:szCs w:val="21"/>
          <w:highlight w:val="none"/>
        </w:rPr>
        <w:t>；</w:t>
      </w:r>
    </w:p>
    <w:p>
      <w:pPr>
        <w:pStyle w:val="404"/>
        <w:spacing w:line="506" w:lineRule="exact"/>
        <w:ind w:firstLine="640"/>
        <w:jc w:val="both"/>
        <w:rPr>
          <w:color w:val="auto"/>
          <w:sz w:val="21"/>
          <w:szCs w:val="21"/>
          <w:highlight w:val="none"/>
        </w:rPr>
      </w:pPr>
      <w:r>
        <w:rPr>
          <w:rFonts w:hint="eastAsia"/>
          <w:color w:val="auto"/>
          <w:sz w:val="21"/>
          <w:szCs w:val="21"/>
          <w:highlight w:val="none"/>
        </w:rPr>
        <w:t>......</w:t>
      </w:r>
    </w:p>
    <w:p>
      <w:pPr>
        <w:pStyle w:val="404"/>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pPr>
        <w:pStyle w:val="404"/>
        <w:spacing w:after="40" w:line="499" w:lineRule="exact"/>
        <w:ind w:firstLine="640"/>
        <w:jc w:val="both"/>
        <w:rPr>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pPr>
        <w:pStyle w:val="404"/>
        <w:spacing w:after="40" w:line="499" w:lineRule="exact"/>
        <w:ind w:firstLine="640"/>
        <w:jc w:val="both"/>
        <w:rPr>
          <w:color w:val="auto"/>
          <w:sz w:val="21"/>
          <w:szCs w:val="21"/>
          <w:highlight w:val="none"/>
        </w:rPr>
      </w:pPr>
    </w:p>
    <w:p>
      <w:pPr>
        <w:pStyle w:val="404"/>
        <w:spacing w:line="506" w:lineRule="exact"/>
        <w:ind w:firstLine="640"/>
        <w:jc w:val="both"/>
        <w:rPr>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pPr>
        <w:pStyle w:val="404"/>
        <w:spacing w:line="506" w:lineRule="exact"/>
        <w:ind w:firstLine="640"/>
        <w:jc w:val="both"/>
        <w:rPr>
          <w:color w:val="auto"/>
          <w:sz w:val="21"/>
          <w:szCs w:val="21"/>
          <w:highlight w:val="none"/>
        </w:rPr>
      </w:pPr>
      <w:r>
        <w:rPr>
          <w:rFonts w:hint="eastAsia"/>
          <w:color w:val="auto"/>
          <w:sz w:val="21"/>
          <w:szCs w:val="21"/>
          <w:highlight w:val="none"/>
        </w:rPr>
        <w:t xml:space="preserve">                          日期：</w:t>
      </w:r>
    </w:p>
    <w:p>
      <w:pPr>
        <w:pStyle w:val="402"/>
        <w:spacing w:after="0"/>
        <w:rPr>
          <w:color w:val="auto"/>
          <w:sz w:val="21"/>
          <w:szCs w:val="21"/>
          <w:highlight w:val="none"/>
        </w:rPr>
      </w:pPr>
    </w:p>
    <w:p>
      <w:pPr>
        <w:pStyle w:val="402"/>
        <w:spacing w:after="0"/>
        <w:rPr>
          <w:color w:val="auto"/>
          <w:highlight w:val="none"/>
        </w:rPr>
      </w:pPr>
    </w:p>
    <w:p>
      <w:pPr>
        <w:pStyle w:val="402"/>
        <w:adjustRightInd w:val="0"/>
        <w:snapToGrid w:val="0"/>
        <w:spacing w:after="0" w:line="360" w:lineRule="exact"/>
        <w:jc w:val="left"/>
        <w:rPr>
          <w:color w:val="auto"/>
          <w:sz w:val="18"/>
          <w:szCs w:val="18"/>
          <w:highlight w:val="none"/>
        </w:rPr>
      </w:pPr>
      <w:r>
        <w:rPr>
          <w:color w:val="auto"/>
          <w:sz w:val="18"/>
          <w:szCs w:val="18"/>
          <w:highlight w:val="none"/>
        </w:rPr>
        <w:t>备注：</w:t>
      </w:r>
    </w:p>
    <w:p>
      <w:pPr>
        <w:pStyle w:val="402"/>
        <w:adjustRightInd w:val="0"/>
        <w:snapToGrid w:val="0"/>
        <w:spacing w:after="0" w:line="360" w:lineRule="exact"/>
        <w:jc w:val="left"/>
        <w:rPr>
          <w:color w:val="auto"/>
          <w:sz w:val="18"/>
          <w:szCs w:val="18"/>
          <w:highlight w:val="none"/>
        </w:rPr>
      </w:pPr>
      <w:r>
        <w:rPr>
          <w:rFonts w:hint="eastAsia"/>
          <w:color w:val="auto"/>
          <w:sz w:val="18"/>
          <w:szCs w:val="18"/>
          <w:highlight w:val="none"/>
        </w:rPr>
        <w:t>1、</w:t>
      </w:r>
      <w:r>
        <w:rPr>
          <w:color w:val="auto"/>
          <w:sz w:val="18"/>
          <w:szCs w:val="18"/>
          <w:highlight w:val="none"/>
        </w:rPr>
        <w:t>从业人员、营业收入、资产总额填报上一年度数据，无上一年度数据的新成立企业可不填报。</w:t>
      </w:r>
    </w:p>
    <w:p>
      <w:pPr>
        <w:pStyle w:val="402"/>
        <w:adjustRightInd w:val="0"/>
        <w:snapToGrid w:val="0"/>
        <w:spacing w:after="0" w:line="360" w:lineRule="exact"/>
        <w:jc w:val="left"/>
        <w:rPr>
          <w:color w:val="auto"/>
          <w:sz w:val="18"/>
          <w:szCs w:val="18"/>
          <w:highlight w:val="none"/>
        </w:rPr>
      </w:pPr>
      <w:r>
        <w:rPr>
          <w:rFonts w:hint="eastAsia"/>
          <w:color w:val="auto"/>
          <w:sz w:val="18"/>
          <w:szCs w:val="18"/>
          <w:highlight w:val="none"/>
        </w:rPr>
        <w:t>2、采购文件中明确的所属行业名称是根据《关于印发中小企业划型标准规定的通知》（工信部联企业[2011]300号）规定确定。</w:t>
      </w:r>
    </w:p>
    <w:p>
      <w:pPr>
        <w:pStyle w:val="402"/>
        <w:spacing w:after="0"/>
        <w:rPr>
          <w:color w:val="auto"/>
          <w:sz w:val="21"/>
          <w:szCs w:val="21"/>
          <w:highlight w:val="none"/>
        </w:rPr>
      </w:pPr>
    </w:p>
    <w:p>
      <w:pPr>
        <w:pStyle w:val="402"/>
        <w:spacing w:after="0"/>
        <w:rPr>
          <w:color w:val="auto"/>
          <w:sz w:val="21"/>
          <w:szCs w:val="21"/>
          <w:highlight w:val="none"/>
        </w:rPr>
      </w:pPr>
    </w:p>
    <w:p>
      <w:pPr>
        <w:snapToGrid w:val="0"/>
        <w:spacing w:line="360" w:lineRule="exact"/>
        <w:ind w:firstLine="206" w:firstLineChars="98"/>
        <w:jc w:val="left"/>
        <w:rPr>
          <w:rFonts w:ascii="宋体" w:hAnsi="宋体"/>
          <w:b/>
          <w:color w:val="auto"/>
          <w:szCs w:val="21"/>
          <w:highlight w:val="none"/>
        </w:rPr>
      </w:pPr>
    </w:p>
    <w:p>
      <w:pPr>
        <w:pStyle w:val="15"/>
        <w:snapToGrid w:val="0"/>
        <w:spacing w:line="360" w:lineRule="exact"/>
        <w:rPr>
          <w:rFonts w:ascii="宋体" w:hAnsi="宋体" w:eastAsia="宋体"/>
          <w:color w:val="auto"/>
          <w:sz w:val="21"/>
          <w:szCs w:val="21"/>
          <w:highlight w:val="none"/>
        </w:rPr>
      </w:pPr>
    </w:p>
    <w:p>
      <w:pPr>
        <w:snapToGrid w:val="0"/>
        <w:spacing w:line="360" w:lineRule="exact"/>
        <w:ind w:firstLine="516" w:firstLineChars="246"/>
        <w:jc w:val="left"/>
        <w:rPr>
          <w:rFonts w:ascii="宋体" w:hAnsi="宋体"/>
          <w:b/>
          <w:color w:val="auto"/>
          <w:szCs w:val="21"/>
          <w:highlight w:val="none"/>
        </w:rPr>
      </w:pPr>
      <w:r>
        <w:rPr>
          <w:rFonts w:hint="eastAsia" w:ascii="宋体" w:hAnsi="宋体"/>
          <w:color w:val="auto"/>
          <w:szCs w:val="21"/>
          <w:highlight w:val="none"/>
        </w:rPr>
        <w:br w:type="page"/>
      </w:r>
      <w:r>
        <w:rPr>
          <w:rFonts w:hint="eastAsia" w:ascii="宋体" w:hAnsi="宋体"/>
          <w:b/>
          <w:color w:val="auto"/>
          <w:szCs w:val="21"/>
          <w:highlight w:val="none"/>
        </w:rPr>
        <w:t>三）、技术文件部分（格式）</w:t>
      </w:r>
    </w:p>
    <w:p>
      <w:pPr>
        <w:snapToGrid w:val="0"/>
        <w:spacing w:before="50" w:after="156" w:afterLines="50" w:line="360" w:lineRule="exact"/>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color w:val="auto"/>
          <w:szCs w:val="21"/>
          <w:highlight w:val="none"/>
        </w:rPr>
        <w:t>对本项目系统总体要求的理解（包括：功能说明、性能指标、设备选型说明以及质量、性能、价格、外观、体积等方面进行比较和选择的理由和过程，格式自拟）</w:t>
      </w:r>
    </w:p>
    <w:p>
      <w:pPr>
        <w:snapToGrid w:val="0"/>
        <w:spacing w:before="50" w:after="156" w:afterLines="50" w:line="360" w:lineRule="exact"/>
        <w:jc w:val="left"/>
        <w:rPr>
          <w:rFonts w:ascii="宋体" w:hAnsi="宋体"/>
          <w:b/>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rPr>
        <w:t>技术响应表格式：</w:t>
      </w:r>
      <w:r>
        <w:rPr>
          <w:rFonts w:hint="eastAsia" w:ascii="宋体" w:hAnsi="宋体"/>
          <w:b/>
          <w:color w:val="auto"/>
          <w:szCs w:val="21"/>
          <w:highlight w:val="none"/>
        </w:rPr>
        <w:t xml:space="preserve"> </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hAnsi="宋体"/>
                <w:color w:val="auto"/>
                <w:highlight w:val="none"/>
              </w:rPr>
            </w:pPr>
            <w:r>
              <w:rPr>
                <w:rFonts w:hint="eastAsia" w:hAnsi="宋体"/>
                <w:color w:val="auto"/>
                <w:highlight w:val="none"/>
              </w:rPr>
              <w:t>项号</w:t>
            </w: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color w:val="auto"/>
                <w:highlight w:val="none"/>
              </w:rPr>
            </w:pPr>
            <w:r>
              <w:rPr>
                <w:rFonts w:hint="eastAsia" w:ascii="Times New Roman" w:hAnsi="Times New Roman"/>
                <w:color w:val="auto"/>
                <w:highlight w:val="none"/>
              </w:rPr>
              <w:t>招标要求</w:t>
            </w: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color w:val="auto"/>
                <w:highlight w:val="none"/>
              </w:rPr>
            </w:pPr>
            <w:r>
              <w:rPr>
                <w:rFonts w:hint="eastAsia" w:ascii="Times New Roman" w:hAnsi="Times New Roman"/>
                <w:color w:val="auto"/>
                <w:highlight w:val="none"/>
              </w:rPr>
              <w:t>应标情况</w:t>
            </w:r>
          </w:p>
        </w:tc>
        <w:tc>
          <w:tcPr>
            <w:tcW w:w="1573"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color w:val="auto"/>
                <w:highlight w:val="none"/>
              </w:rPr>
            </w:pPr>
            <w:r>
              <w:rPr>
                <w:rFonts w:hint="eastAsia" w:ascii="Times New Roman" w:hAnsi="Times New Roman"/>
                <w:color w:val="auto"/>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jc w:val="center"/>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color w:val="auto"/>
                <w:highlight w:val="none"/>
              </w:rPr>
            </w:pPr>
          </w:p>
        </w:tc>
        <w:tc>
          <w:tcPr>
            <w:tcW w:w="1573"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color w:val="auto"/>
                <w:highlight w:val="none"/>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color w:val="auto"/>
                <w:highlight w:val="none"/>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color w:val="auto"/>
                <w:highlight w:val="none"/>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color w:val="auto"/>
                <w:highlight w:val="none"/>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color w:val="auto"/>
                <w:highlight w:val="none"/>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color w:val="auto"/>
                <w:highlight w:val="none"/>
              </w:rPr>
            </w:pPr>
          </w:p>
        </w:tc>
      </w:tr>
    </w:tbl>
    <w:p>
      <w:pPr>
        <w:snapToGrid w:val="0"/>
        <w:spacing w:before="50" w:after="156" w:afterLines="50" w:line="360" w:lineRule="exact"/>
        <w:jc w:val="left"/>
        <w:rPr>
          <w:rFonts w:ascii="宋体" w:hAnsi="宋体"/>
          <w:color w:val="auto"/>
          <w:szCs w:val="21"/>
          <w:highlight w:val="none"/>
          <w:u w:val="single"/>
        </w:rPr>
      </w:pPr>
    </w:p>
    <w:p>
      <w:pPr>
        <w:pStyle w:val="20"/>
        <w:spacing w:line="360" w:lineRule="exact"/>
        <w:ind w:firstLine="421" w:firstLineChars="200"/>
        <w:rPr>
          <w:rFonts w:ascii="宋体" w:hAnsi="宋体"/>
          <w:color w:val="auto"/>
          <w:sz w:val="21"/>
          <w:szCs w:val="21"/>
          <w:highlight w:val="none"/>
        </w:rPr>
      </w:pPr>
      <w:r>
        <w:rPr>
          <w:rFonts w:hint="eastAsia" w:ascii="宋体" w:hAnsi="宋体"/>
          <w:color w:val="auto"/>
          <w:sz w:val="21"/>
          <w:szCs w:val="21"/>
          <w:highlight w:val="none"/>
        </w:rPr>
        <w:t>注：投标人应根据投标设备的性能指标、对照招标文件要求在技术响应表中详细列明招标要求及投标设备技术规格的响应情况，并填写“</w:t>
      </w:r>
      <w:r>
        <w:rPr>
          <w:rFonts w:hint="eastAsia"/>
          <w:color w:val="auto"/>
          <w:highlight w:val="none"/>
        </w:rPr>
        <w:t>偏离说明”。</w:t>
      </w:r>
      <w:r>
        <w:rPr>
          <w:rFonts w:hint="eastAsia" w:ascii="宋体" w:hAnsi="宋体"/>
          <w:color w:val="auto"/>
          <w:sz w:val="21"/>
          <w:szCs w:val="21"/>
          <w:highlight w:val="none"/>
        </w:rPr>
        <w:t>“偏离</w:t>
      </w:r>
      <w:r>
        <w:rPr>
          <w:rFonts w:hint="eastAsia"/>
          <w:color w:val="auto"/>
          <w:highlight w:val="none"/>
        </w:rPr>
        <w:t>说明</w:t>
      </w:r>
      <w:r>
        <w:rPr>
          <w:rFonts w:hint="eastAsia" w:ascii="宋体" w:hAnsi="宋体"/>
          <w:color w:val="auto"/>
          <w:sz w:val="21"/>
          <w:szCs w:val="21"/>
          <w:highlight w:val="none"/>
        </w:rPr>
        <w:t>”栏注明“正偏离”、“负偏离”或“无偏离”。投标技术规格与招标要求相同的为无偏离，投标技术规格高于招标要求的为正偏离，低于招标要求的为负偏离。</w:t>
      </w:r>
    </w:p>
    <w:p>
      <w:pPr>
        <w:snapToGrid w:val="0"/>
        <w:spacing w:before="50" w:after="50" w:line="360" w:lineRule="exact"/>
        <w:rPr>
          <w:rFonts w:ascii="宋体" w:hAnsi="宋体"/>
          <w:color w:val="auto"/>
          <w:spacing w:val="20"/>
          <w:szCs w:val="21"/>
          <w:highlight w:val="none"/>
        </w:rPr>
      </w:pPr>
    </w:p>
    <w:p>
      <w:pPr>
        <w:snapToGrid w:val="0"/>
        <w:spacing w:before="50" w:after="50" w:line="360" w:lineRule="exact"/>
        <w:rPr>
          <w:rFonts w:ascii="宋体" w:hAnsi="宋体"/>
          <w:color w:val="auto"/>
          <w:spacing w:val="20"/>
          <w:szCs w:val="21"/>
          <w:highlight w:val="none"/>
          <w:u w:val="single"/>
        </w:rPr>
      </w:pPr>
      <w:r>
        <w:rPr>
          <w:rFonts w:hint="eastAsia" w:ascii="宋体" w:hAnsi="宋体"/>
          <w:color w:val="auto"/>
          <w:szCs w:val="21"/>
          <w:highlight w:val="none"/>
        </w:rPr>
        <w:t>法定代表人或委托代理人</w:t>
      </w:r>
      <w:r>
        <w:rPr>
          <w:rFonts w:hint="eastAsia" w:ascii="宋体" w:hAnsi="宋体"/>
          <w:color w:val="auto"/>
          <w:szCs w:val="21"/>
          <w:highlight w:val="none"/>
          <w:lang w:eastAsia="zh-CN"/>
        </w:rPr>
        <w:t>签字或签章</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pPr>
        <w:snapToGrid w:val="0"/>
        <w:spacing w:before="50" w:after="50" w:line="360" w:lineRule="exact"/>
        <w:rPr>
          <w:rFonts w:ascii="宋体" w:hAnsi="宋体"/>
          <w:color w:val="auto"/>
          <w:spacing w:val="20"/>
          <w:szCs w:val="21"/>
          <w:highlight w:val="none"/>
          <w:u w:val="single"/>
        </w:rPr>
      </w:pPr>
      <w:r>
        <w:rPr>
          <w:rFonts w:hint="eastAsia" w:ascii="宋体" w:hAnsi="宋体"/>
          <w:color w:val="auto"/>
          <w:spacing w:val="20"/>
          <w:szCs w:val="21"/>
          <w:highlight w:val="none"/>
        </w:rPr>
        <w:t>投标人盖章：</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rPr>
        <w:t xml:space="preserve">              日 期：</w:t>
      </w:r>
      <w:r>
        <w:rPr>
          <w:rFonts w:hint="eastAsia" w:ascii="宋体" w:hAnsi="宋体"/>
          <w:color w:val="auto"/>
          <w:spacing w:val="20"/>
          <w:szCs w:val="21"/>
          <w:highlight w:val="none"/>
          <w:u w:val="single"/>
        </w:rPr>
        <w:t xml:space="preserve">            </w:t>
      </w:r>
    </w:p>
    <w:p>
      <w:pPr>
        <w:pStyle w:val="29"/>
        <w:jc w:val="center"/>
        <w:rPr>
          <w:color w:val="auto"/>
          <w:highlight w:val="none"/>
        </w:rPr>
      </w:pPr>
    </w:p>
    <w:p>
      <w:pPr>
        <w:snapToGrid w:val="0"/>
        <w:spacing w:before="50" w:after="156" w:afterLines="50" w:line="360" w:lineRule="exact"/>
        <w:jc w:val="left"/>
        <w:rPr>
          <w:rFonts w:ascii="宋体" w:hAnsi="宋体"/>
          <w:color w:val="auto"/>
          <w:szCs w:val="21"/>
          <w:highlight w:val="none"/>
        </w:rPr>
      </w:pPr>
      <w:r>
        <w:rPr>
          <w:rFonts w:hint="eastAsia" w:ascii="宋体" w:hAnsi="宋体"/>
          <w:b/>
          <w:color w:val="auto"/>
          <w:szCs w:val="21"/>
          <w:highlight w:val="none"/>
        </w:rPr>
        <w:t>（3）</w:t>
      </w:r>
      <w:r>
        <w:rPr>
          <w:rFonts w:hint="eastAsia" w:ascii="宋体" w:hAnsi="宋体"/>
          <w:color w:val="auto"/>
          <w:szCs w:val="21"/>
          <w:highlight w:val="none"/>
        </w:rPr>
        <w:t>设备配置清单格式：</w:t>
      </w:r>
    </w:p>
    <w:tbl>
      <w:tblPr>
        <w:tblStyle w:val="5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1443"/>
        <w:gridCol w:w="839"/>
        <w:gridCol w:w="1498"/>
        <w:gridCol w:w="1620"/>
        <w:gridCol w:w="1809"/>
        <w:gridCol w:w="9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序号</w:t>
            </w: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设备名称</w:t>
            </w: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品牌</w:t>
            </w: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单位及数量</w:t>
            </w: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性能及指标</w:t>
            </w: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r>
    </w:tbl>
    <w:p>
      <w:pPr>
        <w:snapToGrid w:val="0"/>
        <w:spacing w:before="100" w:beforeAutospacing="1" w:after="100" w:afterAutospacing="1" w:line="480" w:lineRule="auto"/>
        <w:ind w:firstLine="315" w:firstLineChars="150"/>
        <w:rPr>
          <w:rFonts w:ascii="宋体" w:hAnsi="宋体"/>
          <w:color w:val="auto"/>
          <w:spacing w:val="20"/>
          <w:szCs w:val="21"/>
          <w:highlight w:val="none"/>
          <w:u w:val="single"/>
        </w:rPr>
      </w:pPr>
      <w:r>
        <w:rPr>
          <w:rFonts w:hint="eastAsia" w:ascii="宋体" w:hAnsi="宋体"/>
          <w:color w:val="auto"/>
          <w:szCs w:val="21"/>
          <w:highlight w:val="none"/>
        </w:rPr>
        <w:t>法定代表人或委托代理人</w:t>
      </w:r>
      <w:r>
        <w:rPr>
          <w:rFonts w:hint="eastAsia" w:ascii="宋体" w:hAnsi="宋体"/>
          <w:color w:val="auto"/>
          <w:szCs w:val="21"/>
          <w:highlight w:val="none"/>
          <w:lang w:eastAsia="zh-CN"/>
        </w:rPr>
        <w:t>签字或签章</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pPr>
        <w:snapToGrid w:val="0"/>
        <w:spacing w:before="100" w:beforeAutospacing="1" w:after="100" w:afterAutospacing="1" w:line="480" w:lineRule="auto"/>
        <w:ind w:firstLine="500" w:firstLineChars="200"/>
        <w:jc w:val="left"/>
        <w:rPr>
          <w:rFonts w:ascii="宋体" w:hAnsi="宋体"/>
          <w:color w:val="auto"/>
          <w:spacing w:val="20"/>
          <w:szCs w:val="21"/>
          <w:highlight w:val="none"/>
          <w:u w:val="single"/>
        </w:rPr>
      </w:pPr>
      <w:r>
        <w:rPr>
          <w:rFonts w:hint="eastAsia" w:ascii="宋体" w:hAnsi="宋体"/>
          <w:color w:val="auto"/>
          <w:spacing w:val="20"/>
          <w:szCs w:val="21"/>
          <w:highlight w:val="none"/>
        </w:rPr>
        <w:t>投标人盖章：</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rPr>
        <w:t xml:space="preserve">              日  期：</w:t>
      </w:r>
      <w:r>
        <w:rPr>
          <w:rFonts w:hint="eastAsia" w:ascii="宋体" w:hAnsi="宋体"/>
          <w:color w:val="auto"/>
          <w:spacing w:val="20"/>
          <w:szCs w:val="21"/>
          <w:highlight w:val="none"/>
          <w:u w:val="single"/>
        </w:rPr>
        <w:t xml:space="preserve">          </w:t>
      </w:r>
    </w:p>
    <w:p>
      <w:pPr>
        <w:snapToGrid w:val="0"/>
        <w:spacing w:before="50" w:after="156" w:afterLines="50" w:line="360" w:lineRule="exact"/>
        <w:jc w:val="left"/>
        <w:rPr>
          <w:rFonts w:ascii="宋体" w:hAnsi="宋体"/>
          <w:b/>
          <w:color w:val="auto"/>
          <w:szCs w:val="21"/>
          <w:highlight w:val="none"/>
        </w:rPr>
      </w:pPr>
      <w:r>
        <w:rPr>
          <w:rFonts w:hint="eastAsia" w:ascii="宋体" w:hAnsi="宋体"/>
          <w:bCs/>
          <w:color w:val="auto"/>
          <w:szCs w:val="21"/>
          <w:highlight w:val="none"/>
        </w:rPr>
        <w:t>（4）</w:t>
      </w:r>
      <w:r>
        <w:rPr>
          <w:rFonts w:hint="eastAsia" w:ascii="宋体" w:hAnsi="宋体"/>
          <w:color w:val="auto"/>
          <w:szCs w:val="21"/>
          <w:highlight w:val="none"/>
        </w:rPr>
        <w:t>售后服务承诺书</w:t>
      </w:r>
      <w:r>
        <w:rPr>
          <w:rFonts w:hint="eastAsia"/>
          <w:color w:val="auto"/>
          <w:highlight w:val="none"/>
        </w:rPr>
        <w:t>（应据项目实际要求描述如：</w:t>
      </w:r>
      <w:r>
        <w:rPr>
          <w:rFonts w:hint="eastAsia" w:ascii="宋体" w:hAnsi="宋体"/>
          <w:color w:val="auto"/>
          <w:szCs w:val="21"/>
          <w:highlight w:val="none"/>
        </w:rPr>
        <w:t>投标人建议的安装、调试、验收方法或方案；技术服务、技术培训、售后服务的内容和措施等）</w:t>
      </w:r>
      <w:r>
        <w:rPr>
          <w:rFonts w:hint="eastAsia" w:ascii="宋体" w:hAnsi="宋体"/>
          <w:b/>
          <w:color w:val="auto"/>
          <w:szCs w:val="21"/>
          <w:highlight w:val="none"/>
        </w:rPr>
        <w:t>(格式自拟,必须提供）</w:t>
      </w:r>
      <w:r>
        <w:rPr>
          <w:rFonts w:hint="eastAsia" w:ascii="宋体" w:hAnsi="宋体"/>
          <w:color w:val="auto"/>
          <w:szCs w:val="21"/>
          <w:highlight w:val="none"/>
        </w:rPr>
        <w:t>；</w:t>
      </w:r>
    </w:p>
    <w:p>
      <w:pPr>
        <w:snapToGrid w:val="0"/>
        <w:spacing w:before="50" w:after="156" w:afterLines="50" w:line="360" w:lineRule="exact"/>
        <w:ind w:left="514" w:hanging="514" w:hangingChars="245"/>
        <w:jc w:val="left"/>
        <w:rPr>
          <w:rFonts w:ascii="宋体" w:hAnsi="宋体"/>
          <w:color w:val="auto"/>
          <w:szCs w:val="21"/>
          <w:highlight w:val="none"/>
        </w:rPr>
      </w:pPr>
      <w:r>
        <w:rPr>
          <w:rFonts w:hint="eastAsia" w:ascii="宋体" w:hAnsi="宋体"/>
          <w:bCs/>
          <w:color w:val="auto"/>
          <w:szCs w:val="21"/>
          <w:highlight w:val="none"/>
        </w:rPr>
        <w:t>（5）</w:t>
      </w:r>
      <w:r>
        <w:rPr>
          <w:rFonts w:hint="eastAsia" w:ascii="宋体" w:hAnsi="宋体"/>
          <w:color w:val="auto"/>
          <w:szCs w:val="21"/>
          <w:highlight w:val="none"/>
        </w:rPr>
        <w:t>投标人拥有主要装备和检测设施的情况和现状（格式自拟）及项目实施人员一览表</w:t>
      </w:r>
    </w:p>
    <w:p>
      <w:pPr>
        <w:snapToGrid w:val="0"/>
        <w:spacing w:before="50" w:after="156" w:afterLines="50" w:line="360" w:lineRule="exact"/>
        <w:jc w:val="left"/>
        <w:rPr>
          <w:rFonts w:ascii="宋体" w:hAnsi="宋体"/>
          <w:color w:val="auto"/>
          <w:szCs w:val="21"/>
          <w:highlight w:val="none"/>
        </w:rPr>
      </w:pPr>
      <w:r>
        <w:rPr>
          <w:rFonts w:hint="eastAsia" w:ascii="宋体" w:hAnsi="宋体"/>
          <w:color w:val="auto"/>
          <w:szCs w:val="21"/>
          <w:highlight w:val="none"/>
        </w:rPr>
        <w:t>（6）优惠条件：投标人承诺给予招标人的各种优惠条件，包括备品备件、专用耗材、售后服务等方面的优惠；</w:t>
      </w:r>
    </w:p>
    <w:p>
      <w:pPr>
        <w:snapToGrid w:val="0"/>
        <w:spacing w:before="50" w:after="156" w:afterLines="50" w:line="360" w:lineRule="exact"/>
        <w:jc w:val="left"/>
        <w:rPr>
          <w:rFonts w:ascii="宋体" w:hAnsi="宋体"/>
          <w:color w:val="auto"/>
          <w:szCs w:val="21"/>
          <w:highlight w:val="none"/>
        </w:rPr>
      </w:pPr>
      <w:r>
        <w:rPr>
          <w:rFonts w:hint="eastAsia" w:ascii="宋体" w:hAnsi="宋体"/>
          <w:color w:val="auto"/>
          <w:szCs w:val="21"/>
          <w:highlight w:val="none"/>
        </w:rPr>
        <w:t>备品备件、专用耗材、售后服务优惠表格式：</w:t>
      </w:r>
    </w:p>
    <w:tbl>
      <w:tblPr>
        <w:tblStyle w:val="5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1530"/>
        <w:gridCol w:w="15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29"/>
              <w:snapToGrid w:val="0"/>
              <w:jc w:val="center"/>
              <w:rPr>
                <w:rFonts w:hAnsi="宋体"/>
                <w:color w:val="auto"/>
                <w:highlight w:val="none"/>
              </w:rPr>
            </w:pPr>
            <w:r>
              <w:rPr>
                <w:rFonts w:hint="eastAsia" w:hAnsi="宋体"/>
                <w:color w:val="auto"/>
                <w:highlight w:val="none"/>
              </w:rPr>
              <w:t>序号</w:t>
            </w:r>
          </w:p>
        </w:tc>
        <w:tc>
          <w:tcPr>
            <w:tcW w:w="2700" w:type="dxa"/>
            <w:tcBorders>
              <w:top w:val="single" w:color="auto" w:sz="4" w:space="0"/>
              <w:left w:val="single" w:color="auto" w:sz="4" w:space="0"/>
              <w:bottom w:val="single" w:color="auto" w:sz="2" w:space="0"/>
              <w:right w:val="single" w:color="auto" w:sz="4" w:space="0"/>
            </w:tcBorders>
            <w:vAlign w:val="center"/>
          </w:tcPr>
          <w:p>
            <w:pPr>
              <w:pStyle w:val="29"/>
              <w:snapToGrid w:val="0"/>
              <w:jc w:val="center"/>
              <w:rPr>
                <w:rFonts w:hAnsi="宋体"/>
                <w:color w:val="auto"/>
                <w:highlight w:val="none"/>
              </w:rPr>
            </w:pPr>
            <w:r>
              <w:rPr>
                <w:rFonts w:hint="eastAsia" w:hAnsi="宋体"/>
                <w:color w:val="auto"/>
                <w:highlight w:val="none"/>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pPr>
              <w:pStyle w:val="29"/>
              <w:snapToGrid w:val="0"/>
              <w:jc w:val="center"/>
              <w:rPr>
                <w:rFonts w:hAnsi="宋体"/>
                <w:color w:val="auto"/>
                <w:highlight w:val="none"/>
              </w:rPr>
            </w:pPr>
            <w:r>
              <w:rPr>
                <w:rFonts w:hint="eastAsia" w:hAnsi="宋体"/>
                <w:color w:val="auto"/>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pPr>
              <w:pStyle w:val="29"/>
              <w:snapToGrid w:val="0"/>
              <w:jc w:val="center"/>
              <w:rPr>
                <w:rFonts w:hAnsi="宋体"/>
                <w:color w:val="auto"/>
                <w:highlight w:val="none"/>
              </w:rPr>
            </w:pPr>
            <w:r>
              <w:rPr>
                <w:rFonts w:hint="eastAsia" w:hAnsi="宋体"/>
                <w:color w:val="auto"/>
                <w:highlight w:val="none"/>
              </w:rPr>
              <w:t>单价</w:t>
            </w:r>
          </w:p>
        </w:tc>
        <w:tc>
          <w:tcPr>
            <w:tcW w:w="1530" w:type="dxa"/>
            <w:tcBorders>
              <w:top w:val="single" w:color="auto" w:sz="4" w:space="0"/>
              <w:left w:val="single" w:color="auto" w:sz="4" w:space="0"/>
              <w:bottom w:val="single" w:color="auto" w:sz="2" w:space="0"/>
              <w:right w:val="single" w:color="auto" w:sz="4" w:space="0"/>
            </w:tcBorders>
            <w:vAlign w:val="center"/>
          </w:tcPr>
          <w:p>
            <w:pPr>
              <w:pStyle w:val="29"/>
              <w:snapToGrid w:val="0"/>
              <w:jc w:val="center"/>
              <w:rPr>
                <w:rFonts w:hAnsi="宋体"/>
                <w:color w:val="auto"/>
                <w:highlight w:val="none"/>
              </w:rPr>
            </w:pPr>
            <w:r>
              <w:rPr>
                <w:rFonts w:hint="eastAsia" w:hAnsi="宋体"/>
                <w:color w:val="auto"/>
                <w:highlight w:val="none"/>
              </w:rPr>
              <w:t>比投标报价优惠率</w:t>
            </w:r>
          </w:p>
        </w:tc>
        <w:tc>
          <w:tcPr>
            <w:tcW w:w="1530" w:type="dxa"/>
            <w:tcBorders>
              <w:top w:val="single" w:color="auto" w:sz="4" w:space="0"/>
              <w:left w:val="single" w:color="auto" w:sz="4" w:space="0"/>
              <w:bottom w:val="single" w:color="auto" w:sz="2" w:space="0"/>
              <w:right w:val="single" w:color="auto" w:sz="4" w:space="0"/>
            </w:tcBorders>
            <w:vAlign w:val="center"/>
          </w:tcPr>
          <w:p>
            <w:pPr>
              <w:pStyle w:val="29"/>
              <w:snapToGrid w:val="0"/>
              <w:jc w:val="center"/>
              <w:rPr>
                <w:rFonts w:hAnsi="宋体"/>
                <w:color w:val="auto"/>
                <w:highlight w:val="none"/>
              </w:rPr>
            </w:pPr>
            <w:r>
              <w:rPr>
                <w:rFonts w:hint="eastAsia" w:hAnsi="宋体"/>
                <w:color w:val="auto"/>
                <w:highlight w:val="none"/>
              </w:rPr>
              <w:t>比招标要求提供更优售后服务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jc w:val="center"/>
              <w:rPr>
                <w:rFonts w:hAnsi="宋体"/>
                <w:color w:val="auto"/>
                <w:highlight w:val="none"/>
              </w:rPr>
            </w:pPr>
          </w:p>
        </w:tc>
        <w:tc>
          <w:tcPr>
            <w:tcW w:w="2700" w:type="dxa"/>
            <w:tcBorders>
              <w:top w:val="single" w:color="auto" w:sz="2" w:space="0"/>
              <w:left w:val="single" w:color="auto" w:sz="2" w:space="0"/>
              <w:bottom w:val="single" w:color="auto" w:sz="6" w:space="0"/>
              <w:right w:val="single" w:color="auto" w:sz="4" w:space="0"/>
            </w:tcBorders>
            <w:vAlign w:val="center"/>
          </w:tcPr>
          <w:p>
            <w:pPr>
              <w:pStyle w:val="29"/>
              <w:snapToGrid w:val="0"/>
              <w:jc w:val="center"/>
              <w:rPr>
                <w:rFonts w:hAnsi="宋体"/>
                <w:color w:val="auto"/>
                <w:highlight w:val="none"/>
              </w:rPr>
            </w:pPr>
          </w:p>
        </w:tc>
        <w:tc>
          <w:tcPr>
            <w:tcW w:w="1440" w:type="dxa"/>
            <w:tcBorders>
              <w:top w:val="single" w:color="auto" w:sz="2" w:space="0"/>
              <w:left w:val="single" w:color="auto" w:sz="4" w:space="0"/>
              <w:bottom w:val="single" w:color="auto" w:sz="6" w:space="0"/>
              <w:right w:val="single" w:color="auto" w:sz="6" w:space="0"/>
            </w:tcBorders>
            <w:vAlign w:val="center"/>
          </w:tcPr>
          <w:p>
            <w:pPr>
              <w:pStyle w:val="29"/>
              <w:snapToGrid w:val="0"/>
              <w:jc w:val="center"/>
              <w:rPr>
                <w:rFonts w:hAnsi="宋体"/>
                <w:color w:val="auto"/>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jc w:val="center"/>
              <w:rPr>
                <w:rFonts w:hAnsi="宋体"/>
                <w:color w:val="auto"/>
                <w:highlight w:val="none"/>
              </w:rPr>
            </w:pPr>
          </w:p>
        </w:tc>
        <w:tc>
          <w:tcPr>
            <w:tcW w:w="1530" w:type="dxa"/>
            <w:tcBorders>
              <w:top w:val="single" w:color="auto" w:sz="2" w:space="0"/>
              <w:left w:val="single" w:color="auto" w:sz="6" w:space="0"/>
              <w:bottom w:val="single" w:color="auto" w:sz="6" w:space="0"/>
              <w:right w:val="single" w:color="auto" w:sz="2" w:space="0"/>
            </w:tcBorders>
            <w:vAlign w:val="center"/>
          </w:tcPr>
          <w:p>
            <w:pPr>
              <w:pStyle w:val="29"/>
              <w:snapToGrid w:val="0"/>
              <w:jc w:val="center"/>
              <w:rPr>
                <w:rFonts w:hAnsi="宋体"/>
                <w:color w:val="auto"/>
                <w:highlight w:val="none"/>
              </w:rPr>
            </w:pPr>
            <w:r>
              <w:rPr>
                <w:rFonts w:hint="eastAsia" w:hAnsi="宋体"/>
                <w:color w:val="auto"/>
                <w:highlight w:val="none"/>
                <w:u w:val="single"/>
              </w:rPr>
              <w:t xml:space="preserve">            </w:t>
            </w:r>
            <w:r>
              <w:rPr>
                <w:rFonts w:hint="eastAsia" w:hAnsi="宋体"/>
                <w:color w:val="auto"/>
                <w:highlight w:val="none"/>
              </w:rPr>
              <w:t>%</w:t>
            </w:r>
          </w:p>
        </w:tc>
        <w:tc>
          <w:tcPr>
            <w:tcW w:w="1530" w:type="dxa"/>
            <w:tcBorders>
              <w:top w:val="single" w:color="auto" w:sz="2" w:space="0"/>
              <w:left w:val="single" w:color="auto" w:sz="6" w:space="0"/>
              <w:bottom w:val="single" w:color="auto" w:sz="6" w:space="0"/>
              <w:right w:val="single" w:color="auto" w:sz="2" w:space="0"/>
            </w:tcBorders>
            <w:vAlign w:val="center"/>
          </w:tcPr>
          <w:p>
            <w:pPr>
              <w:pStyle w:val="29"/>
              <w:snapToGrid w:val="0"/>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jc w:val="center"/>
              <w:rPr>
                <w:rFonts w:hAnsi="宋体"/>
                <w:color w:val="auto"/>
                <w:highlight w:val="none"/>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9"/>
              <w:snapToGrid w:val="0"/>
              <w:jc w:val="center"/>
              <w:rPr>
                <w:rFonts w:hAnsi="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9"/>
              <w:snapToGrid w:val="0"/>
              <w:jc w:val="center"/>
              <w:rPr>
                <w:rFonts w:hAnsi="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jc w:val="center"/>
              <w:rPr>
                <w:rFonts w:hAnsi="宋体"/>
                <w:color w:val="auto"/>
                <w:highlight w:val="none"/>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jc w:val="center"/>
              <w:rPr>
                <w:rFonts w:hAnsi="宋体"/>
                <w:color w:val="auto"/>
                <w:highlight w:val="none"/>
              </w:rPr>
            </w:pPr>
            <w:r>
              <w:rPr>
                <w:rFonts w:hint="eastAsia" w:hAnsi="宋体"/>
                <w:color w:val="auto"/>
                <w:highlight w:val="none"/>
                <w:u w:val="single"/>
              </w:rPr>
              <w:t xml:space="preserve">            </w:t>
            </w:r>
            <w:r>
              <w:rPr>
                <w:rFonts w:hint="eastAsia" w:hAnsi="宋体"/>
                <w:color w:val="auto"/>
                <w:highlight w:val="none"/>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jc w:val="center"/>
              <w:rPr>
                <w:rFonts w:hAnsi="宋体"/>
                <w:color w:val="auto"/>
                <w:highlight w:val="none"/>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9"/>
              <w:snapToGrid w:val="0"/>
              <w:jc w:val="center"/>
              <w:rPr>
                <w:rFonts w:hAnsi="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9"/>
              <w:snapToGrid w:val="0"/>
              <w:jc w:val="center"/>
              <w:rPr>
                <w:rFonts w:hAnsi="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jc w:val="center"/>
              <w:rPr>
                <w:rFonts w:hAnsi="宋体"/>
                <w:color w:val="auto"/>
                <w:highlight w:val="none"/>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jc w:val="center"/>
              <w:rPr>
                <w:rFonts w:hAnsi="宋体"/>
                <w:color w:val="auto"/>
                <w:highlight w:val="none"/>
              </w:rPr>
            </w:pPr>
            <w:r>
              <w:rPr>
                <w:rFonts w:hint="eastAsia" w:hAnsi="宋体"/>
                <w:color w:val="auto"/>
                <w:highlight w:val="none"/>
                <w:u w:val="single"/>
              </w:rPr>
              <w:t xml:space="preserve">            </w:t>
            </w:r>
            <w:r>
              <w:rPr>
                <w:rFonts w:hint="eastAsia" w:hAnsi="宋体"/>
                <w:color w:val="auto"/>
                <w:highlight w:val="none"/>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jc w:val="center"/>
              <w:rPr>
                <w:rFonts w:hAnsi="宋体"/>
                <w:color w:val="auto"/>
                <w:highlight w:val="none"/>
              </w:rPr>
            </w:pPr>
          </w:p>
        </w:tc>
      </w:tr>
    </w:tbl>
    <w:p>
      <w:pPr>
        <w:snapToGrid w:val="0"/>
        <w:spacing w:before="100" w:beforeAutospacing="1" w:after="100" w:afterAutospacing="1" w:line="360" w:lineRule="auto"/>
        <w:rPr>
          <w:rFonts w:ascii="宋体" w:hAnsi="宋体"/>
          <w:color w:val="auto"/>
          <w:spacing w:val="20"/>
          <w:szCs w:val="21"/>
          <w:highlight w:val="none"/>
          <w:u w:val="single"/>
        </w:rPr>
      </w:pPr>
      <w:r>
        <w:rPr>
          <w:rFonts w:hint="eastAsia" w:ascii="宋体" w:hAnsi="宋体"/>
          <w:color w:val="auto"/>
          <w:szCs w:val="21"/>
          <w:highlight w:val="none"/>
        </w:rPr>
        <w:t>法定代表人或委托代理人</w:t>
      </w:r>
      <w:r>
        <w:rPr>
          <w:rFonts w:hint="eastAsia" w:ascii="宋体" w:hAnsi="宋体"/>
          <w:color w:val="auto"/>
          <w:szCs w:val="21"/>
          <w:highlight w:val="none"/>
          <w:lang w:eastAsia="zh-CN"/>
        </w:rPr>
        <w:t>签字或签章</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pPr>
        <w:snapToGrid w:val="0"/>
        <w:spacing w:before="100" w:beforeAutospacing="1" w:after="100" w:afterAutospacing="1" w:line="480" w:lineRule="auto"/>
        <w:rPr>
          <w:rFonts w:ascii="宋体" w:hAnsi="宋体"/>
          <w:color w:val="auto"/>
          <w:szCs w:val="21"/>
          <w:highlight w:val="none"/>
        </w:rPr>
      </w:pPr>
      <w:r>
        <w:rPr>
          <w:rFonts w:hint="eastAsia" w:ascii="宋体" w:hAnsi="宋体"/>
          <w:color w:val="auto"/>
          <w:spacing w:val="20"/>
          <w:szCs w:val="21"/>
          <w:highlight w:val="none"/>
        </w:rPr>
        <w:t>投标人盖章：</w:t>
      </w:r>
      <w:r>
        <w:rPr>
          <w:rFonts w:hint="eastAsia" w:ascii="宋体" w:hAnsi="宋体"/>
          <w:color w:val="auto"/>
          <w:spacing w:val="20"/>
          <w:szCs w:val="21"/>
          <w:highlight w:val="none"/>
          <w:u w:val="single"/>
        </w:rPr>
        <w:t xml:space="preserve">            </w:t>
      </w:r>
      <w:r>
        <w:rPr>
          <w:rFonts w:hint="eastAsia" w:ascii="宋体" w:hAnsi="宋体"/>
          <w:color w:val="auto"/>
          <w:spacing w:val="20"/>
          <w:szCs w:val="21"/>
          <w:highlight w:val="none"/>
        </w:rPr>
        <w:t xml:space="preserve">            日 期：</w:t>
      </w:r>
      <w:r>
        <w:rPr>
          <w:rFonts w:hint="eastAsia" w:ascii="宋体" w:hAnsi="宋体"/>
          <w:color w:val="auto"/>
          <w:spacing w:val="20"/>
          <w:szCs w:val="21"/>
          <w:highlight w:val="none"/>
          <w:u w:val="single"/>
        </w:rPr>
        <w:t xml:space="preserve">            </w:t>
      </w:r>
    </w:p>
    <w:p>
      <w:pPr>
        <w:snapToGrid w:val="0"/>
        <w:spacing w:before="50" w:after="156" w:afterLines="50" w:line="360" w:lineRule="exact"/>
        <w:jc w:val="left"/>
        <w:rPr>
          <w:rFonts w:ascii="宋体" w:hAnsi="宋体"/>
          <w:color w:val="auto"/>
          <w:szCs w:val="21"/>
          <w:highlight w:val="none"/>
        </w:rPr>
      </w:pPr>
    </w:p>
    <w:p>
      <w:pPr>
        <w:snapToGrid w:val="0"/>
        <w:spacing w:before="50" w:after="156" w:afterLines="50" w:line="360" w:lineRule="exact"/>
        <w:jc w:val="left"/>
        <w:rPr>
          <w:rFonts w:ascii="宋体" w:hAnsi="宋体"/>
          <w:color w:val="auto"/>
          <w:szCs w:val="21"/>
          <w:highlight w:val="none"/>
        </w:rPr>
      </w:pPr>
      <w:r>
        <w:rPr>
          <w:rFonts w:hint="eastAsia" w:ascii="宋体" w:hAnsi="宋体"/>
          <w:color w:val="auto"/>
          <w:szCs w:val="21"/>
          <w:highlight w:val="none"/>
        </w:rPr>
        <w:t>（7）投标人对本项目的合理化建议和改进措施（格式自拟）</w:t>
      </w:r>
    </w:p>
    <w:p>
      <w:pPr>
        <w:snapToGrid w:val="0"/>
        <w:spacing w:before="50" w:after="156" w:afterLines="50" w:line="360" w:lineRule="exact"/>
        <w:jc w:val="left"/>
        <w:rPr>
          <w:rFonts w:ascii="宋体" w:hAnsi="宋体"/>
          <w:color w:val="auto"/>
          <w:szCs w:val="21"/>
          <w:highlight w:val="none"/>
        </w:rPr>
      </w:pPr>
      <w:r>
        <w:rPr>
          <w:rFonts w:hint="eastAsia" w:ascii="宋体" w:hAnsi="宋体"/>
          <w:color w:val="auto"/>
          <w:szCs w:val="21"/>
          <w:highlight w:val="none"/>
        </w:rPr>
        <w:t>（8）投标人需要说明的其他文件和说明（格式自拟）</w:t>
      </w:r>
    </w:p>
    <w:p>
      <w:pPr>
        <w:snapToGrid w:val="0"/>
        <w:spacing w:line="360" w:lineRule="exact"/>
        <w:jc w:val="left"/>
        <w:rPr>
          <w:rFonts w:ascii="宋体" w:hAnsi="宋体"/>
          <w:color w:val="auto"/>
          <w:szCs w:val="21"/>
          <w:highlight w:val="none"/>
        </w:rPr>
      </w:pPr>
      <w:r>
        <w:rPr>
          <w:rFonts w:hint="eastAsia" w:ascii="宋体" w:hAnsi="宋体"/>
          <w:color w:val="auto"/>
          <w:szCs w:val="21"/>
          <w:highlight w:val="none"/>
        </w:rPr>
        <w:t>▲（9）招标项目采购需求中要求必须提供的材料。（招标项目采购需求中要求必须提供的材料，据实提供）</w:t>
      </w:r>
    </w:p>
    <w:p>
      <w:pPr>
        <w:snapToGrid w:val="0"/>
        <w:spacing w:before="50" w:line="360" w:lineRule="exact"/>
        <w:jc w:val="left"/>
        <w:rPr>
          <w:rFonts w:ascii="宋体" w:hAnsi="宋体"/>
          <w:b/>
          <w:color w:val="auto"/>
          <w:szCs w:val="21"/>
          <w:highlight w:val="none"/>
        </w:rPr>
      </w:pPr>
    </w:p>
    <w:p>
      <w:pPr>
        <w:snapToGrid w:val="0"/>
        <w:spacing w:before="156" w:beforeLines="50" w:after="50" w:line="360" w:lineRule="exact"/>
        <w:outlineLvl w:val="0"/>
        <w:rPr>
          <w:rFonts w:ascii="宋体" w:hAnsi="宋体"/>
          <w:b/>
          <w:color w:val="auto"/>
          <w:szCs w:val="21"/>
          <w:highlight w:val="none"/>
        </w:rPr>
      </w:pPr>
      <w:r>
        <w:rPr>
          <w:rFonts w:hint="eastAsia" w:ascii="宋体" w:hAnsi="宋体"/>
          <w:b/>
          <w:color w:val="auto"/>
          <w:szCs w:val="21"/>
          <w:highlight w:val="none"/>
        </w:rPr>
        <w:t>四）报价文件部分 （格式）</w:t>
      </w:r>
    </w:p>
    <w:p>
      <w:pPr>
        <w:snapToGrid w:val="0"/>
        <w:spacing w:before="156" w:beforeLines="50" w:after="50" w:line="360" w:lineRule="exact"/>
        <w:rPr>
          <w:rFonts w:ascii="宋体" w:hAnsi="宋体"/>
          <w:b/>
          <w:color w:val="auto"/>
          <w:szCs w:val="21"/>
          <w:highlight w:val="none"/>
        </w:rPr>
      </w:pPr>
      <w:r>
        <w:rPr>
          <w:rFonts w:hint="eastAsia" w:ascii="宋体" w:hAnsi="宋体"/>
          <w:b/>
          <w:color w:val="auto"/>
          <w:szCs w:val="21"/>
          <w:highlight w:val="none"/>
        </w:rPr>
        <w:t>（1）投标函格式：</w:t>
      </w:r>
    </w:p>
    <w:p>
      <w:pPr>
        <w:snapToGrid w:val="0"/>
        <w:spacing w:before="156" w:beforeLines="50" w:after="50" w:line="360" w:lineRule="exact"/>
        <w:jc w:val="center"/>
        <w:rPr>
          <w:rFonts w:ascii="宋体" w:hAnsi="宋体"/>
          <w:b/>
          <w:color w:val="auto"/>
          <w:szCs w:val="21"/>
          <w:highlight w:val="none"/>
        </w:rPr>
      </w:pPr>
      <w:r>
        <w:rPr>
          <w:rFonts w:hint="eastAsia" w:ascii="宋体" w:hAnsi="宋体"/>
          <w:b/>
          <w:color w:val="auto"/>
          <w:szCs w:val="21"/>
          <w:highlight w:val="none"/>
        </w:rPr>
        <w:t>投 标 函</w:t>
      </w:r>
    </w:p>
    <w:p>
      <w:pPr>
        <w:snapToGrid w:val="0"/>
        <w:spacing w:line="500" w:lineRule="exact"/>
        <w:rPr>
          <w:rFonts w:ascii="宋体" w:hAnsi="宋体"/>
          <w:color w:val="auto"/>
          <w:szCs w:val="21"/>
          <w:highlight w:val="none"/>
        </w:rPr>
      </w:pPr>
      <w:r>
        <w:rPr>
          <w:rFonts w:hint="eastAsia" w:ascii="宋体" w:hAnsi="宋体"/>
          <w:color w:val="auto"/>
          <w:szCs w:val="21"/>
          <w:highlight w:val="none"/>
        </w:rPr>
        <w:t>致：</w:t>
      </w:r>
      <w:r>
        <w:rPr>
          <w:rFonts w:hint="eastAsia"/>
          <w:color w:val="auto"/>
          <w:highlight w:val="none"/>
          <w:u w:val="single"/>
        </w:rPr>
        <w:t>广西壮族自治区政府采购中心</w:t>
      </w:r>
      <w:r>
        <w:rPr>
          <w:rFonts w:hint="eastAsia" w:ascii="宋体" w:hAnsi="宋体"/>
          <w:color w:val="auto"/>
          <w:szCs w:val="21"/>
          <w:highlight w:val="none"/>
        </w:rPr>
        <w:t>：</w:t>
      </w:r>
    </w:p>
    <w:p>
      <w:pPr>
        <w:snapToGrid w:val="0"/>
        <w:spacing w:line="500" w:lineRule="exact"/>
        <w:ind w:firstLine="480"/>
        <w:rPr>
          <w:rFonts w:ascii="宋体" w:hAnsi="宋体"/>
          <w:color w:val="auto"/>
          <w:szCs w:val="21"/>
          <w:highlight w:val="none"/>
        </w:rPr>
      </w:pPr>
      <w:r>
        <w:rPr>
          <w:rFonts w:hint="eastAsia" w:ascii="宋体" w:hAnsi="宋体"/>
          <w:color w:val="auto"/>
          <w:szCs w:val="21"/>
          <w:highlight w:val="none"/>
        </w:rPr>
        <w:t>根据贵方为</w:t>
      </w:r>
      <w:r>
        <w:rPr>
          <w:rFonts w:hint="eastAsia" w:ascii="宋体" w:hAnsi="宋体"/>
          <w:color w:val="auto"/>
          <w:szCs w:val="21"/>
          <w:highlight w:val="none"/>
          <w:u w:val="single"/>
        </w:rPr>
        <w:t xml:space="preserve">                             </w:t>
      </w:r>
      <w:r>
        <w:rPr>
          <w:rFonts w:hint="eastAsia" w:ascii="宋体" w:hAnsi="宋体"/>
          <w:color w:val="auto"/>
          <w:szCs w:val="21"/>
          <w:highlight w:val="none"/>
        </w:rPr>
        <w:t>项目的招标公告（项目编号：____</w:t>
      </w:r>
      <w:r>
        <w:rPr>
          <w:rFonts w:hint="eastAsia" w:ascii="宋体" w:hAnsi="宋体"/>
          <w:color w:val="auto"/>
          <w:szCs w:val="21"/>
          <w:highlight w:val="none"/>
          <w:u w:val="single"/>
        </w:rPr>
        <w:t>_     _</w:t>
      </w:r>
      <w:r>
        <w:rPr>
          <w:rFonts w:hint="eastAsia" w:ascii="宋体" w:hAnsi="宋体"/>
          <w:color w:val="auto"/>
          <w:szCs w:val="21"/>
          <w:highlight w:val="none"/>
        </w:rPr>
        <w:t>_），签字代表______</w:t>
      </w:r>
      <w:r>
        <w:rPr>
          <w:rFonts w:hint="eastAsia" w:ascii="宋体" w:hAnsi="宋体"/>
          <w:color w:val="auto"/>
          <w:szCs w:val="21"/>
          <w:highlight w:val="none"/>
          <w:u w:val="single"/>
        </w:rPr>
        <w:t xml:space="preserve">_     </w:t>
      </w:r>
      <w:r>
        <w:rPr>
          <w:rFonts w:hint="eastAsia" w:ascii="宋体" w:hAnsi="宋体"/>
          <w:color w:val="auto"/>
          <w:szCs w:val="21"/>
          <w:highlight w:val="none"/>
        </w:rPr>
        <w:t>（全名）经正式授权并代表投标人_____</w:t>
      </w:r>
      <w:r>
        <w:rPr>
          <w:rFonts w:hint="eastAsia" w:ascii="宋体" w:hAnsi="宋体"/>
          <w:color w:val="auto"/>
          <w:szCs w:val="21"/>
          <w:highlight w:val="none"/>
          <w:u w:val="single"/>
        </w:rPr>
        <w:t>__                    __</w:t>
      </w:r>
      <w:r>
        <w:rPr>
          <w:rFonts w:hint="eastAsia" w:ascii="宋体" w:hAnsi="宋体"/>
          <w:color w:val="auto"/>
          <w:szCs w:val="21"/>
          <w:highlight w:val="none"/>
        </w:rPr>
        <w:t>（投标人名称）上传并提交加密的电子投标文件一份。</w:t>
      </w:r>
    </w:p>
    <w:p>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据此函，签字代表宣布同意如下：</w:t>
      </w:r>
    </w:p>
    <w:p>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2.投标人在投标之前已经与贵方进行了充分的沟通，完全理解并接受招标文件的各项规定和要求，对招标文件的合理性、合法性不再有异议。</w:t>
      </w:r>
    </w:p>
    <w:p>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3.本投标有效期自开标日起 ______个</w:t>
      </w:r>
      <w:r>
        <w:rPr>
          <w:rFonts w:hint="eastAsia" w:ascii="宋体" w:hAnsi="宋体"/>
          <w:color w:val="auto"/>
          <w:szCs w:val="21"/>
          <w:highlight w:val="none"/>
          <w:u w:val="single"/>
        </w:rPr>
        <w:t xml:space="preserve">     </w:t>
      </w:r>
      <w:r>
        <w:rPr>
          <w:rFonts w:hint="eastAsia" w:ascii="宋体" w:hAnsi="宋体"/>
          <w:color w:val="auto"/>
          <w:szCs w:val="21"/>
          <w:highlight w:val="none"/>
        </w:rPr>
        <w:t>日（自然日）。</w:t>
      </w:r>
    </w:p>
    <w:p>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4.如中标，本投标文件至本项目合同履行完毕止均保持有效，本投标人将按“招标文件”及政府采购法律、法规的规定履行合同责任和义务。</w:t>
      </w:r>
    </w:p>
    <w:p>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5.投标人同意按照贵方要求提供与投标有关的一切数据或资料。</w:t>
      </w:r>
    </w:p>
    <w:p>
      <w:pPr>
        <w:snapToGrid w:val="0"/>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6.与本投标有关的一切正式往来信函请寄：</w:t>
      </w:r>
    </w:p>
    <w:p>
      <w:pPr>
        <w:snapToGrid w:val="0"/>
        <w:spacing w:line="500" w:lineRule="exact"/>
        <w:rPr>
          <w:rFonts w:ascii="宋体" w:hAnsi="宋体"/>
          <w:color w:val="auto"/>
          <w:szCs w:val="21"/>
          <w:highlight w:val="none"/>
        </w:rPr>
      </w:pPr>
      <w:r>
        <w:rPr>
          <w:rFonts w:hint="eastAsia" w:ascii="宋体" w:hAnsi="宋体"/>
          <w:color w:val="auto"/>
          <w:szCs w:val="21"/>
          <w:highlight w:val="none"/>
        </w:rPr>
        <w:t>地址：______________________</w:t>
      </w:r>
      <w:r>
        <w:rPr>
          <w:rFonts w:hint="eastAsia" w:ascii="宋体" w:hAnsi="宋体"/>
          <w:color w:val="auto"/>
          <w:szCs w:val="21"/>
          <w:highlight w:val="none"/>
          <w:u w:val="single"/>
        </w:rPr>
        <w:t>_</w:t>
      </w:r>
      <w:r>
        <w:rPr>
          <w:rFonts w:hint="eastAsia" w:ascii="宋体" w:hAnsi="宋体"/>
          <w:color w:val="auto"/>
          <w:szCs w:val="21"/>
          <w:highlight w:val="none"/>
        </w:rPr>
        <w:t>___邮编：__________   电话：______________</w:t>
      </w:r>
    </w:p>
    <w:p>
      <w:pPr>
        <w:snapToGrid w:val="0"/>
        <w:spacing w:line="500" w:lineRule="exact"/>
        <w:rPr>
          <w:rFonts w:ascii="宋体" w:hAnsi="宋体"/>
          <w:color w:val="auto"/>
          <w:szCs w:val="21"/>
          <w:highlight w:val="none"/>
        </w:rPr>
      </w:pPr>
      <w:r>
        <w:rPr>
          <w:rFonts w:hint="eastAsia" w:ascii="宋体" w:hAnsi="宋体"/>
          <w:color w:val="auto"/>
          <w:szCs w:val="21"/>
          <w:highlight w:val="none"/>
        </w:rPr>
        <w:t>传真：______________投标人代表姓名 ___________  职务：_____________</w:t>
      </w:r>
    </w:p>
    <w:p>
      <w:pPr>
        <w:snapToGrid w:val="0"/>
        <w:spacing w:line="500" w:lineRule="exact"/>
        <w:rPr>
          <w:rFonts w:ascii="宋体" w:hAnsi="宋体"/>
          <w:color w:val="auto"/>
          <w:szCs w:val="21"/>
          <w:highlight w:val="none"/>
        </w:rPr>
      </w:pPr>
      <w:r>
        <w:rPr>
          <w:rFonts w:hint="eastAsia" w:ascii="宋体" w:hAnsi="宋体"/>
          <w:color w:val="auto"/>
          <w:szCs w:val="21"/>
          <w:highlight w:val="none"/>
        </w:rPr>
        <w:t>投标人名称(公章):___________________</w:t>
      </w:r>
    </w:p>
    <w:p>
      <w:pPr>
        <w:snapToGrid w:val="0"/>
        <w:spacing w:line="500" w:lineRule="exact"/>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银行账号：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napToGrid w:val="0"/>
        <w:spacing w:line="500" w:lineRule="exact"/>
        <w:rPr>
          <w:rFonts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lang w:eastAsia="zh-CN"/>
        </w:rPr>
        <w:t>签字或签章</w:t>
      </w:r>
      <w:r>
        <w:rPr>
          <w:rFonts w:hint="eastAsia" w:ascii="宋体" w:hAnsi="宋体"/>
          <w:color w:val="auto"/>
          <w:szCs w:val="21"/>
          <w:highlight w:val="none"/>
        </w:rPr>
        <w:t>:___________                 日期:_____年___月___日</w:t>
      </w:r>
    </w:p>
    <w:p>
      <w:pPr>
        <w:pStyle w:val="29"/>
        <w:snapToGrid w:val="0"/>
        <w:spacing w:line="500" w:lineRule="exact"/>
        <w:ind w:firstLine="5670" w:firstLineChars="2700"/>
        <w:rPr>
          <w:rFonts w:hAnsi="宋体"/>
          <w:color w:val="auto"/>
          <w:highlight w:val="none"/>
        </w:rPr>
      </w:pPr>
      <w:r>
        <w:rPr>
          <w:rFonts w:hint="eastAsia" w:hAnsi="宋体"/>
          <w:color w:val="auto"/>
          <w:highlight w:val="none"/>
        </w:rPr>
        <w:t>(公章)</w:t>
      </w:r>
    </w:p>
    <w:p>
      <w:pPr>
        <w:pStyle w:val="29"/>
        <w:snapToGrid w:val="0"/>
        <w:spacing w:line="500" w:lineRule="exact"/>
        <w:ind w:firstLine="5565" w:firstLineChars="2650"/>
        <w:rPr>
          <w:rFonts w:hAnsi="宋体"/>
          <w:color w:val="auto"/>
          <w:highlight w:val="none"/>
        </w:rPr>
      </w:pPr>
      <w:r>
        <w:rPr>
          <w:rFonts w:hint="eastAsia" w:hAnsi="宋体"/>
          <w:color w:val="auto"/>
          <w:highlight w:val="none"/>
        </w:rPr>
        <w:t>年___月___日</w:t>
      </w:r>
    </w:p>
    <w:p>
      <w:pPr>
        <w:snapToGrid w:val="0"/>
        <w:spacing w:before="156" w:beforeLines="50" w:after="50" w:line="360" w:lineRule="exact"/>
        <w:rPr>
          <w:rFonts w:ascii="宋体" w:hAnsi="宋体"/>
          <w:b/>
          <w:color w:val="auto"/>
          <w:szCs w:val="21"/>
          <w:highlight w:val="none"/>
        </w:rPr>
      </w:pPr>
    </w:p>
    <w:p>
      <w:pPr>
        <w:snapToGrid w:val="0"/>
        <w:spacing w:before="156" w:beforeLines="50" w:after="50" w:line="360" w:lineRule="exact"/>
        <w:rPr>
          <w:rFonts w:ascii="宋体" w:hAnsi="宋体"/>
          <w:b/>
          <w:color w:val="auto"/>
          <w:szCs w:val="21"/>
          <w:highlight w:val="none"/>
        </w:rPr>
      </w:pPr>
    </w:p>
    <w:p>
      <w:pPr>
        <w:snapToGrid w:val="0"/>
        <w:spacing w:before="156" w:beforeLines="50" w:after="50" w:line="360" w:lineRule="exact"/>
        <w:rPr>
          <w:rFonts w:ascii="宋体" w:hAnsi="宋体"/>
          <w:b/>
          <w:color w:val="auto"/>
          <w:szCs w:val="21"/>
          <w:highlight w:val="none"/>
        </w:rPr>
      </w:pPr>
    </w:p>
    <w:p>
      <w:pPr>
        <w:snapToGrid w:val="0"/>
        <w:spacing w:line="360" w:lineRule="exact"/>
        <w:rPr>
          <w:rFonts w:ascii="宋体" w:hAnsi="宋体"/>
          <w:b/>
          <w:color w:val="auto"/>
          <w:szCs w:val="21"/>
          <w:highlight w:val="none"/>
        </w:rPr>
      </w:pPr>
      <w:r>
        <w:rPr>
          <w:rFonts w:hint="eastAsia" w:ascii="宋体" w:hAnsi="宋体"/>
          <w:b/>
          <w:color w:val="auto"/>
          <w:szCs w:val="21"/>
          <w:highlight w:val="none"/>
        </w:rPr>
        <w:t>（2）投标报价明细表格式</w:t>
      </w:r>
    </w:p>
    <w:p>
      <w:pPr>
        <w:pStyle w:val="29"/>
        <w:snapToGrid w:val="0"/>
        <w:spacing w:line="360" w:lineRule="exact"/>
        <w:ind w:firstLine="105" w:firstLineChars="50"/>
        <w:rPr>
          <w:rFonts w:hAnsi="宋体"/>
          <w:color w:val="auto"/>
          <w:highlight w:val="none"/>
        </w:rPr>
      </w:pPr>
      <w:r>
        <w:rPr>
          <w:rFonts w:hint="eastAsia" w:hAnsi="宋体"/>
          <w:color w:val="auto"/>
          <w:highlight w:val="none"/>
        </w:rPr>
        <w:t xml:space="preserve">                                                金额单位：人民币（元）</w:t>
      </w:r>
    </w:p>
    <w:tbl>
      <w:tblPr>
        <w:tblStyle w:val="53"/>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080"/>
        <w:gridCol w:w="1080"/>
        <w:gridCol w:w="1620"/>
        <w:gridCol w:w="900"/>
        <w:gridCol w:w="1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color w:val="auto"/>
                <w:spacing w:val="20"/>
                <w:szCs w:val="21"/>
                <w:highlight w:val="none"/>
              </w:rPr>
            </w:pPr>
            <w:r>
              <w:rPr>
                <w:rFonts w:hint="eastAsia" w:ascii="宋体" w:hAnsi="宋体"/>
                <w:color w:val="auto"/>
                <w:szCs w:val="21"/>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设备名称</w:t>
            </w:r>
          </w:p>
        </w:tc>
        <w:tc>
          <w:tcPr>
            <w:tcW w:w="1260" w:type="dxa"/>
            <w:tcBorders>
              <w:top w:val="single" w:color="auto" w:sz="4" w:space="0"/>
              <w:left w:val="single" w:color="auto" w:sz="4" w:space="0"/>
              <w:bottom w:val="single" w:color="auto" w:sz="4" w:space="0"/>
              <w:right w:val="single" w:color="auto" w:sz="4" w:space="0"/>
            </w:tcBorders>
            <w:vAlign w:val="center"/>
          </w:tcPr>
          <w:p>
            <w:pPr>
              <w:pStyle w:val="244"/>
              <w:jc w:val="center"/>
              <w:rPr>
                <w:color w:val="auto"/>
                <w:highlight w:val="none"/>
              </w:rPr>
            </w:pPr>
            <w:r>
              <w:rPr>
                <w:rFonts w:hint="eastAsia"/>
                <w:b w:val="0"/>
                <w:bCs/>
                <w:color w:val="auto"/>
                <w:highlight w:val="none"/>
              </w:rPr>
              <w:t>品牌</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color w:val="auto"/>
                <w:szCs w:val="21"/>
                <w:highlight w:val="none"/>
              </w:rPr>
            </w:pPr>
            <w:r>
              <w:rPr>
                <w:rFonts w:hint="eastAsia" w:ascii="宋体" w:hAnsi="宋体"/>
                <w:color w:val="auto"/>
                <w:szCs w:val="21"/>
                <w:highlight w:val="none"/>
              </w:rPr>
              <w:t>规格型号</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color w:val="auto"/>
                <w:szCs w:val="21"/>
                <w:highlight w:val="none"/>
              </w:rPr>
            </w:pPr>
            <w:r>
              <w:rPr>
                <w:rFonts w:hint="eastAsia" w:ascii="宋体" w:hAnsi="宋体"/>
                <w:color w:val="auto"/>
                <w:szCs w:val="21"/>
                <w:highlight w:val="none"/>
              </w:rPr>
              <w:t>生产厂家</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单位及数量</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单价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color w:val="auto"/>
                <w:spacing w:val="20"/>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color w:val="auto"/>
                <w:spacing w:val="20"/>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color w:val="auto"/>
                <w:spacing w:val="20"/>
                <w:szCs w:val="21"/>
                <w:highlight w:val="none"/>
              </w:rPr>
            </w:pPr>
            <w:r>
              <w:rPr>
                <w:rFonts w:hint="eastAsia" w:ascii="宋体" w:hAnsi="宋体"/>
                <w:bCs/>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color w:val="auto"/>
                <w:spacing w:val="20"/>
                <w:szCs w:val="21"/>
                <w:highlight w:val="none"/>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00" w:type="dxa"/>
            <w:gridSpan w:val="7"/>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rPr>
                <w:rFonts w:ascii="宋体" w:hAnsi="宋体"/>
                <w:color w:val="auto"/>
                <w:spacing w:val="20"/>
                <w:szCs w:val="21"/>
                <w:highlight w:val="none"/>
              </w:rPr>
            </w:pPr>
            <w:r>
              <w:rPr>
                <w:rFonts w:hint="eastAsia" w:hAnsi="宋体"/>
                <w:color w:val="auto"/>
                <w:highlight w:val="none"/>
              </w:rPr>
              <w:t>分标</w:t>
            </w:r>
            <w:r>
              <w:rPr>
                <w:rFonts w:hint="default" w:hAnsi="宋体"/>
                <w:color w:val="auto"/>
                <w:highlight w:val="none"/>
                <w:u w:val="single"/>
                <w:lang w:val="en"/>
              </w:rPr>
              <w:t xml:space="preserve">      </w:t>
            </w:r>
            <w:r>
              <w:rPr>
                <w:rFonts w:hint="eastAsia" w:ascii="宋体" w:hAnsi="宋体"/>
                <w:color w:val="auto"/>
                <w:szCs w:val="21"/>
                <w:highlight w:val="none"/>
              </w:rPr>
              <w:t>合计金额大写：</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rPr>
                <w:rFonts w:ascii="宋体" w:hAnsi="宋体"/>
                <w:color w:val="auto"/>
                <w:spacing w:val="20"/>
                <w:szCs w:val="21"/>
                <w:highlight w:val="none"/>
              </w:rPr>
            </w:pPr>
            <w:r>
              <w:rPr>
                <w:rFonts w:hint="eastAsia" w:ascii="宋体" w:hAnsi="宋体"/>
                <w:color w:val="auto"/>
                <w:szCs w:val="21"/>
                <w:highlight w:val="none"/>
              </w:rPr>
              <w:t>￥</w:t>
            </w:r>
            <w:r>
              <w:rPr>
                <w:rFonts w:hint="eastAsia" w:ascii="宋体" w:hAnsi="宋体"/>
                <w:color w:val="auto"/>
                <w:szCs w:val="21"/>
                <w:highlight w:val="none"/>
                <w:u w:val="single"/>
              </w:rPr>
              <w:t xml:space="preserve">            </w:t>
            </w:r>
          </w:p>
        </w:tc>
      </w:tr>
    </w:tbl>
    <w:p>
      <w:pPr>
        <w:tabs>
          <w:tab w:val="left" w:pos="1418"/>
        </w:tabs>
        <w:snapToGrid w:val="0"/>
        <w:ind w:left="1418" w:hanging="567"/>
        <w:jc w:val="center"/>
        <w:rPr>
          <w:rFonts w:ascii="宋体" w:hAnsi="宋体"/>
          <w:color w:val="auto"/>
          <w:spacing w:val="20"/>
          <w:szCs w:val="21"/>
          <w:highlight w:val="none"/>
          <w:u w:val="single"/>
        </w:rPr>
      </w:pPr>
    </w:p>
    <w:p>
      <w:pPr>
        <w:snapToGrid w:val="0"/>
        <w:rPr>
          <w:rFonts w:ascii="宋体" w:hAnsi="宋体"/>
          <w:color w:val="auto"/>
          <w:spacing w:val="20"/>
          <w:szCs w:val="21"/>
          <w:highlight w:val="none"/>
          <w:u w:val="single"/>
        </w:rPr>
      </w:pPr>
      <w:r>
        <w:rPr>
          <w:rFonts w:hint="eastAsia" w:ascii="宋体" w:hAnsi="宋体"/>
          <w:color w:val="auto"/>
          <w:szCs w:val="21"/>
          <w:highlight w:val="none"/>
        </w:rPr>
        <w:t>法定代表人或委托代理人</w:t>
      </w:r>
      <w:r>
        <w:rPr>
          <w:rFonts w:hint="eastAsia" w:ascii="宋体" w:hAnsi="宋体"/>
          <w:color w:val="auto"/>
          <w:szCs w:val="21"/>
          <w:highlight w:val="none"/>
          <w:lang w:eastAsia="zh-CN"/>
        </w:rPr>
        <w:t>签字或签章</w:t>
      </w:r>
      <w:r>
        <w:rPr>
          <w:rFonts w:hint="eastAsia" w:ascii="宋体" w:hAnsi="宋体"/>
          <w:color w:val="auto"/>
          <w:spacing w:val="20"/>
          <w:szCs w:val="21"/>
          <w:highlight w:val="none"/>
        </w:rPr>
        <w:t>：</w:t>
      </w:r>
      <w:r>
        <w:rPr>
          <w:rFonts w:hint="eastAsia" w:ascii="宋体" w:hAnsi="宋体"/>
          <w:color w:val="auto"/>
          <w:spacing w:val="20"/>
          <w:szCs w:val="21"/>
          <w:highlight w:val="none"/>
          <w:u w:val="single"/>
        </w:rPr>
        <w:t xml:space="preserve">          </w:t>
      </w:r>
    </w:p>
    <w:p>
      <w:pPr>
        <w:snapToGrid w:val="0"/>
        <w:rPr>
          <w:rFonts w:ascii="宋体" w:hAnsi="宋体"/>
          <w:color w:val="auto"/>
          <w:spacing w:val="20"/>
          <w:szCs w:val="21"/>
          <w:highlight w:val="none"/>
          <w:u w:val="single"/>
        </w:rPr>
      </w:pPr>
    </w:p>
    <w:p>
      <w:pPr>
        <w:snapToGrid w:val="0"/>
        <w:rPr>
          <w:rFonts w:ascii="宋体" w:hAnsi="宋体"/>
          <w:color w:val="auto"/>
          <w:szCs w:val="21"/>
          <w:highlight w:val="none"/>
        </w:rPr>
      </w:pPr>
      <w:r>
        <w:rPr>
          <w:rFonts w:hint="eastAsia" w:ascii="宋体" w:hAnsi="宋体"/>
          <w:color w:val="auto"/>
          <w:szCs w:val="21"/>
          <w:highlight w:val="none"/>
        </w:rPr>
        <w:t xml:space="preserve">投标人盖章：                               日  期：         </w:t>
      </w:r>
    </w:p>
    <w:p>
      <w:pPr>
        <w:snapToGrid w:val="0"/>
        <w:rPr>
          <w:rFonts w:ascii="宋体" w:hAnsi="宋体"/>
          <w:b/>
          <w:color w:val="auto"/>
          <w:szCs w:val="21"/>
          <w:highlight w:val="none"/>
        </w:rPr>
      </w:pPr>
    </w:p>
    <w:p>
      <w:pPr>
        <w:snapToGrid w:val="0"/>
        <w:rPr>
          <w:rFonts w:ascii="宋体" w:hAnsi="宋体"/>
          <w:color w:val="auto"/>
          <w:szCs w:val="21"/>
          <w:highlight w:val="none"/>
        </w:rPr>
      </w:pPr>
      <w:r>
        <w:rPr>
          <w:rFonts w:hint="eastAsia" w:ascii="宋体" w:hAnsi="宋体"/>
          <w:b/>
          <w:color w:val="auto"/>
          <w:szCs w:val="21"/>
          <w:highlight w:val="none"/>
        </w:rPr>
        <w:t>（3）</w:t>
      </w:r>
      <w:r>
        <w:rPr>
          <w:rFonts w:hint="eastAsia" w:ascii="宋体" w:hAnsi="宋体"/>
          <w:color w:val="auto"/>
          <w:szCs w:val="21"/>
          <w:highlight w:val="none"/>
        </w:rPr>
        <w:t>投标人针对报价需要说明的其他文件和说明（格式自拟）</w:t>
      </w:r>
    </w:p>
    <w:p>
      <w:pPr>
        <w:snapToGrid w:val="0"/>
        <w:ind w:firstLine="421" w:firstLineChars="200"/>
        <w:rPr>
          <w:rFonts w:ascii="宋体" w:hAnsi="宋体"/>
          <w:b/>
          <w:color w:val="auto"/>
          <w:szCs w:val="21"/>
          <w:highlight w:val="none"/>
        </w:rPr>
      </w:pPr>
    </w:p>
    <w:p>
      <w:pPr>
        <w:snapToGrid w:val="0"/>
        <w:spacing w:line="360" w:lineRule="exact"/>
        <w:rPr>
          <w:rFonts w:ascii="宋体" w:hAnsi="宋体"/>
          <w:b/>
          <w:color w:val="auto"/>
          <w:szCs w:val="21"/>
          <w:highlight w:val="none"/>
        </w:rPr>
      </w:pPr>
      <w:r>
        <w:rPr>
          <w:rFonts w:hint="eastAsia" w:ascii="宋体" w:hAnsi="宋体"/>
          <w:b/>
          <w:color w:val="auto"/>
          <w:szCs w:val="21"/>
          <w:highlight w:val="none"/>
        </w:rPr>
        <w:t>（4）开标一览表</w:t>
      </w:r>
    </w:p>
    <w:p>
      <w:pPr>
        <w:snapToGrid w:val="0"/>
        <w:spacing w:line="360" w:lineRule="exact"/>
        <w:jc w:val="center"/>
        <w:rPr>
          <w:rFonts w:ascii="宋体" w:hAnsi="宋体"/>
          <w:b/>
          <w:color w:val="auto"/>
          <w:szCs w:val="21"/>
          <w:highlight w:val="none"/>
        </w:rPr>
      </w:pPr>
      <w:r>
        <w:rPr>
          <w:rFonts w:hint="eastAsia" w:ascii="宋体" w:hAnsi="宋体"/>
          <w:b/>
          <w:color w:val="auto"/>
          <w:szCs w:val="21"/>
          <w:highlight w:val="none"/>
        </w:rPr>
        <w:t>开标一览表</w:t>
      </w:r>
    </w:p>
    <w:p>
      <w:pPr>
        <w:snapToGrid w:val="0"/>
        <w:spacing w:line="360" w:lineRule="exact"/>
        <w:jc w:val="left"/>
        <w:rPr>
          <w:color w:val="auto"/>
          <w:highlight w:val="none"/>
        </w:rPr>
      </w:pPr>
      <w:r>
        <w:rPr>
          <w:rFonts w:hint="eastAsia" w:hAnsi="宋体"/>
          <w:color w:val="auto"/>
          <w:highlight w:val="none"/>
        </w:rPr>
        <w:t>项目名称：</w:t>
      </w:r>
    </w:p>
    <w:p>
      <w:pPr>
        <w:snapToGrid w:val="0"/>
        <w:spacing w:line="360" w:lineRule="exact"/>
        <w:jc w:val="left"/>
        <w:rPr>
          <w:rFonts w:ascii="宋体" w:hAnsi="宋体"/>
          <w:b/>
          <w:color w:val="auto"/>
          <w:szCs w:val="21"/>
          <w:highlight w:val="none"/>
        </w:rPr>
      </w:pPr>
      <w:r>
        <w:rPr>
          <w:rFonts w:hint="eastAsia"/>
          <w:color w:val="auto"/>
          <w:highlight w:val="none"/>
        </w:rPr>
        <w:t>项目编号：</w:t>
      </w:r>
      <w:r>
        <w:rPr>
          <w:color w:val="auto"/>
          <w:highlight w:val="none"/>
        </w:rPr>
        <w:t xml:space="preserve">                                        </w:t>
      </w:r>
    </w:p>
    <w:p>
      <w:pPr>
        <w:snapToGrid w:val="0"/>
        <w:spacing w:line="360" w:lineRule="exact"/>
        <w:ind w:firstLine="102" w:firstLineChars="49"/>
        <w:jc w:val="left"/>
        <w:rPr>
          <w:rFonts w:ascii="宋体" w:hAnsi="宋体"/>
          <w:b/>
          <w:color w:val="auto"/>
          <w:szCs w:val="21"/>
          <w:highlight w:val="none"/>
        </w:rPr>
      </w:pPr>
      <w:r>
        <w:rPr>
          <w:rFonts w:hint="eastAsia"/>
          <w:color w:val="auto"/>
          <w:highlight w:val="none"/>
        </w:rPr>
        <w:t xml:space="preserve">                                                金额单位：人民币（元）</w:t>
      </w:r>
    </w:p>
    <w:tbl>
      <w:tblPr>
        <w:tblStyle w:val="53"/>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1542"/>
        <w:gridCol w:w="850"/>
        <w:gridCol w:w="749"/>
        <w:gridCol w:w="1855"/>
        <w:gridCol w:w="1381"/>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Cs w:val="21"/>
                <w:highlight w:val="none"/>
              </w:rPr>
            </w:pPr>
            <w:r>
              <w:rPr>
                <w:rFonts w:hint="eastAsia" w:ascii="宋体" w:hAnsi="宋体"/>
                <w:color w:val="auto"/>
                <w:szCs w:val="21"/>
                <w:highlight w:val="none"/>
              </w:rPr>
              <w:t>序号</w:t>
            </w: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Cs w:val="21"/>
                <w:highlight w:val="none"/>
              </w:rPr>
            </w:pPr>
            <w:r>
              <w:rPr>
                <w:rFonts w:hint="eastAsia" w:ascii="宋体" w:hAnsi="宋体"/>
                <w:color w:val="auto"/>
                <w:szCs w:val="21"/>
                <w:highlight w:val="none"/>
              </w:rPr>
              <w:t>设备名称</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Cs w:val="21"/>
                <w:highlight w:val="none"/>
              </w:rPr>
            </w:pPr>
            <w:r>
              <w:rPr>
                <w:rFonts w:hint="eastAsia" w:ascii="宋体" w:hAnsi="宋体"/>
                <w:color w:val="auto"/>
                <w:szCs w:val="21"/>
                <w:highlight w:val="none"/>
              </w:rPr>
              <w:t>数量</w:t>
            </w: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Cs w:val="21"/>
                <w:highlight w:val="none"/>
              </w:rPr>
            </w:pPr>
            <w:r>
              <w:rPr>
                <w:rFonts w:hint="eastAsia" w:ascii="宋体" w:hAnsi="宋体"/>
                <w:color w:val="auto"/>
                <w:szCs w:val="21"/>
                <w:highlight w:val="none"/>
              </w:rPr>
              <w:t>产地</w:t>
            </w: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Cs w:val="21"/>
                <w:highlight w:val="none"/>
              </w:rPr>
            </w:pPr>
            <w:r>
              <w:rPr>
                <w:rFonts w:hint="eastAsia" w:ascii="宋体" w:hAnsi="宋体"/>
                <w:color w:val="auto"/>
                <w:szCs w:val="21"/>
                <w:highlight w:val="none"/>
              </w:rPr>
              <w:t>品牌及厂家</w:t>
            </w: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Cs w:val="21"/>
                <w:highlight w:val="none"/>
              </w:rPr>
            </w:pPr>
            <w:r>
              <w:rPr>
                <w:rFonts w:hint="eastAsia" w:ascii="宋体" w:hAnsi="宋体"/>
                <w:color w:val="auto"/>
                <w:szCs w:val="21"/>
                <w:highlight w:val="none"/>
              </w:rPr>
              <w:t>规格型号</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Cs w:val="21"/>
                <w:highlight w:val="none"/>
              </w:rPr>
            </w:pPr>
            <w:r>
              <w:rPr>
                <w:rFonts w:hint="eastAsia" w:ascii="宋体" w:hAnsi="宋体"/>
                <w:color w:val="auto"/>
                <w:szCs w:val="21"/>
                <w:highlight w:val="none"/>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Cs w:val="21"/>
                <w:highlight w:val="none"/>
              </w:rPr>
            </w:pPr>
            <w:r>
              <w:rPr>
                <w:rFonts w:hint="eastAsia" w:ascii="宋体" w:hAnsi="宋体"/>
                <w:color w:val="auto"/>
                <w:szCs w:val="21"/>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bCs/>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bCs/>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bCs/>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bCs/>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r>
              <w:rPr>
                <w:rFonts w:hint="eastAsia" w:ascii="宋体" w:hAnsi="宋体"/>
                <w:color w:val="auto"/>
                <w:szCs w:val="21"/>
                <w:highlight w:val="none"/>
              </w:rPr>
              <w:t>…</w:t>
            </w: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bCs/>
                <w:color w:val="auto"/>
                <w:szCs w:val="21"/>
                <w:highlight w:val="none"/>
              </w:rPr>
            </w:pPr>
            <w:r>
              <w:rPr>
                <w:rFonts w:hint="eastAsia" w:ascii="宋体" w:hAnsi="宋体"/>
                <w:bCs/>
                <w:color w:val="auto"/>
                <w:szCs w:val="21"/>
                <w:highlight w:val="none"/>
              </w:rPr>
              <w:t>…</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bCs/>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700"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color w:val="auto"/>
                <w:szCs w:val="21"/>
                <w:highlight w:val="none"/>
                <w:u w:val="single"/>
              </w:rPr>
            </w:pPr>
            <w:r>
              <w:rPr>
                <w:rFonts w:hint="eastAsia" w:hAnsi="宋体"/>
                <w:color w:val="auto"/>
                <w:highlight w:val="none"/>
              </w:rPr>
              <w:t>分标</w:t>
            </w:r>
            <w:r>
              <w:rPr>
                <w:rFonts w:hint="default" w:hAnsi="宋体"/>
                <w:color w:val="auto"/>
                <w:highlight w:val="none"/>
                <w:u w:val="single"/>
                <w:lang w:val="en"/>
              </w:rPr>
              <w:t xml:space="preserve">     </w:t>
            </w:r>
            <w:r>
              <w:rPr>
                <w:rFonts w:hint="eastAsia" w:ascii="宋体" w:hAnsi="宋体"/>
                <w:color w:val="auto"/>
                <w:szCs w:val="21"/>
                <w:highlight w:val="none"/>
              </w:rPr>
              <w:t>合计金额大写：                                              ￥</w:t>
            </w:r>
            <w:r>
              <w:rPr>
                <w:rFonts w:hint="eastAsia" w:ascii="宋体" w:hAnsi="宋体"/>
                <w:color w:val="auto"/>
                <w:szCs w:val="21"/>
                <w:highlight w:val="none"/>
                <w:u w:val="single"/>
              </w:rPr>
              <w:t xml:space="preserve">            </w:t>
            </w:r>
          </w:p>
        </w:tc>
      </w:tr>
    </w:tbl>
    <w:p>
      <w:pPr>
        <w:snapToGrid w:val="0"/>
        <w:spacing w:before="50" w:after="50"/>
        <w:jc w:val="left"/>
        <w:rPr>
          <w:rFonts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注: </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1.报价一经涂改，应在涂改处加盖单位公章或者由法定代表人或授权委托人签字或盖章，否则其投标作无效标处理。</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2.凡需用专用耗材的专用设备类采购项目，应按招标文件规定的耗材量或按耗材的常规试用量提供报价。</w:t>
      </w:r>
    </w:p>
    <w:p>
      <w:pPr>
        <w:keepNext w:val="0"/>
        <w:keepLines w:val="0"/>
        <w:pageBreakBefore w:val="0"/>
        <w:widowControl w:val="0"/>
        <w:kinsoku/>
        <w:wordWrap/>
        <w:overflowPunct/>
        <w:topLinePunct w:val="0"/>
        <w:autoSpaceDE/>
        <w:autoSpaceDN/>
        <w:bidi w:val="0"/>
        <w:adjustRightInd/>
        <w:snapToGrid w:val="0"/>
        <w:spacing w:line="34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3.投标费用包括项目实施所需的人工费、运输费、安装调试费、制作投标文件费、税费及其他一切费用。</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4.以上报价应与“投标设备报价明细表”中的“投标总价”相一致。</w:t>
      </w:r>
    </w:p>
    <w:p>
      <w:pPr>
        <w:keepNext w:val="0"/>
        <w:keepLines w:val="0"/>
        <w:pageBreakBefore w:val="0"/>
        <w:widowControl w:val="0"/>
        <w:kinsoku/>
        <w:wordWrap/>
        <w:overflowPunct/>
        <w:topLinePunct w:val="0"/>
        <w:autoSpaceDE/>
        <w:autoSpaceDN/>
        <w:bidi w:val="0"/>
        <w:adjustRightInd/>
        <w:snapToGrid w:val="0"/>
        <w:spacing w:line="340" w:lineRule="exact"/>
        <w:ind w:left="-2" w:leftChars="-1" w:right="-817" w:rightChars="-389" w:firstLine="420" w:firstLineChars="200"/>
        <w:textAlignment w:val="auto"/>
        <w:rPr>
          <w:rFonts w:ascii="宋体" w:hAnsi="宋体"/>
          <w:b w:val="0"/>
          <w:bCs/>
          <w:color w:val="auto"/>
          <w:szCs w:val="21"/>
          <w:highlight w:val="none"/>
        </w:rPr>
      </w:pPr>
      <w:r>
        <w:rPr>
          <w:rFonts w:hint="eastAsia" w:ascii="宋体" w:hAnsi="宋体"/>
          <w:b w:val="0"/>
          <w:bCs/>
          <w:color w:val="auto"/>
          <w:szCs w:val="21"/>
          <w:highlight w:val="none"/>
        </w:rPr>
        <w:t>5.项目中有多个分标的，每一分标的开标一览表必须分别按格式要求填写并签字、盖章。</w:t>
      </w:r>
    </w:p>
    <w:p>
      <w:pPr>
        <w:keepNext w:val="0"/>
        <w:keepLines w:val="0"/>
        <w:pageBreakBefore w:val="0"/>
        <w:widowControl w:val="0"/>
        <w:kinsoku/>
        <w:wordWrap/>
        <w:overflowPunct/>
        <w:topLinePunct w:val="0"/>
        <w:autoSpaceDE/>
        <w:autoSpaceDN/>
        <w:bidi w:val="0"/>
        <w:adjustRightInd/>
        <w:snapToGrid w:val="0"/>
        <w:spacing w:line="340" w:lineRule="exact"/>
        <w:ind w:left="-2" w:leftChars="-1" w:right="-817" w:rightChars="-389" w:firstLine="420" w:firstLineChars="200"/>
        <w:textAlignment w:val="auto"/>
        <w:rPr>
          <w:rFonts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val="0"/>
        <w:spacing w:line="340" w:lineRule="exact"/>
        <w:ind w:left="-2" w:leftChars="-1" w:right="-817" w:rightChars="-389" w:firstLine="420" w:firstLineChars="200"/>
        <w:textAlignment w:val="auto"/>
        <w:rPr>
          <w:rFonts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lang w:eastAsia="zh-CN"/>
        </w:rPr>
        <w:t>签字或签章</w:t>
      </w:r>
      <w:r>
        <w:rPr>
          <w:rFonts w:hint="eastAsia" w:ascii="宋体" w:hAnsi="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val="0"/>
        <w:spacing w:line="340" w:lineRule="exact"/>
        <w:ind w:right="-817" w:rightChars="-389" w:firstLine="420" w:firstLineChars="200"/>
        <w:textAlignment w:val="auto"/>
        <w:rPr>
          <w:rFonts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val="0"/>
        <w:spacing w:line="340" w:lineRule="exact"/>
        <w:ind w:right="-817" w:rightChars="-389" w:firstLine="420" w:firstLineChars="200"/>
        <w:textAlignment w:val="auto"/>
        <w:rPr>
          <w:rFonts w:ascii="宋体" w:hAnsi="宋体"/>
          <w:color w:val="auto"/>
          <w:szCs w:val="21"/>
          <w:highlight w:val="none"/>
        </w:rPr>
      </w:pPr>
      <w:r>
        <w:rPr>
          <w:rFonts w:hint="eastAsia" w:ascii="宋体" w:hAnsi="宋体"/>
          <w:color w:val="auto"/>
          <w:szCs w:val="21"/>
          <w:highlight w:val="none"/>
        </w:rPr>
        <w:t>投标人名称（盖章）：</w:t>
      </w:r>
    </w:p>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color w:val="auto"/>
          <w:highlight w:val="none"/>
        </w:rPr>
      </w:pPr>
      <w:r>
        <w:rPr>
          <w:rFonts w:hint="eastAsia"/>
          <w:color w:val="auto"/>
          <w:highlight w:val="none"/>
        </w:rPr>
        <w:t xml:space="preserve">                  日期：  年   月   日 </w:t>
      </w:r>
    </w:p>
    <w:bookmarkEnd w:id="14"/>
    <w:sectPr>
      <w:footerReference r:id="rId5" w:type="default"/>
      <w:pgSz w:w="11906" w:h="16838"/>
      <w:pgMar w:top="1247" w:right="1247" w:bottom="1247" w:left="124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Tahoma">
    <w:altName w:val="Droid Sans"/>
    <w:panose1 w:val="020B0604030504040204"/>
    <w:charset w:val="00"/>
    <w:family w:val="swiss"/>
    <w:pitch w:val="default"/>
    <w:sig w:usb0="00000000" w:usb1="00000000" w:usb2="00000029" w:usb3="00000000" w:csb0="200101FF" w:csb1="20280000"/>
  </w:font>
  <w:font w:name="方正中等线简体 Regular">
    <w:altName w:val="黑体"/>
    <w:panose1 w:val="00000000000000000000"/>
    <w:charset w:val="86"/>
    <w:family w:val="auto"/>
    <w:pitch w:val="default"/>
    <w:sig w:usb0="00000000" w:usb1="00000000" w:usb2="0000001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汉仪大黑简 regular">
    <w:altName w:val="黑体"/>
    <w:panose1 w:val="00000000000000000000"/>
    <w:charset w:val="86"/>
    <w:family w:val="auto"/>
    <w:pitch w:val="default"/>
    <w:sig w:usb0="00000000" w:usb1="00000000" w:usb2="00000010" w:usb3="00000000" w:csb0="00040000" w:csb1="00000000"/>
  </w:font>
  <w:font w:name="创艺简黑体">
    <w:altName w:val="黑体"/>
    <w:panose1 w:val="00000000000000000000"/>
    <w:charset w:val="86"/>
    <w:family w:val="auto"/>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swiss"/>
    <w:pitch w:val="default"/>
    <w:sig w:usb0="00000000" w:usb1="00000000" w:usb2="00000016" w:usb3="00000000" w:csb0="0004001F" w:csb1="00000000"/>
  </w:font>
  <w:font w:name="隶书">
    <w:altName w:val="宋体"/>
    <w:panose1 w:val="02010509060101010101"/>
    <w:charset w:val="86"/>
    <w:family w:val="modern"/>
    <w:pitch w:val="default"/>
    <w:sig w:usb0="00000000" w:usb1="00000000" w:usb2="00000000" w:usb3="00000000" w:csb0="00040000" w:csb1="00000000"/>
  </w:font>
  <w:font w:name="汉仪书宋二S">
    <w:altName w:val="宋体"/>
    <w:panose1 w:val="00000000000000000000"/>
    <w:charset w:val="00"/>
    <w:family w:val="auto"/>
    <w:pitch w:val="default"/>
    <w:sig w:usb0="00000000" w:usb1="00000000" w:usb2="00000000" w:usb3="00000000" w:csb0="00000000" w:csb1="00000000"/>
  </w:font>
  <w:font w:name="东文宋体">
    <w:altName w:val="宋体"/>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rPr>
        <w:rFonts w:hint="eastAsia" w:ascii="宋体" w:hAnsi="宋体"/>
        <w:sz w:val="21"/>
        <w:szCs w:val="21"/>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0</w:t>
                    </w:r>
                    <w:r>
                      <w:fldChar w:fldCharType="end"/>
                    </w:r>
                  </w:p>
                </w:txbxContent>
              </v:textbox>
            </v:shape>
          </w:pict>
        </mc:Fallback>
      </mc:AlternateContent>
    </w:r>
    <w:r>
      <w:rPr>
        <w:rFonts w:hint="eastAsia" w:ascii="宋体" w:hAnsi="宋体"/>
        <w:sz w:val="21"/>
        <w:szCs w:val="21"/>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rFonts w:hint="eastAsia" w:ascii="宋体" w:hAnsi="宋体"/>
        <w:sz w:val="21"/>
        <w:szCs w:val="21"/>
        <w:lang w:val="en-US" w:eastAsia="zh-CN"/>
      </w:rPr>
      <w:t xml:space="preserve">                        </w:t>
    </w:r>
    <w:r>
      <w:rPr>
        <w:rFonts w:hint="eastAsia" w:ascii="宋体" w:hAnsi="宋体"/>
        <w:sz w:val="15"/>
        <w:szCs w:val="15"/>
      </w:rPr>
      <w:t>广西艺术学院图书馆密集书架及数智影视传媒艺术实验教学中心设备采购</w:t>
    </w:r>
    <w:r>
      <w:rPr>
        <w:rFonts w:hint="eastAsia" w:ascii="宋体" w:hAnsi="宋体"/>
        <w:sz w:val="15"/>
        <w:szCs w:val="15"/>
        <w:lang w:eastAsia="zh-CN"/>
      </w:rPr>
      <w:t>（</w:t>
    </w:r>
    <w:r>
      <w:rPr>
        <w:rFonts w:hint="eastAsia" w:ascii="宋体" w:hAnsi="宋体"/>
        <w:sz w:val="15"/>
        <w:szCs w:val="15"/>
      </w:rPr>
      <w:t>GXZC2025-G1-002924-CGZX</w:t>
    </w:r>
    <w:r>
      <w:rPr>
        <w:rFonts w:hint="eastAsia" w:ascii="宋体" w:hAnsi="宋体"/>
        <w:sz w:val="15"/>
        <w:szCs w:val="15"/>
        <w:lang w:eastAsia="zh-CN"/>
      </w:rPr>
      <w:t>）</w:t>
    </w:r>
    <w:r>
      <w:rPr>
        <w:rFonts w:hint="eastAsia" w:ascii="宋体" w:hAnsi="宋体"/>
        <w:sz w:val="21"/>
        <w:szCs w:val="21"/>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E7855"/>
    <w:multiLevelType w:val="singleLevel"/>
    <w:tmpl w:val="ADFE7855"/>
    <w:lvl w:ilvl="0" w:tentative="0">
      <w:start w:val="1"/>
      <w:numFmt w:val="decimal"/>
      <w:suff w:val="space"/>
      <w:lvlText w:val="(%1)"/>
      <w:lvlJc w:val="left"/>
    </w:lvl>
  </w:abstractNum>
  <w:abstractNum w:abstractNumId="1">
    <w:nsid w:val="E24874B8"/>
    <w:multiLevelType w:val="singleLevel"/>
    <w:tmpl w:val="E24874B8"/>
    <w:lvl w:ilvl="0" w:tentative="0">
      <w:start w:val="2"/>
      <w:numFmt w:val="decimal"/>
      <w:suff w:val="nothing"/>
      <w:lvlText w:val="(%1）"/>
      <w:lvlJc w:val="left"/>
    </w:lvl>
  </w:abstractNum>
  <w:abstractNum w:abstractNumId="2">
    <w:nsid w:val="0000000C"/>
    <w:multiLevelType w:val="multilevel"/>
    <w:tmpl w:val="0000000C"/>
    <w:lvl w:ilvl="0" w:tentative="0">
      <w:start w:val="1"/>
      <w:numFmt w:val="decimal"/>
      <w:pStyle w:val="375"/>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3">
    <w:nsid w:val="0000000D"/>
    <w:multiLevelType w:val="multilevel"/>
    <w:tmpl w:val="0000000D"/>
    <w:lvl w:ilvl="0" w:tentative="0">
      <w:start w:val="1"/>
      <w:numFmt w:val="none"/>
      <w:pStyle w:val="362"/>
      <w:suff w:val="nothing"/>
      <w:lvlText w:val="表2　"/>
      <w:lvlJc w:val="left"/>
      <w:pPr>
        <w:ind w:left="270"/>
      </w:pPr>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pStyle w:val="367"/>
      <w:lvlText w:val="%1.%2.%3"/>
      <w:lvlJc w:val="left"/>
      <w:pPr>
        <w:tabs>
          <w:tab w:val="left" w:pos="1418"/>
        </w:tabs>
        <w:ind w:left="1418" w:hanging="567"/>
      </w:pPr>
      <w:rPr>
        <w:rFonts w:hint="eastAsia" w:cs="Times New Roman"/>
      </w:rPr>
    </w:lvl>
    <w:lvl w:ilvl="3" w:tentative="0">
      <w:start w:val="1"/>
      <w:numFmt w:val="decimal"/>
      <w:pStyle w:val="366"/>
      <w:lvlText w:val="%1.%2.%3.%4"/>
      <w:lvlJc w:val="left"/>
      <w:pPr>
        <w:tabs>
          <w:tab w:val="left" w:pos="1984"/>
        </w:tabs>
        <w:ind w:left="1984" w:hanging="708"/>
      </w:pPr>
      <w:rPr>
        <w:rFonts w:hint="eastAsia" w:cs="Times New Roman"/>
      </w:rPr>
    </w:lvl>
    <w:lvl w:ilvl="4" w:tentative="0">
      <w:start w:val="1"/>
      <w:numFmt w:val="decimal"/>
      <w:pStyle w:val="365"/>
      <w:lvlText w:val="%1.%2.%3.%4.%5"/>
      <w:lvlJc w:val="left"/>
      <w:pPr>
        <w:tabs>
          <w:tab w:val="left" w:pos="2551"/>
        </w:tabs>
        <w:ind w:left="2551" w:hanging="850"/>
      </w:pPr>
      <w:rPr>
        <w:rFonts w:hint="eastAsia" w:cs="Times New Roman"/>
      </w:rPr>
    </w:lvl>
    <w:lvl w:ilvl="5" w:tentative="0">
      <w:start w:val="1"/>
      <w:numFmt w:val="decimal"/>
      <w:pStyle w:val="377"/>
      <w:lvlText w:val="%1.%2.%3.%4.%5.%6"/>
      <w:lvlJc w:val="left"/>
      <w:pPr>
        <w:tabs>
          <w:tab w:val="left" w:pos="3260"/>
        </w:tabs>
        <w:ind w:left="3260" w:hanging="1134"/>
      </w:pPr>
      <w:rPr>
        <w:rFonts w:hint="eastAsia" w:cs="Times New Roman"/>
      </w:rPr>
    </w:lvl>
    <w:lvl w:ilvl="6" w:tentative="0">
      <w:start w:val="1"/>
      <w:numFmt w:val="decimal"/>
      <w:pStyle w:val="387"/>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4">
    <w:nsid w:val="0000000E"/>
    <w:multiLevelType w:val="multilevel"/>
    <w:tmpl w:val="0000000E"/>
    <w:lvl w:ilvl="0" w:tentative="0">
      <w:start w:val="1"/>
      <w:numFmt w:val="none"/>
      <w:pStyle w:val="388"/>
      <w:lvlText w:val="%1·　"/>
      <w:lvlJc w:val="left"/>
      <w:pPr>
        <w:tabs>
          <w:tab w:val="left" w:pos="1140"/>
        </w:tabs>
        <w:ind w:left="737" w:hanging="317"/>
      </w:pPr>
      <w:rPr>
        <w:rFonts w:hint="eastAsia" w:ascii="宋体" w:hAnsi="Times New Roman" w:eastAsia="宋体" w:cs="Times New Roman"/>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0F"/>
    <w:multiLevelType w:val="multilevel"/>
    <w:tmpl w:val="0000000F"/>
    <w:lvl w:ilvl="0" w:tentative="0">
      <w:start w:val="1"/>
      <w:numFmt w:val="upperLetter"/>
      <w:suff w:val="nothing"/>
      <w:lvlText w:val="附　录　%1"/>
      <w:lvlJc w:val="left"/>
      <w:pPr>
        <w:ind w:left="4310"/>
      </w:pPr>
      <w:rPr>
        <w:rFonts w:cs="Times New Roman"/>
      </w:rPr>
    </w:lvl>
    <w:lvl w:ilvl="1" w:tentative="0">
      <w:start w:val="1"/>
      <w:numFmt w:val="decimal"/>
      <w:pStyle w:val="345"/>
      <w:suff w:val="nothing"/>
      <w:lvlText w:val="%1.%2　"/>
      <w:lvlJc w:val="left"/>
      <w:pPr>
        <w:ind w:left="568"/>
      </w:pPr>
      <w:rPr>
        <w:rFonts w:hint="eastAsia" w:ascii="黑体" w:hAnsi="Times New Roman" w:eastAsia="黑体" w:cs="Times New Roman"/>
        <w:b w:val="0"/>
        <w:i w:val="0"/>
        <w:snapToGrid/>
        <w:spacing w:val="0"/>
        <w:w w:val="100"/>
        <w:kern w:val="21"/>
        <w:sz w:val="21"/>
      </w:rPr>
    </w:lvl>
    <w:lvl w:ilvl="2" w:tentative="0">
      <w:start w:val="1"/>
      <w:numFmt w:val="decimal"/>
      <w:pStyle w:val="381"/>
      <w:suff w:val="nothing"/>
      <w:lvlText w:val="%1.%2.%3　"/>
      <w:lvlJc w:val="left"/>
      <w:pPr>
        <w:ind w:left="5355"/>
      </w:pPr>
      <w:rPr>
        <w:rFonts w:hint="eastAsia" w:ascii="黑体" w:hAnsi="Times New Roman" w:eastAsia="黑体" w:cs="Times New Roman"/>
        <w:b w:val="0"/>
        <w:i w:val="0"/>
        <w:sz w:val="21"/>
      </w:rPr>
    </w:lvl>
    <w:lvl w:ilvl="3" w:tentative="0">
      <w:start w:val="1"/>
      <w:numFmt w:val="decimal"/>
      <w:pStyle w:val="352"/>
      <w:suff w:val="nothing"/>
      <w:lvlText w:val="%1.%2.%3.%4　"/>
      <w:lvlJc w:val="left"/>
      <w:pPr>
        <w:ind w:left="4620"/>
      </w:pPr>
      <w:rPr>
        <w:rFonts w:hint="eastAsia" w:ascii="黑体" w:hAnsi="Times New Roman" w:eastAsia="黑体" w:cs="Times New Roman"/>
        <w:b w:val="0"/>
        <w:i w:val="0"/>
        <w:sz w:val="21"/>
      </w:rPr>
    </w:lvl>
    <w:lvl w:ilvl="4" w:tentative="0">
      <w:start w:val="1"/>
      <w:numFmt w:val="decimal"/>
      <w:pStyle w:val="347"/>
      <w:suff w:val="nothing"/>
      <w:lvlText w:val="%1.%2.%3.%4.%5　"/>
      <w:lvlJc w:val="left"/>
      <w:pPr>
        <w:ind w:left="4620"/>
      </w:pPr>
      <w:rPr>
        <w:rFonts w:hint="eastAsia" w:ascii="黑体" w:hAnsi="Times New Roman" w:eastAsia="黑体" w:cs="Times New Roman"/>
        <w:b w:val="0"/>
        <w:i w:val="0"/>
        <w:sz w:val="21"/>
      </w:rPr>
    </w:lvl>
    <w:lvl w:ilvl="5" w:tentative="0">
      <w:start w:val="1"/>
      <w:numFmt w:val="decimal"/>
      <w:pStyle w:val="369"/>
      <w:suff w:val="nothing"/>
      <w:lvlText w:val="%1.%2.%3.%4.%5.%6　"/>
      <w:lvlJc w:val="left"/>
      <w:pPr>
        <w:ind w:left="4620"/>
      </w:pPr>
      <w:rPr>
        <w:rFonts w:hint="eastAsia" w:ascii="黑体" w:hAnsi="Times New Roman" w:eastAsia="黑体" w:cs="Times New Roman"/>
        <w:b w:val="0"/>
        <w:i w:val="0"/>
        <w:sz w:val="21"/>
      </w:rPr>
    </w:lvl>
    <w:lvl w:ilvl="6" w:tentative="0">
      <w:start w:val="1"/>
      <w:numFmt w:val="decimal"/>
      <w:pStyle w:val="346"/>
      <w:suff w:val="nothing"/>
      <w:lvlText w:val="%1.%2.%3.%4.%5.%6.%7　"/>
      <w:lvlJc w:val="left"/>
      <w:pPr>
        <w:ind w:left="4620"/>
      </w:pPr>
      <w:rPr>
        <w:rFonts w:hint="eastAsia" w:ascii="黑体" w:hAnsi="Times New Roman" w:eastAsia="黑体" w:cs="Times New Roman"/>
        <w:b w:val="0"/>
        <w:i w:val="0"/>
        <w:sz w:val="21"/>
      </w:rPr>
    </w:lvl>
    <w:lvl w:ilvl="7" w:tentative="0">
      <w:start w:val="1"/>
      <w:numFmt w:val="decimal"/>
      <w:lvlText w:val="%1.%2.%3.%4.%5.%6.%7.%8"/>
      <w:lvlJc w:val="left"/>
      <w:pPr>
        <w:tabs>
          <w:tab w:val="left" w:pos="9014"/>
        </w:tabs>
        <w:ind w:left="9014" w:hanging="1418"/>
      </w:pPr>
      <w:rPr>
        <w:rFonts w:hint="eastAsia" w:cs="Times New Roman"/>
      </w:rPr>
    </w:lvl>
    <w:lvl w:ilvl="8" w:tentative="0">
      <w:start w:val="1"/>
      <w:numFmt w:val="decimal"/>
      <w:lvlText w:val="%1.%2.%3.%4.%5.%6.%7.%8.%9"/>
      <w:lvlJc w:val="left"/>
      <w:pPr>
        <w:tabs>
          <w:tab w:val="left" w:pos="9722"/>
        </w:tabs>
        <w:ind w:left="9722" w:hanging="1700"/>
      </w:pPr>
      <w:rPr>
        <w:rFonts w:hint="eastAsia" w:cs="Times New Roman"/>
      </w:rPr>
    </w:lvl>
  </w:abstractNum>
  <w:abstractNum w:abstractNumId="6">
    <w:nsid w:val="00000010"/>
    <w:multiLevelType w:val="multilevel"/>
    <w:tmpl w:val="00000010"/>
    <w:lvl w:ilvl="0" w:tentative="0">
      <w:start w:val="1"/>
      <w:numFmt w:val="none"/>
      <w:pStyle w:val="358"/>
      <w:suff w:val="nothing"/>
      <w:lvlText w:val="　"/>
      <w:lvlJc w:val="left"/>
      <w:rPr>
        <w:rFonts w:hint="eastAsia" w:ascii="黑体" w:hAnsi="Times New Roman" w:eastAsia="黑体" w:cs="Times New Roman"/>
        <w:b w:val="0"/>
        <w:i w:val="0"/>
        <w:sz w:val="21"/>
      </w:rPr>
    </w:lvl>
    <w:lvl w:ilvl="1" w:tentative="0">
      <w:start w:val="1"/>
      <w:numFmt w:val="decimal"/>
      <w:isLgl/>
      <w:suff w:val="nothing"/>
      <w:lvlText w:val="%2　"/>
      <w:lvlJc w:val="left"/>
      <w:rPr>
        <w:rFonts w:hint="eastAsia" w:ascii="黑体" w:hAnsi="Times New Roman" w:eastAsia="黑体" w:cs="Times New Roman"/>
        <w:b w:val="0"/>
        <w:i w:val="0"/>
        <w:snapToGrid/>
        <w:spacing w:val="0"/>
        <w:w w:val="100"/>
        <w:kern w:val="21"/>
        <w:sz w:val="21"/>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7">
    <w:nsid w:val="00000011"/>
    <w:multiLevelType w:val="multilevel"/>
    <w:tmpl w:val="00000011"/>
    <w:lvl w:ilvl="0" w:tentative="0">
      <w:start w:val="1"/>
      <w:numFmt w:val="none"/>
      <w:pStyle w:val="361"/>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decimal"/>
      <w:lvlText w:val="%2."/>
      <w:lvlJc w:val="left"/>
      <w:pPr>
        <w:tabs>
          <w:tab w:val="left" w:pos="840"/>
        </w:tabs>
        <w:ind w:left="840" w:hanging="420"/>
      </w:pPr>
      <w:rPr>
        <w:rFonts w:hint="eastAsia" w:cs="Times New Roman"/>
        <w:b w:val="0"/>
        <w:i w:val="0"/>
        <w:sz w:val="18"/>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00000012"/>
    <w:multiLevelType w:val="multilevel"/>
    <w:tmpl w:val="00000012"/>
    <w:lvl w:ilvl="0" w:tentative="0">
      <w:start w:val="1"/>
      <w:numFmt w:val="none"/>
      <w:pStyle w:val="378"/>
      <w:lvlText w:val="%1示例"/>
      <w:lvlJc w:val="left"/>
      <w:pPr>
        <w:tabs>
          <w:tab w:val="left" w:pos="1120"/>
        </w:tabs>
        <w:ind w:firstLine="400"/>
      </w:pPr>
      <w:rPr>
        <w:rFonts w:hint="eastAsia" w:ascii="宋体"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00000013"/>
    <w:multiLevelType w:val="multilevel"/>
    <w:tmpl w:val="00000013"/>
    <w:lvl w:ilvl="0" w:tentative="0">
      <w:start w:val="1"/>
      <w:numFmt w:val="none"/>
      <w:pStyle w:val="344"/>
      <w:suff w:val="nothing"/>
      <w:lvlText w:val="%1"/>
      <w:lvlJc w:val="left"/>
      <w:rPr>
        <w:rFonts w:hint="default" w:ascii="Times New Roman" w:hAnsi="Times New Roman" w:cs="Times New Roman"/>
        <w:b/>
        <w:i w:val="0"/>
        <w:sz w:val="21"/>
      </w:rPr>
    </w:lvl>
    <w:lvl w:ilvl="1" w:tentative="0">
      <w:start w:val="1"/>
      <w:numFmt w:val="decimal"/>
      <w:pStyle w:val="327"/>
      <w:suff w:val="nothing"/>
      <w:lvlText w:val="%1%2　"/>
      <w:lvlJc w:val="left"/>
      <w:pPr>
        <w:ind w:left="993"/>
      </w:pPr>
      <w:rPr>
        <w:rFonts w:hint="eastAsia" w:ascii="黑体" w:hAnsi="Times New Roman" w:eastAsia="黑体" w:cs="Times New Roman"/>
        <w:b w:val="0"/>
        <w:i w:val="0"/>
        <w:sz w:val="21"/>
      </w:rPr>
    </w:lvl>
    <w:lvl w:ilvl="2" w:tentative="0">
      <w:start w:val="1"/>
      <w:numFmt w:val="decimal"/>
      <w:pStyle w:val="331"/>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pPr>
        <w:ind w:left="3402"/>
      </w:pPr>
      <w:rPr>
        <w:rFonts w:hint="eastAsia" w:ascii="黑体" w:hAnsi="Times New Roman" w:eastAsia="黑体" w:cs="Times New Roman"/>
        <w:b w:val="0"/>
        <w:i w:val="0"/>
        <w:sz w:val="21"/>
      </w:rPr>
    </w:lvl>
    <w:lvl w:ilvl="4" w:tentative="0">
      <w:start w:val="1"/>
      <w:numFmt w:val="decimal"/>
      <w:suff w:val="nothing"/>
      <w:lvlText w:val="%1%2.%3.%4.%5　"/>
      <w:lvlJc w:val="left"/>
      <w:pPr>
        <w:ind w:left="284"/>
      </w:pPr>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0">
    <w:nsid w:val="00000014"/>
    <w:multiLevelType w:val="multilevel"/>
    <w:tmpl w:val="00000014"/>
    <w:lvl w:ilvl="0" w:tentative="0">
      <w:start w:val="1"/>
      <w:numFmt w:val="none"/>
      <w:pStyle w:val="376"/>
      <w:lvlText w:val="%1——"/>
      <w:lvlJc w:val="left"/>
      <w:pPr>
        <w:tabs>
          <w:tab w:val="left" w:pos="11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
    <w:nsid w:val="11A3534B"/>
    <w:multiLevelType w:val="multilevel"/>
    <w:tmpl w:val="11A3534B"/>
    <w:lvl w:ilvl="0" w:tentative="0">
      <w:start w:val="1"/>
      <w:numFmt w:val="japaneseCounting"/>
      <w:pStyle w:val="343"/>
      <w:lvlText w:val="%1、"/>
      <w:lvlJc w:val="left"/>
      <w:pPr>
        <w:ind w:left="1356" w:hanging="720"/>
      </w:pPr>
      <w:rPr>
        <w:rFonts w:hint="default" w:cs="Times New Roman"/>
      </w:rPr>
    </w:lvl>
    <w:lvl w:ilvl="1" w:tentative="0">
      <w:start w:val="1"/>
      <w:numFmt w:val="lowerLetter"/>
      <w:lvlText w:val="%2)"/>
      <w:lvlJc w:val="left"/>
      <w:pPr>
        <w:ind w:left="1476" w:hanging="420"/>
      </w:pPr>
      <w:rPr>
        <w:rFonts w:cs="Times New Roman"/>
      </w:rPr>
    </w:lvl>
    <w:lvl w:ilvl="2" w:tentative="0">
      <w:start w:val="1"/>
      <w:numFmt w:val="lowerRoman"/>
      <w:lvlText w:val="%3."/>
      <w:lvlJc w:val="right"/>
      <w:pPr>
        <w:ind w:left="1896" w:hanging="420"/>
      </w:pPr>
      <w:rPr>
        <w:rFonts w:cs="Times New Roman"/>
      </w:rPr>
    </w:lvl>
    <w:lvl w:ilvl="3" w:tentative="0">
      <w:start w:val="1"/>
      <w:numFmt w:val="decimal"/>
      <w:pStyle w:val="330"/>
      <w:lvlText w:val="%4."/>
      <w:lvlJc w:val="left"/>
      <w:pPr>
        <w:ind w:left="2316" w:hanging="420"/>
      </w:pPr>
      <w:rPr>
        <w:rFonts w:cs="Times New Roman"/>
      </w:rPr>
    </w:lvl>
    <w:lvl w:ilvl="4" w:tentative="0">
      <w:start w:val="1"/>
      <w:numFmt w:val="lowerLetter"/>
      <w:lvlText w:val="%5)"/>
      <w:lvlJc w:val="left"/>
      <w:pPr>
        <w:ind w:left="2736" w:hanging="420"/>
      </w:pPr>
      <w:rPr>
        <w:rFonts w:cs="Times New Roman"/>
      </w:rPr>
    </w:lvl>
    <w:lvl w:ilvl="5" w:tentative="0">
      <w:start w:val="1"/>
      <w:numFmt w:val="lowerRoman"/>
      <w:pStyle w:val="356"/>
      <w:lvlText w:val="%6."/>
      <w:lvlJc w:val="right"/>
      <w:pPr>
        <w:ind w:left="3156" w:hanging="420"/>
      </w:pPr>
      <w:rPr>
        <w:rFonts w:cs="Times New Roman"/>
      </w:rPr>
    </w:lvl>
    <w:lvl w:ilvl="6" w:tentative="0">
      <w:start w:val="1"/>
      <w:numFmt w:val="decimal"/>
      <w:pStyle w:val="359"/>
      <w:lvlText w:val="%7."/>
      <w:lvlJc w:val="left"/>
      <w:pPr>
        <w:ind w:left="3576" w:hanging="420"/>
      </w:pPr>
      <w:rPr>
        <w:rFonts w:cs="Times New Roman"/>
      </w:rPr>
    </w:lvl>
    <w:lvl w:ilvl="7" w:tentative="0">
      <w:start w:val="1"/>
      <w:numFmt w:val="lowerLetter"/>
      <w:lvlText w:val="%8)"/>
      <w:lvlJc w:val="left"/>
      <w:pPr>
        <w:ind w:left="3996" w:hanging="420"/>
      </w:pPr>
      <w:rPr>
        <w:rFonts w:cs="Times New Roman"/>
      </w:rPr>
    </w:lvl>
    <w:lvl w:ilvl="8" w:tentative="0">
      <w:start w:val="1"/>
      <w:numFmt w:val="lowerRoman"/>
      <w:lvlText w:val="%9."/>
      <w:lvlJc w:val="right"/>
      <w:pPr>
        <w:ind w:left="4416" w:hanging="420"/>
      </w:pPr>
      <w:rPr>
        <w:rFonts w:cs="Times New Roman"/>
      </w:rPr>
    </w:lvl>
  </w:abstractNum>
  <w:abstractNum w:abstractNumId="12">
    <w:nsid w:val="2FB2D032"/>
    <w:multiLevelType w:val="singleLevel"/>
    <w:tmpl w:val="2FB2D032"/>
    <w:lvl w:ilvl="0" w:tentative="0">
      <w:start w:val="6"/>
      <w:numFmt w:val="decimal"/>
      <w:suff w:val="space"/>
      <w:lvlText w:val="（%1）"/>
      <w:lvlJc w:val="left"/>
      <w:pPr>
        <w:ind w:left="527" w:leftChars="0" w:firstLine="0" w:firstLineChars="0"/>
      </w:pPr>
    </w:lvl>
  </w:abstractNum>
  <w:num w:numId="1">
    <w:abstractNumId w:val="9"/>
  </w:num>
  <w:num w:numId="2">
    <w:abstractNumId w:val="11"/>
  </w:num>
  <w:num w:numId="3">
    <w:abstractNumId w:val="5"/>
  </w:num>
  <w:num w:numId="4">
    <w:abstractNumId w:val="6"/>
  </w:num>
  <w:num w:numId="5">
    <w:abstractNumId w:val="7"/>
  </w:num>
  <w:num w:numId="6">
    <w:abstractNumId w:val="3"/>
  </w:num>
  <w:num w:numId="7">
    <w:abstractNumId w:val="2"/>
  </w:num>
  <w:num w:numId="8">
    <w:abstractNumId w:val="10"/>
  </w:num>
  <w:num w:numId="9">
    <w:abstractNumId w:val="8"/>
  </w:num>
  <w:num w:numId="10">
    <w:abstractNumId w:val="4"/>
  </w:num>
  <w:num w:numId="11">
    <w:abstractNumId w:val="0"/>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C7"/>
    <w:rsid w:val="00000416"/>
    <w:rsid w:val="00000EDA"/>
    <w:rsid w:val="000017C3"/>
    <w:rsid w:val="00001919"/>
    <w:rsid w:val="00002671"/>
    <w:rsid w:val="00004396"/>
    <w:rsid w:val="00004C13"/>
    <w:rsid w:val="00005283"/>
    <w:rsid w:val="000067E7"/>
    <w:rsid w:val="00011AD2"/>
    <w:rsid w:val="00011C3E"/>
    <w:rsid w:val="0001201E"/>
    <w:rsid w:val="00013C5C"/>
    <w:rsid w:val="00014485"/>
    <w:rsid w:val="000146BC"/>
    <w:rsid w:val="00014BA9"/>
    <w:rsid w:val="00014BC4"/>
    <w:rsid w:val="00014CBE"/>
    <w:rsid w:val="00015623"/>
    <w:rsid w:val="00015696"/>
    <w:rsid w:val="000158AC"/>
    <w:rsid w:val="00015FF2"/>
    <w:rsid w:val="00017214"/>
    <w:rsid w:val="00017E56"/>
    <w:rsid w:val="00020F29"/>
    <w:rsid w:val="00023147"/>
    <w:rsid w:val="00023833"/>
    <w:rsid w:val="00023848"/>
    <w:rsid w:val="00026CF3"/>
    <w:rsid w:val="00027888"/>
    <w:rsid w:val="000307D3"/>
    <w:rsid w:val="000334B4"/>
    <w:rsid w:val="000337D0"/>
    <w:rsid w:val="0003403D"/>
    <w:rsid w:val="00034A87"/>
    <w:rsid w:val="00035BD8"/>
    <w:rsid w:val="0003651C"/>
    <w:rsid w:val="000366A6"/>
    <w:rsid w:val="00036A22"/>
    <w:rsid w:val="00040D5A"/>
    <w:rsid w:val="000422F8"/>
    <w:rsid w:val="0004284C"/>
    <w:rsid w:val="0004291C"/>
    <w:rsid w:val="0004402C"/>
    <w:rsid w:val="000442BF"/>
    <w:rsid w:val="000446BB"/>
    <w:rsid w:val="00044DA1"/>
    <w:rsid w:val="00044DA7"/>
    <w:rsid w:val="0004500B"/>
    <w:rsid w:val="00045C4F"/>
    <w:rsid w:val="000470EA"/>
    <w:rsid w:val="0004733C"/>
    <w:rsid w:val="0005023E"/>
    <w:rsid w:val="0005054B"/>
    <w:rsid w:val="000507E6"/>
    <w:rsid w:val="00050ADD"/>
    <w:rsid w:val="000527AA"/>
    <w:rsid w:val="00053526"/>
    <w:rsid w:val="00053753"/>
    <w:rsid w:val="00054FBB"/>
    <w:rsid w:val="000562EF"/>
    <w:rsid w:val="00060C9D"/>
    <w:rsid w:val="000618AE"/>
    <w:rsid w:val="00061B0C"/>
    <w:rsid w:val="00062553"/>
    <w:rsid w:val="00062A76"/>
    <w:rsid w:val="0006301F"/>
    <w:rsid w:val="00063C24"/>
    <w:rsid w:val="00064A98"/>
    <w:rsid w:val="00071134"/>
    <w:rsid w:val="000715C5"/>
    <w:rsid w:val="0007249F"/>
    <w:rsid w:val="000741DF"/>
    <w:rsid w:val="000747D4"/>
    <w:rsid w:val="00074E70"/>
    <w:rsid w:val="000763D2"/>
    <w:rsid w:val="00076604"/>
    <w:rsid w:val="00081973"/>
    <w:rsid w:val="00082306"/>
    <w:rsid w:val="00082606"/>
    <w:rsid w:val="000829EE"/>
    <w:rsid w:val="00082A8D"/>
    <w:rsid w:val="00082D83"/>
    <w:rsid w:val="000832D6"/>
    <w:rsid w:val="000854EF"/>
    <w:rsid w:val="00087650"/>
    <w:rsid w:val="00087B32"/>
    <w:rsid w:val="00090750"/>
    <w:rsid w:val="0009307B"/>
    <w:rsid w:val="00093182"/>
    <w:rsid w:val="000936B3"/>
    <w:rsid w:val="0009412D"/>
    <w:rsid w:val="000943A9"/>
    <w:rsid w:val="0009469C"/>
    <w:rsid w:val="00095FB4"/>
    <w:rsid w:val="00096B47"/>
    <w:rsid w:val="00097764"/>
    <w:rsid w:val="00097942"/>
    <w:rsid w:val="000979F1"/>
    <w:rsid w:val="000A10B2"/>
    <w:rsid w:val="000A11B6"/>
    <w:rsid w:val="000A18EB"/>
    <w:rsid w:val="000A1F77"/>
    <w:rsid w:val="000A4246"/>
    <w:rsid w:val="000A5C50"/>
    <w:rsid w:val="000A5E3C"/>
    <w:rsid w:val="000A5EDB"/>
    <w:rsid w:val="000A6667"/>
    <w:rsid w:val="000A699E"/>
    <w:rsid w:val="000A73A0"/>
    <w:rsid w:val="000B0EE7"/>
    <w:rsid w:val="000B0EF4"/>
    <w:rsid w:val="000B2E3B"/>
    <w:rsid w:val="000B2E66"/>
    <w:rsid w:val="000B3467"/>
    <w:rsid w:val="000B3972"/>
    <w:rsid w:val="000B47D8"/>
    <w:rsid w:val="000B4849"/>
    <w:rsid w:val="000B5197"/>
    <w:rsid w:val="000B522B"/>
    <w:rsid w:val="000B575D"/>
    <w:rsid w:val="000B6654"/>
    <w:rsid w:val="000B7A17"/>
    <w:rsid w:val="000C0A4D"/>
    <w:rsid w:val="000C0BB8"/>
    <w:rsid w:val="000C1A69"/>
    <w:rsid w:val="000C2614"/>
    <w:rsid w:val="000C2F7E"/>
    <w:rsid w:val="000C3F87"/>
    <w:rsid w:val="000C443C"/>
    <w:rsid w:val="000D0113"/>
    <w:rsid w:val="000D09E9"/>
    <w:rsid w:val="000D14DE"/>
    <w:rsid w:val="000D266E"/>
    <w:rsid w:val="000D2B35"/>
    <w:rsid w:val="000D41E6"/>
    <w:rsid w:val="000D4886"/>
    <w:rsid w:val="000D4D2F"/>
    <w:rsid w:val="000D4FF6"/>
    <w:rsid w:val="000D6114"/>
    <w:rsid w:val="000D791A"/>
    <w:rsid w:val="000E5C74"/>
    <w:rsid w:val="000E616D"/>
    <w:rsid w:val="000F0207"/>
    <w:rsid w:val="000F06AF"/>
    <w:rsid w:val="000F0CDD"/>
    <w:rsid w:val="000F21AB"/>
    <w:rsid w:val="000F22D5"/>
    <w:rsid w:val="000F2305"/>
    <w:rsid w:val="000F3343"/>
    <w:rsid w:val="000F3C5E"/>
    <w:rsid w:val="000F437A"/>
    <w:rsid w:val="000F52C7"/>
    <w:rsid w:val="000F6D5A"/>
    <w:rsid w:val="000F78E8"/>
    <w:rsid w:val="00101B39"/>
    <w:rsid w:val="00102D4D"/>
    <w:rsid w:val="00103E6E"/>
    <w:rsid w:val="00103ED1"/>
    <w:rsid w:val="00104282"/>
    <w:rsid w:val="001053FF"/>
    <w:rsid w:val="00107742"/>
    <w:rsid w:val="00107CA9"/>
    <w:rsid w:val="00107FAF"/>
    <w:rsid w:val="00110645"/>
    <w:rsid w:val="00111011"/>
    <w:rsid w:val="001111AB"/>
    <w:rsid w:val="00111C88"/>
    <w:rsid w:val="0011300A"/>
    <w:rsid w:val="001153F3"/>
    <w:rsid w:val="00115F24"/>
    <w:rsid w:val="00117043"/>
    <w:rsid w:val="00117E54"/>
    <w:rsid w:val="001209A0"/>
    <w:rsid w:val="001212F2"/>
    <w:rsid w:val="00121785"/>
    <w:rsid w:val="0012314B"/>
    <w:rsid w:val="00125159"/>
    <w:rsid w:val="00125B28"/>
    <w:rsid w:val="00125B45"/>
    <w:rsid w:val="00125B4B"/>
    <w:rsid w:val="00125B6E"/>
    <w:rsid w:val="00125BFD"/>
    <w:rsid w:val="00126628"/>
    <w:rsid w:val="00127037"/>
    <w:rsid w:val="00127CD1"/>
    <w:rsid w:val="00130A11"/>
    <w:rsid w:val="0013168C"/>
    <w:rsid w:val="001322AC"/>
    <w:rsid w:val="001347B6"/>
    <w:rsid w:val="00135F9C"/>
    <w:rsid w:val="001376A6"/>
    <w:rsid w:val="0013780B"/>
    <w:rsid w:val="00142B7A"/>
    <w:rsid w:val="00142CBD"/>
    <w:rsid w:val="00142DD5"/>
    <w:rsid w:val="00143E1C"/>
    <w:rsid w:val="00144528"/>
    <w:rsid w:val="00150F02"/>
    <w:rsid w:val="001512DF"/>
    <w:rsid w:val="0015289F"/>
    <w:rsid w:val="00152F33"/>
    <w:rsid w:val="00155195"/>
    <w:rsid w:val="00155AE7"/>
    <w:rsid w:val="0015619D"/>
    <w:rsid w:val="0015686D"/>
    <w:rsid w:val="0015733F"/>
    <w:rsid w:val="001609A8"/>
    <w:rsid w:val="00160D7A"/>
    <w:rsid w:val="00161F35"/>
    <w:rsid w:val="00162A16"/>
    <w:rsid w:val="00162DF0"/>
    <w:rsid w:val="001633EA"/>
    <w:rsid w:val="001640C5"/>
    <w:rsid w:val="001640CF"/>
    <w:rsid w:val="0016484E"/>
    <w:rsid w:val="00164C45"/>
    <w:rsid w:val="00165788"/>
    <w:rsid w:val="00166082"/>
    <w:rsid w:val="00166112"/>
    <w:rsid w:val="0016797F"/>
    <w:rsid w:val="00167F01"/>
    <w:rsid w:val="00170D3B"/>
    <w:rsid w:val="00171FC9"/>
    <w:rsid w:val="0017296F"/>
    <w:rsid w:val="00172A27"/>
    <w:rsid w:val="00172E18"/>
    <w:rsid w:val="001736D1"/>
    <w:rsid w:val="00174295"/>
    <w:rsid w:val="00174CE7"/>
    <w:rsid w:val="00174F75"/>
    <w:rsid w:val="0017603B"/>
    <w:rsid w:val="00176270"/>
    <w:rsid w:val="00177714"/>
    <w:rsid w:val="00182610"/>
    <w:rsid w:val="00182CAF"/>
    <w:rsid w:val="00183499"/>
    <w:rsid w:val="00183CB1"/>
    <w:rsid w:val="00184BD2"/>
    <w:rsid w:val="00184DDC"/>
    <w:rsid w:val="00185D1C"/>
    <w:rsid w:val="00186819"/>
    <w:rsid w:val="00186E22"/>
    <w:rsid w:val="0019067C"/>
    <w:rsid w:val="001932A9"/>
    <w:rsid w:val="001933F1"/>
    <w:rsid w:val="001937F8"/>
    <w:rsid w:val="00193D1B"/>
    <w:rsid w:val="00193DE1"/>
    <w:rsid w:val="001947CE"/>
    <w:rsid w:val="00194E1A"/>
    <w:rsid w:val="001952FD"/>
    <w:rsid w:val="001A04EC"/>
    <w:rsid w:val="001A0961"/>
    <w:rsid w:val="001A1E4D"/>
    <w:rsid w:val="001A2221"/>
    <w:rsid w:val="001A2B79"/>
    <w:rsid w:val="001A5903"/>
    <w:rsid w:val="001A5ED0"/>
    <w:rsid w:val="001A6383"/>
    <w:rsid w:val="001A6B95"/>
    <w:rsid w:val="001A6D77"/>
    <w:rsid w:val="001A75B7"/>
    <w:rsid w:val="001B005D"/>
    <w:rsid w:val="001B0695"/>
    <w:rsid w:val="001B074A"/>
    <w:rsid w:val="001B1069"/>
    <w:rsid w:val="001B2E6A"/>
    <w:rsid w:val="001B33BA"/>
    <w:rsid w:val="001B3BF0"/>
    <w:rsid w:val="001B4360"/>
    <w:rsid w:val="001B4495"/>
    <w:rsid w:val="001B4800"/>
    <w:rsid w:val="001B5297"/>
    <w:rsid w:val="001B5A88"/>
    <w:rsid w:val="001C05B5"/>
    <w:rsid w:val="001C06A6"/>
    <w:rsid w:val="001C086A"/>
    <w:rsid w:val="001C2BD6"/>
    <w:rsid w:val="001C2E72"/>
    <w:rsid w:val="001C322F"/>
    <w:rsid w:val="001C399D"/>
    <w:rsid w:val="001C3AF8"/>
    <w:rsid w:val="001C5804"/>
    <w:rsid w:val="001C61F9"/>
    <w:rsid w:val="001C6427"/>
    <w:rsid w:val="001C7A99"/>
    <w:rsid w:val="001C7CE1"/>
    <w:rsid w:val="001D06DF"/>
    <w:rsid w:val="001D08F3"/>
    <w:rsid w:val="001D0C15"/>
    <w:rsid w:val="001D1658"/>
    <w:rsid w:val="001D2633"/>
    <w:rsid w:val="001D2665"/>
    <w:rsid w:val="001D45D0"/>
    <w:rsid w:val="001D5FDA"/>
    <w:rsid w:val="001D6DEF"/>
    <w:rsid w:val="001E07B6"/>
    <w:rsid w:val="001E0EB3"/>
    <w:rsid w:val="001E19C4"/>
    <w:rsid w:val="001E25E8"/>
    <w:rsid w:val="001E2958"/>
    <w:rsid w:val="001E303D"/>
    <w:rsid w:val="001E46C5"/>
    <w:rsid w:val="001E4813"/>
    <w:rsid w:val="001E4BE1"/>
    <w:rsid w:val="001E4D60"/>
    <w:rsid w:val="001E5155"/>
    <w:rsid w:val="001E5C81"/>
    <w:rsid w:val="001E6ADD"/>
    <w:rsid w:val="001F1A52"/>
    <w:rsid w:val="001F1DEF"/>
    <w:rsid w:val="001F287E"/>
    <w:rsid w:val="001F5810"/>
    <w:rsid w:val="001F58B4"/>
    <w:rsid w:val="001F6988"/>
    <w:rsid w:val="001F72D2"/>
    <w:rsid w:val="001F7775"/>
    <w:rsid w:val="001F7D02"/>
    <w:rsid w:val="002007F6"/>
    <w:rsid w:val="00200AE1"/>
    <w:rsid w:val="00201C4F"/>
    <w:rsid w:val="00203CC0"/>
    <w:rsid w:val="00204D49"/>
    <w:rsid w:val="0020732B"/>
    <w:rsid w:val="00207CB8"/>
    <w:rsid w:val="00211702"/>
    <w:rsid w:val="00213241"/>
    <w:rsid w:val="00213300"/>
    <w:rsid w:val="0021391C"/>
    <w:rsid w:val="00213EA5"/>
    <w:rsid w:val="00214AF2"/>
    <w:rsid w:val="00215005"/>
    <w:rsid w:val="00220DB2"/>
    <w:rsid w:val="00221419"/>
    <w:rsid w:val="0022260A"/>
    <w:rsid w:val="00223D26"/>
    <w:rsid w:val="00224E2A"/>
    <w:rsid w:val="002258AD"/>
    <w:rsid w:val="002274F2"/>
    <w:rsid w:val="0022764F"/>
    <w:rsid w:val="00232AE2"/>
    <w:rsid w:val="002333EE"/>
    <w:rsid w:val="00234937"/>
    <w:rsid w:val="0023770F"/>
    <w:rsid w:val="00237E28"/>
    <w:rsid w:val="00240EE4"/>
    <w:rsid w:val="002422C3"/>
    <w:rsid w:val="00242BC5"/>
    <w:rsid w:val="002432DE"/>
    <w:rsid w:val="00243638"/>
    <w:rsid w:val="00243EB5"/>
    <w:rsid w:val="00243FC3"/>
    <w:rsid w:val="002455D7"/>
    <w:rsid w:val="0024586F"/>
    <w:rsid w:val="002464B4"/>
    <w:rsid w:val="00250193"/>
    <w:rsid w:val="00251ED1"/>
    <w:rsid w:val="002521DD"/>
    <w:rsid w:val="00252277"/>
    <w:rsid w:val="002532FC"/>
    <w:rsid w:val="00253A94"/>
    <w:rsid w:val="002542DC"/>
    <w:rsid w:val="002549CC"/>
    <w:rsid w:val="00254E69"/>
    <w:rsid w:val="00254E7A"/>
    <w:rsid w:val="0025738A"/>
    <w:rsid w:val="00262374"/>
    <w:rsid w:val="002625D6"/>
    <w:rsid w:val="002638AA"/>
    <w:rsid w:val="00263EEC"/>
    <w:rsid w:val="00263F04"/>
    <w:rsid w:val="002641D5"/>
    <w:rsid w:val="0026544E"/>
    <w:rsid w:val="00265823"/>
    <w:rsid w:val="00267299"/>
    <w:rsid w:val="00267F02"/>
    <w:rsid w:val="002713ED"/>
    <w:rsid w:val="00272830"/>
    <w:rsid w:val="00273AAB"/>
    <w:rsid w:val="00275FA3"/>
    <w:rsid w:val="002760B1"/>
    <w:rsid w:val="002763B7"/>
    <w:rsid w:val="00277A24"/>
    <w:rsid w:val="00277F69"/>
    <w:rsid w:val="00280AFF"/>
    <w:rsid w:val="00280E24"/>
    <w:rsid w:val="00283505"/>
    <w:rsid w:val="00285419"/>
    <w:rsid w:val="00285F06"/>
    <w:rsid w:val="002875A0"/>
    <w:rsid w:val="0029119C"/>
    <w:rsid w:val="00291A71"/>
    <w:rsid w:val="00292D36"/>
    <w:rsid w:val="0029378C"/>
    <w:rsid w:val="00294744"/>
    <w:rsid w:val="002971C9"/>
    <w:rsid w:val="00297D9A"/>
    <w:rsid w:val="002A0001"/>
    <w:rsid w:val="002A0E5D"/>
    <w:rsid w:val="002A1A55"/>
    <w:rsid w:val="002A2585"/>
    <w:rsid w:val="002A2B54"/>
    <w:rsid w:val="002A2C8F"/>
    <w:rsid w:val="002A341F"/>
    <w:rsid w:val="002A3919"/>
    <w:rsid w:val="002A450A"/>
    <w:rsid w:val="002A4924"/>
    <w:rsid w:val="002A6057"/>
    <w:rsid w:val="002B0ACE"/>
    <w:rsid w:val="002B0E52"/>
    <w:rsid w:val="002B122F"/>
    <w:rsid w:val="002B12BB"/>
    <w:rsid w:val="002B1558"/>
    <w:rsid w:val="002B17E0"/>
    <w:rsid w:val="002B196C"/>
    <w:rsid w:val="002B54F9"/>
    <w:rsid w:val="002B57E2"/>
    <w:rsid w:val="002B612A"/>
    <w:rsid w:val="002B6C31"/>
    <w:rsid w:val="002B7584"/>
    <w:rsid w:val="002C1674"/>
    <w:rsid w:val="002C2064"/>
    <w:rsid w:val="002C3DEC"/>
    <w:rsid w:val="002C51AA"/>
    <w:rsid w:val="002C52D6"/>
    <w:rsid w:val="002C593C"/>
    <w:rsid w:val="002C5D12"/>
    <w:rsid w:val="002C67F9"/>
    <w:rsid w:val="002D200A"/>
    <w:rsid w:val="002D222C"/>
    <w:rsid w:val="002D2656"/>
    <w:rsid w:val="002D2A69"/>
    <w:rsid w:val="002D2AE4"/>
    <w:rsid w:val="002D3514"/>
    <w:rsid w:val="002D372A"/>
    <w:rsid w:val="002D387A"/>
    <w:rsid w:val="002D4BDB"/>
    <w:rsid w:val="002D50B3"/>
    <w:rsid w:val="002D5611"/>
    <w:rsid w:val="002D7517"/>
    <w:rsid w:val="002E04D1"/>
    <w:rsid w:val="002E0650"/>
    <w:rsid w:val="002E255B"/>
    <w:rsid w:val="002E2FCC"/>
    <w:rsid w:val="002E33FB"/>
    <w:rsid w:val="002E38C0"/>
    <w:rsid w:val="002E46EC"/>
    <w:rsid w:val="002E4D8C"/>
    <w:rsid w:val="002E4E1D"/>
    <w:rsid w:val="002E58FB"/>
    <w:rsid w:val="002E6C25"/>
    <w:rsid w:val="002F08CF"/>
    <w:rsid w:val="002F0B22"/>
    <w:rsid w:val="002F1020"/>
    <w:rsid w:val="002F1122"/>
    <w:rsid w:val="002F3CCF"/>
    <w:rsid w:val="00300925"/>
    <w:rsid w:val="00301A62"/>
    <w:rsid w:val="00302580"/>
    <w:rsid w:val="003026D1"/>
    <w:rsid w:val="00302EF2"/>
    <w:rsid w:val="00303004"/>
    <w:rsid w:val="003050A8"/>
    <w:rsid w:val="0030546F"/>
    <w:rsid w:val="003057CE"/>
    <w:rsid w:val="00305F03"/>
    <w:rsid w:val="00307D6F"/>
    <w:rsid w:val="003107FF"/>
    <w:rsid w:val="003131EE"/>
    <w:rsid w:val="00313F5C"/>
    <w:rsid w:val="00313FC0"/>
    <w:rsid w:val="00315012"/>
    <w:rsid w:val="00316B6B"/>
    <w:rsid w:val="00317D85"/>
    <w:rsid w:val="0032013B"/>
    <w:rsid w:val="00320A79"/>
    <w:rsid w:val="00320C69"/>
    <w:rsid w:val="0032227F"/>
    <w:rsid w:val="00322607"/>
    <w:rsid w:val="00323AD5"/>
    <w:rsid w:val="00323CC8"/>
    <w:rsid w:val="0032450C"/>
    <w:rsid w:val="003248AA"/>
    <w:rsid w:val="00330512"/>
    <w:rsid w:val="00330F18"/>
    <w:rsid w:val="00332289"/>
    <w:rsid w:val="0033322E"/>
    <w:rsid w:val="00333C50"/>
    <w:rsid w:val="003340AE"/>
    <w:rsid w:val="00334B5D"/>
    <w:rsid w:val="00334D87"/>
    <w:rsid w:val="00334E62"/>
    <w:rsid w:val="00335125"/>
    <w:rsid w:val="00336242"/>
    <w:rsid w:val="00337163"/>
    <w:rsid w:val="00337231"/>
    <w:rsid w:val="0034109C"/>
    <w:rsid w:val="00341BDA"/>
    <w:rsid w:val="00341E2A"/>
    <w:rsid w:val="003440F5"/>
    <w:rsid w:val="003443A2"/>
    <w:rsid w:val="00344E8D"/>
    <w:rsid w:val="003451D7"/>
    <w:rsid w:val="00346E8F"/>
    <w:rsid w:val="00347DF8"/>
    <w:rsid w:val="0035149C"/>
    <w:rsid w:val="003516D1"/>
    <w:rsid w:val="0035238F"/>
    <w:rsid w:val="003534A9"/>
    <w:rsid w:val="003538AB"/>
    <w:rsid w:val="00353BDA"/>
    <w:rsid w:val="003549C8"/>
    <w:rsid w:val="0035698F"/>
    <w:rsid w:val="003574A0"/>
    <w:rsid w:val="00357B63"/>
    <w:rsid w:val="00357DB0"/>
    <w:rsid w:val="00360122"/>
    <w:rsid w:val="003614A1"/>
    <w:rsid w:val="00361FD0"/>
    <w:rsid w:val="0036275A"/>
    <w:rsid w:val="003631A4"/>
    <w:rsid w:val="00363443"/>
    <w:rsid w:val="00363D76"/>
    <w:rsid w:val="003643B5"/>
    <w:rsid w:val="00364972"/>
    <w:rsid w:val="00364E8E"/>
    <w:rsid w:val="00365E76"/>
    <w:rsid w:val="0036648E"/>
    <w:rsid w:val="00366F17"/>
    <w:rsid w:val="00366FA1"/>
    <w:rsid w:val="00367FFE"/>
    <w:rsid w:val="003704B8"/>
    <w:rsid w:val="00370A88"/>
    <w:rsid w:val="003714DE"/>
    <w:rsid w:val="003718F4"/>
    <w:rsid w:val="00371EAB"/>
    <w:rsid w:val="00372714"/>
    <w:rsid w:val="00372940"/>
    <w:rsid w:val="00372A69"/>
    <w:rsid w:val="00372FBD"/>
    <w:rsid w:val="00373A61"/>
    <w:rsid w:val="00373C3E"/>
    <w:rsid w:val="00376E73"/>
    <w:rsid w:val="003773B0"/>
    <w:rsid w:val="00377ADC"/>
    <w:rsid w:val="00380308"/>
    <w:rsid w:val="0038061E"/>
    <w:rsid w:val="0038142F"/>
    <w:rsid w:val="00381F0B"/>
    <w:rsid w:val="003820B6"/>
    <w:rsid w:val="00382C5D"/>
    <w:rsid w:val="00382FBA"/>
    <w:rsid w:val="00383290"/>
    <w:rsid w:val="00383537"/>
    <w:rsid w:val="00383B87"/>
    <w:rsid w:val="0038491B"/>
    <w:rsid w:val="0038543B"/>
    <w:rsid w:val="00387646"/>
    <w:rsid w:val="00387949"/>
    <w:rsid w:val="00387B16"/>
    <w:rsid w:val="00387DD5"/>
    <w:rsid w:val="0039053F"/>
    <w:rsid w:val="00391F09"/>
    <w:rsid w:val="003924B6"/>
    <w:rsid w:val="003927B2"/>
    <w:rsid w:val="0039445C"/>
    <w:rsid w:val="003948E2"/>
    <w:rsid w:val="00397666"/>
    <w:rsid w:val="00397842"/>
    <w:rsid w:val="00397A07"/>
    <w:rsid w:val="00397A3B"/>
    <w:rsid w:val="003A12BC"/>
    <w:rsid w:val="003A1B02"/>
    <w:rsid w:val="003A299A"/>
    <w:rsid w:val="003A2BBF"/>
    <w:rsid w:val="003A3052"/>
    <w:rsid w:val="003A32F2"/>
    <w:rsid w:val="003A3CA0"/>
    <w:rsid w:val="003A431C"/>
    <w:rsid w:val="003A482A"/>
    <w:rsid w:val="003A7DAC"/>
    <w:rsid w:val="003B018E"/>
    <w:rsid w:val="003B1C2F"/>
    <w:rsid w:val="003B27F0"/>
    <w:rsid w:val="003B3507"/>
    <w:rsid w:val="003B3809"/>
    <w:rsid w:val="003B3838"/>
    <w:rsid w:val="003B3D04"/>
    <w:rsid w:val="003B46E5"/>
    <w:rsid w:val="003B5711"/>
    <w:rsid w:val="003B5C52"/>
    <w:rsid w:val="003B7866"/>
    <w:rsid w:val="003B7BD6"/>
    <w:rsid w:val="003C07D5"/>
    <w:rsid w:val="003C0B48"/>
    <w:rsid w:val="003C0EB3"/>
    <w:rsid w:val="003C1358"/>
    <w:rsid w:val="003C2BFE"/>
    <w:rsid w:val="003C3788"/>
    <w:rsid w:val="003C48BC"/>
    <w:rsid w:val="003C530C"/>
    <w:rsid w:val="003C7265"/>
    <w:rsid w:val="003C734A"/>
    <w:rsid w:val="003C74C8"/>
    <w:rsid w:val="003D108A"/>
    <w:rsid w:val="003D130B"/>
    <w:rsid w:val="003D1607"/>
    <w:rsid w:val="003D2E34"/>
    <w:rsid w:val="003D3464"/>
    <w:rsid w:val="003D492B"/>
    <w:rsid w:val="003D4EB8"/>
    <w:rsid w:val="003D5982"/>
    <w:rsid w:val="003D6F83"/>
    <w:rsid w:val="003D762B"/>
    <w:rsid w:val="003D7836"/>
    <w:rsid w:val="003D7E49"/>
    <w:rsid w:val="003E06C0"/>
    <w:rsid w:val="003E0FB9"/>
    <w:rsid w:val="003E1E52"/>
    <w:rsid w:val="003E2446"/>
    <w:rsid w:val="003E2518"/>
    <w:rsid w:val="003E2981"/>
    <w:rsid w:val="003E3EFD"/>
    <w:rsid w:val="003E439A"/>
    <w:rsid w:val="003E48FD"/>
    <w:rsid w:val="003E54C9"/>
    <w:rsid w:val="003E5C25"/>
    <w:rsid w:val="003E62E5"/>
    <w:rsid w:val="003F0145"/>
    <w:rsid w:val="003F1DE3"/>
    <w:rsid w:val="003F20E1"/>
    <w:rsid w:val="003F2427"/>
    <w:rsid w:val="003F277D"/>
    <w:rsid w:val="003F2796"/>
    <w:rsid w:val="003F4D43"/>
    <w:rsid w:val="003F5163"/>
    <w:rsid w:val="003F615D"/>
    <w:rsid w:val="003F61A4"/>
    <w:rsid w:val="003F71C4"/>
    <w:rsid w:val="003F7909"/>
    <w:rsid w:val="00400379"/>
    <w:rsid w:val="00400B2E"/>
    <w:rsid w:val="004016C2"/>
    <w:rsid w:val="00402B54"/>
    <w:rsid w:val="004031C6"/>
    <w:rsid w:val="0040458F"/>
    <w:rsid w:val="00406077"/>
    <w:rsid w:val="00406571"/>
    <w:rsid w:val="0041009E"/>
    <w:rsid w:val="00410FAF"/>
    <w:rsid w:val="00410FFC"/>
    <w:rsid w:val="00411CA5"/>
    <w:rsid w:val="00411FEC"/>
    <w:rsid w:val="004124CC"/>
    <w:rsid w:val="00413681"/>
    <w:rsid w:val="00413DFF"/>
    <w:rsid w:val="00414C6C"/>
    <w:rsid w:val="00414EAA"/>
    <w:rsid w:val="00416230"/>
    <w:rsid w:val="00416445"/>
    <w:rsid w:val="00416798"/>
    <w:rsid w:val="00416C83"/>
    <w:rsid w:val="004170FF"/>
    <w:rsid w:val="00417398"/>
    <w:rsid w:val="0042124F"/>
    <w:rsid w:val="004228A8"/>
    <w:rsid w:val="00423128"/>
    <w:rsid w:val="00423F66"/>
    <w:rsid w:val="00425143"/>
    <w:rsid w:val="0042729D"/>
    <w:rsid w:val="00427F4D"/>
    <w:rsid w:val="0043057C"/>
    <w:rsid w:val="00431284"/>
    <w:rsid w:val="00431CC3"/>
    <w:rsid w:val="00434751"/>
    <w:rsid w:val="00434ADA"/>
    <w:rsid w:val="00434EB7"/>
    <w:rsid w:val="00435BE7"/>
    <w:rsid w:val="004376AF"/>
    <w:rsid w:val="004405E3"/>
    <w:rsid w:val="00440714"/>
    <w:rsid w:val="00440C91"/>
    <w:rsid w:val="004419E0"/>
    <w:rsid w:val="0044261F"/>
    <w:rsid w:val="00442A3F"/>
    <w:rsid w:val="00444624"/>
    <w:rsid w:val="00445824"/>
    <w:rsid w:val="00445D74"/>
    <w:rsid w:val="00445E36"/>
    <w:rsid w:val="0044604C"/>
    <w:rsid w:val="00446279"/>
    <w:rsid w:val="00446EE6"/>
    <w:rsid w:val="00447CCA"/>
    <w:rsid w:val="004502F8"/>
    <w:rsid w:val="0045039B"/>
    <w:rsid w:val="004504B2"/>
    <w:rsid w:val="00450AF3"/>
    <w:rsid w:val="00450F72"/>
    <w:rsid w:val="0045174B"/>
    <w:rsid w:val="00453635"/>
    <w:rsid w:val="00453E28"/>
    <w:rsid w:val="00455D22"/>
    <w:rsid w:val="00456DB4"/>
    <w:rsid w:val="004574E8"/>
    <w:rsid w:val="00460BD9"/>
    <w:rsid w:val="00461477"/>
    <w:rsid w:val="00462ACF"/>
    <w:rsid w:val="00464E45"/>
    <w:rsid w:val="004653D1"/>
    <w:rsid w:val="00465522"/>
    <w:rsid w:val="0046681D"/>
    <w:rsid w:val="00466D7D"/>
    <w:rsid w:val="0046717F"/>
    <w:rsid w:val="004703A6"/>
    <w:rsid w:val="0047168C"/>
    <w:rsid w:val="004723D9"/>
    <w:rsid w:val="00474966"/>
    <w:rsid w:val="00475146"/>
    <w:rsid w:val="00475287"/>
    <w:rsid w:val="004752BF"/>
    <w:rsid w:val="00475842"/>
    <w:rsid w:val="004763B5"/>
    <w:rsid w:val="00476B45"/>
    <w:rsid w:val="00477B86"/>
    <w:rsid w:val="004800C6"/>
    <w:rsid w:val="0048031F"/>
    <w:rsid w:val="00480DFE"/>
    <w:rsid w:val="00481A9D"/>
    <w:rsid w:val="00481F43"/>
    <w:rsid w:val="00482240"/>
    <w:rsid w:val="0048257D"/>
    <w:rsid w:val="00482611"/>
    <w:rsid w:val="004831ED"/>
    <w:rsid w:val="00483214"/>
    <w:rsid w:val="00486836"/>
    <w:rsid w:val="004872A7"/>
    <w:rsid w:val="00487E8E"/>
    <w:rsid w:val="00490AF9"/>
    <w:rsid w:val="004910AB"/>
    <w:rsid w:val="00492AC4"/>
    <w:rsid w:val="0049365C"/>
    <w:rsid w:val="0049414C"/>
    <w:rsid w:val="0049497E"/>
    <w:rsid w:val="00495949"/>
    <w:rsid w:val="004A17E0"/>
    <w:rsid w:val="004A1FCE"/>
    <w:rsid w:val="004A24B6"/>
    <w:rsid w:val="004A2EE5"/>
    <w:rsid w:val="004A3466"/>
    <w:rsid w:val="004A3AF0"/>
    <w:rsid w:val="004A4E25"/>
    <w:rsid w:val="004A6C43"/>
    <w:rsid w:val="004A78EB"/>
    <w:rsid w:val="004A7967"/>
    <w:rsid w:val="004B0AD3"/>
    <w:rsid w:val="004B2058"/>
    <w:rsid w:val="004B5C40"/>
    <w:rsid w:val="004B712A"/>
    <w:rsid w:val="004B7DC5"/>
    <w:rsid w:val="004B7ED0"/>
    <w:rsid w:val="004B7EFC"/>
    <w:rsid w:val="004C09A8"/>
    <w:rsid w:val="004C0B44"/>
    <w:rsid w:val="004C0F22"/>
    <w:rsid w:val="004C4A60"/>
    <w:rsid w:val="004C5BC4"/>
    <w:rsid w:val="004C7D32"/>
    <w:rsid w:val="004D16D0"/>
    <w:rsid w:val="004D1775"/>
    <w:rsid w:val="004D2368"/>
    <w:rsid w:val="004D36F1"/>
    <w:rsid w:val="004D382E"/>
    <w:rsid w:val="004D479B"/>
    <w:rsid w:val="004D4B54"/>
    <w:rsid w:val="004D63DA"/>
    <w:rsid w:val="004D7DEE"/>
    <w:rsid w:val="004E07E7"/>
    <w:rsid w:val="004E3195"/>
    <w:rsid w:val="004E3687"/>
    <w:rsid w:val="004E3D4F"/>
    <w:rsid w:val="004E3F3F"/>
    <w:rsid w:val="004E4222"/>
    <w:rsid w:val="004E437F"/>
    <w:rsid w:val="004E497E"/>
    <w:rsid w:val="004E4C3C"/>
    <w:rsid w:val="004E538D"/>
    <w:rsid w:val="004E586F"/>
    <w:rsid w:val="004E5D4B"/>
    <w:rsid w:val="004E6242"/>
    <w:rsid w:val="004E7073"/>
    <w:rsid w:val="004E7AB8"/>
    <w:rsid w:val="004F0000"/>
    <w:rsid w:val="004F0761"/>
    <w:rsid w:val="004F110E"/>
    <w:rsid w:val="004F1D6B"/>
    <w:rsid w:val="004F1F13"/>
    <w:rsid w:val="004F3EF2"/>
    <w:rsid w:val="004F47BE"/>
    <w:rsid w:val="004F4C04"/>
    <w:rsid w:val="004F68D6"/>
    <w:rsid w:val="004F788B"/>
    <w:rsid w:val="004F7F0C"/>
    <w:rsid w:val="0050058C"/>
    <w:rsid w:val="005013F3"/>
    <w:rsid w:val="005025B7"/>
    <w:rsid w:val="0050281A"/>
    <w:rsid w:val="00503CAD"/>
    <w:rsid w:val="00504A90"/>
    <w:rsid w:val="005066CB"/>
    <w:rsid w:val="00506B14"/>
    <w:rsid w:val="005109C7"/>
    <w:rsid w:val="0051342E"/>
    <w:rsid w:val="00514CD5"/>
    <w:rsid w:val="00515B23"/>
    <w:rsid w:val="00515F49"/>
    <w:rsid w:val="00517B67"/>
    <w:rsid w:val="00521BA8"/>
    <w:rsid w:val="00521BB0"/>
    <w:rsid w:val="005235B8"/>
    <w:rsid w:val="00523EBC"/>
    <w:rsid w:val="00524392"/>
    <w:rsid w:val="0052573A"/>
    <w:rsid w:val="005260D7"/>
    <w:rsid w:val="005261F9"/>
    <w:rsid w:val="00526B15"/>
    <w:rsid w:val="00526F58"/>
    <w:rsid w:val="00530A95"/>
    <w:rsid w:val="00530AE2"/>
    <w:rsid w:val="00531894"/>
    <w:rsid w:val="00532B9F"/>
    <w:rsid w:val="00534CE9"/>
    <w:rsid w:val="00535A2B"/>
    <w:rsid w:val="0053642C"/>
    <w:rsid w:val="00536B4F"/>
    <w:rsid w:val="00537DFF"/>
    <w:rsid w:val="005409A3"/>
    <w:rsid w:val="005409E8"/>
    <w:rsid w:val="005409EF"/>
    <w:rsid w:val="00541107"/>
    <w:rsid w:val="00541627"/>
    <w:rsid w:val="00544602"/>
    <w:rsid w:val="00544867"/>
    <w:rsid w:val="00544A71"/>
    <w:rsid w:val="0054547D"/>
    <w:rsid w:val="00545B42"/>
    <w:rsid w:val="00545E27"/>
    <w:rsid w:val="00545ED5"/>
    <w:rsid w:val="00545F75"/>
    <w:rsid w:val="0054639A"/>
    <w:rsid w:val="00547315"/>
    <w:rsid w:val="00550255"/>
    <w:rsid w:val="00550C8D"/>
    <w:rsid w:val="005516A9"/>
    <w:rsid w:val="005521FE"/>
    <w:rsid w:val="00552A48"/>
    <w:rsid w:val="00552B50"/>
    <w:rsid w:val="005534B5"/>
    <w:rsid w:val="00553C80"/>
    <w:rsid w:val="00553D8C"/>
    <w:rsid w:val="00555C24"/>
    <w:rsid w:val="005604FE"/>
    <w:rsid w:val="00560C8C"/>
    <w:rsid w:val="00563C1D"/>
    <w:rsid w:val="00564CB3"/>
    <w:rsid w:val="00565AF3"/>
    <w:rsid w:val="005660A6"/>
    <w:rsid w:val="00567A55"/>
    <w:rsid w:val="00570E82"/>
    <w:rsid w:val="00570F36"/>
    <w:rsid w:val="00571D56"/>
    <w:rsid w:val="00571FFB"/>
    <w:rsid w:val="005732FA"/>
    <w:rsid w:val="00574139"/>
    <w:rsid w:val="0057487B"/>
    <w:rsid w:val="00574EE6"/>
    <w:rsid w:val="005757F8"/>
    <w:rsid w:val="005759BE"/>
    <w:rsid w:val="00575B79"/>
    <w:rsid w:val="00576327"/>
    <w:rsid w:val="0057653C"/>
    <w:rsid w:val="005767FA"/>
    <w:rsid w:val="005768E7"/>
    <w:rsid w:val="005772C9"/>
    <w:rsid w:val="00581027"/>
    <w:rsid w:val="005810A0"/>
    <w:rsid w:val="005813F1"/>
    <w:rsid w:val="00582974"/>
    <w:rsid w:val="00583343"/>
    <w:rsid w:val="00584577"/>
    <w:rsid w:val="00584941"/>
    <w:rsid w:val="00586459"/>
    <w:rsid w:val="00586D82"/>
    <w:rsid w:val="00586DF8"/>
    <w:rsid w:val="00587FF5"/>
    <w:rsid w:val="0059009D"/>
    <w:rsid w:val="005913A3"/>
    <w:rsid w:val="00591F67"/>
    <w:rsid w:val="0059243D"/>
    <w:rsid w:val="005929B9"/>
    <w:rsid w:val="005938C6"/>
    <w:rsid w:val="005948A5"/>
    <w:rsid w:val="0059562C"/>
    <w:rsid w:val="00595BBA"/>
    <w:rsid w:val="00595DB2"/>
    <w:rsid w:val="00595E93"/>
    <w:rsid w:val="00596700"/>
    <w:rsid w:val="00596816"/>
    <w:rsid w:val="00596F0C"/>
    <w:rsid w:val="00596F3C"/>
    <w:rsid w:val="00596FA8"/>
    <w:rsid w:val="005975DC"/>
    <w:rsid w:val="00597AB0"/>
    <w:rsid w:val="005A0AB1"/>
    <w:rsid w:val="005A2724"/>
    <w:rsid w:val="005A2EBE"/>
    <w:rsid w:val="005A3911"/>
    <w:rsid w:val="005A41B5"/>
    <w:rsid w:val="005A42E7"/>
    <w:rsid w:val="005A48AE"/>
    <w:rsid w:val="005A499B"/>
    <w:rsid w:val="005A696F"/>
    <w:rsid w:val="005A71F8"/>
    <w:rsid w:val="005A7930"/>
    <w:rsid w:val="005A7977"/>
    <w:rsid w:val="005A7B07"/>
    <w:rsid w:val="005B1261"/>
    <w:rsid w:val="005B1B6D"/>
    <w:rsid w:val="005B567F"/>
    <w:rsid w:val="005B6A17"/>
    <w:rsid w:val="005B6C77"/>
    <w:rsid w:val="005B799C"/>
    <w:rsid w:val="005C1094"/>
    <w:rsid w:val="005C29BB"/>
    <w:rsid w:val="005C31FF"/>
    <w:rsid w:val="005C35CC"/>
    <w:rsid w:val="005C4533"/>
    <w:rsid w:val="005C5119"/>
    <w:rsid w:val="005C57E9"/>
    <w:rsid w:val="005C701E"/>
    <w:rsid w:val="005C7903"/>
    <w:rsid w:val="005D0B87"/>
    <w:rsid w:val="005D1E27"/>
    <w:rsid w:val="005D32EE"/>
    <w:rsid w:val="005D4C15"/>
    <w:rsid w:val="005D4E2D"/>
    <w:rsid w:val="005D7759"/>
    <w:rsid w:val="005E0367"/>
    <w:rsid w:val="005E0C8D"/>
    <w:rsid w:val="005E2FB4"/>
    <w:rsid w:val="005E4593"/>
    <w:rsid w:val="005E4905"/>
    <w:rsid w:val="005E4F18"/>
    <w:rsid w:val="005E7917"/>
    <w:rsid w:val="005F017F"/>
    <w:rsid w:val="005F0821"/>
    <w:rsid w:val="005F0A2F"/>
    <w:rsid w:val="005F0F9E"/>
    <w:rsid w:val="005F1C3F"/>
    <w:rsid w:val="005F391A"/>
    <w:rsid w:val="005F471A"/>
    <w:rsid w:val="005F509D"/>
    <w:rsid w:val="0060084D"/>
    <w:rsid w:val="00601712"/>
    <w:rsid w:val="00601B8E"/>
    <w:rsid w:val="006023C9"/>
    <w:rsid w:val="006034C4"/>
    <w:rsid w:val="00603578"/>
    <w:rsid w:val="00603631"/>
    <w:rsid w:val="00604293"/>
    <w:rsid w:val="00605147"/>
    <w:rsid w:val="0060694B"/>
    <w:rsid w:val="00606A3E"/>
    <w:rsid w:val="00610137"/>
    <w:rsid w:val="00612C5C"/>
    <w:rsid w:val="006138C6"/>
    <w:rsid w:val="00613F72"/>
    <w:rsid w:val="006144B1"/>
    <w:rsid w:val="00616857"/>
    <w:rsid w:val="00617AB8"/>
    <w:rsid w:val="0062135C"/>
    <w:rsid w:val="00623802"/>
    <w:rsid w:val="00623B29"/>
    <w:rsid w:val="00624289"/>
    <w:rsid w:val="00624F5B"/>
    <w:rsid w:val="00626450"/>
    <w:rsid w:val="0062675E"/>
    <w:rsid w:val="00626D6E"/>
    <w:rsid w:val="00627220"/>
    <w:rsid w:val="00627B9D"/>
    <w:rsid w:val="00630E30"/>
    <w:rsid w:val="006317D0"/>
    <w:rsid w:val="00631C79"/>
    <w:rsid w:val="0063242A"/>
    <w:rsid w:val="00632A87"/>
    <w:rsid w:val="00633B94"/>
    <w:rsid w:val="00633B99"/>
    <w:rsid w:val="00634C48"/>
    <w:rsid w:val="0063534A"/>
    <w:rsid w:val="00635A7A"/>
    <w:rsid w:val="006404BF"/>
    <w:rsid w:val="006406B7"/>
    <w:rsid w:val="0064294B"/>
    <w:rsid w:val="00642A84"/>
    <w:rsid w:val="006435F1"/>
    <w:rsid w:val="006450EB"/>
    <w:rsid w:val="006451CD"/>
    <w:rsid w:val="00647B17"/>
    <w:rsid w:val="00650E99"/>
    <w:rsid w:val="00651ECB"/>
    <w:rsid w:val="00651FEB"/>
    <w:rsid w:val="00652240"/>
    <w:rsid w:val="00652581"/>
    <w:rsid w:val="00653480"/>
    <w:rsid w:val="0065481D"/>
    <w:rsid w:val="00654D49"/>
    <w:rsid w:val="00655718"/>
    <w:rsid w:val="006566EE"/>
    <w:rsid w:val="00656C99"/>
    <w:rsid w:val="006575D3"/>
    <w:rsid w:val="0065788D"/>
    <w:rsid w:val="006602CE"/>
    <w:rsid w:val="00663518"/>
    <w:rsid w:val="00663A8A"/>
    <w:rsid w:val="0066438C"/>
    <w:rsid w:val="006668F8"/>
    <w:rsid w:val="00667501"/>
    <w:rsid w:val="00667E50"/>
    <w:rsid w:val="0067085B"/>
    <w:rsid w:val="00673515"/>
    <w:rsid w:val="006742F5"/>
    <w:rsid w:val="0067496E"/>
    <w:rsid w:val="006752EB"/>
    <w:rsid w:val="006764EE"/>
    <w:rsid w:val="0068090F"/>
    <w:rsid w:val="006809F6"/>
    <w:rsid w:val="00680AAC"/>
    <w:rsid w:val="00682468"/>
    <w:rsid w:val="00683048"/>
    <w:rsid w:val="00684F17"/>
    <w:rsid w:val="00687361"/>
    <w:rsid w:val="0069036C"/>
    <w:rsid w:val="00690E98"/>
    <w:rsid w:val="006922DA"/>
    <w:rsid w:val="0069349E"/>
    <w:rsid w:val="0069375E"/>
    <w:rsid w:val="006957FD"/>
    <w:rsid w:val="00696FBC"/>
    <w:rsid w:val="00697318"/>
    <w:rsid w:val="006A1112"/>
    <w:rsid w:val="006A1274"/>
    <w:rsid w:val="006A3552"/>
    <w:rsid w:val="006A3DCF"/>
    <w:rsid w:val="006A45EF"/>
    <w:rsid w:val="006A4A5B"/>
    <w:rsid w:val="006A54E7"/>
    <w:rsid w:val="006A5568"/>
    <w:rsid w:val="006A5955"/>
    <w:rsid w:val="006A6D2C"/>
    <w:rsid w:val="006A7173"/>
    <w:rsid w:val="006A7593"/>
    <w:rsid w:val="006B03E8"/>
    <w:rsid w:val="006B2F8A"/>
    <w:rsid w:val="006B6928"/>
    <w:rsid w:val="006B6C02"/>
    <w:rsid w:val="006B7AD6"/>
    <w:rsid w:val="006C1D39"/>
    <w:rsid w:val="006C2C84"/>
    <w:rsid w:val="006C3AAF"/>
    <w:rsid w:val="006C48A4"/>
    <w:rsid w:val="006C4A51"/>
    <w:rsid w:val="006C7574"/>
    <w:rsid w:val="006C7C6E"/>
    <w:rsid w:val="006D179A"/>
    <w:rsid w:val="006D20DB"/>
    <w:rsid w:val="006D297C"/>
    <w:rsid w:val="006D2F81"/>
    <w:rsid w:val="006D3323"/>
    <w:rsid w:val="006D47C1"/>
    <w:rsid w:val="006D514C"/>
    <w:rsid w:val="006D56E7"/>
    <w:rsid w:val="006D61E3"/>
    <w:rsid w:val="006D65C0"/>
    <w:rsid w:val="006D70B9"/>
    <w:rsid w:val="006E0DE1"/>
    <w:rsid w:val="006E0E3F"/>
    <w:rsid w:val="006E27C7"/>
    <w:rsid w:val="006E499D"/>
    <w:rsid w:val="006E49AC"/>
    <w:rsid w:val="006F0069"/>
    <w:rsid w:val="006F0BCB"/>
    <w:rsid w:val="006F18E6"/>
    <w:rsid w:val="006F318A"/>
    <w:rsid w:val="006F3228"/>
    <w:rsid w:val="006F3E6C"/>
    <w:rsid w:val="006F44CB"/>
    <w:rsid w:val="006F4D6A"/>
    <w:rsid w:val="006F4F82"/>
    <w:rsid w:val="006F54D4"/>
    <w:rsid w:val="006F5C64"/>
    <w:rsid w:val="006F6C54"/>
    <w:rsid w:val="006F6F11"/>
    <w:rsid w:val="00700010"/>
    <w:rsid w:val="00700793"/>
    <w:rsid w:val="00700A09"/>
    <w:rsid w:val="0070138F"/>
    <w:rsid w:val="00701F4A"/>
    <w:rsid w:val="00702071"/>
    <w:rsid w:val="00702C94"/>
    <w:rsid w:val="00702EDB"/>
    <w:rsid w:val="0070643B"/>
    <w:rsid w:val="007066CA"/>
    <w:rsid w:val="00707C90"/>
    <w:rsid w:val="00710985"/>
    <w:rsid w:val="00711A2A"/>
    <w:rsid w:val="00711F24"/>
    <w:rsid w:val="00714C47"/>
    <w:rsid w:val="00715981"/>
    <w:rsid w:val="00717AF2"/>
    <w:rsid w:val="00722BED"/>
    <w:rsid w:val="00722EC3"/>
    <w:rsid w:val="00722F34"/>
    <w:rsid w:val="007247CD"/>
    <w:rsid w:val="00725BE7"/>
    <w:rsid w:val="00725D40"/>
    <w:rsid w:val="0072610D"/>
    <w:rsid w:val="00727086"/>
    <w:rsid w:val="00731D45"/>
    <w:rsid w:val="007321AC"/>
    <w:rsid w:val="007328A5"/>
    <w:rsid w:val="00733609"/>
    <w:rsid w:val="007345DA"/>
    <w:rsid w:val="0073500D"/>
    <w:rsid w:val="00735266"/>
    <w:rsid w:val="007352A2"/>
    <w:rsid w:val="0073533E"/>
    <w:rsid w:val="00735DBB"/>
    <w:rsid w:val="00736391"/>
    <w:rsid w:val="00736E6D"/>
    <w:rsid w:val="00737D0A"/>
    <w:rsid w:val="00740963"/>
    <w:rsid w:val="0074119A"/>
    <w:rsid w:val="00741A65"/>
    <w:rsid w:val="00741BC0"/>
    <w:rsid w:val="0074265B"/>
    <w:rsid w:val="00743BB0"/>
    <w:rsid w:val="00743EF1"/>
    <w:rsid w:val="0074524E"/>
    <w:rsid w:val="00746534"/>
    <w:rsid w:val="00746744"/>
    <w:rsid w:val="00746CB5"/>
    <w:rsid w:val="00747FEB"/>
    <w:rsid w:val="00750026"/>
    <w:rsid w:val="0075046E"/>
    <w:rsid w:val="007506CF"/>
    <w:rsid w:val="007511AC"/>
    <w:rsid w:val="00753247"/>
    <w:rsid w:val="007551AF"/>
    <w:rsid w:val="00757B5E"/>
    <w:rsid w:val="00757E09"/>
    <w:rsid w:val="0075FC98"/>
    <w:rsid w:val="00760322"/>
    <w:rsid w:val="00760B52"/>
    <w:rsid w:val="00760FDF"/>
    <w:rsid w:val="007644F2"/>
    <w:rsid w:val="007666B9"/>
    <w:rsid w:val="00766A2E"/>
    <w:rsid w:val="00766C9E"/>
    <w:rsid w:val="0076781B"/>
    <w:rsid w:val="00767974"/>
    <w:rsid w:val="00767CCF"/>
    <w:rsid w:val="00770C0E"/>
    <w:rsid w:val="007712FD"/>
    <w:rsid w:val="007723B7"/>
    <w:rsid w:val="007724F3"/>
    <w:rsid w:val="00772B2B"/>
    <w:rsid w:val="00773ACA"/>
    <w:rsid w:val="00773D2D"/>
    <w:rsid w:val="00774BE6"/>
    <w:rsid w:val="007751C8"/>
    <w:rsid w:val="007755D5"/>
    <w:rsid w:val="00776EA8"/>
    <w:rsid w:val="00777A91"/>
    <w:rsid w:val="0078149D"/>
    <w:rsid w:val="007824DD"/>
    <w:rsid w:val="00782908"/>
    <w:rsid w:val="00783158"/>
    <w:rsid w:val="00783E5A"/>
    <w:rsid w:val="007846D7"/>
    <w:rsid w:val="00784D21"/>
    <w:rsid w:val="0078640E"/>
    <w:rsid w:val="00786F00"/>
    <w:rsid w:val="0079022C"/>
    <w:rsid w:val="007918E6"/>
    <w:rsid w:val="007923F2"/>
    <w:rsid w:val="0079264C"/>
    <w:rsid w:val="0079301E"/>
    <w:rsid w:val="007938F8"/>
    <w:rsid w:val="00795510"/>
    <w:rsid w:val="0079554A"/>
    <w:rsid w:val="00795AD2"/>
    <w:rsid w:val="00795EF4"/>
    <w:rsid w:val="00796786"/>
    <w:rsid w:val="00796CB4"/>
    <w:rsid w:val="00796ECA"/>
    <w:rsid w:val="007979C7"/>
    <w:rsid w:val="007A014F"/>
    <w:rsid w:val="007A0EFB"/>
    <w:rsid w:val="007A433C"/>
    <w:rsid w:val="007A4640"/>
    <w:rsid w:val="007A464D"/>
    <w:rsid w:val="007A477E"/>
    <w:rsid w:val="007A4888"/>
    <w:rsid w:val="007A5CD5"/>
    <w:rsid w:val="007A7572"/>
    <w:rsid w:val="007B1C83"/>
    <w:rsid w:val="007B23F1"/>
    <w:rsid w:val="007B34E9"/>
    <w:rsid w:val="007B3E34"/>
    <w:rsid w:val="007B4DF9"/>
    <w:rsid w:val="007B7702"/>
    <w:rsid w:val="007B7D4B"/>
    <w:rsid w:val="007C01B7"/>
    <w:rsid w:val="007C0887"/>
    <w:rsid w:val="007C1F48"/>
    <w:rsid w:val="007C2A4A"/>
    <w:rsid w:val="007C2F3B"/>
    <w:rsid w:val="007C4EC6"/>
    <w:rsid w:val="007C6479"/>
    <w:rsid w:val="007C66DF"/>
    <w:rsid w:val="007C697D"/>
    <w:rsid w:val="007C69E6"/>
    <w:rsid w:val="007C6DFC"/>
    <w:rsid w:val="007C7642"/>
    <w:rsid w:val="007D0370"/>
    <w:rsid w:val="007D0566"/>
    <w:rsid w:val="007D0764"/>
    <w:rsid w:val="007D0903"/>
    <w:rsid w:val="007D0A70"/>
    <w:rsid w:val="007D1BB5"/>
    <w:rsid w:val="007D1FAB"/>
    <w:rsid w:val="007D28C2"/>
    <w:rsid w:val="007D4296"/>
    <w:rsid w:val="007D4BE9"/>
    <w:rsid w:val="007D57A8"/>
    <w:rsid w:val="007D79CE"/>
    <w:rsid w:val="007E0084"/>
    <w:rsid w:val="007E042E"/>
    <w:rsid w:val="007E0FB2"/>
    <w:rsid w:val="007E10E1"/>
    <w:rsid w:val="007E13D4"/>
    <w:rsid w:val="007E1515"/>
    <w:rsid w:val="007E153B"/>
    <w:rsid w:val="007E2DDC"/>
    <w:rsid w:val="007E3DC0"/>
    <w:rsid w:val="007E3EE8"/>
    <w:rsid w:val="007E41DC"/>
    <w:rsid w:val="007E4D75"/>
    <w:rsid w:val="007E54C2"/>
    <w:rsid w:val="007E5725"/>
    <w:rsid w:val="007E5A60"/>
    <w:rsid w:val="007E6826"/>
    <w:rsid w:val="007E79DB"/>
    <w:rsid w:val="007F0D29"/>
    <w:rsid w:val="007F1183"/>
    <w:rsid w:val="007F1344"/>
    <w:rsid w:val="007F2AA3"/>
    <w:rsid w:val="007F2E84"/>
    <w:rsid w:val="007F3BCD"/>
    <w:rsid w:val="007F3BD0"/>
    <w:rsid w:val="007F4367"/>
    <w:rsid w:val="007F488B"/>
    <w:rsid w:val="007F5D7F"/>
    <w:rsid w:val="007F5FE1"/>
    <w:rsid w:val="007F62D8"/>
    <w:rsid w:val="007F6A23"/>
    <w:rsid w:val="007F7230"/>
    <w:rsid w:val="008004FA"/>
    <w:rsid w:val="008006EC"/>
    <w:rsid w:val="008008AC"/>
    <w:rsid w:val="00800C2F"/>
    <w:rsid w:val="00800F66"/>
    <w:rsid w:val="00801788"/>
    <w:rsid w:val="00802237"/>
    <w:rsid w:val="00803089"/>
    <w:rsid w:val="00803723"/>
    <w:rsid w:val="0080378F"/>
    <w:rsid w:val="008037EB"/>
    <w:rsid w:val="00804275"/>
    <w:rsid w:val="00804AB2"/>
    <w:rsid w:val="0080506D"/>
    <w:rsid w:val="0080663F"/>
    <w:rsid w:val="0080721A"/>
    <w:rsid w:val="00807C70"/>
    <w:rsid w:val="00810B59"/>
    <w:rsid w:val="008117D2"/>
    <w:rsid w:val="00811A17"/>
    <w:rsid w:val="00811B18"/>
    <w:rsid w:val="0081309B"/>
    <w:rsid w:val="008131FD"/>
    <w:rsid w:val="008149D9"/>
    <w:rsid w:val="0081500C"/>
    <w:rsid w:val="00815DBB"/>
    <w:rsid w:val="00816683"/>
    <w:rsid w:val="008175BC"/>
    <w:rsid w:val="00817ABE"/>
    <w:rsid w:val="00820D6C"/>
    <w:rsid w:val="00821CED"/>
    <w:rsid w:val="00822C9A"/>
    <w:rsid w:val="0082323D"/>
    <w:rsid w:val="008238AC"/>
    <w:rsid w:val="00824148"/>
    <w:rsid w:val="00825578"/>
    <w:rsid w:val="008259C2"/>
    <w:rsid w:val="00825BA3"/>
    <w:rsid w:val="00825E9E"/>
    <w:rsid w:val="008260BD"/>
    <w:rsid w:val="00826122"/>
    <w:rsid w:val="008261C5"/>
    <w:rsid w:val="00826C71"/>
    <w:rsid w:val="00830161"/>
    <w:rsid w:val="0083119D"/>
    <w:rsid w:val="0083180D"/>
    <w:rsid w:val="008326B6"/>
    <w:rsid w:val="0083312D"/>
    <w:rsid w:val="00833ED6"/>
    <w:rsid w:val="008340EC"/>
    <w:rsid w:val="00835E8D"/>
    <w:rsid w:val="00837E0C"/>
    <w:rsid w:val="008407BD"/>
    <w:rsid w:val="008416A7"/>
    <w:rsid w:val="00841D8A"/>
    <w:rsid w:val="00843095"/>
    <w:rsid w:val="0084495B"/>
    <w:rsid w:val="008466B1"/>
    <w:rsid w:val="00847536"/>
    <w:rsid w:val="00847F07"/>
    <w:rsid w:val="00851911"/>
    <w:rsid w:val="00852444"/>
    <w:rsid w:val="00853609"/>
    <w:rsid w:val="00853886"/>
    <w:rsid w:val="00854DE2"/>
    <w:rsid w:val="008557AC"/>
    <w:rsid w:val="008604BA"/>
    <w:rsid w:val="00861B29"/>
    <w:rsid w:val="0086275C"/>
    <w:rsid w:val="0086321D"/>
    <w:rsid w:val="008638E7"/>
    <w:rsid w:val="00863B1C"/>
    <w:rsid w:val="00863B7E"/>
    <w:rsid w:val="00866A85"/>
    <w:rsid w:val="00867293"/>
    <w:rsid w:val="008702BB"/>
    <w:rsid w:val="00870CDB"/>
    <w:rsid w:val="00871D0B"/>
    <w:rsid w:val="00871DF0"/>
    <w:rsid w:val="008722EE"/>
    <w:rsid w:val="008728A3"/>
    <w:rsid w:val="00872F49"/>
    <w:rsid w:val="008748E3"/>
    <w:rsid w:val="008751AB"/>
    <w:rsid w:val="00875515"/>
    <w:rsid w:val="00875A8B"/>
    <w:rsid w:val="0087672E"/>
    <w:rsid w:val="008768B2"/>
    <w:rsid w:val="00876922"/>
    <w:rsid w:val="0087720A"/>
    <w:rsid w:val="008801B8"/>
    <w:rsid w:val="008829B9"/>
    <w:rsid w:val="00882DD2"/>
    <w:rsid w:val="00882E34"/>
    <w:rsid w:val="008830E6"/>
    <w:rsid w:val="00883BF5"/>
    <w:rsid w:val="00883DFB"/>
    <w:rsid w:val="0088414E"/>
    <w:rsid w:val="008848EF"/>
    <w:rsid w:val="008856B7"/>
    <w:rsid w:val="00885FEF"/>
    <w:rsid w:val="00886523"/>
    <w:rsid w:val="00886617"/>
    <w:rsid w:val="00890974"/>
    <w:rsid w:val="00891011"/>
    <w:rsid w:val="00893D60"/>
    <w:rsid w:val="0089416F"/>
    <w:rsid w:val="008947BE"/>
    <w:rsid w:val="00894F19"/>
    <w:rsid w:val="008951CB"/>
    <w:rsid w:val="0089538C"/>
    <w:rsid w:val="0089553C"/>
    <w:rsid w:val="00895C8E"/>
    <w:rsid w:val="008A3CC9"/>
    <w:rsid w:val="008A466D"/>
    <w:rsid w:val="008A67E8"/>
    <w:rsid w:val="008A7F02"/>
    <w:rsid w:val="008B07DB"/>
    <w:rsid w:val="008B2A9C"/>
    <w:rsid w:val="008B3710"/>
    <w:rsid w:val="008B39D4"/>
    <w:rsid w:val="008B3A4C"/>
    <w:rsid w:val="008B4387"/>
    <w:rsid w:val="008B5D3B"/>
    <w:rsid w:val="008B6089"/>
    <w:rsid w:val="008B644E"/>
    <w:rsid w:val="008B702B"/>
    <w:rsid w:val="008B79A6"/>
    <w:rsid w:val="008C06B4"/>
    <w:rsid w:val="008C0D22"/>
    <w:rsid w:val="008C262C"/>
    <w:rsid w:val="008C26A4"/>
    <w:rsid w:val="008C35D7"/>
    <w:rsid w:val="008C376D"/>
    <w:rsid w:val="008C3B8E"/>
    <w:rsid w:val="008C4AC0"/>
    <w:rsid w:val="008C52EE"/>
    <w:rsid w:val="008C604A"/>
    <w:rsid w:val="008D02B6"/>
    <w:rsid w:val="008D03D9"/>
    <w:rsid w:val="008D064A"/>
    <w:rsid w:val="008D67EE"/>
    <w:rsid w:val="008D68F5"/>
    <w:rsid w:val="008D74AF"/>
    <w:rsid w:val="008D7A0E"/>
    <w:rsid w:val="008E0906"/>
    <w:rsid w:val="008E2A23"/>
    <w:rsid w:val="008E2CEA"/>
    <w:rsid w:val="008E3C1B"/>
    <w:rsid w:val="008F0C9D"/>
    <w:rsid w:val="008F234D"/>
    <w:rsid w:val="008F3423"/>
    <w:rsid w:val="008F3CD8"/>
    <w:rsid w:val="008F6046"/>
    <w:rsid w:val="008F65AE"/>
    <w:rsid w:val="008F69B2"/>
    <w:rsid w:val="00902A9D"/>
    <w:rsid w:val="0090382B"/>
    <w:rsid w:val="00903955"/>
    <w:rsid w:val="00904375"/>
    <w:rsid w:val="009049D9"/>
    <w:rsid w:val="00905359"/>
    <w:rsid w:val="00905950"/>
    <w:rsid w:val="00905CBD"/>
    <w:rsid w:val="0090610B"/>
    <w:rsid w:val="00906908"/>
    <w:rsid w:val="00907940"/>
    <w:rsid w:val="00907ADD"/>
    <w:rsid w:val="00907C9C"/>
    <w:rsid w:val="00907CA9"/>
    <w:rsid w:val="00907D4A"/>
    <w:rsid w:val="009101A9"/>
    <w:rsid w:val="00910929"/>
    <w:rsid w:val="0091104A"/>
    <w:rsid w:val="0091126F"/>
    <w:rsid w:val="00912039"/>
    <w:rsid w:val="00912354"/>
    <w:rsid w:val="00912E2C"/>
    <w:rsid w:val="00913AB5"/>
    <w:rsid w:val="00913FED"/>
    <w:rsid w:val="00914060"/>
    <w:rsid w:val="009150E5"/>
    <w:rsid w:val="0091562D"/>
    <w:rsid w:val="00916DBE"/>
    <w:rsid w:val="00917244"/>
    <w:rsid w:val="00917BB9"/>
    <w:rsid w:val="00922BB9"/>
    <w:rsid w:val="0092314C"/>
    <w:rsid w:val="0092432E"/>
    <w:rsid w:val="00924A4E"/>
    <w:rsid w:val="00926145"/>
    <w:rsid w:val="00926A38"/>
    <w:rsid w:val="00926A78"/>
    <w:rsid w:val="00927266"/>
    <w:rsid w:val="00927318"/>
    <w:rsid w:val="009273C4"/>
    <w:rsid w:val="00927830"/>
    <w:rsid w:val="00927FC3"/>
    <w:rsid w:val="0093005A"/>
    <w:rsid w:val="009304B5"/>
    <w:rsid w:val="00930D8D"/>
    <w:rsid w:val="00931844"/>
    <w:rsid w:val="00931EF8"/>
    <w:rsid w:val="00932144"/>
    <w:rsid w:val="00932C92"/>
    <w:rsid w:val="00932D2C"/>
    <w:rsid w:val="00933C8B"/>
    <w:rsid w:val="00934A2C"/>
    <w:rsid w:val="00934BE5"/>
    <w:rsid w:val="0093563B"/>
    <w:rsid w:val="00936685"/>
    <w:rsid w:val="00936DA3"/>
    <w:rsid w:val="00937298"/>
    <w:rsid w:val="009377DD"/>
    <w:rsid w:val="00937A04"/>
    <w:rsid w:val="009401D5"/>
    <w:rsid w:val="00940EBE"/>
    <w:rsid w:val="0094141C"/>
    <w:rsid w:val="009420ED"/>
    <w:rsid w:val="009430D0"/>
    <w:rsid w:val="009438BE"/>
    <w:rsid w:val="00943DEB"/>
    <w:rsid w:val="009469F6"/>
    <w:rsid w:val="0095093A"/>
    <w:rsid w:val="00950DAA"/>
    <w:rsid w:val="009515E9"/>
    <w:rsid w:val="00951D9B"/>
    <w:rsid w:val="00952DB0"/>
    <w:rsid w:val="00952FC8"/>
    <w:rsid w:val="009534A5"/>
    <w:rsid w:val="00954485"/>
    <w:rsid w:val="00954624"/>
    <w:rsid w:val="00954679"/>
    <w:rsid w:val="00954835"/>
    <w:rsid w:val="009549F2"/>
    <w:rsid w:val="00954F42"/>
    <w:rsid w:val="0095504A"/>
    <w:rsid w:val="00955723"/>
    <w:rsid w:val="00956922"/>
    <w:rsid w:val="0095727D"/>
    <w:rsid w:val="009603EC"/>
    <w:rsid w:val="00960AC9"/>
    <w:rsid w:val="00960FF4"/>
    <w:rsid w:val="00961B0E"/>
    <w:rsid w:val="00964DFF"/>
    <w:rsid w:val="009679D4"/>
    <w:rsid w:val="00967E36"/>
    <w:rsid w:val="009703B7"/>
    <w:rsid w:val="00970974"/>
    <w:rsid w:val="00970AEB"/>
    <w:rsid w:val="0097111B"/>
    <w:rsid w:val="00971C6E"/>
    <w:rsid w:val="00972210"/>
    <w:rsid w:val="009754D1"/>
    <w:rsid w:val="00975DAD"/>
    <w:rsid w:val="009768E6"/>
    <w:rsid w:val="00976D96"/>
    <w:rsid w:val="0097732F"/>
    <w:rsid w:val="00977E98"/>
    <w:rsid w:val="00977EB1"/>
    <w:rsid w:val="009803BE"/>
    <w:rsid w:val="0098196C"/>
    <w:rsid w:val="009836E0"/>
    <w:rsid w:val="009838E0"/>
    <w:rsid w:val="00983BDB"/>
    <w:rsid w:val="00983E29"/>
    <w:rsid w:val="00983E2A"/>
    <w:rsid w:val="00984412"/>
    <w:rsid w:val="00985760"/>
    <w:rsid w:val="00986AD6"/>
    <w:rsid w:val="00986D24"/>
    <w:rsid w:val="009877A9"/>
    <w:rsid w:val="0099006F"/>
    <w:rsid w:val="00990A89"/>
    <w:rsid w:val="00990C08"/>
    <w:rsid w:val="00990CF2"/>
    <w:rsid w:val="00991075"/>
    <w:rsid w:val="00991EEA"/>
    <w:rsid w:val="009951F2"/>
    <w:rsid w:val="00995322"/>
    <w:rsid w:val="0099569A"/>
    <w:rsid w:val="009959D6"/>
    <w:rsid w:val="00995F1D"/>
    <w:rsid w:val="00996997"/>
    <w:rsid w:val="00997A45"/>
    <w:rsid w:val="00997CE1"/>
    <w:rsid w:val="00997EBF"/>
    <w:rsid w:val="009A1038"/>
    <w:rsid w:val="009A193D"/>
    <w:rsid w:val="009A1B3C"/>
    <w:rsid w:val="009A410D"/>
    <w:rsid w:val="009A4739"/>
    <w:rsid w:val="009A4CF9"/>
    <w:rsid w:val="009A4E27"/>
    <w:rsid w:val="009A51D0"/>
    <w:rsid w:val="009A5B6E"/>
    <w:rsid w:val="009A5F36"/>
    <w:rsid w:val="009A608B"/>
    <w:rsid w:val="009A7F09"/>
    <w:rsid w:val="009B002A"/>
    <w:rsid w:val="009B0347"/>
    <w:rsid w:val="009B147B"/>
    <w:rsid w:val="009B1D1C"/>
    <w:rsid w:val="009B2F1D"/>
    <w:rsid w:val="009B30DA"/>
    <w:rsid w:val="009B393E"/>
    <w:rsid w:val="009B4659"/>
    <w:rsid w:val="009B4F71"/>
    <w:rsid w:val="009B4F7A"/>
    <w:rsid w:val="009B5DC2"/>
    <w:rsid w:val="009B6E7E"/>
    <w:rsid w:val="009B7DB2"/>
    <w:rsid w:val="009C05C7"/>
    <w:rsid w:val="009C0CFC"/>
    <w:rsid w:val="009C1692"/>
    <w:rsid w:val="009C3ABD"/>
    <w:rsid w:val="009C3E70"/>
    <w:rsid w:val="009C3F33"/>
    <w:rsid w:val="009C4FE3"/>
    <w:rsid w:val="009C63D1"/>
    <w:rsid w:val="009C6400"/>
    <w:rsid w:val="009D014A"/>
    <w:rsid w:val="009D176D"/>
    <w:rsid w:val="009D2189"/>
    <w:rsid w:val="009D615B"/>
    <w:rsid w:val="009D69EB"/>
    <w:rsid w:val="009D6FDC"/>
    <w:rsid w:val="009D747A"/>
    <w:rsid w:val="009E0D15"/>
    <w:rsid w:val="009E0FF2"/>
    <w:rsid w:val="009E2258"/>
    <w:rsid w:val="009E25DA"/>
    <w:rsid w:val="009E367E"/>
    <w:rsid w:val="009E466E"/>
    <w:rsid w:val="009E51F1"/>
    <w:rsid w:val="009E5258"/>
    <w:rsid w:val="009E5310"/>
    <w:rsid w:val="009E54F4"/>
    <w:rsid w:val="009E57FE"/>
    <w:rsid w:val="009E5B76"/>
    <w:rsid w:val="009E5FCE"/>
    <w:rsid w:val="009E60F8"/>
    <w:rsid w:val="009E6510"/>
    <w:rsid w:val="009E6BD2"/>
    <w:rsid w:val="009E6C0B"/>
    <w:rsid w:val="009E7C82"/>
    <w:rsid w:val="009E7DF5"/>
    <w:rsid w:val="009F03D2"/>
    <w:rsid w:val="009F06BC"/>
    <w:rsid w:val="009F07BE"/>
    <w:rsid w:val="009F2242"/>
    <w:rsid w:val="009F2B2D"/>
    <w:rsid w:val="009F30CE"/>
    <w:rsid w:val="009F40AD"/>
    <w:rsid w:val="009F58D5"/>
    <w:rsid w:val="009F6D13"/>
    <w:rsid w:val="00A0137B"/>
    <w:rsid w:val="00A01A78"/>
    <w:rsid w:val="00A023DE"/>
    <w:rsid w:val="00A02449"/>
    <w:rsid w:val="00A0347F"/>
    <w:rsid w:val="00A04C22"/>
    <w:rsid w:val="00A04EA2"/>
    <w:rsid w:val="00A052DF"/>
    <w:rsid w:val="00A05365"/>
    <w:rsid w:val="00A060F1"/>
    <w:rsid w:val="00A06BB9"/>
    <w:rsid w:val="00A06C4D"/>
    <w:rsid w:val="00A06FD3"/>
    <w:rsid w:val="00A1117D"/>
    <w:rsid w:val="00A13105"/>
    <w:rsid w:val="00A13649"/>
    <w:rsid w:val="00A142B6"/>
    <w:rsid w:val="00A161D0"/>
    <w:rsid w:val="00A16EA5"/>
    <w:rsid w:val="00A172EC"/>
    <w:rsid w:val="00A20340"/>
    <w:rsid w:val="00A21EBF"/>
    <w:rsid w:val="00A2231C"/>
    <w:rsid w:val="00A235B9"/>
    <w:rsid w:val="00A237EA"/>
    <w:rsid w:val="00A24700"/>
    <w:rsid w:val="00A2556B"/>
    <w:rsid w:val="00A25876"/>
    <w:rsid w:val="00A26F29"/>
    <w:rsid w:val="00A332A5"/>
    <w:rsid w:val="00A34778"/>
    <w:rsid w:val="00A35305"/>
    <w:rsid w:val="00A35900"/>
    <w:rsid w:val="00A36354"/>
    <w:rsid w:val="00A36BD8"/>
    <w:rsid w:val="00A375B6"/>
    <w:rsid w:val="00A4330E"/>
    <w:rsid w:val="00A434C6"/>
    <w:rsid w:val="00A43B41"/>
    <w:rsid w:val="00A4488E"/>
    <w:rsid w:val="00A44C15"/>
    <w:rsid w:val="00A44C8A"/>
    <w:rsid w:val="00A45FC6"/>
    <w:rsid w:val="00A4674D"/>
    <w:rsid w:val="00A479BF"/>
    <w:rsid w:val="00A47A16"/>
    <w:rsid w:val="00A50204"/>
    <w:rsid w:val="00A50FF5"/>
    <w:rsid w:val="00A510A4"/>
    <w:rsid w:val="00A512AF"/>
    <w:rsid w:val="00A5196C"/>
    <w:rsid w:val="00A537FE"/>
    <w:rsid w:val="00A54334"/>
    <w:rsid w:val="00A56995"/>
    <w:rsid w:val="00A56B61"/>
    <w:rsid w:val="00A57EBB"/>
    <w:rsid w:val="00A61753"/>
    <w:rsid w:val="00A62A87"/>
    <w:rsid w:val="00A62AC7"/>
    <w:rsid w:val="00A62C9A"/>
    <w:rsid w:val="00A64664"/>
    <w:rsid w:val="00A64C4D"/>
    <w:rsid w:val="00A65C52"/>
    <w:rsid w:val="00A66214"/>
    <w:rsid w:val="00A66C4C"/>
    <w:rsid w:val="00A708A9"/>
    <w:rsid w:val="00A70CDA"/>
    <w:rsid w:val="00A7124C"/>
    <w:rsid w:val="00A727CD"/>
    <w:rsid w:val="00A72D12"/>
    <w:rsid w:val="00A73BA5"/>
    <w:rsid w:val="00A73D47"/>
    <w:rsid w:val="00A74F26"/>
    <w:rsid w:val="00A75202"/>
    <w:rsid w:val="00A753B5"/>
    <w:rsid w:val="00A75A41"/>
    <w:rsid w:val="00A75D09"/>
    <w:rsid w:val="00A804CF"/>
    <w:rsid w:val="00A8311A"/>
    <w:rsid w:val="00A83438"/>
    <w:rsid w:val="00A84639"/>
    <w:rsid w:val="00A84780"/>
    <w:rsid w:val="00A851BA"/>
    <w:rsid w:val="00A857BD"/>
    <w:rsid w:val="00A85B02"/>
    <w:rsid w:val="00A87D12"/>
    <w:rsid w:val="00A90FF8"/>
    <w:rsid w:val="00A91945"/>
    <w:rsid w:val="00A92BD8"/>
    <w:rsid w:val="00A92FD6"/>
    <w:rsid w:val="00A9394E"/>
    <w:rsid w:val="00A9478B"/>
    <w:rsid w:val="00A954B9"/>
    <w:rsid w:val="00A9777A"/>
    <w:rsid w:val="00A97C92"/>
    <w:rsid w:val="00A97DBE"/>
    <w:rsid w:val="00AA04D9"/>
    <w:rsid w:val="00AA08A1"/>
    <w:rsid w:val="00AA1B67"/>
    <w:rsid w:val="00AA3A5A"/>
    <w:rsid w:val="00AA4136"/>
    <w:rsid w:val="00AA426F"/>
    <w:rsid w:val="00AA44BF"/>
    <w:rsid w:val="00AA7073"/>
    <w:rsid w:val="00AA79EB"/>
    <w:rsid w:val="00AB0AEF"/>
    <w:rsid w:val="00AB10D9"/>
    <w:rsid w:val="00AB12DF"/>
    <w:rsid w:val="00AB22E2"/>
    <w:rsid w:val="00AB2F7F"/>
    <w:rsid w:val="00AB3176"/>
    <w:rsid w:val="00AB33E7"/>
    <w:rsid w:val="00AB3817"/>
    <w:rsid w:val="00AB57FB"/>
    <w:rsid w:val="00AB68D7"/>
    <w:rsid w:val="00AB714E"/>
    <w:rsid w:val="00AB7F6B"/>
    <w:rsid w:val="00AC1C81"/>
    <w:rsid w:val="00AC1FF9"/>
    <w:rsid w:val="00AC3598"/>
    <w:rsid w:val="00AC3B38"/>
    <w:rsid w:val="00AC49B1"/>
    <w:rsid w:val="00AC4D1E"/>
    <w:rsid w:val="00AC62AD"/>
    <w:rsid w:val="00AC6517"/>
    <w:rsid w:val="00AC720C"/>
    <w:rsid w:val="00AC765E"/>
    <w:rsid w:val="00AD0204"/>
    <w:rsid w:val="00AD04FE"/>
    <w:rsid w:val="00AD0715"/>
    <w:rsid w:val="00AD1E1A"/>
    <w:rsid w:val="00AD2EB0"/>
    <w:rsid w:val="00AD31FD"/>
    <w:rsid w:val="00AD34E4"/>
    <w:rsid w:val="00AD3A7C"/>
    <w:rsid w:val="00AD4789"/>
    <w:rsid w:val="00AD5351"/>
    <w:rsid w:val="00AD699C"/>
    <w:rsid w:val="00AD71A3"/>
    <w:rsid w:val="00AD75C6"/>
    <w:rsid w:val="00AE0238"/>
    <w:rsid w:val="00AE05AB"/>
    <w:rsid w:val="00AE1D12"/>
    <w:rsid w:val="00AE1EE3"/>
    <w:rsid w:val="00AE1F54"/>
    <w:rsid w:val="00AE252C"/>
    <w:rsid w:val="00AE488F"/>
    <w:rsid w:val="00AE691A"/>
    <w:rsid w:val="00AE76A9"/>
    <w:rsid w:val="00AE7710"/>
    <w:rsid w:val="00AE7952"/>
    <w:rsid w:val="00AF1416"/>
    <w:rsid w:val="00AF1DEC"/>
    <w:rsid w:val="00AF2284"/>
    <w:rsid w:val="00AF2CC0"/>
    <w:rsid w:val="00AF2FB4"/>
    <w:rsid w:val="00AF3E13"/>
    <w:rsid w:val="00AF4602"/>
    <w:rsid w:val="00AF55FC"/>
    <w:rsid w:val="00AF6EFD"/>
    <w:rsid w:val="00AF7173"/>
    <w:rsid w:val="00AF73E1"/>
    <w:rsid w:val="00AF7BB5"/>
    <w:rsid w:val="00AF7ED7"/>
    <w:rsid w:val="00B00ADC"/>
    <w:rsid w:val="00B01944"/>
    <w:rsid w:val="00B0511A"/>
    <w:rsid w:val="00B05294"/>
    <w:rsid w:val="00B056B0"/>
    <w:rsid w:val="00B073CC"/>
    <w:rsid w:val="00B078D2"/>
    <w:rsid w:val="00B10461"/>
    <w:rsid w:val="00B11627"/>
    <w:rsid w:val="00B118B1"/>
    <w:rsid w:val="00B126BB"/>
    <w:rsid w:val="00B12F7B"/>
    <w:rsid w:val="00B130E9"/>
    <w:rsid w:val="00B134CF"/>
    <w:rsid w:val="00B13A40"/>
    <w:rsid w:val="00B14FE3"/>
    <w:rsid w:val="00B152E4"/>
    <w:rsid w:val="00B15ED3"/>
    <w:rsid w:val="00B16A11"/>
    <w:rsid w:val="00B1729F"/>
    <w:rsid w:val="00B1754F"/>
    <w:rsid w:val="00B21D53"/>
    <w:rsid w:val="00B224F0"/>
    <w:rsid w:val="00B22CAA"/>
    <w:rsid w:val="00B230B6"/>
    <w:rsid w:val="00B2452C"/>
    <w:rsid w:val="00B24628"/>
    <w:rsid w:val="00B25D6A"/>
    <w:rsid w:val="00B26C06"/>
    <w:rsid w:val="00B271F5"/>
    <w:rsid w:val="00B30D6E"/>
    <w:rsid w:val="00B30DE6"/>
    <w:rsid w:val="00B3186F"/>
    <w:rsid w:val="00B31BCE"/>
    <w:rsid w:val="00B3259C"/>
    <w:rsid w:val="00B32AA4"/>
    <w:rsid w:val="00B34440"/>
    <w:rsid w:val="00B34A8C"/>
    <w:rsid w:val="00B3539C"/>
    <w:rsid w:val="00B3558E"/>
    <w:rsid w:val="00B3654B"/>
    <w:rsid w:val="00B37809"/>
    <w:rsid w:val="00B41650"/>
    <w:rsid w:val="00B44447"/>
    <w:rsid w:val="00B44E35"/>
    <w:rsid w:val="00B44F54"/>
    <w:rsid w:val="00B4592B"/>
    <w:rsid w:val="00B45AB4"/>
    <w:rsid w:val="00B45DFC"/>
    <w:rsid w:val="00B468EE"/>
    <w:rsid w:val="00B46ACA"/>
    <w:rsid w:val="00B47113"/>
    <w:rsid w:val="00B47326"/>
    <w:rsid w:val="00B50978"/>
    <w:rsid w:val="00B512BA"/>
    <w:rsid w:val="00B51DE7"/>
    <w:rsid w:val="00B52222"/>
    <w:rsid w:val="00B527BF"/>
    <w:rsid w:val="00B529B8"/>
    <w:rsid w:val="00B5300D"/>
    <w:rsid w:val="00B53E4D"/>
    <w:rsid w:val="00B53EB0"/>
    <w:rsid w:val="00B541FA"/>
    <w:rsid w:val="00B5490B"/>
    <w:rsid w:val="00B56098"/>
    <w:rsid w:val="00B56BE2"/>
    <w:rsid w:val="00B5726D"/>
    <w:rsid w:val="00B611C8"/>
    <w:rsid w:val="00B61370"/>
    <w:rsid w:val="00B61CA9"/>
    <w:rsid w:val="00B622B0"/>
    <w:rsid w:val="00B6234B"/>
    <w:rsid w:val="00B62B95"/>
    <w:rsid w:val="00B64D88"/>
    <w:rsid w:val="00B64EFA"/>
    <w:rsid w:val="00B66392"/>
    <w:rsid w:val="00B66B9E"/>
    <w:rsid w:val="00B66E4E"/>
    <w:rsid w:val="00B67876"/>
    <w:rsid w:val="00B67AEC"/>
    <w:rsid w:val="00B70152"/>
    <w:rsid w:val="00B70CFE"/>
    <w:rsid w:val="00B712AF"/>
    <w:rsid w:val="00B71E75"/>
    <w:rsid w:val="00B7237A"/>
    <w:rsid w:val="00B72CDB"/>
    <w:rsid w:val="00B7417C"/>
    <w:rsid w:val="00B742AE"/>
    <w:rsid w:val="00B7556F"/>
    <w:rsid w:val="00B75A44"/>
    <w:rsid w:val="00B80B00"/>
    <w:rsid w:val="00B85A2B"/>
    <w:rsid w:val="00B87B95"/>
    <w:rsid w:val="00B9061C"/>
    <w:rsid w:val="00B90D1F"/>
    <w:rsid w:val="00B91205"/>
    <w:rsid w:val="00B918EC"/>
    <w:rsid w:val="00B9206D"/>
    <w:rsid w:val="00B925F6"/>
    <w:rsid w:val="00B92F3F"/>
    <w:rsid w:val="00B946B8"/>
    <w:rsid w:val="00B94E6E"/>
    <w:rsid w:val="00B94EF2"/>
    <w:rsid w:val="00B95514"/>
    <w:rsid w:val="00B9618C"/>
    <w:rsid w:val="00B96341"/>
    <w:rsid w:val="00BA11E3"/>
    <w:rsid w:val="00BA203B"/>
    <w:rsid w:val="00BA20C7"/>
    <w:rsid w:val="00BA2201"/>
    <w:rsid w:val="00BA23FF"/>
    <w:rsid w:val="00BA2A4A"/>
    <w:rsid w:val="00BA2B50"/>
    <w:rsid w:val="00BA2DFD"/>
    <w:rsid w:val="00BA4A47"/>
    <w:rsid w:val="00BA557B"/>
    <w:rsid w:val="00BA5F5C"/>
    <w:rsid w:val="00BB00B9"/>
    <w:rsid w:val="00BB060B"/>
    <w:rsid w:val="00BB114C"/>
    <w:rsid w:val="00BB1709"/>
    <w:rsid w:val="00BB2F96"/>
    <w:rsid w:val="00BB360D"/>
    <w:rsid w:val="00BB68A1"/>
    <w:rsid w:val="00BB756A"/>
    <w:rsid w:val="00BC019E"/>
    <w:rsid w:val="00BC09AA"/>
    <w:rsid w:val="00BC2C85"/>
    <w:rsid w:val="00BC523E"/>
    <w:rsid w:val="00BC640C"/>
    <w:rsid w:val="00BD0434"/>
    <w:rsid w:val="00BD0474"/>
    <w:rsid w:val="00BD04E7"/>
    <w:rsid w:val="00BD0B1E"/>
    <w:rsid w:val="00BD14B5"/>
    <w:rsid w:val="00BD24D8"/>
    <w:rsid w:val="00BD308D"/>
    <w:rsid w:val="00BD3CA6"/>
    <w:rsid w:val="00BD4DB4"/>
    <w:rsid w:val="00BD4EE4"/>
    <w:rsid w:val="00BD56EE"/>
    <w:rsid w:val="00BD58DD"/>
    <w:rsid w:val="00BD656B"/>
    <w:rsid w:val="00BD6BEB"/>
    <w:rsid w:val="00BD6FE9"/>
    <w:rsid w:val="00BD7600"/>
    <w:rsid w:val="00BD777A"/>
    <w:rsid w:val="00BD7A1D"/>
    <w:rsid w:val="00BE0287"/>
    <w:rsid w:val="00BE0ACF"/>
    <w:rsid w:val="00BE2DF8"/>
    <w:rsid w:val="00BE32AD"/>
    <w:rsid w:val="00BE37E4"/>
    <w:rsid w:val="00BE4470"/>
    <w:rsid w:val="00BE58F7"/>
    <w:rsid w:val="00BE631E"/>
    <w:rsid w:val="00BE6CEB"/>
    <w:rsid w:val="00BE6FCE"/>
    <w:rsid w:val="00BF03A4"/>
    <w:rsid w:val="00BF08C6"/>
    <w:rsid w:val="00BF0BA3"/>
    <w:rsid w:val="00BF17C1"/>
    <w:rsid w:val="00BF2A28"/>
    <w:rsid w:val="00BF3832"/>
    <w:rsid w:val="00BF3CD7"/>
    <w:rsid w:val="00BF4F38"/>
    <w:rsid w:val="00BF748A"/>
    <w:rsid w:val="00C0098B"/>
    <w:rsid w:val="00C01724"/>
    <w:rsid w:val="00C01994"/>
    <w:rsid w:val="00C01E93"/>
    <w:rsid w:val="00C03133"/>
    <w:rsid w:val="00C03639"/>
    <w:rsid w:val="00C04B46"/>
    <w:rsid w:val="00C04F80"/>
    <w:rsid w:val="00C055B6"/>
    <w:rsid w:val="00C06AD5"/>
    <w:rsid w:val="00C0762F"/>
    <w:rsid w:val="00C077F2"/>
    <w:rsid w:val="00C11BB7"/>
    <w:rsid w:val="00C11F1E"/>
    <w:rsid w:val="00C121B1"/>
    <w:rsid w:val="00C13649"/>
    <w:rsid w:val="00C1521E"/>
    <w:rsid w:val="00C16135"/>
    <w:rsid w:val="00C161FA"/>
    <w:rsid w:val="00C1656D"/>
    <w:rsid w:val="00C17286"/>
    <w:rsid w:val="00C17835"/>
    <w:rsid w:val="00C2061A"/>
    <w:rsid w:val="00C2149F"/>
    <w:rsid w:val="00C21DC9"/>
    <w:rsid w:val="00C21F03"/>
    <w:rsid w:val="00C226C0"/>
    <w:rsid w:val="00C228F1"/>
    <w:rsid w:val="00C23B84"/>
    <w:rsid w:val="00C24713"/>
    <w:rsid w:val="00C2475C"/>
    <w:rsid w:val="00C24B99"/>
    <w:rsid w:val="00C2535B"/>
    <w:rsid w:val="00C2745C"/>
    <w:rsid w:val="00C3142E"/>
    <w:rsid w:val="00C321D7"/>
    <w:rsid w:val="00C32A7B"/>
    <w:rsid w:val="00C33FDD"/>
    <w:rsid w:val="00C34427"/>
    <w:rsid w:val="00C35D52"/>
    <w:rsid w:val="00C367E3"/>
    <w:rsid w:val="00C37262"/>
    <w:rsid w:val="00C402AE"/>
    <w:rsid w:val="00C409B9"/>
    <w:rsid w:val="00C421E8"/>
    <w:rsid w:val="00C4245F"/>
    <w:rsid w:val="00C43300"/>
    <w:rsid w:val="00C43654"/>
    <w:rsid w:val="00C43AD7"/>
    <w:rsid w:val="00C44863"/>
    <w:rsid w:val="00C4514C"/>
    <w:rsid w:val="00C46E04"/>
    <w:rsid w:val="00C472A8"/>
    <w:rsid w:val="00C4733D"/>
    <w:rsid w:val="00C47902"/>
    <w:rsid w:val="00C50765"/>
    <w:rsid w:val="00C50A01"/>
    <w:rsid w:val="00C51195"/>
    <w:rsid w:val="00C52235"/>
    <w:rsid w:val="00C526A3"/>
    <w:rsid w:val="00C53496"/>
    <w:rsid w:val="00C53DB1"/>
    <w:rsid w:val="00C54C6A"/>
    <w:rsid w:val="00C555D5"/>
    <w:rsid w:val="00C56782"/>
    <w:rsid w:val="00C56859"/>
    <w:rsid w:val="00C57049"/>
    <w:rsid w:val="00C63434"/>
    <w:rsid w:val="00C64255"/>
    <w:rsid w:val="00C6431D"/>
    <w:rsid w:val="00C645F7"/>
    <w:rsid w:val="00C64C9C"/>
    <w:rsid w:val="00C668EF"/>
    <w:rsid w:val="00C66AE9"/>
    <w:rsid w:val="00C670BD"/>
    <w:rsid w:val="00C67D1D"/>
    <w:rsid w:val="00C70511"/>
    <w:rsid w:val="00C7108E"/>
    <w:rsid w:val="00C7171D"/>
    <w:rsid w:val="00C723F3"/>
    <w:rsid w:val="00C7272A"/>
    <w:rsid w:val="00C733BC"/>
    <w:rsid w:val="00C73A5A"/>
    <w:rsid w:val="00C7435D"/>
    <w:rsid w:val="00C75659"/>
    <w:rsid w:val="00C7621F"/>
    <w:rsid w:val="00C778FD"/>
    <w:rsid w:val="00C82082"/>
    <w:rsid w:val="00C85C0D"/>
    <w:rsid w:val="00C86B35"/>
    <w:rsid w:val="00C87746"/>
    <w:rsid w:val="00C87BE8"/>
    <w:rsid w:val="00C87FEA"/>
    <w:rsid w:val="00C91692"/>
    <w:rsid w:val="00C918BF"/>
    <w:rsid w:val="00C93029"/>
    <w:rsid w:val="00C93C1B"/>
    <w:rsid w:val="00C94A6D"/>
    <w:rsid w:val="00C94E32"/>
    <w:rsid w:val="00C951F4"/>
    <w:rsid w:val="00C96B47"/>
    <w:rsid w:val="00C96BB4"/>
    <w:rsid w:val="00C96E92"/>
    <w:rsid w:val="00CA1F87"/>
    <w:rsid w:val="00CA25F4"/>
    <w:rsid w:val="00CA2A94"/>
    <w:rsid w:val="00CA3211"/>
    <w:rsid w:val="00CA40E3"/>
    <w:rsid w:val="00CA4D5C"/>
    <w:rsid w:val="00CA6597"/>
    <w:rsid w:val="00CB0639"/>
    <w:rsid w:val="00CB192C"/>
    <w:rsid w:val="00CB201F"/>
    <w:rsid w:val="00CB2C07"/>
    <w:rsid w:val="00CB2E64"/>
    <w:rsid w:val="00CB2F4E"/>
    <w:rsid w:val="00CB337A"/>
    <w:rsid w:val="00CB4173"/>
    <w:rsid w:val="00CB5390"/>
    <w:rsid w:val="00CB564B"/>
    <w:rsid w:val="00CB5A47"/>
    <w:rsid w:val="00CC10CB"/>
    <w:rsid w:val="00CC2B29"/>
    <w:rsid w:val="00CC30DD"/>
    <w:rsid w:val="00CC36F4"/>
    <w:rsid w:val="00CC43E3"/>
    <w:rsid w:val="00CC4999"/>
    <w:rsid w:val="00CC532C"/>
    <w:rsid w:val="00CC6350"/>
    <w:rsid w:val="00CC64A1"/>
    <w:rsid w:val="00CC68B3"/>
    <w:rsid w:val="00CC70C2"/>
    <w:rsid w:val="00CC7713"/>
    <w:rsid w:val="00CC7B07"/>
    <w:rsid w:val="00CD2423"/>
    <w:rsid w:val="00CD4C21"/>
    <w:rsid w:val="00CD5FB9"/>
    <w:rsid w:val="00CD6264"/>
    <w:rsid w:val="00CD689E"/>
    <w:rsid w:val="00CD7A4D"/>
    <w:rsid w:val="00CE017B"/>
    <w:rsid w:val="00CE1098"/>
    <w:rsid w:val="00CE13AA"/>
    <w:rsid w:val="00CE1574"/>
    <w:rsid w:val="00CE2F20"/>
    <w:rsid w:val="00CE33FD"/>
    <w:rsid w:val="00CE36AE"/>
    <w:rsid w:val="00CE4916"/>
    <w:rsid w:val="00CE6054"/>
    <w:rsid w:val="00CE6677"/>
    <w:rsid w:val="00CE694E"/>
    <w:rsid w:val="00CE7358"/>
    <w:rsid w:val="00CF0C27"/>
    <w:rsid w:val="00CF0FCC"/>
    <w:rsid w:val="00CF204F"/>
    <w:rsid w:val="00CF27C3"/>
    <w:rsid w:val="00CF3CDF"/>
    <w:rsid w:val="00CF4347"/>
    <w:rsid w:val="00CF5695"/>
    <w:rsid w:val="00CF58E8"/>
    <w:rsid w:val="00CF5CB0"/>
    <w:rsid w:val="00CF6F7B"/>
    <w:rsid w:val="00CF75DE"/>
    <w:rsid w:val="00CF7E19"/>
    <w:rsid w:val="00D001CD"/>
    <w:rsid w:val="00D01218"/>
    <w:rsid w:val="00D01840"/>
    <w:rsid w:val="00D01A46"/>
    <w:rsid w:val="00D02945"/>
    <w:rsid w:val="00D0792B"/>
    <w:rsid w:val="00D11D0C"/>
    <w:rsid w:val="00D12214"/>
    <w:rsid w:val="00D1288F"/>
    <w:rsid w:val="00D129B4"/>
    <w:rsid w:val="00D14FC5"/>
    <w:rsid w:val="00D15897"/>
    <w:rsid w:val="00D159FE"/>
    <w:rsid w:val="00D15D88"/>
    <w:rsid w:val="00D173E9"/>
    <w:rsid w:val="00D17602"/>
    <w:rsid w:val="00D179B4"/>
    <w:rsid w:val="00D17B7B"/>
    <w:rsid w:val="00D20A9C"/>
    <w:rsid w:val="00D21257"/>
    <w:rsid w:val="00D214A7"/>
    <w:rsid w:val="00D21E84"/>
    <w:rsid w:val="00D21F58"/>
    <w:rsid w:val="00D22855"/>
    <w:rsid w:val="00D236C5"/>
    <w:rsid w:val="00D23947"/>
    <w:rsid w:val="00D239EA"/>
    <w:rsid w:val="00D2440F"/>
    <w:rsid w:val="00D2497D"/>
    <w:rsid w:val="00D24B8D"/>
    <w:rsid w:val="00D259B2"/>
    <w:rsid w:val="00D26C27"/>
    <w:rsid w:val="00D3012D"/>
    <w:rsid w:val="00D3115F"/>
    <w:rsid w:val="00D318CE"/>
    <w:rsid w:val="00D32651"/>
    <w:rsid w:val="00D328BA"/>
    <w:rsid w:val="00D32C27"/>
    <w:rsid w:val="00D34A1D"/>
    <w:rsid w:val="00D34AC9"/>
    <w:rsid w:val="00D36385"/>
    <w:rsid w:val="00D366AD"/>
    <w:rsid w:val="00D36BE4"/>
    <w:rsid w:val="00D374D6"/>
    <w:rsid w:val="00D37593"/>
    <w:rsid w:val="00D400B4"/>
    <w:rsid w:val="00D405D3"/>
    <w:rsid w:val="00D41D1C"/>
    <w:rsid w:val="00D4437E"/>
    <w:rsid w:val="00D4735E"/>
    <w:rsid w:val="00D475E7"/>
    <w:rsid w:val="00D47CE1"/>
    <w:rsid w:val="00D47DFD"/>
    <w:rsid w:val="00D5010D"/>
    <w:rsid w:val="00D510C6"/>
    <w:rsid w:val="00D52BA1"/>
    <w:rsid w:val="00D53788"/>
    <w:rsid w:val="00D54C77"/>
    <w:rsid w:val="00D5564F"/>
    <w:rsid w:val="00D55D76"/>
    <w:rsid w:val="00D567F2"/>
    <w:rsid w:val="00D57548"/>
    <w:rsid w:val="00D57D69"/>
    <w:rsid w:val="00D601C2"/>
    <w:rsid w:val="00D60203"/>
    <w:rsid w:val="00D640C6"/>
    <w:rsid w:val="00D64B0D"/>
    <w:rsid w:val="00D65737"/>
    <w:rsid w:val="00D65A14"/>
    <w:rsid w:val="00D66A45"/>
    <w:rsid w:val="00D67299"/>
    <w:rsid w:val="00D672DE"/>
    <w:rsid w:val="00D702F1"/>
    <w:rsid w:val="00D70F4D"/>
    <w:rsid w:val="00D7444D"/>
    <w:rsid w:val="00D7467B"/>
    <w:rsid w:val="00D80020"/>
    <w:rsid w:val="00D805A1"/>
    <w:rsid w:val="00D808B5"/>
    <w:rsid w:val="00D84606"/>
    <w:rsid w:val="00D84D51"/>
    <w:rsid w:val="00D8543F"/>
    <w:rsid w:val="00D85788"/>
    <w:rsid w:val="00D86422"/>
    <w:rsid w:val="00D86634"/>
    <w:rsid w:val="00D86868"/>
    <w:rsid w:val="00D87218"/>
    <w:rsid w:val="00D8740B"/>
    <w:rsid w:val="00D877E4"/>
    <w:rsid w:val="00D879F8"/>
    <w:rsid w:val="00D87F0B"/>
    <w:rsid w:val="00D90674"/>
    <w:rsid w:val="00D907C0"/>
    <w:rsid w:val="00D90D1C"/>
    <w:rsid w:val="00D918F7"/>
    <w:rsid w:val="00D91B17"/>
    <w:rsid w:val="00D92999"/>
    <w:rsid w:val="00D94F20"/>
    <w:rsid w:val="00D951E0"/>
    <w:rsid w:val="00D95F5E"/>
    <w:rsid w:val="00DA03CE"/>
    <w:rsid w:val="00DA155C"/>
    <w:rsid w:val="00DA1D1D"/>
    <w:rsid w:val="00DA2B18"/>
    <w:rsid w:val="00DA2BE7"/>
    <w:rsid w:val="00DA333A"/>
    <w:rsid w:val="00DA3C39"/>
    <w:rsid w:val="00DA489E"/>
    <w:rsid w:val="00DA4A76"/>
    <w:rsid w:val="00DA5154"/>
    <w:rsid w:val="00DA53CA"/>
    <w:rsid w:val="00DA6006"/>
    <w:rsid w:val="00DA6E22"/>
    <w:rsid w:val="00DA7835"/>
    <w:rsid w:val="00DB01CA"/>
    <w:rsid w:val="00DB3C86"/>
    <w:rsid w:val="00DB441F"/>
    <w:rsid w:val="00DB47D4"/>
    <w:rsid w:val="00DB52FB"/>
    <w:rsid w:val="00DB58C3"/>
    <w:rsid w:val="00DB596C"/>
    <w:rsid w:val="00DB6E24"/>
    <w:rsid w:val="00DB6EF8"/>
    <w:rsid w:val="00DB7A25"/>
    <w:rsid w:val="00DC0C48"/>
    <w:rsid w:val="00DC0DAA"/>
    <w:rsid w:val="00DC2146"/>
    <w:rsid w:val="00DC2F62"/>
    <w:rsid w:val="00DC3522"/>
    <w:rsid w:val="00DC35FD"/>
    <w:rsid w:val="00DC3AD7"/>
    <w:rsid w:val="00DC44BB"/>
    <w:rsid w:val="00DC4786"/>
    <w:rsid w:val="00DC4954"/>
    <w:rsid w:val="00DC5D8A"/>
    <w:rsid w:val="00DC6B1E"/>
    <w:rsid w:val="00DC7CB5"/>
    <w:rsid w:val="00DD0B1C"/>
    <w:rsid w:val="00DD106D"/>
    <w:rsid w:val="00DD1195"/>
    <w:rsid w:val="00DD17B1"/>
    <w:rsid w:val="00DD18DA"/>
    <w:rsid w:val="00DD319E"/>
    <w:rsid w:val="00DD3822"/>
    <w:rsid w:val="00DD47C8"/>
    <w:rsid w:val="00DD5B72"/>
    <w:rsid w:val="00DD6D7D"/>
    <w:rsid w:val="00DD7788"/>
    <w:rsid w:val="00DE0272"/>
    <w:rsid w:val="00DE0CDA"/>
    <w:rsid w:val="00DE0E9B"/>
    <w:rsid w:val="00DE126E"/>
    <w:rsid w:val="00DE1CA3"/>
    <w:rsid w:val="00DE30F1"/>
    <w:rsid w:val="00DE3453"/>
    <w:rsid w:val="00DE3D73"/>
    <w:rsid w:val="00DE71D8"/>
    <w:rsid w:val="00DF0380"/>
    <w:rsid w:val="00DF124D"/>
    <w:rsid w:val="00DF1B68"/>
    <w:rsid w:val="00DF1DDC"/>
    <w:rsid w:val="00DF1F8B"/>
    <w:rsid w:val="00DF2B1D"/>
    <w:rsid w:val="00DF3E98"/>
    <w:rsid w:val="00DF48C6"/>
    <w:rsid w:val="00DF4AC3"/>
    <w:rsid w:val="00DF552E"/>
    <w:rsid w:val="00DF5DA8"/>
    <w:rsid w:val="00DF62C7"/>
    <w:rsid w:val="00DF63D9"/>
    <w:rsid w:val="00DF7CEE"/>
    <w:rsid w:val="00E00761"/>
    <w:rsid w:val="00E00E62"/>
    <w:rsid w:val="00E019A2"/>
    <w:rsid w:val="00E01A23"/>
    <w:rsid w:val="00E01ABF"/>
    <w:rsid w:val="00E021DD"/>
    <w:rsid w:val="00E03166"/>
    <w:rsid w:val="00E03E53"/>
    <w:rsid w:val="00E06627"/>
    <w:rsid w:val="00E071EA"/>
    <w:rsid w:val="00E10104"/>
    <w:rsid w:val="00E1111D"/>
    <w:rsid w:val="00E125CE"/>
    <w:rsid w:val="00E12902"/>
    <w:rsid w:val="00E200D8"/>
    <w:rsid w:val="00E209AD"/>
    <w:rsid w:val="00E223EF"/>
    <w:rsid w:val="00E229D6"/>
    <w:rsid w:val="00E23E93"/>
    <w:rsid w:val="00E24611"/>
    <w:rsid w:val="00E25515"/>
    <w:rsid w:val="00E267A7"/>
    <w:rsid w:val="00E26A70"/>
    <w:rsid w:val="00E2762D"/>
    <w:rsid w:val="00E27A9B"/>
    <w:rsid w:val="00E27F53"/>
    <w:rsid w:val="00E3046B"/>
    <w:rsid w:val="00E30977"/>
    <w:rsid w:val="00E30CDC"/>
    <w:rsid w:val="00E316D6"/>
    <w:rsid w:val="00E31A3A"/>
    <w:rsid w:val="00E3230C"/>
    <w:rsid w:val="00E32AC9"/>
    <w:rsid w:val="00E32C73"/>
    <w:rsid w:val="00E33CF8"/>
    <w:rsid w:val="00E353C7"/>
    <w:rsid w:val="00E358A4"/>
    <w:rsid w:val="00E35D49"/>
    <w:rsid w:val="00E366ED"/>
    <w:rsid w:val="00E36B26"/>
    <w:rsid w:val="00E36C0D"/>
    <w:rsid w:val="00E3712E"/>
    <w:rsid w:val="00E4092E"/>
    <w:rsid w:val="00E40B64"/>
    <w:rsid w:val="00E40FC6"/>
    <w:rsid w:val="00E415C0"/>
    <w:rsid w:val="00E41A92"/>
    <w:rsid w:val="00E41A93"/>
    <w:rsid w:val="00E42129"/>
    <w:rsid w:val="00E432B3"/>
    <w:rsid w:val="00E43510"/>
    <w:rsid w:val="00E43927"/>
    <w:rsid w:val="00E46325"/>
    <w:rsid w:val="00E46515"/>
    <w:rsid w:val="00E4651C"/>
    <w:rsid w:val="00E46D8D"/>
    <w:rsid w:val="00E47CA3"/>
    <w:rsid w:val="00E51E49"/>
    <w:rsid w:val="00E525AB"/>
    <w:rsid w:val="00E526A0"/>
    <w:rsid w:val="00E52C51"/>
    <w:rsid w:val="00E53792"/>
    <w:rsid w:val="00E545E6"/>
    <w:rsid w:val="00E5549F"/>
    <w:rsid w:val="00E57167"/>
    <w:rsid w:val="00E57C6A"/>
    <w:rsid w:val="00E604CD"/>
    <w:rsid w:val="00E60785"/>
    <w:rsid w:val="00E638F4"/>
    <w:rsid w:val="00E63AD5"/>
    <w:rsid w:val="00E65A08"/>
    <w:rsid w:val="00E65C0F"/>
    <w:rsid w:val="00E65C50"/>
    <w:rsid w:val="00E66051"/>
    <w:rsid w:val="00E66BD0"/>
    <w:rsid w:val="00E70B68"/>
    <w:rsid w:val="00E70C9F"/>
    <w:rsid w:val="00E711D4"/>
    <w:rsid w:val="00E71A75"/>
    <w:rsid w:val="00E72EDB"/>
    <w:rsid w:val="00E737FD"/>
    <w:rsid w:val="00E739E8"/>
    <w:rsid w:val="00E74DC0"/>
    <w:rsid w:val="00E7588C"/>
    <w:rsid w:val="00E76625"/>
    <w:rsid w:val="00E76653"/>
    <w:rsid w:val="00E816FE"/>
    <w:rsid w:val="00E823EE"/>
    <w:rsid w:val="00E82A60"/>
    <w:rsid w:val="00E85D06"/>
    <w:rsid w:val="00E87860"/>
    <w:rsid w:val="00E87FE2"/>
    <w:rsid w:val="00E90287"/>
    <w:rsid w:val="00E91826"/>
    <w:rsid w:val="00E91AB5"/>
    <w:rsid w:val="00E91E5E"/>
    <w:rsid w:val="00E924B1"/>
    <w:rsid w:val="00E96980"/>
    <w:rsid w:val="00E96B10"/>
    <w:rsid w:val="00E97591"/>
    <w:rsid w:val="00E97C33"/>
    <w:rsid w:val="00E97FF9"/>
    <w:rsid w:val="00EA0F4B"/>
    <w:rsid w:val="00EA175C"/>
    <w:rsid w:val="00EA24C7"/>
    <w:rsid w:val="00EA2566"/>
    <w:rsid w:val="00EA289E"/>
    <w:rsid w:val="00EA2B7E"/>
    <w:rsid w:val="00EA2DDE"/>
    <w:rsid w:val="00EA3C1B"/>
    <w:rsid w:val="00EA69F5"/>
    <w:rsid w:val="00EA6C05"/>
    <w:rsid w:val="00EB035C"/>
    <w:rsid w:val="00EB14CB"/>
    <w:rsid w:val="00EB243B"/>
    <w:rsid w:val="00EB24B3"/>
    <w:rsid w:val="00EB2580"/>
    <w:rsid w:val="00EB2E32"/>
    <w:rsid w:val="00EB4161"/>
    <w:rsid w:val="00EB4200"/>
    <w:rsid w:val="00EB483B"/>
    <w:rsid w:val="00EB48D3"/>
    <w:rsid w:val="00EB4B95"/>
    <w:rsid w:val="00EB7688"/>
    <w:rsid w:val="00EB794A"/>
    <w:rsid w:val="00EB7AEA"/>
    <w:rsid w:val="00EC0508"/>
    <w:rsid w:val="00EC07B8"/>
    <w:rsid w:val="00EC08DD"/>
    <w:rsid w:val="00EC1A18"/>
    <w:rsid w:val="00EC1CE5"/>
    <w:rsid w:val="00EC2514"/>
    <w:rsid w:val="00EC27A8"/>
    <w:rsid w:val="00EC2B07"/>
    <w:rsid w:val="00EC3A3D"/>
    <w:rsid w:val="00EC427A"/>
    <w:rsid w:val="00EC439D"/>
    <w:rsid w:val="00EC43FE"/>
    <w:rsid w:val="00EC456E"/>
    <w:rsid w:val="00EC4B7B"/>
    <w:rsid w:val="00EC5698"/>
    <w:rsid w:val="00ED066A"/>
    <w:rsid w:val="00ED0B6B"/>
    <w:rsid w:val="00ED108D"/>
    <w:rsid w:val="00ED30DB"/>
    <w:rsid w:val="00ED3481"/>
    <w:rsid w:val="00ED605D"/>
    <w:rsid w:val="00ED74C8"/>
    <w:rsid w:val="00ED7912"/>
    <w:rsid w:val="00EE01E1"/>
    <w:rsid w:val="00EE0265"/>
    <w:rsid w:val="00EE1380"/>
    <w:rsid w:val="00EE3F56"/>
    <w:rsid w:val="00EE5B3B"/>
    <w:rsid w:val="00EE6007"/>
    <w:rsid w:val="00EE6ED2"/>
    <w:rsid w:val="00EF1195"/>
    <w:rsid w:val="00EF206E"/>
    <w:rsid w:val="00EF2919"/>
    <w:rsid w:val="00EF3F7F"/>
    <w:rsid w:val="00EF457B"/>
    <w:rsid w:val="00EF4CF8"/>
    <w:rsid w:val="00EF5336"/>
    <w:rsid w:val="00EF682D"/>
    <w:rsid w:val="00EF7EAB"/>
    <w:rsid w:val="00F02AAA"/>
    <w:rsid w:val="00F03CF1"/>
    <w:rsid w:val="00F060EB"/>
    <w:rsid w:val="00F06106"/>
    <w:rsid w:val="00F071CB"/>
    <w:rsid w:val="00F11598"/>
    <w:rsid w:val="00F119BD"/>
    <w:rsid w:val="00F11A38"/>
    <w:rsid w:val="00F123E6"/>
    <w:rsid w:val="00F13CBB"/>
    <w:rsid w:val="00F146BE"/>
    <w:rsid w:val="00F156BA"/>
    <w:rsid w:val="00F168CD"/>
    <w:rsid w:val="00F16AC5"/>
    <w:rsid w:val="00F16BD4"/>
    <w:rsid w:val="00F16FA9"/>
    <w:rsid w:val="00F1709A"/>
    <w:rsid w:val="00F21E44"/>
    <w:rsid w:val="00F22A86"/>
    <w:rsid w:val="00F239B7"/>
    <w:rsid w:val="00F23F9C"/>
    <w:rsid w:val="00F2475E"/>
    <w:rsid w:val="00F24890"/>
    <w:rsid w:val="00F25268"/>
    <w:rsid w:val="00F26AD2"/>
    <w:rsid w:val="00F26ED7"/>
    <w:rsid w:val="00F274FC"/>
    <w:rsid w:val="00F316A6"/>
    <w:rsid w:val="00F317AE"/>
    <w:rsid w:val="00F32023"/>
    <w:rsid w:val="00F33A3F"/>
    <w:rsid w:val="00F35454"/>
    <w:rsid w:val="00F35FF7"/>
    <w:rsid w:val="00F3740F"/>
    <w:rsid w:val="00F414C4"/>
    <w:rsid w:val="00F41CC9"/>
    <w:rsid w:val="00F41D6C"/>
    <w:rsid w:val="00F41DBF"/>
    <w:rsid w:val="00F420C4"/>
    <w:rsid w:val="00F42956"/>
    <w:rsid w:val="00F44068"/>
    <w:rsid w:val="00F4494D"/>
    <w:rsid w:val="00F44CDF"/>
    <w:rsid w:val="00F453B3"/>
    <w:rsid w:val="00F45E70"/>
    <w:rsid w:val="00F45FF1"/>
    <w:rsid w:val="00F46859"/>
    <w:rsid w:val="00F46A94"/>
    <w:rsid w:val="00F47B27"/>
    <w:rsid w:val="00F519BD"/>
    <w:rsid w:val="00F51E44"/>
    <w:rsid w:val="00F54023"/>
    <w:rsid w:val="00F55F18"/>
    <w:rsid w:val="00F565A3"/>
    <w:rsid w:val="00F566E9"/>
    <w:rsid w:val="00F57325"/>
    <w:rsid w:val="00F57786"/>
    <w:rsid w:val="00F6107E"/>
    <w:rsid w:val="00F6170A"/>
    <w:rsid w:val="00F62EFC"/>
    <w:rsid w:val="00F6509E"/>
    <w:rsid w:val="00F6514D"/>
    <w:rsid w:val="00F65D98"/>
    <w:rsid w:val="00F67213"/>
    <w:rsid w:val="00F7085F"/>
    <w:rsid w:val="00F71BDE"/>
    <w:rsid w:val="00F71F95"/>
    <w:rsid w:val="00F72423"/>
    <w:rsid w:val="00F74294"/>
    <w:rsid w:val="00F7449C"/>
    <w:rsid w:val="00F757F2"/>
    <w:rsid w:val="00F75B49"/>
    <w:rsid w:val="00F768E1"/>
    <w:rsid w:val="00F779EC"/>
    <w:rsid w:val="00F80281"/>
    <w:rsid w:val="00F8228C"/>
    <w:rsid w:val="00F8308B"/>
    <w:rsid w:val="00F846C4"/>
    <w:rsid w:val="00F85EF1"/>
    <w:rsid w:val="00F87D29"/>
    <w:rsid w:val="00F900FE"/>
    <w:rsid w:val="00F91142"/>
    <w:rsid w:val="00F917F8"/>
    <w:rsid w:val="00F91888"/>
    <w:rsid w:val="00F92B84"/>
    <w:rsid w:val="00F92FFF"/>
    <w:rsid w:val="00F9339D"/>
    <w:rsid w:val="00F941F1"/>
    <w:rsid w:val="00F956CF"/>
    <w:rsid w:val="00F96321"/>
    <w:rsid w:val="00F968CC"/>
    <w:rsid w:val="00F971B3"/>
    <w:rsid w:val="00F97412"/>
    <w:rsid w:val="00F97E61"/>
    <w:rsid w:val="00FA102A"/>
    <w:rsid w:val="00FA1094"/>
    <w:rsid w:val="00FA202A"/>
    <w:rsid w:val="00FA20AE"/>
    <w:rsid w:val="00FA20F3"/>
    <w:rsid w:val="00FA276A"/>
    <w:rsid w:val="00FA5936"/>
    <w:rsid w:val="00FA70A0"/>
    <w:rsid w:val="00FA72BC"/>
    <w:rsid w:val="00FA7C70"/>
    <w:rsid w:val="00FB08C2"/>
    <w:rsid w:val="00FB0A11"/>
    <w:rsid w:val="00FB1F7C"/>
    <w:rsid w:val="00FB42A7"/>
    <w:rsid w:val="00FB48F4"/>
    <w:rsid w:val="00FB574C"/>
    <w:rsid w:val="00FB60DF"/>
    <w:rsid w:val="00FB68D4"/>
    <w:rsid w:val="00FB7F8C"/>
    <w:rsid w:val="00FC137F"/>
    <w:rsid w:val="00FC16F0"/>
    <w:rsid w:val="00FC1AE8"/>
    <w:rsid w:val="00FC37DB"/>
    <w:rsid w:val="00FC4C1C"/>
    <w:rsid w:val="00FC4CE7"/>
    <w:rsid w:val="00FC5BE6"/>
    <w:rsid w:val="00FC6AFA"/>
    <w:rsid w:val="00FC714E"/>
    <w:rsid w:val="00FC7F09"/>
    <w:rsid w:val="00FD0D25"/>
    <w:rsid w:val="00FD0FEC"/>
    <w:rsid w:val="00FD24F0"/>
    <w:rsid w:val="00FD2D8A"/>
    <w:rsid w:val="00FD475D"/>
    <w:rsid w:val="00FD55A7"/>
    <w:rsid w:val="00FD592A"/>
    <w:rsid w:val="00FD6F89"/>
    <w:rsid w:val="00FD7C90"/>
    <w:rsid w:val="00FD7D25"/>
    <w:rsid w:val="00FE2964"/>
    <w:rsid w:val="00FE39BE"/>
    <w:rsid w:val="00FE39EE"/>
    <w:rsid w:val="00FE3A78"/>
    <w:rsid w:val="00FE3B09"/>
    <w:rsid w:val="00FE58BB"/>
    <w:rsid w:val="00FE5C3B"/>
    <w:rsid w:val="00FE5C49"/>
    <w:rsid w:val="00FE6159"/>
    <w:rsid w:val="00FE6288"/>
    <w:rsid w:val="00FE6357"/>
    <w:rsid w:val="00FE6A14"/>
    <w:rsid w:val="00FE7251"/>
    <w:rsid w:val="00FE7900"/>
    <w:rsid w:val="00FE7F3E"/>
    <w:rsid w:val="00FF027C"/>
    <w:rsid w:val="00FF0559"/>
    <w:rsid w:val="00FF0B0D"/>
    <w:rsid w:val="00FF146E"/>
    <w:rsid w:val="00FF1B8A"/>
    <w:rsid w:val="00FF2108"/>
    <w:rsid w:val="00FF38F1"/>
    <w:rsid w:val="00FF3F07"/>
    <w:rsid w:val="00FF435D"/>
    <w:rsid w:val="00FF4AB1"/>
    <w:rsid w:val="00FF540B"/>
    <w:rsid w:val="00FF5D9E"/>
    <w:rsid w:val="00FF6655"/>
    <w:rsid w:val="0123E6E6"/>
    <w:rsid w:val="02146CE3"/>
    <w:rsid w:val="03C64C16"/>
    <w:rsid w:val="03ED241C"/>
    <w:rsid w:val="040B3AF1"/>
    <w:rsid w:val="04AF4A55"/>
    <w:rsid w:val="08185842"/>
    <w:rsid w:val="08AC25CB"/>
    <w:rsid w:val="08BBF491"/>
    <w:rsid w:val="0C041CFF"/>
    <w:rsid w:val="0D603BD0"/>
    <w:rsid w:val="0DB82C12"/>
    <w:rsid w:val="0DFBDADE"/>
    <w:rsid w:val="0E894FA1"/>
    <w:rsid w:val="0EF4169C"/>
    <w:rsid w:val="10B4026F"/>
    <w:rsid w:val="11683B24"/>
    <w:rsid w:val="11804676"/>
    <w:rsid w:val="11A52999"/>
    <w:rsid w:val="13045DA8"/>
    <w:rsid w:val="1318202A"/>
    <w:rsid w:val="1336725C"/>
    <w:rsid w:val="137A2AC6"/>
    <w:rsid w:val="13810AA4"/>
    <w:rsid w:val="14DA77BA"/>
    <w:rsid w:val="160C22A3"/>
    <w:rsid w:val="162C41F7"/>
    <w:rsid w:val="16EA4C47"/>
    <w:rsid w:val="16FF7D37"/>
    <w:rsid w:val="170654D2"/>
    <w:rsid w:val="17BDADFB"/>
    <w:rsid w:val="17C96C63"/>
    <w:rsid w:val="17D47B03"/>
    <w:rsid w:val="17DF1EA9"/>
    <w:rsid w:val="18235CAA"/>
    <w:rsid w:val="18FB7F8D"/>
    <w:rsid w:val="19253833"/>
    <w:rsid w:val="19791A18"/>
    <w:rsid w:val="19F1E967"/>
    <w:rsid w:val="1A1C644B"/>
    <w:rsid w:val="1A376683"/>
    <w:rsid w:val="1BCFCF31"/>
    <w:rsid w:val="1BEE6E5A"/>
    <w:rsid w:val="1BFF6D08"/>
    <w:rsid w:val="1CBC9F6E"/>
    <w:rsid w:val="1CDEDA0E"/>
    <w:rsid w:val="1CFBAF00"/>
    <w:rsid w:val="1D10102C"/>
    <w:rsid w:val="1DBF436D"/>
    <w:rsid w:val="1DBF78BF"/>
    <w:rsid w:val="1DEFB4C7"/>
    <w:rsid w:val="1DFD7FE0"/>
    <w:rsid w:val="1DFFB513"/>
    <w:rsid w:val="1E7D713A"/>
    <w:rsid w:val="1F1FDDDD"/>
    <w:rsid w:val="1F75506D"/>
    <w:rsid w:val="1FBF7375"/>
    <w:rsid w:val="1FEE6CB0"/>
    <w:rsid w:val="1FF561B5"/>
    <w:rsid w:val="1FF9A8E2"/>
    <w:rsid w:val="1FFFB7E3"/>
    <w:rsid w:val="20BD37D1"/>
    <w:rsid w:val="214A7396"/>
    <w:rsid w:val="218F4931"/>
    <w:rsid w:val="21BFC071"/>
    <w:rsid w:val="22770254"/>
    <w:rsid w:val="233708A3"/>
    <w:rsid w:val="2506439A"/>
    <w:rsid w:val="2577011E"/>
    <w:rsid w:val="25CE052F"/>
    <w:rsid w:val="261D50CD"/>
    <w:rsid w:val="267A5045"/>
    <w:rsid w:val="267B493A"/>
    <w:rsid w:val="275F976D"/>
    <w:rsid w:val="2776915C"/>
    <w:rsid w:val="279351FA"/>
    <w:rsid w:val="27B96C35"/>
    <w:rsid w:val="27DB2ADC"/>
    <w:rsid w:val="27EFA6FC"/>
    <w:rsid w:val="27EFDAF0"/>
    <w:rsid w:val="29DFDC0C"/>
    <w:rsid w:val="2BAB43F8"/>
    <w:rsid w:val="2BFF6160"/>
    <w:rsid w:val="2CC7271F"/>
    <w:rsid w:val="2CE92E9E"/>
    <w:rsid w:val="2D7D3CE6"/>
    <w:rsid w:val="2D7F49AD"/>
    <w:rsid w:val="2DB7A765"/>
    <w:rsid w:val="2DF7D6CC"/>
    <w:rsid w:val="2E007357"/>
    <w:rsid w:val="2E055BEF"/>
    <w:rsid w:val="2EA7AF2A"/>
    <w:rsid w:val="2EBBF7CD"/>
    <w:rsid w:val="2F6BFAC9"/>
    <w:rsid w:val="2FFF07B0"/>
    <w:rsid w:val="2FFFC525"/>
    <w:rsid w:val="30912494"/>
    <w:rsid w:val="30E3C6D8"/>
    <w:rsid w:val="31B735F1"/>
    <w:rsid w:val="33EC29CD"/>
    <w:rsid w:val="342D0929"/>
    <w:rsid w:val="34B779C7"/>
    <w:rsid w:val="34CF5CEC"/>
    <w:rsid w:val="34E055A5"/>
    <w:rsid w:val="34E5346C"/>
    <w:rsid w:val="35BFF218"/>
    <w:rsid w:val="36FF3DC3"/>
    <w:rsid w:val="376FD9E7"/>
    <w:rsid w:val="3797248F"/>
    <w:rsid w:val="37A559F9"/>
    <w:rsid w:val="37EF5621"/>
    <w:rsid w:val="37EF74DB"/>
    <w:rsid w:val="37F76A7A"/>
    <w:rsid w:val="385B2C3E"/>
    <w:rsid w:val="389FFD0E"/>
    <w:rsid w:val="392BF547"/>
    <w:rsid w:val="398C4612"/>
    <w:rsid w:val="39FDEA80"/>
    <w:rsid w:val="3A7F6245"/>
    <w:rsid w:val="3B4FA1AF"/>
    <w:rsid w:val="3B531602"/>
    <w:rsid w:val="3B762A31"/>
    <w:rsid w:val="3BA9F012"/>
    <w:rsid w:val="3BAB9182"/>
    <w:rsid w:val="3BEB16C6"/>
    <w:rsid w:val="3BF52F4F"/>
    <w:rsid w:val="3BF66F8C"/>
    <w:rsid w:val="3C9B2C06"/>
    <w:rsid w:val="3CB7C9C3"/>
    <w:rsid w:val="3CEF8113"/>
    <w:rsid w:val="3D67F7F4"/>
    <w:rsid w:val="3D73248C"/>
    <w:rsid w:val="3D761FDF"/>
    <w:rsid w:val="3D7D5F47"/>
    <w:rsid w:val="3D9758B0"/>
    <w:rsid w:val="3DB15A34"/>
    <w:rsid w:val="3DD4574E"/>
    <w:rsid w:val="3DD72671"/>
    <w:rsid w:val="3DEAC215"/>
    <w:rsid w:val="3DFF2784"/>
    <w:rsid w:val="3DFFB7AC"/>
    <w:rsid w:val="3E59DAD1"/>
    <w:rsid w:val="3EB74863"/>
    <w:rsid w:val="3EBF9A61"/>
    <w:rsid w:val="3ECA3916"/>
    <w:rsid w:val="3ED5AB1F"/>
    <w:rsid w:val="3EDFB532"/>
    <w:rsid w:val="3EEF8991"/>
    <w:rsid w:val="3EF66B68"/>
    <w:rsid w:val="3EF79E87"/>
    <w:rsid w:val="3F673003"/>
    <w:rsid w:val="3F759183"/>
    <w:rsid w:val="3F7A93CE"/>
    <w:rsid w:val="3FAFD343"/>
    <w:rsid w:val="3FBBA733"/>
    <w:rsid w:val="3FBEFB5C"/>
    <w:rsid w:val="3FBF537A"/>
    <w:rsid w:val="3FCF4807"/>
    <w:rsid w:val="3FCF8ACA"/>
    <w:rsid w:val="3FDF3ED9"/>
    <w:rsid w:val="3FDF676E"/>
    <w:rsid w:val="3FE6949F"/>
    <w:rsid w:val="3FEB6D5B"/>
    <w:rsid w:val="3FF1D5C2"/>
    <w:rsid w:val="3FF35356"/>
    <w:rsid w:val="3FFA0245"/>
    <w:rsid w:val="3FFEB1BF"/>
    <w:rsid w:val="3FFEED64"/>
    <w:rsid w:val="3FFF7F4B"/>
    <w:rsid w:val="3FFF9FBB"/>
    <w:rsid w:val="402E5086"/>
    <w:rsid w:val="421E2F4D"/>
    <w:rsid w:val="428D0BB2"/>
    <w:rsid w:val="42FF261A"/>
    <w:rsid w:val="43817E6A"/>
    <w:rsid w:val="44260386"/>
    <w:rsid w:val="45FF0815"/>
    <w:rsid w:val="46725C94"/>
    <w:rsid w:val="468E1469"/>
    <w:rsid w:val="4787425A"/>
    <w:rsid w:val="47C47F74"/>
    <w:rsid w:val="47E7B1C1"/>
    <w:rsid w:val="47FD46E8"/>
    <w:rsid w:val="491F48CF"/>
    <w:rsid w:val="4AEFB419"/>
    <w:rsid w:val="4AFB46CB"/>
    <w:rsid w:val="4B1AD193"/>
    <w:rsid w:val="4B7744CC"/>
    <w:rsid w:val="4B8B15F1"/>
    <w:rsid w:val="4BB7B22D"/>
    <w:rsid w:val="4BF90C50"/>
    <w:rsid w:val="4BFD8BA3"/>
    <w:rsid w:val="4CBB3BB3"/>
    <w:rsid w:val="4D5ED344"/>
    <w:rsid w:val="4D678F58"/>
    <w:rsid w:val="4D70739B"/>
    <w:rsid w:val="4DAD3831"/>
    <w:rsid w:val="4DADC526"/>
    <w:rsid w:val="4DEE7E83"/>
    <w:rsid w:val="4DEF6F6C"/>
    <w:rsid w:val="4DF3F31D"/>
    <w:rsid w:val="4E121292"/>
    <w:rsid w:val="4F4AF30E"/>
    <w:rsid w:val="4F5E1EC6"/>
    <w:rsid w:val="4FD488AD"/>
    <w:rsid w:val="4FF36048"/>
    <w:rsid w:val="4FFA63C2"/>
    <w:rsid w:val="4FFF02FB"/>
    <w:rsid w:val="4FFFCA55"/>
    <w:rsid w:val="505857F3"/>
    <w:rsid w:val="50F7734E"/>
    <w:rsid w:val="514C35D0"/>
    <w:rsid w:val="525F4103"/>
    <w:rsid w:val="52963FB5"/>
    <w:rsid w:val="52BC70BA"/>
    <w:rsid w:val="53D90AE1"/>
    <w:rsid w:val="54DC7571"/>
    <w:rsid w:val="55571013"/>
    <w:rsid w:val="557F59FD"/>
    <w:rsid w:val="558B2ED4"/>
    <w:rsid w:val="55EA6B3E"/>
    <w:rsid w:val="55FF7BDB"/>
    <w:rsid w:val="56FEEE1E"/>
    <w:rsid w:val="56FFA02C"/>
    <w:rsid w:val="56FFCDE5"/>
    <w:rsid w:val="57286503"/>
    <w:rsid w:val="5736C8ED"/>
    <w:rsid w:val="577BB77E"/>
    <w:rsid w:val="57C67E1B"/>
    <w:rsid w:val="57ED2C79"/>
    <w:rsid w:val="57FD701E"/>
    <w:rsid w:val="586A79F1"/>
    <w:rsid w:val="59F7966E"/>
    <w:rsid w:val="5A4E5B07"/>
    <w:rsid w:val="5A7BFCFF"/>
    <w:rsid w:val="5AEDE7B3"/>
    <w:rsid w:val="5AFCBEAC"/>
    <w:rsid w:val="5BE79DD4"/>
    <w:rsid w:val="5BEEA8DA"/>
    <w:rsid w:val="5BFF1A7D"/>
    <w:rsid w:val="5C436DFB"/>
    <w:rsid w:val="5CBB6E3E"/>
    <w:rsid w:val="5D55822B"/>
    <w:rsid w:val="5D6857E9"/>
    <w:rsid w:val="5D7E3057"/>
    <w:rsid w:val="5D7EA7FE"/>
    <w:rsid w:val="5D9DA580"/>
    <w:rsid w:val="5DB4F2CF"/>
    <w:rsid w:val="5DCD610C"/>
    <w:rsid w:val="5DE52443"/>
    <w:rsid w:val="5DF65422"/>
    <w:rsid w:val="5DFE91B1"/>
    <w:rsid w:val="5E1D3FB1"/>
    <w:rsid w:val="5E2A73C0"/>
    <w:rsid w:val="5E793521"/>
    <w:rsid w:val="5E7F79EF"/>
    <w:rsid w:val="5E8866D7"/>
    <w:rsid w:val="5EB7242C"/>
    <w:rsid w:val="5EBB5E77"/>
    <w:rsid w:val="5EBFB989"/>
    <w:rsid w:val="5EE3C637"/>
    <w:rsid w:val="5EF5284B"/>
    <w:rsid w:val="5EFBE8D9"/>
    <w:rsid w:val="5EFCC07A"/>
    <w:rsid w:val="5EFEF3ED"/>
    <w:rsid w:val="5EFF7BE9"/>
    <w:rsid w:val="5F370C2B"/>
    <w:rsid w:val="5F5609A4"/>
    <w:rsid w:val="5F5EBF92"/>
    <w:rsid w:val="5F6D4571"/>
    <w:rsid w:val="5F7B85F5"/>
    <w:rsid w:val="5FBE7281"/>
    <w:rsid w:val="5FDB0928"/>
    <w:rsid w:val="5FDF83FB"/>
    <w:rsid w:val="5FE84E0C"/>
    <w:rsid w:val="5FEE4964"/>
    <w:rsid w:val="5FEEF60C"/>
    <w:rsid w:val="5FF54A80"/>
    <w:rsid w:val="5FF6FB1C"/>
    <w:rsid w:val="5FF7A055"/>
    <w:rsid w:val="5FF7A82D"/>
    <w:rsid w:val="5FFDA3EE"/>
    <w:rsid w:val="5FFE8776"/>
    <w:rsid w:val="605B3849"/>
    <w:rsid w:val="615F4E19"/>
    <w:rsid w:val="617FDA56"/>
    <w:rsid w:val="628726B0"/>
    <w:rsid w:val="633F6CC7"/>
    <w:rsid w:val="636F12CD"/>
    <w:rsid w:val="63971A3D"/>
    <w:rsid w:val="641F491E"/>
    <w:rsid w:val="648C0471"/>
    <w:rsid w:val="64CF705A"/>
    <w:rsid w:val="656102B9"/>
    <w:rsid w:val="657C820C"/>
    <w:rsid w:val="65B31319"/>
    <w:rsid w:val="65DE0782"/>
    <w:rsid w:val="65DF9500"/>
    <w:rsid w:val="65F78D8C"/>
    <w:rsid w:val="65FFE939"/>
    <w:rsid w:val="6666F930"/>
    <w:rsid w:val="672F3A41"/>
    <w:rsid w:val="675EF6D4"/>
    <w:rsid w:val="676F4304"/>
    <w:rsid w:val="67AF2B38"/>
    <w:rsid w:val="67BFF995"/>
    <w:rsid w:val="67E61DB3"/>
    <w:rsid w:val="67EF3224"/>
    <w:rsid w:val="67FE857C"/>
    <w:rsid w:val="684501D4"/>
    <w:rsid w:val="686C390B"/>
    <w:rsid w:val="686E411D"/>
    <w:rsid w:val="694D23DB"/>
    <w:rsid w:val="6A275F63"/>
    <w:rsid w:val="6A7A31E5"/>
    <w:rsid w:val="6A7E50A7"/>
    <w:rsid w:val="6AAFED99"/>
    <w:rsid w:val="6AE9C1DA"/>
    <w:rsid w:val="6B0F476D"/>
    <w:rsid w:val="6B436831"/>
    <w:rsid w:val="6B6E3DC4"/>
    <w:rsid w:val="6BBB8728"/>
    <w:rsid w:val="6BD51137"/>
    <w:rsid w:val="6BDA6921"/>
    <w:rsid w:val="6BF25454"/>
    <w:rsid w:val="6BF7EAFA"/>
    <w:rsid w:val="6BFF5620"/>
    <w:rsid w:val="6BFFD4BB"/>
    <w:rsid w:val="6C430D4D"/>
    <w:rsid w:val="6CFD091F"/>
    <w:rsid w:val="6CFFC3B5"/>
    <w:rsid w:val="6D73CC41"/>
    <w:rsid w:val="6DBA2ADD"/>
    <w:rsid w:val="6DEF40CD"/>
    <w:rsid w:val="6DF9AADB"/>
    <w:rsid w:val="6E9D299E"/>
    <w:rsid w:val="6EBFEB94"/>
    <w:rsid w:val="6EF127BF"/>
    <w:rsid w:val="6EFD3EB9"/>
    <w:rsid w:val="6F3B17DD"/>
    <w:rsid w:val="6F59826F"/>
    <w:rsid w:val="6F774E8B"/>
    <w:rsid w:val="6F7796A3"/>
    <w:rsid w:val="6F7BF796"/>
    <w:rsid w:val="6F8F7E74"/>
    <w:rsid w:val="6FB4E98C"/>
    <w:rsid w:val="6FCF7FB5"/>
    <w:rsid w:val="6FD158A9"/>
    <w:rsid w:val="6FDE7331"/>
    <w:rsid w:val="6FE5BAF3"/>
    <w:rsid w:val="6FF716C9"/>
    <w:rsid w:val="6FF71E06"/>
    <w:rsid w:val="6FFC15B4"/>
    <w:rsid w:val="6FFD4120"/>
    <w:rsid w:val="6FFE3253"/>
    <w:rsid w:val="7076285A"/>
    <w:rsid w:val="70F4632C"/>
    <w:rsid w:val="7143CD80"/>
    <w:rsid w:val="71C542E2"/>
    <w:rsid w:val="71FB6C78"/>
    <w:rsid w:val="71FE8064"/>
    <w:rsid w:val="72106842"/>
    <w:rsid w:val="72233868"/>
    <w:rsid w:val="724E022D"/>
    <w:rsid w:val="727BDBB6"/>
    <w:rsid w:val="72CF0DAC"/>
    <w:rsid w:val="72F2C217"/>
    <w:rsid w:val="72FB5973"/>
    <w:rsid w:val="73AFD98D"/>
    <w:rsid w:val="73BFDBC7"/>
    <w:rsid w:val="73DF29A0"/>
    <w:rsid w:val="73E99824"/>
    <w:rsid w:val="73EFF69A"/>
    <w:rsid w:val="73FF1F09"/>
    <w:rsid w:val="73FFA5BE"/>
    <w:rsid w:val="744EA2DA"/>
    <w:rsid w:val="74EDFC71"/>
    <w:rsid w:val="75B2D8F4"/>
    <w:rsid w:val="75CB71F4"/>
    <w:rsid w:val="75CF66C2"/>
    <w:rsid w:val="75DFCDD0"/>
    <w:rsid w:val="75E7EC3E"/>
    <w:rsid w:val="75ED4C81"/>
    <w:rsid w:val="76B7A01E"/>
    <w:rsid w:val="76D73466"/>
    <w:rsid w:val="76ED63DC"/>
    <w:rsid w:val="76EDFEA8"/>
    <w:rsid w:val="76EFA86B"/>
    <w:rsid w:val="76F028C1"/>
    <w:rsid w:val="76FBE0A6"/>
    <w:rsid w:val="76FEB519"/>
    <w:rsid w:val="77120D81"/>
    <w:rsid w:val="773B6E94"/>
    <w:rsid w:val="773F416B"/>
    <w:rsid w:val="773FC2B4"/>
    <w:rsid w:val="77541D68"/>
    <w:rsid w:val="7767697B"/>
    <w:rsid w:val="777E1C13"/>
    <w:rsid w:val="777E241C"/>
    <w:rsid w:val="777F88BD"/>
    <w:rsid w:val="777FE2C2"/>
    <w:rsid w:val="77BEFEDF"/>
    <w:rsid w:val="77BF0C56"/>
    <w:rsid w:val="77BF2C6C"/>
    <w:rsid w:val="77BF4F15"/>
    <w:rsid w:val="77DA9E1C"/>
    <w:rsid w:val="77EBC94C"/>
    <w:rsid w:val="77F3F99A"/>
    <w:rsid w:val="77F7B6A1"/>
    <w:rsid w:val="77FA949D"/>
    <w:rsid w:val="77FC1973"/>
    <w:rsid w:val="77FF2E5D"/>
    <w:rsid w:val="77FF73FE"/>
    <w:rsid w:val="77FF8DE4"/>
    <w:rsid w:val="77FF9090"/>
    <w:rsid w:val="77FF96DC"/>
    <w:rsid w:val="77FF98D9"/>
    <w:rsid w:val="78882EF0"/>
    <w:rsid w:val="795A4F5B"/>
    <w:rsid w:val="79FBA0F9"/>
    <w:rsid w:val="79FF7B0D"/>
    <w:rsid w:val="7A71A7FD"/>
    <w:rsid w:val="7A97FF58"/>
    <w:rsid w:val="7ADFDAB2"/>
    <w:rsid w:val="7AF30C9D"/>
    <w:rsid w:val="7AF70606"/>
    <w:rsid w:val="7AFE0FCA"/>
    <w:rsid w:val="7AFF8C9A"/>
    <w:rsid w:val="7B29EA2D"/>
    <w:rsid w:val="7B4307D3"/>
    <w:rsid w:val="7B4F838D"/>
    <w:rsid w:val="7B5D00BF"/>
    <w:rsid w:val="7B6BB10C"/>
    <w:rsid w:val="7B6F5563"/>
    <w:rsid w:val="7B77F2FD"/>
    <w:rsid w:val="7B77F8E5"/>
    <w:rsid w:val="7B7E6EAB"/>
    <w:rsid w:val="7B7ED2FE"/>
    <w:rsid w:val="7B9A2410"/>
    <w:rsid w:val="7B9FA5D8"/>
    <w:rsid w:val="7BA5A060"/>
    <w:rsid w:val="7BC7C2B2"/>
    <w:rsid w:val="7BCDC113"/>
    <w:rsid w:val="7BD32125"/>
    <w:rsid w:val="7BDB155B"/>
    <w:rsid w:val="7BEFBC60"/>
    <w:rsid w:val="7BF5878C"/>
    <w:rsid w:val="7BF5E51E"/>
    <w:rsid w:val="7BFEB61B"/>
    <w:rsid w:val="7C292ABF"/>
    <w:rsid w:val="7C3DCC41"/>
    <w:rsid w:val="7C6E6434"/>
    <w:rsid w:val="7CE37221"/>
    <w:rsid w:val="7CE7B5D6"/>
    <w:rsid w:val="7CFA7567"/>
    <w:rsid w:val="7CFAD471"/>
    <w:rsid w:val="7CFC9292"/>
    <w:rsid w:val="7CFCE577"/>
    <w:rsid w:val="7CFE1B60"/>
    <w:rsid w:val="7D6E0348"/>
    <w:rsid w:val="7D732DDD"/>
    <w:rsid w:val="7D7E1CC4"/>
    <w:rsid w:val="7D7F35B0"/>
    <w:rsid w:val="7D9ED1D2"/>
    <w:rsid w:val="7DAF073E"/>
    <w:rsid w:val="7DB7C70A"/>
    <w:rsid w:val="7DBA4278"/>
    <w:rsid w:val="7DBF1E34"/>
    <w:rsid w:val="7DC4EEA5"/>
    <w:rsid w:val="7DDB197B"/>
    <w:rsid w:val="7DDF2B9D"/>
    <w:rsid w:val="7DDF54C6"/>
    <w:rsid w:val="7DE95B78"/>
    <w:rsid w:val="7DEDD050"/>
    <w:rsid w:val="7DEEADF7"/>
    <w:rsid w:val="7DEF083D"/>
    <w:rsid w:val="7DEF1F47"/>
    <w:rsid w:val="7DEF9017"/>
    <w:rsid w:val="7DEFC657"/>
    <w:rsid w:val="7DFDDCC0"/>
    <w:rsid w:val="7E2B1B1F"/>
    <w:rsid w:val="7E4435A0"/>
    <w:rsid w:val="7E5DE78D"/>
    <w:rsid w:val="7E5FC005"/>
    <w:rsid w:val="7E76C969"/>
    <w:rsid w:val="7E777AD7"/>
    <w:rsid w:val="7E7AE341"/>
    <w:rsid w:val="7E7FE21D"/>
    <w:rsid w:val="7EB0BDED"/>
    <w:rsid w:val="7EB2B236"/>
    <w:rsid w:val="7EBC11EA"/>
    <w:rsid w:val="7ED9541D"/>
    <w:rsid w:val="7EDF7E6F"/>
    <w:rsid w:val="7EE32EEC"/>
    <w:rsid w:val="7EE71208"/>
    <w:rsid w:val="7EE9456A"/>
    <w:rsid w:val="7EEEA49A"/>
    <w:rsid w:val="7EEEBE07"/>
    <w:rsid w:val="7EF99FF1"/>
    <w:rsid w:val="7EFA5A26"/>
    <w:rsid w:val="7EFC4119"/>
    <w:rsid w:val="7EFC857F"/>
    <w:rsid w:val="7EFF019F"/>
    <w:rsid w:val="7EFF0227"/>
    <w:rsid w:val="7EFF50EB"/>
    <w:rsid w:val="7EFFE722"/>
    <w:rsid w:val="7F37422C"/>
    <w:rsid w:val="7F37B6C6"/>
    <w:rsid w:val="7F52B9EE"/>
    <w:rsid w:val="7F570B34"/>
    <w:rsid w:val="7F5E413C"/>
    <w:rsid w:val="7F6F436D"/>
    <w:rsid w:val="7F795B47"/>
    <w:rsid w:val="7F7EFBC9"/>
    <w:rsid w:val="7F7F4C63"/>
    <w:rsid w:val="7F9450B2"/>
    <w:rsid w:val="7F9B6B55"/>
    <w:rsid w:val="7F9E9DD4"/>
    <w:rsid w:val="7FA38CEE"/>
    <w:rsid w:val="7FA932EE"/>
    <w:rsid w:val="7FAD9DD0"/>
    <w:rsid w:val="7FAF17A5"/>
    <w:rsid w:val="7FAF8AFF"/>
    <w:rsid w:val="7FAF9CE8"/>
    <w:rsid w:val="7FB2CBDF"/>
    <w:rsid w:val="7FB96727"/>
    <w:rsid w:val="7FBC335E"/>
    <w:rsid w:val="7FBE3A7A"/>
    <w:rsid w:val="7FBEDAF6"/>
    <w:rsid w:val="7FBF790E"/>
    <w:rsid w:val="7FBF9D90"/>
    <w:rsid w:val="7FBFA282"/>
    <w:rsid w:val="7FBFEB69"/>
    <w:rsid w:val="7FC77539"/>
    <w:rsid w:val="7FD713CC"/>
    <w:rsid w:val="7FDB945F"/>
    <w:rsid w:val="7FDCADA8"/>
    <w:rsid w:val="7FDE127E"/>
    <w:rsid w:val="7FDE2061"/>
    <w:rsid w:val="7FDE354E"/>
    <w:rsid w:val="7FDF3226"/>
    <w:rsid w:val="7FDF9342"/>
    <w:rsid w:val="7FDFFA1E"/>
    <w:rsid w:val="7FEB85CC"/>
    <w:rsid w:val="7FEF1DEB"/>
    <w:rsid w:val="7FEFBBEE"/>
    <w:rsid w:val="7FF453DC"/>
    <w:rsid w:val="7FF72FF4"/>
    <w:rsid w:val="7FFB0636"/>
    <w:rsid w:val="7FFB51BE"/>
    <w:rsid w:val="7FFBA9B5"/>
    <w:rsid w:val="7FFCB6FC"/>
    <w:rsid w:val="7FFF0A39"/>
    <w:rsid w:val="7FFFA720"/>
    <w:rsid w:val="7FFFA8F0"/>
    <w:rsid w:val="7FFFB070"/>
    <w:rsid w:val="7FFFB9C6"/>
    <w:rsid w:val="857DCA8C"/>
    <w:rsid w:val="873D52FC"/>
    <w:rsid w:val="8B9F340F"/>
    <w:rsid w:val="8F7B6424"/>
    <w:rsid w:val="8FBF9EA4"/>
    <w:rsid w:val="93BB7998"/>
    <w:rsid w:val="93FE2EBD"/>
    <w:rsid w:val="96DB80FD"/>
    <w:rsid w:val="96DD27EB"/>
    <w:rsid w:val="97D863FB"/>
    <w:rsid w:val="99D77A41"/>
    <w:rsid w:val="9AFAD547"/>
    <w:rsid w:val="9B9FF190"/>
    <w:rsid w:val="9BE7DD3E"/>
    <w:rsid w:val="9BFB5CA2"/>
    <w:rsid w:val="9CF9F38E"/>
    <w:rsid w:val="9CFF08A1"/>
    <w:rsid w:val="9D77CC9D"/>
    <w:rsid w:val="9DBFE353"/>
    <w:rsid w:val="9DCD90A8"/>
    <w:rsid w:val="9EE22732"/>
    <w:rsid w:val="9EEB06CE"/>
    <w:rsid w:val="9F1BCEB1"/>
    <w:rsid w:val="9F5F0D2C"/>
    <w:rsid w:val="9FBF7360"/>
    <w:rsid w:val="9FD3D22D"/>
    <w:rsid w:val="9FD50814"/>
    <w:rsid w:val="9FDBDF9F"/>
    <w:rsid w:val="9FDF2FDD"/>
    <w:rsid w:val="9FE7557B"/>
    <w:rsid w:val="9FFF3D56"/>
    <w:rsid w:val="9FFF4D92"/>
    <w:rsid w:val="A5F8D4B3"/>
    <w:rsid w:val="A77A9539"/>
    <w:rsid w:val="A7F73EF1"/>
    <w:rsid w:val="A99B7769"/>
    <w:rsid w:val="AAF79564"/>
    <w:rsid w:val="AB9E912C"/>
    <w:rsid w:val="ABAF73A5"/>
    <w:rsid w:val="ABF7CADC"/>
    <w:rsid w:val="ADCFA514"/>
    <w:rsid w:val="AE7F4CDB"/>
    <w:rsid w:val="AF772FC8"/>
    <w:rsid w:val="AFDF1FC1"/>
    <w:rsid w:val="AFF7527D"/>
    <w:rsid w:val="AFFDEB6B"/>
    <w:rsid w:val="AFFFA1A6"/>
    <w:rsid w:val="B0FFBD90"/>
    <w:rsid w:val="B37FD117"/>
    <w:rsid w:val="B3DCEFF3"/>
    <w:rsid w:val="B3F763FD"/>
    <w:rsid w:val="B675F493"/>
    <w:rsid w:val="B6DD05AB"/>
    <w:rsid w:val="B777AE16"/>
    <w:rsid w:val="B77DCC5C"/>
    <w:rsid w:val="B7DF047F"/>
    <w:rsid w:val="B7DF5616"/>
    <w:rsid w:val="B7DF7816"/>
    <w:rsid w:val="B991A51D"/>
    <w:rsid w:val="B9FF6ADC"/>
    <w:rsid w:val="BAE73FAC"/>
    <w:rsid w:val="BAF7B720"/>
    <w:rsid w:val="BBAFBAB2"/>
    <w:rsid w:val="BBE9D1DD"/>
    <w:rsid w:val="BBFABC71"/>
    <w:rsid w:val="BC5D25E6"/>
    <w:rsid w:val="BC7FDC1C"/>
    <w:rsid w:val="BCB73D11"/>
    <w:rsid w:val="BD1F5AE9"/>
    <w:rsid w:val="BD6F761E"/>
    <w:rsid w:val="BD772A0D"/>
    <w:rsid w:val="BDBE6A84"/>
    <w:rsid w:val="BDDEFA85"/>
    <w:rsid w:val="BDF4B18D"/>
    <w:rsid w:val="BEDE61D9"/>
    <w:rsid w:val="BEECC0F3"/>
    <w:rsid w:val="BEFE7628"/>
    <w:rsid w:val="BEFEC57E"/>
    <w:rsid w:val="BF038994"/>
    <w:rsid w:val="BF17D58A"/>
    <w:rsid w:val="BF6FC97F"/>
    <w:rsid w:val="BF7CF617"/>
    <w:rsid w:val="BF7E5043"/>
    <w:rsid w:val="BFB761DD"/>
    <w:rsid w:val="BFBBE062"/>
    <w:rsid w:val="BFBF242B"/>
    <w:rsid w:val="BFBFA5EB"/>
    <w:rsid w:val="BFBFE6FC"/>
    <w:rsid w:val="BFDB645D"/>
    <w:rsid w:val="BFDE6F09"/>
    <w:rsid w:val="BFDFAA72"/>
    <w:rsid w:val="BFF26A67"/>
    <w:rsid w:val="BFF7C717"/>
    <w:rsid w:val="BFFE203E"/>
    <w:rsid w:val="BFFFFA17"/>
    <w:rsid w:val="C3D74F44"/>
    <w:rsid w:val="C5AC0AC5"/>
    <w:rsid w:val="C6473A2D"/>
    <w:rsid w:val="C7FB8E09"/>
    <w:rsid w:val="CBFE3D58"/>
    <w:rsid w:val="CBFEFB0C"/>
    <w:rsid w:val="CDBDD244"/>
    <w:rsid w:val="CDF16012"/>
    <w:rsid w:val="CDFFB12E"/>
    <w:rsid w:val="CECBE90B"/>
    <w:rsid w:val="CEEB128B"/>
    <w:rsid w:val="CF3FC383"/>
    <w:rsid w:val="CF78EB40"/>
    <w:rsid w:val="CF7C7D31"/>
    <w:rsid w:val="CF7FDD0E"/>
    <w:rsid w:val="CFAF0E91"/>
    <w:rsid w:val="CFF810C0"/>
    <w:rsid w:val="D1EAE632"/>
    <w:rsid w:val="D2F3BC68"/>
    <w:rsid w:val="D3EF6FDD"/>
    <w:rsid w:val="D5FA850E"/>
    <w:rsid w:val="D769096E"/>
    <w:rsid w:val="D77FEC1C"/>
    <w:rsid w:val="D7F636CA"/>
    <w:rsid w:val="D7F7DD0A"/>
    <w:rsid w:val="D7FF20A2"/>
    <w:rsid w:val="D8722C93"/>
    <w:rsid w:val="D8B34ED6"/>
    <w:rsid w:val="D8DE3529"/>
    <w:rsid w:val="D9FFB7BB"/>
    <w:rsid w:val="DA595172"/>
    <w:rsid w:val="DA76C017"/>
    <w:rsid w:val="DACCC658"/>
    <w:rsid w:val="DAEE91DF"/>
    <w:rsid w:val="DB3B70C9"/>
    <w:rsid w:val="DB67C22D"/>
    <w:rsid w:val="DB6DAE7F"/>
    <w:rsid w:val="DB7B533E"/>
    <w:rsid w:val="DBBDAD08"/>
    <w:rsid w:val="DBFEAAE2"/>
    <w:rsid w:val="DBFF2ED8"/>
    <w:rsid w:val="DD5A6160"/>
    <w:rsid w:val="DD7F6851"/>
    <w:rsid w:val="DD7FB44D"/>
    <w:rsid w:val="DDDFBEB5"/>
    <w:rsid w:val="DDF160E4"/>
    <w:rsid w:val="DDFF6C41"/>
    <w:rsid w:val="DE6E93A2"/>
    <w:rsid w:val="DE7927F5"/>
    <w:rsid w:val="DEBB921B"/>
    <w:rsid w:val="DEDAB6FD"/>
    <w:rsid w:val="DEECBB00"/>
    <w:rsid w:val="DEF35BCA"/>
    <w:rsid w:val="DEFD52A1"/>
    <w:rsid w:val="DF340EEB"/>
    <w:rsid w:val="DF5FE7E6"/>
    <w:rsid w:val="DF7BA1A6"/>
    <w:rsid w:val="DF7FCA58"/>
    <w:rsid w:val="DF7FCB2E"/>
    <w:rsid w:val="DFBD1562"/>
    <w:rsid w:val="DFEEABDF"/>
    <w:rsid w:val="DFF4F857"/>
    <w:rsid w:val="DFF5AD9A"/>
    <w:rsid w:val="DFFF1814"/>
    <w:rsid w:val="DFFF8F42"/>
    <w:rsid w:val="DFFFBA83"/>
    <w:rsid w:val="DFFFBDC4"/>
    <w:rsid w:val="DFFFC6EA"/>
    <w:rsid w:val="E31F42E7"/>
    <w:rsid w:val="E387722D"/>
    <w:rsid w:val="E3BFA3CA"/>
    <w:rsid w:val="E4FEF684"/>
    <w:rsid w:val="E59C0E56"/>
    <w:rsid w:val="E5F7B225"/>
    <w:rsid w:val="E74B0F27"/>
    <w:rsid w:val="E75E182F"/>
    <w:rsid w:val="E79ACF5B"/>
    <w:rsid w:val="E7AA5B5A"/>
    <w:rsid w:val="E7BE4A86"/>
    <w:rsid w:val="E7BF0E98"/>
    <w:rsid w:val="E9BC6C72"/>
    <w:rsid w:val="E9C71B84"/>
    <w:rsid w:val="EAEEC950"/>
    <w:rsid w:val="EB7B27EF"/>
    <w:rsid w:val="EBCAF011"/>
    <w:rsid w:val="EBCF2E2D"/>
    <w:rsid w:val="EBF7F591"/>
    <w:rsid w:val="EBF7F639"/>
    <w:rsid w:val="EC3F55C1"/>
    <w:rsid w:val="ECADA1C7"/>
    <w:rsid w:val="ECBF9672"/>
    <w:rsid w:val="ECCFD51D"/>
    <w:rsid w:val="ECDF8682"/>
    <w:rsid w:val="ED9F538C"/>
    <w:rsid w:val="EDEBF818"/>
    <w:rsid w:val="EDEC4F9E"/>
    <w:rsid w:val="EDFE0E96"/>
    <w:rsid w:val="EDFF3F2D"/>
    <w:rsid w:val="EE5F0BD7"/>
    <w:rsid w:val="EE73EBDF"/>
    <w:rsid w:val="EE7759B6"/>
    <w:rsid w:val="EE7D49C7"/>
    <w:rsid w:val="EE7D761B"/>
    <w:rsid w:val="EEBB6EB1"/>
    <w:rsid w:val="EEBD69DE"/>
    <w:rsid w:val="EEBF6D64"/>
    <w:rsid w:val="EEC79739"/>
    <w:rsid w:val="EEEA9F01"/>
    <w:rsid w:val="EEED24C7"/>
    <w:rsid w:val="EEEEBEA1"/>
    <w:rsid w:val="EEFBC13C"/>
    <w:rsid w:val="EF3BDF7C"/>
    <w:rsid w:val="EF5F87D5"/>
    <w:rsid w:val="EF5FFFC3"/>
    <w:rsid w:val="EF7BC6B7"/>
    <w:rsid w:val="EF7F047C"/>
    <w:rsid w:val="EF99C2BB"/>
    <w:rsid w:val="EFD5C645"/>
    <w:rsid w:val="EFD7DBEB"/>
    <w:rsid w:val="EFDC3271"/>
    <w:rsid w:val="EFECB234"/>
    <w:rsid w:val="EFEEE800"/>
    <w:rsid w:val="EFEF2AA3"/>
    <w:rsid w:val="EFF25FB6"/>
    <w:rsid w:val="EFF5ED34"/>
    <w:rsid w:val="EFF7624A"/>
    <w:rsid w:val="EFFB0F67"/>
    <w:rsid w:val="EFFBADC9"/>
    <w:rsid w:val="EFFD087D"/>
    <w:rsid w:val="EFFFBB1F"/>
    <w:rsid w:val="EFFFD1B5"/>
    <w:rsid w:val="F0E97D8B"/>
    <w:rsid w:val="F1FEB2F0"/>
    <w:rsid w:val="F27DA92F"/>
    <w:rsid w:val="F2DD75B2"/>
    <w:rsid w:val="F36A2BA1"/>
    <w:rsid w:val="F3BD0F6A"/>
    <w:rsid w:val="F3BF09FF"/>
    <w:rsid w:val="F3DBD4B1"/>
    <w:rsid w:val="F3F379BA"/>
    <w:rsid w:val="F3F96835"/>
    <w:rsid w:val="F3FD34E8"/>
    <w:rsid w:val="F3FF7C7F"/>
    <w:rsid w:val="F4FF0120"/>
    <w:rsid w:val="F57E11BD"/>
    <w:rsid w:val="F57F8151"/>
    <w:rsid w:val="F5F23960"/>
    <w:rsid w:val="F5F3F2AD"/>
    <w:rsid w:val="F5FF76FA"/>
    <w:rsid w:val="F5FF870F"/>
    <w:rsid w:val="F67B0000"/>
    <w:rsid w:val="F67F2D6B"/>
    <w:rsid w:val="F6BA85D3"/>
    <w:rsid w:val="F6BF3B09"/>
    <w:rsid w:val="F6CBEFDC"/>
    <w:rsid w:val="F6CED197"/>
    <w:rsid w:val="F6DF63A2"/>
    <w:rsid w:val="F6F7095B"/>
    <w:rsid w:val="F6FC9CB3"/>
    <w:rsid w:val="F727F50B"/>
    <w:rsid w:val="F73D64AE"/>
    <w:rsid w:val="F747E823"/>
    <w:rsid w:val="F76FEEA4"/>
    <w:rsid w:val="F77FDFAB"/>
    <w:rsid w:val="F77FF3DF"/>
    <w:rsid w:val="F7992129"/>
    <w:rsid w:val="F79D24FB"/>
    <w:rsid w:val="F7AB552A"/>
    <w:rsid w:val="F7AEE001"/>
    <w:rsid w:val="F7BF295F"/>
    <w:rsid w:val="F7DD942A"/>
    <w:rsid w:val="F7DDEFF1"/>
    <w:rsid w:val="F7EEBA21"/>
    <w:rsid w:val="F7EEE7EC"/>
    <w:rsid w:val="F7EF3B05"/>
    <w:rsid w:val="F7F5F4D9"/>
    <w:rsid w:val="F7FD5B87"/>
    <w:rsid w:val="F7FFE84D"/>
    <w:rsid w:val="F7FFF532"/>
    <w:rsid w:val="F8EED86C"/>
    <w:rsid w:val="F8FF78C3"/>
    <w:rsid w:val="F9BF925E"/>
    <w:rsid w:val="F9CF2780"/>
    <w:rsid w:val="F9D26BCA"/>
    <w:rsid w:val="F9D544BC"/>
    <w:rsid w:val="F9EFE4D7"/>
    <w:rsid w:val="F9F7FDF2"/>
    <w:rsid w:val="FA6F6A15"/>
    <w:rsid w:val="FABDC9E4"/>
    <w:rsid w:val="FADD9CE7"/>
    <w:rsid w:val="FADF569D"/>
    <w:rsid w:val="FAE7F320"/>
    <w:rsid w:val="FAF0DFC6"/>
    <w:rsid w:val="FAFDF315"/>
    <w:rsid w:val="FB2AB3E5"/>
    <w:rsid w:val="FB460A34"/>
    <w:rsid w:val="FB4D387A"/>
    <w:rsid w:val="FB5858FB"/>
    <w:rsid w:val="FB5A53A2"/>
    <w:rsid w:val="FBA990D1"/>
    <w:rsid w:val="FBAFF34D"/>
    <w:rsid w:val="FBB95C7F"/>
    <w:rsid w:val="FBBBB094"/>
    <w:rsid w:val="FBBBFDBF"/>
    <w:rsid w:val="FBDB9061"/>
    <w:rsid w:val="FBDF1618"/>
    <w:rsid w:val="FBED9F05"/>
    <w:rsid w:val="FBEF3174"/>
    <w:rsid w:val="FBF38B18"/>
    <w:rsid w:val="FBF3CAA7"/>
    <w:rsid w:val="FBF7A6ED"/>
    <w:rsid w:val="FBF915E9"/>
    <w:rsid w:val="FBFB4CA3"/>
    <w:rsid w:val="FBFB9188"/>
    <w:rsid w:val="FBFD5512"/>
    <w:rsid w:val="FBFE814D"/>
    <w:rsid w:val="FBFEB732"/>
    <w:rsid w:val="FBFF40F4"/>
    <w:rsid w:val="FBFF6A84"/>
    <w:rsid w:val="FBFF9006"/>
    <w:rsid w:val="FBFFA369"/>
    <w:rsid w:val="FBFFA96C"/>
    <w:rsid w:val="FC7EF94E"/>
    <w:rsid w:val="FC9CDC85"/>
    <w:rsid w:val="FCDEE495"/>
    <w:rsid w:val="FCE7D0C1"/>
    <w:rsid w:val="FCEB6C25"/>
    <w:rsid w:val="FCEE210B"/>
    <w:rsid w:val="FCF4FD18"/>
    <w:rsid w:val="FCF73229"/>
    <w:rsid w:val="FCF78121"/>
    <w:rsid w:val="FCF7DDD9"/>
    <w:rsid w:val="FCFC1180"/>
    <w:rsid w:val="FD3FA05F"/>
    <w:rsid w:val="FD56AC55"/>
    <w:rsid w:val="FD732306"/>
    <w:rsid w:val="FD7385D8"/>
    <w:rsid w:val="FD7ADA0E"/>
    <w:rsid w:val="FD7BA142"/>
    <w:rsid w:val="FDBE8936"/>
    <w:rsid w:val="FDBF4BBF"/>
    <w:rsid w:val="FDCB7DCA"/>
    <w:rsid w:val="FDD570B8"/>
    <w:rsid w:val="FDDAED36"/>
    <w:rsid w:val="FDDFAAE7"/>
    <w:rsid w:val="FDE6B727"/>
    <w:rsid w:val="FDEF6C90"/>
    <w:rsid w:val="FDF39664"/>
    <w:rsid w:val="FDF74D82"/>
    <w:rsid w:val="FDFCE639"/>
    <w:rsid w:val="FDFFA415"/>
    <w:rsid w:val="FDFFE94D"/>
    <w:rsid w:val="FE03C3A5"/>
    <w:rsid w:val="FE370956"/>
    <w:rsid w:val="FE3F3BD4"/>
    <w:rsid w:val="FE3F4037"/>
    <w:rsid w:val="FE4DB469"/>
    <w:rsid w:val="FE5EC233"/>
    <w:rsid w:val="FE5F682D"/>
    <w:rsid w:val="FE6CC0E1"/>
    <w:rsid w:val="FE6EC3F2"/>
    <w:rsid w:val="FE7AC5DE"/>
    <w:rsid w:val="FE92E028"/>
    <w:rsid w:val="FE9A8C7E"/>
    <w:rsid w:val="FE9D281B"/>
    <w:rsid w:val="FEBF481A"/>
    <w:rsid w:val="FEBFEFF2"/>
    <w:rsid w:val="FEBFF8EF"/>
    <w:rsid w:val="FECF3F38"/>
    <w:rsid w:val="FEDE973F"/>
    <w:rsid w:val="FEEB0125"/>
    <w:rsid w:val="FEFB2736"/>
    <w:rsid w:val="FEFB6803"/>
    <w:rsid w:val="FEFDC52C"/>
    <w:rsid w:val="FEFE1208"/>
    <w:rsid w:val="FEFFCD5D"/>
    <w:rsid w:val="FEFFEF56"/>
    <w:rsid w:val="FEFFF7C5"/>
    <w:rsid w:val="FF02AED4"/>
    <w:rsid w:val="FF130B56"/>
    <w:rsid w:val="FF1DC13E"/>
    <w:rsid w:val="FF336FC0"/>
    <w:rsid w:val="FF366BFC"/>
    <w:rsid w:val="FF46559B"/>
    <w:rsid w:val="FF4B5C8F"/>
    <w:rsid w:val="FF4F2A57"/>
    <w:rsid w:val="FF5F1DBA"/>
    <w:rsid w:val="FF6B18CD"/>
    <w:rsid w:val="FF7773DE"/>
    <w:rsid w:val="FF7BEEFE"/>
    <w:rsid w:val="FF7EC806"/>
    <w:rsid w:val="FF7F554F"/>
    <w:rsid w:val="FF7FD1F0"/>
    <w:rsid w:val="FF8F6DB5"/>
    <w:rsid w:val="FFAD8156"/>
    <w:rsid w:val="FFB327D6"/>
    <w:rsid w:val="FFBB1725"/>
    <w:rsid w:val="FFBB5C56"/>
    <w:rsid w:val="FFBB6CBD"/>
    <w:rsid w:val="FFBD4D1A"/>
    <w:rsid w:val="FFBDF24B"/>
    <w:rsid w:val="FFBF1974"/>
    <w:rsid w:val="FFBF5C9F"/>
    <w:rsid w:val="FFCDDD54"/>
    <w:rsid w:val="FFD39919"/>
    <w:rsid w:val="FFD7F949"/>
    <w:rsid w:val="FFDD1CDC"/>
    <w:rsid w:val="FFDD6461"/>
    <w:rsid w:val="FFDEA5E2"/>
    <w:rsid w:val="FFDF132E"/>
    <w:rsid w:val="FFDF521D"/>
    <w:rsid w:val="FFE575D1"/>
    <w:rsid w:val="FFE7327E"/>
    <w:rsid w:val="FFEB855A"/>
    <w:rsid w:val="FFEDE2B3"/>
    <w:rsid w:val="FFEE3999"/>
    <w:rsid w:val="FFEF3A33"/>
    <w:rsid w:val="FFEF9921"/>
    <w:rsid w:val="FFEFC0E2"/>
    <w:rsid w:val="FFF13DE9"/>
    <w:rsid w:val="FFF6FDFC"/>
    <w:rsid w:val="FFF70967"/>
    <w:rsid w:val="FFF7CCE5"/>
    <w:rsid w:val="FFF8CC0C"/>
    <w:rsid w:val="FFFA5FAF"/>
    <w:rsid w:val="FFFC7B80"/>
    <w:rsid w:val="FFFCA5FD"/>
    <w:rsid w:val="FFFD808F"/>
    <w:rsid w:val="FFFE301F"/>
    <w:rsid w:val="FFFE4FEB"/>
    <w:rsid w:val="FFFF6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2"/>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73"/>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74"/>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75"/>
    <w:qFormat/>
    <w:uiPriority w:val="0"/>
    <w:pPr>
      <w:keepNext/>
      <w:keepLines/>
      <w:spacing w:before="280" w:after="290" w:line="376" w:lineRule="auto"/>
      <w:outlineLvl w:val="4"/>
    </w:pPr>
    <w:rPr>
      <w:b/>
      <w:sz w:val="28"/>
    </w:rPr>
  </w:style>
  <w:style w:type="paragraph" w:styleId="8">
    <w:name w:val="heading 6"/>
    <w:basedOn w:val="1"/>
    <w:next w:val="7"/>
    <w:link w:val="76"/>
    <w:qFormat/>
    <w:uiPriority w:val="0"/>
    <w:pPr>
      <w:keepNext/>
      <w:keepLines/>
      <w:spacing w:before="240" w:after="64" w:line="320" w:lineRule="auto"/>
      <w:outlineLvl w:val="5"/>
    </w:pPr>
    <w:rPr>
      <w:rFonts w:ascii="Arial" w:hAnsi="Arial" w:eastAsia="黑体"/>
      <w:b/>
      <w:sz w:val="24"/>
    </w:rPr>
  </w:style>
  <w:style w:type="paragraph" w:styleId="9">
    <w:name w:val="heading 7"/>
    <w:basedOn w:val="1"/>
    <w:next w:val="7"/>
    <w:link w:val="77"/>
    <w:qFormat/>
    <w:uiPriority w:val="0"/>
    <w:pPr>
      <w:keepNext/>
      <w:keepLines/>
      <w:spacing w:before="240" w:after="64" w:line="320" w:lineRule="auto"/>
      <w:outlineLvl w:val="6"/>
    </w:pPr>
    <w:rPr>
      <w:b/>
      <w:sz w:val="24"/>
    </w:rPr>
  </w:style>
  <w:style w:type="paragraph" w:styleId="10">
    <w:name w:val="heading 8"/>
    <w:basedOn w:val="1"/>
    <w:next w:val="7"/>
    <w:link w:val="78"/>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7"/>
    <w:link w:val="79"/>
    <w:qFormat/>
    <w:uiPriority w:val="0"/>
    <w:pPr>
      <w:keepNext/>
      <w:keepLines/>
      <w:spacing w:before="240" w:after="64" w:line="320" w:lineRule="auto"/>
      <w:outlineLvl w:val="8"/>
    </w:pPr>
    <w:rPr>
      <w:rFonts w:ascii="Arial" w:hAnsi="Arial" w:eastAsia="黑体"/>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80"/>
    <w:semiHidden/>
    <w:qFormat/>
    <w:uiPriority w:val="0"/>
    <w:pPr>
      <w:shd w:val="clear" w:color="auto" w:fill="000080"/>
    </w:pPr>
  </w:style>
  <w:style w:type="paragraph" w:styleId="17">
    <w:name w:val="toa heading"/>
    <w:basedOn w:val="1"/>
    <w:next w:val="1"/>
    <w:semiHidden/>
    <w:qFormat/>
    <w:uiPriority w:val="0"/>
    <w:pPr>
      <w:adjustRightInd w:val="0"/>
      <w:spacing w:before="120" w:line="312" w:lineRule="atLeast"/>
    </w:pPr>
    <w:rPr>
      <w:rFonts w:ascii="Arial" w:hAnsi="Arial"/>
      <w:b/>
      <w:kern w:val="0"/>
      <w:sz w:val="24"/>
    </w:rPr>
  </w:style>
  <w:style w:type="paragraph" w:styleId="18">
    <w:name w:val="annotation text"/>
    <w:basedOn w:val="1"/>
    <w:link w:val="81"/>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2"/>
    <w:qFormat/>
    <w:uiPriority w:val="0"/>
    <w:rPr>
      <w:sz w:val="28"/>
    </w:rPr>
  </w:style>
  <w:style w:type="paragraph" w:styleId="20">
    <w:name w:val="Body Text 3"/>
    <w:basedOn w:val="1"/>
    <w:link w:val="83"/>
    <w:qFormat/>
    <w:uiPriority w:val="0"/>
    <w:pPr>
      <w:spacing w:line="500" w:lineRule="exact"/>
    </w:pPr>
    <w:rPr>
      <w:b/>
      <w:bCs/>
      <w:sz w:val="24"/>
    </w:rPr>
  </w:style>
  <w:style w:type="paragraph" w:styleId="21">
    <w:name w:val="Body Text"/>
    <w:basedOn w:val="1"/>
    <w:next w:val="1"/>
    <w:link w:val="70"/>
    <w:qFormat/>
    <w:uiPriority w:val="0"/>
    <w:pPr>
      <w:spacing w:line="380" w:lineRule="exact"/>
    </w:pPr>
    <w:rPr>
      <w:sz w:val="24"/>
    </w:rPr>
  </w:style>
  <w:style w:type="paragraph" w:styleId="22">
    <w:name w:val="Body Text Indent"/>
    <w:basedOn w:val="1"/>
    <w:link w:val="84"/>
    <w:qFormat/>
    <w:uiPriority w:val="0"/>
    <w:pPr>
      <w:ind w:firstLine="830" w:firstLineChars="352"/>
    </w:pPr>
    <w:rPr>
      <w:rFonts w:ascii="仿宋_GB2312" w:eastAsia="仿宋_GB2312"/>
      <w:sz w:val="32"/>
      <w:szCs w:val="20"/>
    </w:rPr>
  </w:style>
  <w:style w:type="paragraph" w:styleId="23">
    <w:name w:val="List Number 3"/>
    <w:basedOn w:val="1"/>
    <w:qFormat/>
    <w:uiPriority w:val="0"/>
    <w:pPr>
      <w:tabs>
        <w:tab w:val="left" w:pos="360"/>
      </w:tabs>
      <w:ind w:left="360" w:hanging="360"/>
    </w:pPr>
  </w:style>
  <w:style w:type="paragraph" w:styleId="24">
    <w:name w:val="List 2"/>
    <w:basedOn w:val="1"/>
    <w:qFormat/>
    <w:uiPriority w:val="0"/>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HTML Address"/>
    <w:basedOn w:val="1"/>
    <w:link w:val="85"/>
    <w:qFormat/>
    <w:uiPriority w:val="0"/>
    <w:rPr>
      <w:rFonts w:ascii="宋体"/>
      <w:i/>
      <w:iCs/>
      <w:kern w:val="21"/>
      <w:szCs w:val="21"/>
    </w:rPr>
  </w:style>
  <w:style w:type="paragraph" w:styleId="2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link w:val="86"/>
    <w:qFormat/>
    <w:uiPriority w:val="0"/>
    <w:pPr>
      <w:ind w:left="840" w:leftChars="400"/>
    </w:pPr>
  </w:style>
  <w:style w:type="paragraph" w:styleId="29">
    <w:name w:val="Plain Text"/>
    <w:basedOn w:val="1"/>
    <w:next w:val="5"/>
    <w:link w:val="87"/>
    <w:qFormat/>
    <w:uiPriority w:val="0"/>
    <w:rPr>
      <w:rFonts w:ascii="宋体" w:hAnsi="Courier New" w:cs="Courier New"/>
      <w:szCs w:val="21"/>
    </w:rPr>
  </w:style>
  <w:style w:type="paragraph" w:styleId="3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1">
    <w:name w:val="Date"/>
    <w:basedOn w:val="1"/>
    <w:next w:val="1"/>
    <w:link w:val="88"/>
    <w:qFormat/>
    <w:uiPriority w:val="0"/>
    <w:pPr>
      <w:ind w:left="100" w:leftChars="2500"/>
    </w:pPr>
    <w:rPr>
      <w:rFonts w:ascii="宋体" w:hAnsi="Courier New" w:cs="Courier New"/>
      <w:szCs w:val="21"/>
    </w:rPr>
  </w:style>
  <w:style w:type="paragraph" w:styleId="32">
    <w:name w:val="Body Text Indent 2"/>
    <w:basedOn w:val="1"/>
    <w:link w:val="89"/>
    <w:qFormat/>
    <w:uiPriority w:val="0"/>
    <w:pPr>
      <w:ind w:firstLine="630"/>
    </w:pPr>
    <w:rPr>
      <w:sz w:val="32"/>
      <w:szCs w:val="20"/>
    </w:rPr>
  </w:style>
  <w:style w:type="paragraph" w:styleId="33">
    <w:name w:val="endnote text"/>
    <w:basedOn w:val="1"/>
    <w:link w:val="90"/>
    <w:unhideWhenUsed/>
    <w:qFormat/>
    <w:uiPriority w:val="0"/>
    <w:pPr>
      <w:snapToGrid w:val="0"/>
      <w:jc w:val="left"/>
    </w:pPr>
    <w:rPr>
      <w:rFonts w:ascii="Calibri" w:hAnsi="Calibri"/>
      <w:szCs w:val="22"/>
    </w:rPr>
  </w:style>
  <w:style w:type="paragraph" w:styleId="34">
    <w:name w:val="Balloon Text"/>
    <w:basedOn w:val="1"/>
    <w:link w:val="91"/>
    <w:semiHidden/>
    <w:qFormat/>
    <w:uiPriority w:val="0"/>
    <w:rPr>
      <w:sz w:val="18"/>
      <w:szCs w:val="18"/>
    </w:rPr>
  </w:style>
  <w:style w:type="paragraph" w:styleId="35">
    <w:name w:val="footer"/>
    <w:basedOn w:val="1"/>
    <w:link w:val="92"/>
    <w:qFormat/>
    <w:uiPriority w:val="99"/>
    <w:pPr>
      <w:tabs>
        <w:tab w:val="center" w:pos="4153"/>
        <w:tab w:val="right" w:pos="8306"/>
      </w:tabs>
      <w:snapToGrid w:val="0"/>
      <w:jc w:val="left"/>
    </w:pPr>
    <w:rPr>
      <w:sz w:val="18"/>
      <w:szCs w:val="18"/>
    </w:rPr>
  </w:style>
  <w:style w:type="paragraph" w:styleId="36">
    <w:name w:val="header"/>
    <w:basedOn w:val="1"/>
    <w:link w:val="93"/>
    <w:qFormat/>
    <w:uiPriority w:val="99"/>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39"/>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38">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9">
    <w:name w:val="List"/>
    <w:basedOn w:val="1"/>
    <w:qFormat/>
    <w:uiPriority w:val="0"/>
    <w:pPr>
      <w:ind w:left="200" w:hanging="200" w:hangingChars="200"/>
    </w:pPr>
    <w:rPr>
      <w:sz w:val="28"/>
    </w:rPr>
  </w:style>
  <w:style w:type="paragraph" w:styleId="40">
    <w:name w:val="footnote text"/>
    <w:basedOn w:val="1"/>
    <w:link w:val="94"/>
    <w:semiHidden/>
    <w:qFormat/>
    <w:uiPriority w:val="0"/>
    <w:pPr>
      <w:snapToGrid w:val="0"/>
      <w:jc w:val="left"/>
    </w:pPr>
    <w:rPr>
      <w:rFonts w:ascii="宋体"/>
      <w:kern w:val="21"/>
      <w:sz w:val="18"/>
      <w:szCs w:val="18"/>
    </w:rPr>
  </w:style>
  <w:style w:type="paragraph" w:styleId="41">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2">
    <w:name w:val="List 5"/>
    <w:basedOn w:val="1"/>
    <w:qFormat/>
    <w:uiPriority w:val="0"/>
    <w:pPr>
      <w:ind w:left="2100" w:hanging="420"/>
    </w:pPr>
    <w:rPr>
      <w:szCs w:val="20"/>
    </w:rPr>
  </w:style>
  <w:style w:type="paragraph" w:styleId="43">
    <w:name w:val="Body Text Indent 3"/>
    <w:basedOn w:val="1"/>
    <w:link w:val="95"/>
    <w:qFormat/>
    <w:uiPriority w:val="0"/>
    <w:pPr>
      <w:spacing w:after="120"/>
      <w:ind w:left="420" w:leftChars="200"/>
    </w:pPr>
    <w:rPr>
      <w:sz w:val="16"/>
      <w:szCs w:val="16"/>
    </w:rPr>
  </w:style>
  <w:style w:type="paragraph" w:styleId="44">
    <w:name w:val="toc 2"/>
    <w:basedOn w:val="1"/>
    <w:next w:val="1"/>
    <w:qFormat/>
    <w:uiPriority w:val="39"/>
    <w:pPr>
      <w:ind w:left="420" w:leftChars="200"/>
    </w:pPr>
  </w:style>
  <w:style w:type="paragraph" w:styleId="45">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6">
    <w:name w:val="Body Text 2"/>
    <w:basedOn w:val="1"/>
    <w:link w:val="96"/>
    <w:qFormat/>
    <w:uiPriority w:val="0"/>
    <w:pPr>
      <w:spacing w:after="120" w:line="480" w:lineRule="auto"/>
    </w:pPr>
  </w:style>
  <w:style w:type="paragraph" w:styleId="47">
    <w:name w:val="HTML Preformatted"/>
    <w:basedOn w:val="1"/>
    <w:link w:val="97"/>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8">
    <w:name w:val="Normal (Web)"/>
    <w:basedOn w:val="1"/>
    <w:qFormat/>
    <w:uiPriority w:val="99"/>
    <w:pPr>
      <w:widowControl/>
      <w:spacing w:before="100" w:beforeAutospacing="1" w:after="100" w:afterAutospacing="1"/>
      <w:jc w:val="left"/>
    </w:pPr>
    <w:rPr>
      <w:rFonts w:ascii="宋体" w:hAnsi="宋体"/>
      <w:kern w:val="0"/>
      <w:sz w:val="24"/>
    </w:rPr>
  </w:style>
  <w:style w:type="paragraph" w:styleId="49">
    <w:name w:val="index 1"/>
    <w:basedOn w:val="1"/>
    <w:next w:val="1"/>
    <w:semiHidden/>
    <w:qFormat/>
    <w:uiPriority w:val="0"/>
    <w:pPr>
      <w:spacing w:line="400" w:lineRule="exact"/>
      <w:ind w:firstLine="420" w:firstLineChars="200"/>
    </w:pPr>
    <w:rPr>
      <w:rFonts w:ascii="宋体" w:hAnsi="Courier New"/>
      <w:b/>
      <w:szCs w:val="20"/>
    </w:rPr>
  </w:style>
  <w:style w:type="paragraph" w:styleId="50">
    <w:name w:val="Title"/>
    <w:basedOn w:val="1"/>
    <w:link w:val="98"/>
    <w:qFormat/>
    <w:uiPriority w:val="0"/>
    <w:pPr>
      <w:spacing w:before="240" w:after="60"/>
      <w:jc w:val="center"/>
      <w:outlineLvl w:val="0"/>
    </w:pPr>
    <w:rPr>
      <w:rFonts w:ascii="Arial" w:hAnsi="Arial"/>
      <w:b/>
      <w:bCs/>
      <w:sz w:val="32"/>
      <w:szCs w:val="32"/>
    </w:rPr>
  </w:style>
  <w:style w:type="paragraph" w:styleId="51">
    <w:name w:val="annotation subject"/>
    <w:basedOn w:val="18"/>
    <w:next w:val="18"/>
    <w:link w:val="99"/>
    <w:semiHidden/>
    <w:qFormat/>
    <w:uiPriority w:val="0"/>
    <w:pPr>
      <w:adjustRightInd/>
      <w:spacing w:line="240" w:lineRule="auto"/>
      <w:textAlignment w:val="auto"/>
    </w:pPr>
    <w:rPr>
      <w:b/>
      <w:bCs/>
      <w:kern w:val="2"/>
      <w:sz w:val="21"/>
      <w:szCs w:val="24"/>
    </w:rPr>
  </w:style>
  <w:style w:type="paragraph" w:styleId="52">
    <w:name w:val="Body Text First Indent"/>
    <w:basedOn w:val="1"/>
    <w:qFormat/>
    <w:uiPriority w:val="0"/>
    <w:pPr>
      <w:ind w:firstLine="420" w:firstLineChars="100"/>
    </w:pPr>
  </w:style>
  <w:style w:type="table" w:styleId="54">
    <w:name w:val="Table Grid"/>
    <w:basedOn w:val="5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0"/>
    <w:rPr>
      <w:b/>
      <w:bCs/>
    </w:rPr>
  </w:style>
  <w:style w:type="character" w:styleId="57">
    <w:name w:val="page number"/>
    <w:qFormat/>
    <w:uiPriority w:val="0"/>
  </w:style>
  <w:style w:type="character" w:styleId="58">
    <w:name w:val="FollowedHyperlink"/>
    <w:qFormat/>
    <w:uiPriority w:val="0"/>
    <w:rPr>
      <w:color w:val="800080"/>
      <w:u w:val="single"/>
    </w:rPr>
  </w:style>
  <w:style w:type="character" w:styleId="59">
    <w:name w:val="Emphasis"/>
    <w:qFormat/>
    <w:uiPriority w:val="0"/>
    <w:rPr>
      <w:color w:val="CC0000"/>
    </w:rPr>
  </w:style>
  <w:style w:type="character" w:styleId="60">
    <w:name w:val="HTML Definition"/>
    <w:qFormat/>
    <w:uiPriority w:val="0"/>
    <w:rPr>
      <w:i/>
    </w:rPr>
  </w:style>
  <w:style w:type="character" w:styleId="61">
    <w:name w:val="HTML Typewriter"/>
    <w:qFormat/>
    <w:uiPriority w:val="0"/>
    <w:rPr>
      <w:rFonts w:ascii="Courier New" w:hAnsi="Courier New"/>
      <w:sz w:val="20"/>
    </w:rPr>
  </w:style>
  <w:style w:type="character" w:styleId="62">
    <w:name w:val="HTML Acronym"/>
    <w:qFormat/>
    <w:uiPriority w:val="0"/>
    <w:rPr>
      <w:rFonts w:cs="Times New Roman"/>
    </w:rPr>
  </w:style>
  <w:style w:type="character" w:styleId="63">
    <w:name w:val="HTML Variable"/>
    <w:qFormat/>
    <w:uiPriority w:val="0"/>
    <w:rPr>
      <w:i/>
    </w:rPr>
  </w:style>
  <w:style w:type="character" w:styleId="64">
    <w:name w:val="Hyperlink"/>
    <w:qFormat/>
    <w:uiPriority w:val="99"/>
    <w:rPr>
      <w:color w:val="0000FF"/>
      <w:u w:val="single"/>
    </w:rPr>
  </w:style>
  <w:style w:type="character" w:styleId="65">
    <w:name w:val="HTML Code"/>
    <w:qFormat/>
    <w:uiPriority w:val="0"/>
    <w:rPr>
      <w:rFonts w:ascii="Courier New" w:hAnsi="Courier New"/>
      <w:sz w:val="20"/>
    </w:rPr>
  </w:style>
  <w:style w:type="character" w:styleId="66">
    <w:name w:val="annotation reference"/>
    <w:qFormat/>
    <w:uiPriority w:val="0"/>
    <w:rPr>
      <w:sz w:val="21"/>
      <w:szCs w:val="21"/>
    </w:rPr>
  </w:style>
  <w:style w:type="character" w:styleId="67">
    <w:name w:val="HTML Cite"/>
    <w:qFormat/>
    <w:uiPriority w:val="0"/>
    <w:rPr>
      <w:i/>
    </w:rPr>
  </w:style>
  <w:style w:type="character" w:styleId="68">
    <w:name w:val="HTML Keyboard"/>
    <w:qFormat/>
    <w:uiPriority w:val="0"/>
    <w:rPr>
      <w:rFonts w:ascii="Courier New" w:hAnsi="Courier New"/>
      <w:sz w:val="20"/>
    </w:rPr>
  </w:style>
  <w:style w:type="character" w:styleId="69">
    <w:name w:val="HTML Sample"/>
    <w:qFormat/>
    <w:uiPriority w:val="0"/>
    <w:rPr>
      <w:rFonts w:ascii="Courier New" w:hAnsi="Courier New"/>
    </w:rPr>
  </w:style>
  <w:style w:type="character" w:customStyle="1" w:styleId="70">
    <w:name w:val="正文文本 字符5"/>
    <w:link w:val="21"/>
    <w:qFormat/>
    <w:uiPriority w:val="0"/>
    <w:rPr>
      <w:rFonts w:eastAsia="宋体"/>
      <w:kern w:val="2"/>
      <w:sz w:val="24"/>
      <w:szCs w:val="24"/>
      <w:lang w:val="en-US" w:eastAsia="zh-CN" w:bidi="ar-SA"/>
    </w:rPr>
  </w:style>
  <w:style w:type="character" w:customStyle="1" w:styleId="71">
    <w:name w:val="标题 1 字符5"/>
    <w:link w:val="2"/>
    <w:qFormat/>
    <w:uiPriority w:val="0"/>
    <w:rPr>
      <w:rFonts w:eastAsia="宋体"/>
      <w:b/>
      <w:bCs/>
      <w:kern w:val="44"/>
      <w:sz w:val="44"/>
      <w:szCs w:val="44"/>
      <w:lang w:val="en-US" w:eastAsia="zh-CN" w:bidi="ar-SA"/>
    </w:rPr>
  </w:style>
  <w:style w:type="character" w:customStyle="1" w:styleId="72">
    <w:name w:val="标题 2 字符5"/>
    <w:link w:val="3"/>
    <w:qFormat/>
    <w:uiPriority w:val="0"/>
    <w:rPr>
      <w:rFonts w:ascii="Arial" w:hAnsi="Arial" w:eastAsia="黑体"/>
      <w:b/>
      <w:bCs/>
      <w:sz w:val="32"/>
      <w:szCs w:val="32"/>
      <w:lang w:bidi="ar-SA"/>
    </w:rPr>
  </w:style>
  <w:style w:type="character" w:customStyle="1" w:styleId="73">
    <w:name w:val="标题 3 字符5"/>
    <w:link w:val="4"/>
    <w:qFormat/>
    <w:uiPriority w:val="0"/>
    <w:rPr>
      <w:rFonts w:eastAsia="宋体"/>
      <w:b/>
      <w:bCs/>
      <w:sz w:val="32"/>
      <w:szCs w:val="32"/>
      <w:lang w:bidi="ar-SA"/>
    </w:rPr>
  </w:style>
  <w:style w:type="character" w:customStyle="1" w:styleId="74">
    <w:name w:val="标题 4 字符5"/>
    <w:link w:val="5"/>
    <w:qFormat/>
    <w:uiPriority w:val="0"/>
    <w:rPr>
      <w:rFonts w:ascii="Arial" w:hAnsi="Arial" w:eastAsia="黑体"/>
      <w:sz w:val="28"/>
      <w:lang w:bidi="ar-SA"/>
    </w:rPr>
  </w:style>
  <w:style w:type="character" w:customStyle="1" w:styleId="75">
    <w:name w:val="标题 5 字符5"/>
    <w:link w:val="6"/>
    <w:qFormat/>
    <w:uiPriority w:val="0"/>
    <w:rPr>
      <w:rFonts w:eastAsia="宋体"/>
      <w:b/>
      <w:kern w:val="2"/>
      <w:sz w:val="28"/>
      <w:szCs w:val="24"/>
      <w:lang w:val="en-US" w:eastAsia="zh-CN" w:bidi="ar-SA"/>
    </w:rPr>
  </w:style>
  <w:style w:type="character" w:customStyle="1" w:styleId="76">
    <w:name w:val="标题 6 字符5"/>
    <w:link w:val="8"/>
    <w:qFormat/>
    <w:uiPriority w:val="0"/>
    <w:rPr>
      <w:rFonts w:ascii="Arial" w:hAnsi="Arial" w:eastAsia="黑体"/>
      <w:b/>
      <w:kern w:val="2"/>
      <w:sz w:val="24"/>
      <w:szCs w:val="24"/>
      <w:lang w:val="en-US" w:eastAsia="zh-CN" w:bidi="ar-SA"/>
    </w:rPr>
  </w:style>
  <w:style w:type="character" w:customStyle="1" w:styleId="77">
    <w:name w:val="标题 7 字符5"/>
    <w:link w:val="9"/>
    <w:qFormat/>
    <w:uiPriority w:val="0"/>
    <w:rPr>
      <w:rFonts w:eastAsia="宋体"/>
      <w:b/>
      <w:kern w:val="2"/>
      <w:sz w:val="24"/>
      <w:szCs w:val="24"/>
      <w:lang w:val="en-US" w:eastAsia="zh-CN" w:bidi="ar-SA"/>
    </w:rPr>
  </w:style>
  <w:style w:type="character" w:customStyle="1" w:styleId="78">
    <w:name w:val="标题 8 字符5"/>
    <w:link w:val="10"/>
    <w:qFormat/>
    <w:uiPriority w:val="0"/>
    <w:rPr>
      <w:rFonts w:ascii="Arial" w:hAnsi="Arial" w:eastAsia="黑体"/>
      <w:kern w:val="2"/>
      <w:sz w:val="24"/>
      <w:szCs w:val="24"/>
      <w:lang w:val="en-US" w:eastAsia="zh-CN" w:bidi="ar-SA"/>
    </w:rPr>
  </w:style>
  <w:style w:type="character" w:customStyle="1" w:styleId="79">
    <w:name w:val="标题 9 字符5"/>
    <w:link w:val="11"/>
    <w:qFormat/>
    <w:uiPriority w:val="0"/>
    <w:rPr>
      <w:rFonts w:ascii="Arial" w:hAnsi="Arial" w:eastAsia="黑体"/>
      <w:kern w:val="2"/>
      <w:sz w:val="21"/>
      <w:szCs w:val="24"/>
      <w:lang w:val="en-US" w:eastAsia="zh-CN" w:bidi="ar-SA"/>
    </w:rPr>
  </w:style>
  <w:style w:type="character" w:customStyle="1" w:styleId="80">
    <w:name w:val="文档结构图 字符5"/>
    <w:link w:val="16"/>
    <w:qFormat/>
    <w:uiPriority w:val="0"/>
    <w:rPr>
      <w:rFonts w:eastAsia="宋体"/>
      <w:kern w:val="2"/>
      <w:sz w:val="21"/>
      <w:szCs w:val="24"/>
      <w:lang w:val="en-US" w:eastAsia="zh-CN" w:bidi="ar-SA"/>
    </w:rPr>
  </w:style>
  <w:style w:type="character" w:customStyle="1" w:styleId="81">
    <w:name w:val="批注文字 字符5"/>
    <w:link w:val="18"/>
    <w:qFormat/>
    <w:uiPriority w:val="0"/>
    <w:rPr>
      <w:rFonts w:eastAsia="宋体"/>
      <w:sz w:val="24"/>
      <w:lang w:bidi="ar-SA"/>
    </w:rPr>
  </w:style>
  <w:style w:type="character" w:customStyle="1" w:styleId="82">
    <w:name w:val="称呼 字符5"/>
    <w:link w:val="19"/>
    <w:qFormat/>
    <w:uiPriority w:val="0"/>
    <w:rPr>
      <w:kern w:val="2"/>
      <w:sz w:val="28"/>
      <w:szCs w:val="24"/>
    </w:rPr>
  </w:style>
  <w:style w:type="character" w:customStyle="1" w:styleId="83">
    <w:name w:val="正文文本 3 字符5"/>
    <w:link w:val="20"/>
    <w:qFormat/>
    <w:uiPriority w:val="0"/>
    <w:rPr>
      <w:rFonts w:eastAsia="宋体"/>
      <w:b/>
      <w:bCs/>
      <w:kern w:val="2"/>
      <w:sz w:val="24"/>
      <w:szCs w:val="24"/>
      <w:lang w:val="en-US" w:eastAsia="zh-CN" w:bidi="ar-SA"/>
    </w:rPr>
  </w:style>
  <w:style w:type="character" w:customStyle="1" w:styleId="84">
    <w:name w:val="正文文本缩进 字符5"/>
    <w:link w:val="22"/>
    <w:qFormat/>
    <w:uiPriority w:val="0"/>
    <w:rPr>
      <w:rFonts w:ascii="仿宋_GB2312" w:eastAsia="仿宋_GB2312"/>
      <w:kern w:val="2"/>
      <w:sz w:val="32"/>
      <w:lang w:val="en-US" w:eastAsia="zh-CN" w:bidi="ar-SA"/>
    </w:rPr>
  </w:style>
  <w:style w:type="character" w:customStyle="1" w:styleId="85">
    <w:name w:val="HTML 地址 字符5"/>
    <w:link w:val="26"/>
    <w:qFormat/>
    <w:locked/>
    <w:uiPriority w:val="0"/>
    <w:rPr>
      <w:rFonts w:ascii="宋体" w:eastAsia="宋体"/>
      <w:i/>
      <w:iCs/>
      <w:kern w:val="21"/>
      <w:sz w:val="21"/>
      <w:szCs w:val="21"/>
      <w:lang w:val="en-US" w:eastAsia="zh-CN" w:bidi="ar-SA"/>
    </w:rPr>
  </w:style>
  <w:style w:type="character" w:customStyle="1" w:styleId="86">
    <w:name w:val="TOC 3 字符1"/>
    <w:link w:val="28"/>
    <w:qFormat/>
    <w:locked/>
    <w:uiPriority w:val="0"/>
    <w:rPr>
      <w:rFonts w:eastAsia="宋体"/>
      <w:kern w:val="2"/>
      <w:sz w:val="21"/>
      <w:szCs w:val="24"/>
      <w:lang w:val="en-US" w:eastAsia="zh-CN" w:bidi="ar-SA"/>
    </w:rPr>
  </w:style>
  <w:style w:type="character" w:customStyle="1" w:styleId="87">
    <w:name w:val="纯文本 字符6"/>
    <w:link w:val="29"/>
    <w:qFormat/>
    <w:uiPriority w:val="0"/>
    <w:rPr>
      <w:rFonts w:ascii="宋体" w:hAnsi="Courier New" w:eastAsia="宋体" w:cs="Courier New"/>
      <w:kern w:val="2"/>
      <w:sz w:val="21"/>
      <w:szCs w:val="21"/>
      <w:lang w:val="en-US" w:eastAsia="zh-CN" w:bidi="ar-SA"/>
    </w:rPr>
  </w:style>
  <w:style w:type="character" w:customStyle="1" w:styleId="88">
    <w:name w:val="日期 字符5"/>
    <w:link w:val="31"/>
    <w:qFormat/>
    <w:uiPriority w:val="0"/>
    <w:rPr>
      <w:rFonts w:ascii="宋体" w:hAnsi="Courier New" w:eastAsia="宋体" w:cs="Courier New"/>
      <w:kern w:val="2"/>
      <w:sz w:val="21"/>
      <w:szCs w:val="21"/>
      <w:lang w:val="en-US" w:eastAsia="zh-CN" w:bidi="ar-SA"/>
    </w:rPr>
  </w:style>
  <w:style w:type="character" w:customStyle="1" w:styleId="89">
    <w:name w:val="正文文本缩进 2 字符5"/>
    <w:link w:val="32"/>
    <w:qFormat/>
    <w:uiPriority w:val="0"/>
    <w:rPr>
      <w:rFonts w:eastAsia="宋体"/>
      <w:kern w:val="2"/>
      <w:sz w:val="32"/>
      <w:lang w:val="en-US" w:eastAsia="zh-CN" w:bidi="ar-SA"/>
    </w:rPr>
  </w:style>
  <w:style w:type="character" w:customStyle="1" w:styleId="90">
    <w:name w:val="尾注文本 字符5"/>
    <w:link w:val="33"/>
    <w:qFormat/>
    <w:uiPriority w:val="0"/>
    <w:rPr>
      <w:rFonts w:ascii="Calibri" w:hAnsi="Calibri"/>
      <w:kern w:val="2"/>
      <w:sz w:val="21"/>
      <w:szCs w:val="22"/>
    </w:rPr>
  </w:style>
  <w:style w:type="character" w:customStyle="1" w:styleId="91">
    <w:name w:val="批注框文本 字符"/>
    <w:link w:val="34"/>
    <w:semiHidden/>
    <w:qFormat/>
    <w:uiPriority w:val="0"/>
    <w:rPr>
      <w:rFonts w:eastAsia="宋体"/>
      <w:kern w:val="2"/>
      <w:sz w:val="18"/>
      <w:szCs w:val="18"/>
      <w:lang w:val="en-US" w:eastAsia="zh-CN" w:bidi="ar-SA"/>
    </w:rPr>
  </w:style>
  <w:style w:type="character" w:customStyle="1" w:styleId="92">
    <w:name w:val="页脚 字符5"/>
    <w:link w:val="35"/>
    <w:qFormat/>
    <w:uiPriority w:val="99"/>
    <w:rPr>
      <w:rFonts w:eastAsia="宋体"/>
      <w:kern w:val="2"/>
      <w:sz w:val="18"/>
      <w:szCs w:val="18"/>
      <w:lang w:val="en-US" w:eastAsia="zh-CN" w:bidi="ar-SA"/>
    </w:rPr>
  </w:style>
  <w:style w:type="character" w:customStyle="1" w:styleId="93">
    <w:name w:val="页眉 字符5"/>
    <w:link w:val="36"/>
    <w:qFormat/>
    <w:uiPriority w:val="99"/>
    <w:rPr>
      <w:rFonts w:eastAsia="宋体"/>
      <w:kern w:val="2"/>
      <w:sz w:val="18"/>
      <w:szCs w:val="18"/>
      <w:lang w:val="en-US" w:eastAsia="zh-CN" w:bidi="ar-SA"/>
    </w:rPr>
  </w:style>
  <w:style w:type="character" w:customStyle="1" w:styleId="94">
    <w:name w:val="脚注文本 字符5"/>
    <w:link w:val="40"/>
    <w:qFormat/>
    <w:locked/>
    <w:uiPriority w:val="0"/>
    <w:rPr>
      <w:rFonts w:ascii="宋体" w:eastAsia="宋体"/>
      <w:kern w:val="21"/>
      <w:sz w:val="18"/>
      <w:szCs w:val="18"/>
      <w:lang w:val="en-US" w:eastAsia="zh-CN" w:bidi="ar-SA"/>
    </w:rPr>
  </w:style>
  <w:style w:type="character" w:customStyle="1" w:styleId="95">
    <w:name w:val="正文文本缩进 3 字符5"/>
    <w:link w:val="43"/>
    <w:qFormat/>
    <w:uiPriority w:val="0"/>
    <w:rPr>
      <w:rFonts w:eastAsia="宋体"/>
      <w:kern w:val="2"/>
      <w:sz w:val="16"/>
      <w:szCs w:val="16"/>
      <w:lang w:val="en-US" w:eastAsia="zh-CN" w:bidi="ar-SA"/>
    </w:rPr>
  </w:style>
  <w:style w:type="character" w:customStyle="1" w:styleId="96">
    <w:name w:val="正文文本 2 字符5"/>
    <w:link w:val="46"/>
    <w:qFormat/>
    <w:uiPriority w:val="0"/>
    <w:rPr>
      <w:rFonts w:eastAsia="宋体"/>
      <w:kern w:val="2"/>
      <w:sz w:val="21"/>
      <w:szCs w:val="24"/>
      <w:lang w:val="en-US" w:eastAsia="zh-CN" w:bidi="ar-SA"/>
    </w:rPr>
  </w:style>
  <w:style w:type="character" w:customStyle="1" w:styleId="97">
    <w:name w:val="HTML 预设格式 字符5"/>
    <w:link w:val="47"/>
    <w:qFormat/>
    <w:uiPriority w:val="0"/>
    <w:rPr>
      <w:rFonts w:ascii="黑体" w:hAnsi="Courier New" w:eastAsia="黑体" w:cs="Courier New"/>
      <w:lang w:val="en-US" w:eastAsia="zh-CN" w:bidi="ar-SA"/>
    </w:rPr>
  </w:style>
  <w:style w:type="character" w:customStyle="1" w:styleId="98">
    <w:name w:val="标题 字符5"/>
    <w:link w:val="50"/>
    <w:qFormat/>
    <w:uiPriority w:val="0"/>
    <w:rPr>
      <w:rFonts w:ascii="Arial" w:hAnsi="Arial" w:eastAsia="宋体"/>
      <w:b/>
      <w:bCs/>
      <w:kern w:val="2"/>
      <w:sz w:val="32"/>
      <w:szCs w:val="32"/>
      <w:lang w:bidi="ar-SA"/>
    </w:rPr>
  </w:style>
  <w:style w:type="character" w:customStyle="1" w:styleId="99">
    <w:name w:val="批注主题 字符"/>
    <w:link w:val="51"/>
    <w:semiHidden/>
    <w:qFormat/>
    <w:uiPriority w:val="0"/>
    <w:rPr>
      <w:b/>
      <w:bCs/>
      <w:kern w:val="2"/>
      <w:sz w:val="21"/>
      <w:szCs w:val="24"/>
    </w:rPr>
  </w:style>
  <w:style w:type="paragraph" w:customStyle="1" w:styleId="100">
    <w:name w:val="表格文字"/>
    <w:basedOn w:val="1"/>
    <w:next w:val="21"/>
    <w:qFormat/>
    <w:uiPriority w:val="0"/>
    <w:pPr>
      <w:spacing w:before="25" w:after="25"/>
      <w:jc w:val="left"/>
    </w:pPr>
    <w:rPr>
      <w:bCs/>
      <w:spacing w:val="10"/>
      <w:kern w:val="0"/>
      <w:sz w:val="24"/>
    </w:rPr>
  </w:style>
  <w:style w:type="paragraph" w:customStyle="1" w:styleId="101">
    <w:name w:val="_Style 8"/>
    <w:basedOn w:val="16"/>
    <w:qFormat/>
    <w:uiPriority w:val="0"/>
    <w:pPr>
      <w:widowControl/>
      <w:ind w:firstLine="454"/>
      <w:jc w:val="left"/>
    </w:pPr>
  </w:style>
  <w:style w:type="character" w:customStyle="1" w:styleId="102">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03">
    <w:name w:val="apple-style-span"/>
    <w:qFormat/>
    <w:uiPriority w:val="0"/>
  </w:style>
  <w:style w:type="character" w:customStyle="1" w:styleId="104">
    <w:name w:val="无间隔 字符9"/>
    <w:link w:val="105"/>
    <w:qFormat/>
    <w:uiPriority w:val="0"/>
    <w:rPr>
      <w:sz w:val="22"/>
      <w:szCs w:val="22"/>
      <w:lang w:val="en-US" w:eastAsia="zh-CN" w:bidi="ar-SA"/>
    </w:rPr>
  </w:style>
  <w:style w:type="paragraph" w:styleId="105">
    <w:name w:val="No Spacing"/>
    <w:link w:val="104"/>
    <w:qFormat/>
    <w:uiPriority w:val="0"/>
    <w:rPr>
      <w:rFonts w:ascii="Times New Roman" w:hAnsi="Times New Roman" w:eastAsia="宋体" w:cs="Times New Roman"/>
      <w:sz w:val="22"/>
      <w:szCs w:val="22"/>
      <w:lang w:val="en-US" w:eastAsia="zh-CN" w:bidi="ar-SA"/>
    </w:rPr>
  </w:style>
  <w:style w:type="character" w:customStyle="1" w:styleId="106">
    <w:name w:val="纯文本 Char"/>
    <w:qFormat/>
    <w:uiPriority w:val="99"/>
    <w:rPr>
      <w:rFonts w:ascii="宋体" w:hAnsi="Courier New" w:eastAsia="宋体"/>
      <w:kern w:val="2"/>
      <w:sz w:val="21"/>
      <w:lang w:val="en-US" w:eastAsia="zh-CN" w:bidi="ar-SA"/>
    </w:rPr>
  </w:style>
  <w:style w:type="character" w:customStyle="1" w:styleId="107">
    <w:name w:val="ca-10"/>
    <w:qFormat/>
    <w:uiPriority w:val="0"/>
  </w:style>
  <w:style w:type="character" w:customStyle="1" w:styleId="108">
    <w:name w:val="Char Char Char Char Char"/>
    <w:qFormat/>
    <w:uiPriority w:val="0"/>
    <w:rPr>
      <w:rFonts w:hint="eastAsia" w:ascii="宋体" w:hAnsi="宋体" w:eastAsia="宋体"/>
      <w:b/>
      <w:bCs/>
      <w:kern w:val="44"/>
      <w:sz w:val="44"/>
      <w:szCs w:val="44"/>
      <w:lang w:val="en-US" w:eastAsia="zh-CN" w:bidi="ar-SA"/>
    </w:rPr>
  </w:style>
  <w:style w:type="character" w:customStyle="1" w:styleId="109">
    <w:name w:val="font41"/>
    <w:qFormat/>
    <w:uiPriority w:val="0"/>
    <w:rPr>
      <w:rFonts w:hint="eastAsia" w:ascii="仿宋_GB2312" w:eastAsia="仿宋_GB2312" w:cs="仿宋_GB2312"/>
      <w:color w:val="000000"/>
      <w:sz w:val="20"/>
      <w:szCs w:val="20"/>
      <w:u w:val="none"/>
    </w:rPr>
  </w:style>
  <w:style w:type="character" w:customStyle="1" w:styleId="110">
    <w:name w:val="ca-11"/>
    <w:qFormat/>
    <w:uiPriority w:val="0"/>
  </w:style>
  <w:style w:type="character" w:customStyle="1" w:styleId="111">
    <w:name w:val="Char Char12"/>
    <w:qFormat/>
    <w:uiPriority w:val="0"/>
    <w:rPr>
      <w:rFonts w:ascii="宋体" w:eastAsia="宋体" w:cs="Courier New"/>
      <w:kern w:val="2"/>
      <w:sz w:val="21"/>
      <w:szCs w:val="21"/>
      <w:lang w:val="en-US" w:eastAsia="zh-CN" w:bidi="ar-SA"/>
    </w:rPr>
  </w:style>
  <w:style w:type="character" w:customStyle="1" w:styleId="112">
    <w:name w:val="普通文字 Char Char4"/>
    <w:qFormat/>
    <w:uiPriority w:val="0"/>
    <w:rPr>
      <w:rFonts w:ascii="宋体" w:hAnsi="Courier New" w:eastAsia="宋体" w:cs="Courier New"/>
      <w:kern w:val="2"/>
      <w:sz w:val="21"/>
      <w:szCs w:val="21"/>
      <w:lang w:val="en-US" w:eastAsia="zh-CN" w:bidi="ar-SA"/>
    </w:rPr>
  </w:style>
  <w:style w:type="character" w:customStyle="1" w:styleId="113">
    <w:name w:val="ca-12"/>
    <w:qFormat/>
    <w:uiPriority w:val="0"/>
  </w:style>
  <w:style w:type="character" w:customStyle="1" w:styleId="114">
    <w:name w:val="font71"/>
    <w:qFormat/>
    <w:uiPriority w:val="0"/>
    <w:rPr>
      <w:rFonts w:hint="eastAsia" w:ascii="宋体" w:hAnsi="宋体" w:eastAsia="宋体" w:cs="宋体"/>
      <w:color w:val="FF0000"/>
      <w:sz w:val="18"/>
      <w:szCs w:val="18"/>
      <w:u w:val="none"/>
    </w:rPr>
  </w:style>
  <w:style w:type="character" w:customStyle="1" w:styleId="115">
    <w:name w:val="unnamed3"/>
    <w:qFormat/>
    <w:uiPriority w:val="0"/>
  </w:style>
  <w:style w:type="character" w:customStyle="1" w:styleId="116">
    <w:name w:val="Char Char7"/>
    <w:qFormat/>
    <w:uiPriority w:val="0"/>
    <w:rPr>
      <w:rFonts w:ascii="宋体" w:eastAsia="宋体" w:cs="Courier New"/>
      <w:kern w:val="2"/>
      <w:sz w:val="21"/>
      <w:szCs w:val="21"/>
      <w:lang w:val="en-US" w:eastAsia="zh-CN" w:bidi="ar-SA"/>
    </w:rPr>
  </w:style>
  <w:style w:type="character" w:customStyle="1" w:styleId="117">
    <w:name w:val="ca-3"/>
    <w:qFormat/>
    <w:uiPriority w:val="0"/>
  </w:style>
  <w:style w:type="character" w:customStyle="1" w:styleId="118">
    <w:name w:val="mark13"/>
    <w:qFormat/>
    <w:uiPriority w:val="0"/>
  </w:style>
  <w:style w:type="character" w:customStyle="1" w:styleId="119">
    <w:name w:val="style21"/>
    <w:qFormat/>
    <w:uiPriority w:val="0"/>
    <w:rPr>
      <w:sz w:val="18"/>
      <w:szCs w:val="18"/>
    </w:rPr>
  </w:style>
  <w:style w:type="character" w:customStyle="1" w:styleId="120">
    <w:name w:val="Char Char14"/>
    <w:qFormat/>
    <w:uiPriority w:val="0"/>
    <w:rPr>
      <w:sz w:val="18"/>
      <w:szCs w:val="18"/>
    </w:rPr>
  </w:style>
  <w:style w:type="character" w:customStyle="1" w:styleId="121">
    <w:name w:val="Char Char15"/>
    <w:qFormat/>
    <w:uiPriority w:val="0"/>
    <w:rPr>
      <w:sz w:val="18"/>
      <w:szCs w:val="18"/>
    </w:rPr>
  </w:style>
  <w:style w:type="character" w:customStyle="1" w:styleId="122">
    <w:name w:val="p1"/>
    <w:qFormat/>
    <w:uiPriority w:val="0"/>
  </w:style>
  <w:style w:type="character" w:customStyle="1" w:styleId="123">
    <w:name w:val="UP标题3 Char Char"/>
    <w:link w:val="124"/>
    <w:qFormat/>
    <w:locked/>
    <w:uiPriority w:val="0"/>
    <w:rPr>
      <w:rFonts w:ascii="黑体" w:eastAsia="黑体"/>
      <w:sz w:val="28"/>
      <w:szCs w:val="28"/>
      <w:lang w:bidi="ar-SA"/>
    </w:rPr>
  </w:style>
  <w:style w:type="paragraph" w:customStyle="1" w:styleId="124">
    <w:name w:val="UP标题3"/>
    <w:basedOn w:val="1"/>
    <w:link w:val="123"/>
    <w:qFormat/>
    <w:uiPriority w:val="0"/>
    <w:pPr>
      <w:spacing w:line="360" w:lineRule="auto"/>
      <w:ind w:firstLine="149" w:firstLineChars="149"/>
    </w:pPr>
    <w:rPr>
      <w:rFonts w:ascii="黑体" w:eastAsia="黑体"/>
      <w:kern w:val="0"/>
      <w:sz w:val="28"/>
      <w:szCs w:val="28"/>
    </w:rPr>
  </w:style>
  <w:style w:type="character" w:customStyle="1" w:styleId="125">
    <w:name w:val="ca-8"/>
    <w:qFormat/>
    <w:uiPriority w:val="0"/>
  </w:style>
  <w:style w:type="character" w:customStyle="1" w:styleId="126">
    <w:name w:val="Body Text Char"/>
    <w:qFormat/>
    <w:locked/>
    <w:uiPriority w:val="0"/>
    <w:rPr>
      <w:rFonts w:eastAsia="宋体"/>
      <w:kern w:val="2"/>
      <w:sz w:val="24"/>
      <w:szCs w:val="24"/>
      <w:lang w:val="en-US" w:eastAsia="zh-CN" w:bidi="ar-SA"/>
    </w:rPr>
  </w:style>
  <w:style w:type="character" w:customStyle="1" w:styleId="127">
    <w:name w:val="ca-16"/>
    <w:qFormat/>
    <w:uiPriority w:val="0"/>
  </w:style>
  <w:style w:type="character" w:customStyle="1" w:styleId="128">
    <w:name w:val="Char Char17"/>
    <w:qFormat/>
    <w:uiPriority w:val="0"/>
    <w:rPr>
      <w:rFonts w:hint="default" w:ascii="Times New Roman" w:hAnsi="Times New Roman" w:cs="Times New Roman"/>
      <w:b/>
      <w:bCs/>
      <w:kern w:val="2"/>
      <w:sz w:val="21"/>
      <w:szCs w:val="24"/>
    </w:rPr>
  </w:style>
  <w:style w:type="character" w:customStyle="1" w:styleId="129">
    <w:name w:val="ca-0"/>
    <w:qFormat/>
    <w:uiPriority w:val="0"/>
  </w:style>
  <w:style w:type="character" w:customStyle="1" w:styleId="130">
    <w:name w:val="Char Char8"/>
    <w:qFormat/>
    <w:uiPriority w:val="0"/>
    <w:rPr>
      <w:rFonts w:hint="eastAsia" w:ascii="仿宋_GB2312" w:eastAsia="仿宋_GB2312"/>
      <w:kern w:val="2"/>
      <w:sz w:val="32"/>
      <w:lang w:val="en-US" w:eastAsia="zh-CN" w:bidi="ar-SA"/>
    </w:rPr>
  </w:style>
  <w:style w:type="character" w:customStyle="1" w:styleId="131">
    <w:name w:val="Char Char3"/>
    <w:qFormat/>
    <w:locked/>
    <w:uiPriority w:val="0"/>
    <w:rPr>
      <w:rFonts w:ascii="宋体" w:hAnsi="Courier New" w:eastAsia="宋体" w:cs="Courier New"/>
      <w:kern w:val="2"/>
      <w:sz w:val="21"/>
      <w:szCs w:val="21"/>
      <w:lang w:val="en-US" w:eastAsia="zh-CN" w:bidi="ar-SA"/>
    </w:rPr>
  </w:style>
  <w:style w:type="character" w:customStyle="1" w:styleId="132">
    <w:name w:val="Char Char2"/>
    <w:qFormat/>
    <w:uiPriority w:val="0"/>
    <w:rPr>
      <w:rFonts w:eastAsia="宋体"/>
      <w:sz w:val="24"/>
    </w:rPr>
  </w:style>
  <w:style w:type="character" w:customStyle="1" w:styleId="133">
    <w:name w:val="批注文字 Char1"/>
    <w:semiHidden/>
    <w:qFormat/>
    <w:uiPriority w:val="0"/>
    <w:rPr>
      <w:kern w:val="2"/>
      <w:sz w:val="21"/>
      <w:szCs w:val="24"/>
    </w:rPr>
  </w:style>
  <w:style w:type="character" w:customStyle="1" w:styleId="134">
    <w:name w:val="Char Char23"/>
    <w:qFormat/>
    <w:uiPriority w:val="0"/>
    <w:rPr>
      <w:rFonts w:hint="default" w:ascii="Times New Roman" w:hAnsi="Times New Roman" w:eastAsia="宋体" w:cs="Times New Roman"/>
      <w:b/>
      <w:bCs/>
      <w:kern w:val="44"/>
      <w:sz w:val="44"/>
      <w:szCs w:val="44"/>
    </w:rPr>
  </w:style>
  <w:style w:type="character" w:customStyle="1" w:styleId="135">
    <w:name w:val="ca-5"/>
    <w:qFormat/>
    <w:uiPriority w:val="0"/>
  </w:style>
  <w:style w:type="character" w:customStyle="1" w:styleId="136">
    <w:name w:val="cubane_hilight1"/>
    <w:qFormat/>
    <w:uiPriority w:val="0"/>
    <w:rPr>
      <w:color w:val="CC0000"/>
    </w:rPr>
  </w:style>
  <w:style w:type="character" w:customStyle="1" w:styleId="137">
    <w:name w:val="ca-7"/>
    <w:qFormat/>
    <w:uiPriority w:val="0"/>
  </w:style>
  <w:style w:type="character" w:customStyle="1" w:styleId="138">
    <w:name w:val="普通文字 Char Char2"/>
    <w:qFormat/>
    <w:uiPriority w:val="0"/>
    <w:rPr>
      <w:rFonts w:ascii="宋体" w:hAnsi="Courier New" w:eastAsia="宋体"/>
      <w:kern w:val="2"/>
      <w:sz w:val="21"/>
      <w:lang w:val="en-US" w:eastAsia="zh-CN" w:bidi="ar-SA"/>
    </w:rPr>
  </w:style>
  <w:style w:type="character" w:customStyle="1" w:styleId="139">
    <w:name w:val="apple-converted-space"/>
    <w:qFormat/>
    <w:uiPriority w:val="0"/>
  </w:style>
  <w:style w:type="character" w:customStyle="1" w:styleId="140">
    <w:name w:val="标题 Char1"/>
    <w:qFormat/>
    <w:uiPriority w:val="0"/>
    <w:rPr>
      <w:rFonts w:hint="default" w:ascii="Cambria" w:hAnsi="Cambria" w:cs="Times New Roman"/>
      <w:b/>
      <w:bCs/>
      <w:kern w:val="2"/>
      <w:sz w:val="32"/>
      <w:szCs w:val="32"/>
    </w:rPr>
  </w:style>
  <w:style w:type="character" w:customStyle="1" w:styleId="141">
    <w:name w:val="ca-4"/>
    <w:qFormat/>
    <w:uiPriority w:val="0"/>
  </w:style>
  <w:style w:type="character" w:customStyle="1" w:styleId="142">
    <w:name w:val="ca-2"/>
    <w:qFormat/>
    <w:uiPriority w:val="0"/>
  </w:style>
  <w:style w:type="character" w:customStyle="1" w:styleId="143">
    <w:name w:val="Char Char10"/>
    <w:semiHidden/>
    <w:qFormat/>
    <w:uiPriority w:val="0"/>
    <w:rPr>
      <w:rFonts w:hint="eastAsia" w:ascii="宋体" w:hAnsi="宋体" w:eastAsia="宋体"/>
      <w:kern w:val="2"/>
      <w:sz w:val="24"/>
      <w:szCs w:val="24"/>
      <w:lang w:val="en-US" w:eastAsia="zh-CN" w:bidi="ar-SA"/>
    </w:rPr>
  </w:style>
  <w:style w:type="character" w:customStyle="1" w:styleId="144">
    <w:name w:val="1ji Char Char"/>
    <w:qFormat/>
    <w:locked/>
    <w:uiPriority w:val="0"/>
    <w:rPr>
      <w:rFonts w:ascii="宋体" w:hAnsi="宋体" w:eastAsia="宋体"/>
      <w:b/>
      <w:bCs/>
      <w:kern w:val="44"/>
      <w:sz w:val="36"/>
      <w:szCs w:val="44"/>
    </w:rPr>
  </w:style>
  <w:style w:type="character" w:customStyle="1" w:styleId="145">
    <w:name w:val="H1 Char1"/>
    <w:qFormat/>
    <w:uiPriority w:val="0"/>
    <w:rPr>
      <w:rFonts w:eastAsia="宋体"/>
      <w:b/>
      <w:bCs/>
      <w:kern w:val="44"/>
      <w:sz w:val="44"/>
      <w:szCs w:val="44"/>
      <w:lang w:val="en-US" w:eastAsia="zh-CN" w:bidi="ar-SA"/>
    </w:rPr>
  </w:style>
  <w:style w:type="character" w:customStyle="1" w:styleId="146">
    <w:name w:val="Char Char1011"/>
    <w:semiHidden/>
    <w:qFormat/>
    <w:uiPriority w:val="0"/>
    <w:rPr>
      <w:rFonts w:eastAsia="宋体"/>
      <w:kern w:val="2"/>
      <w:sz w:val="24"/>
      <w:szCs w:val="24"/>
      <w:lang w:val="en-US" w:eastAsia="zh-CN" w:bidi="ar-SA"/>
    </w:rPr>
  </w:style>
  <w:style w:type="character" w:customStyle="1" w:styleId="147">
    <w:name w:val="Char Char1411"/>
    <w:qFormat/>
    <w:uiPriority w:val="0"/>
    <w:rPr>
      <w:sz w:val="18"/>
      <w:szCs w:val="18"/>
    </w:rPr>
  </w:style>
  <w:style w:type="character" w:customStyle="1" w:styleId="148">
    <w:name w:val="H1 Char2"/>
    <w:qFormat/>
    <w:uiPriority w:val="0"/>
    <w:rPr>
      <w:rFonts w:eastAsia="宋体"/>
      <w:b/>
      <w:bCs/>
      <w:kern w:val="44"/>
      <w:sz w:val="44"/>
      <w:szCs w:val="44"/>
      <w:lang w:val="en-US" w:eastAsia="zh-CN" w:bidi="ar-SA"/>
    </w:rPr>
  </w:style>
  <w:style w:type="character" w:customStyle="1" w:styleId="149">
    <w:name w:val="无间隔 Char Char"/>
    <w:qFormat/>
    <w:uiPriority w:val="0"/>
    <w:rPr>
      <w:rFonts w:ascii="Calibri" w:hAnsi="Calibri" w:eastAsia="宋体"/>
      <w:sz w:val="22"/>
      <w:szCs w:val="22"/>
      <w:lang w:val="en-US" w:eastAsia="zh-CN" w:bidi="ar-SA"/>
    </w:rPr>
  </w:style>
  <w:style w:type="character" w:customStyle="1" w:styleId="150">
    <w:name w:val="正文文本缩进 Char1"/>
    <w:semiHidden/>
    <w:qFormat/>
    <w:uiPriority w:val="0"/>
    <w:rPr>
      <w:kern w:val="2"/>
      <w:sz w:val="21"/>
      <w:szCs w:val="22"/>
    </w:rPr>
  </w:style>
  <w:style w:type="character" w:customStyle="1" w:styleId="151">
    <w:name w:val="font31"/>
    <w:qFormat/>
    <w:uiPriority w:val="0"/>
    <w:rPr>
      <w:rFonts w:hint="eastAsia" w:ascii="宋体" w:hAnsi="宋体" w:eastAsia="宋体" w:cs="宋体"/>
      <w:color w:val="000000"/>
      <w:sz w:val="16"/>
      <w:szCs w:val="16"/>
      <w:u w:val="none"/>
    </w:rPr>
  </w:style>
  <w:style w:type="character" w:customStyle="1" w:styleId="152">
    <w:name w:val="Char Char4"/>
    <w:qFormat/>
    <w:locked/>
    <w:uiPriority w:val="0"/>
    <w:rPr>
      <w:rFonts w:ascii="宋体" w:hAnsi="Courier New" w:eastAsia="宋体" w:cs="Courier New"/>
      <w:kern w:val="2"/>
      <w:sz w:val="21"/>
      <w:szCs w:val="21"/>
      <w:lang w:val="en-US" w:eastAsia="zh-CN" w:bidi="ar-SA"/>
    </w:rPr>
  </w:style>
  <w:style w:type="character" w:customStyle="1" w:styleId="153">
    <w:name w:val="Char Char21"/>
    <w:qFormat/>
    <w:uiPriority w:val="0"/>
    <w:rPr>
      <w:rFonts w:ascii="宋体" w:eastAsia="宋体"/>
      <w:sz w:val="24"/>
    </w:rPr>
  </w:style>
  <w:style w:type="character" w:customStyle="1" w:styleId="154">
    <w:name w:val="Char Char11"/>
    <w:qFormat/>
    <w:uiPriority w:val="0"/>
    <w:rPr>
      <w:rFonts w:ascii="Times New Roman" w:hAnsi="Times New Roman" w:eastAsia="宋体" w:cs="Times New Roman"/>
      <w:sz w:val="30"/>
      <w:szCs w:val="24"/>
    </w:rPr>
  </w:style>
  <w:style w:type="character" w:customStyle="1" w:styleId="155">
    <w:name w:val="font21"/>
    <w:qFormat/>
    <w:uiPriority w:val="0"/>
    <w:rPr>
      <w:rFonts w:ascii="Calibri" w:hAnsi="Calibri" w:cs="Calibri"/>
      <w:color w:val="000000"/>
      <w:sz w:val="20"/>
      <w:szCs w:val="20"/>
      <w:u w:val="none"/>
    </w:rPr>
  </w:style>
  <w:style w:type="character" w:customStyle="1" w:styleId="156">
    <w:name w:val="彩色列表 - 强调文字颜色 1 Char"/>
    <w:qFormat/>
    <w:locked/>
    <w:uiPriority w:val="34"/>
    <w:rPr>
      <w:rFonts w:ascii="Calibri" w:hAnsi="Calibri"/>
      <w:sz w:val="24"/>
      <w:szCs w:val="24"/>
      <w:lang w:eastAsia="en-US"/>
    </w:rPr>
  </w:style>
  <w:style w:type="character" w:customStyle="1" w:styleId="157">
    <w:name w:val="Char Char111"/>
    <w:qFormat/>
    <w:uiPriority w:val="0"/>
    <w:rPr>
      <w:rFonts w:hint="default" w:ascii="Times New Roman" w:hAnsi="Times New Roman" w:eastAsia="宋体" w:cs="Times New Roman"/>
      <w:sz w:val="30"/>
      <w:szCs w:val="24"/>
    </w:rPr>
  </w:style>
  <w:style w:type="character" w:customStyle="1" w:styleId="158">
    <w:name w:val="ca-14"/>
    <w:qFormat/>
    <w:uiPriority w:val="0"/>
  </w:style>
  <w:style w:type="character" w:customStyle="1" w:styleId="159">
    <w:name w:val="font11"/>
    <w:qFormat/>
    <w:uiPriority w:val="0"/>
    <w:rPr>
      <w:rFonts w:hint="eastAsia" w:ascii="宋体" w:hAnsi="宋体" w:eastAsia="宋体" w:cs="宋体"/>
      <w:color w:val="FF0000"/>
      <w:sz w:val="16"/>
      <w:szCs w:val="16"/>
      <w:u w:val="none"/>
    </w:rPr>
  </w:style>
  <w:style w:type="character" w:customStyle="1" w:styleId="160">
    <w:name w:val="row08"/>
    <w:qFormat/>
    <w:uiPriority w:val="0"/>
    <w:rPr>
      <w:rFonts w:cs="Times New Roman"/>
      <w:lang w:bidi="ar-SA"/>
    </w:rPr>
  </w:style>
  <w:style w:type="character" w:customStyle="1" w:styleId="161">
    <w:name w:val="列出段落 Char"/>
    <w:link w:val="162"/>
    <w:qFormat/>
    <w:uiPriority w:val="0"/>
    <w:rPr>
      <w:rFonts w:ascii="Calibri" w:hAnsi="Calibri" w:eastAsia="宋体"/>
      <w:kern w:val="2"/>
      <w:sz w:val="21"/>
      <w:szCs w:val="22"/>
      <w:lang w:val="en-US" w:eastAsia="zh-CN" w:bidi="ar-SA"/>
    </w:rPr>
  </w:style>
  <w:style w:type="paragraph" w:customStyle="1" w:styleId="162">
    <w:name w:val="列出段落3"/>
    <w:basedOn w:val="1"/>
    <w:link w:val="161"/>
    <w:qFormat/>
    <w:uiPriority w:val="0"/>
    <w:pPr>
      <w:ind w:firstLine="420" w:firstLineChars="200"/>
    </w:pPr>
    <w:rPr>
      <w:rFonts w:ascii="Calibri" w:hAnsi="Calibri"/>
      <w:szCs w:val="22"/>
    </w:rPr>
  </w:style>
  <w:style w:type="character" w:customStyle="1" w:styleId="163">
    <w:name w:val="自定义标题一 Char"/>
    <w:link w:val="164"/>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164">
    <w:name w:val="自定义标题一"/>
    <w:basedOn w:val="2"/>
    <w:link w:val="163"/>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165">
    <w:name w:val="Char Char6"/>
    <w:qFormat/>
    <w:locked/>
    <w:uiPriority w:val="0"/>
    <w:rPr>
      <w:rFonts w:ascii="宋体" w:hAnsi="Courier New" w:eastAsia="宋体" w:cs="Courier New"/>
      <w:kern w:val="2"/>
      <w:sz w:val="21"/>
      <w:szCs w:val="21"/>
      <w:lang w:val="en-US" w:eastAsia="zh-CN" w:bidi="ar-SA"/>
    </w:rPr>
  </w:style>
  <w:style w:type="character" w:customStyle="1" w:styleId="166">
    <w:name w:val="ca-15"/>
    <w:qFormat/>
    <w:uiPriority w:val="0"/>
  </w:style>
  <w:style w:type="character" w:customStyle="1" w:styleId="167">
    <w:name w:val="Char Char28"/>
    <w:qFormat/>
    <w:locked/>
    <w:uiPriority w:val="0"/>
    <w:rPr>
      <w:rFonts w:eastAsia="宋体"/>
      <w:b/>
      <w:bCs/>
      <w:kern w:val="44"/>
      <w:sz w:val="44"/>
      <w:szCs w:val="44"/>
      <w:lang w:val="en-US" w:eastAsia="zh-CN" w:bidi="ar-SA"/>
    </w:rPr>
  </w:style>
  <w:style w:type="character" w:customStyle="1" w:styleId="168">
    <w:name w:val="Char Char Char Char Char11"/>
    <w:qFormat/>
    <w:uiPriority w:val="0"/>
    <w:rPr>
      <w:rFonts w:eastAsia="宋体"/>
      <w:b/>
      <w:bCs/>
      <w:kern w:val="44"/>
      <w:sz w:val="44"/>
      <w:szCs w:val="44"/>
      <w:lang w:val="en-US" w:eastAsia="zh-CN" w:bidi="ar-SA"/>
    </w:rPr>
  </w:style>
  <w:style w:type="character" w:customStyle="1" w:styleId="169">
    <w:name w:val="正文2 Char Char"/>
    <w:link w:val="170"/>
    <w:qFormat/>
    <w:locked/>
    <w:uiPriority w:val="0"/>
    <w:rPr>
      <w:kern w:val="2"/>
      <w:sz w:val="28"/>
      <w:szCs w:val="22"/>
      <w:lang w:bidi="ar-SA"/>
    </w:rPr>
  </w:style>
  <w:style w:type="paragraph" w:customStyle="1" w:styleId="170">
    <w:name w:val="正文2"/>
    <w:basedOn w:val="1"/>
    <w:link w:val="169"/>
    <w:qFormat/>
    <w:uiPriority w:val="0"/>
    <w:pPr>
      <w:spacing w:line="360" w:lineRule="auto"/>
      <w:ind w:firstLine="200" w:firstLineChars="200"/>
    </w:pPr>
    <w:rPr>
      <w:sz w:val="28"/>
      <w:szCs w:val="22"/>
    </w:rPr>
  </w:style>
  <w:style w:type="character" w:customStyle="1" w:styleId="171">
    <w:name w:val="正文文字首行缩进 Char"/>
    <w:qFormat/>
    <w:locked/>
    <w:uiPriority w:val="0"/>
    <w:rPr>
      <w:rFonts w:ascii="仿宋_GB2312" w:eastAsia="仿宋_GB2312"/>
      <w:kern w:val="2"/>
      <w:sz w:val="32"/>
    </w:rPr>
  </w:style>
  <w:style w:type="character" w:customStyle="1" w:styleId="172">
    <w:name w:val="Char Char"/>
    <w:qFormat/>
    <w:uiPriority w:val="0"/>
    <w:rPr>
      <w:rFonts w:ascii="宋体" w:eastAsia="宋体" w:cs="Courier New"/>
      <w:kern w:val="2"/>
      <w:sz w:val="21"/>
      <w:szCs w:val="21"/>
      <w:lang w:val="en-US" w:eastAsia="zh-CN" w:bidi="ar-SA"/>
    </w:rPr>
  </w:style>
  <w:style w:type="character" w:customStyle="1" w:styleId="173">
    <w:name w:val="H1 Char"/>
    <w:qFormat/>
    <w:uiPriority w:val="0"/>
    <w:rPr>
      <w:rFonts w:eastAsia="宋体"/>
      <w:b/>
      <w:bCs/>
      <w:kern w:val="44"/>
      <w:sz w:val="44"/>
      <w:szCs w:val="44"/>
      <w:lang w:val="en-US" w:eastAsia="zh-CN" w:bidi="ar-SA"/>
    </w:rPr>
  </w:style>
  <w:style w:type="character" w:customStyle="1" w:styleId="174">
    <w:name w:val="Plain Text Char"/>
    <w:link w:val="175"/>
    <w:qFormat/>
    <w:locked/>
    <w:uiPriority w:val="0"/>
    <w:rPr>
      <w:rFonts w:ascii="宋体" w:hAnsi="Courier New" w:eastAsia="宋体"/>
      <w:kern w:val="2"/>
      <w:sz w:val="21"/>
    </w:rPr>
  </w:style>
  <w:style w:type="paragraph" w:customStyle="1" w:styleId="175">
    <w:name w:val="纯文本1"/>
    <w:basedOn w:val="1"/>
    <w:link w:val="174"/>
    <w:qFormat/>
    <w:uiPriority w:val="0"/>
    <w:rPr>
      <w:rFonts w:ascii="宋体" w:hAnsi="Courier New"/>
      <w:szCs w:val="20"/>
    </w:rPr>
  </w:style>
  <w:style w:type="character" w:customStyle="1" w:styleId="176">
    <w:name w:val="style31"/>
    <w:qFormat/>
    <w:uiPriority w:val="0"/>
    <w:rPr>
      <w:sz w:val="18"/>
      <w:szCs w:val="18"/>
    </w:rPr>
  </w:style>
  <w:style w:type="character" w:customStyle="1" w:styleId="177">
    <w:name w:val="纯文本 字符"/>
    <w:qFormat/>
    <w:uiPriority w:val="0"/>
    <w:rPr>
      <w:rFonts w:ascii="宋体" w:hAnsi="Courier New" w:eastAsia="宋体" w:cs="Courier New"/>
      <w:kern w:val="2"/>
      <w:sz w:val="21"/>
      <w:szCs w:val="21"/>
      <w:lang w:val="en-US" w:eastAsia="zh-CN" w:bidi="ar-SA"/>
    </w:rPr>
  </w:style>
  <w:style w:type="character" w:customStyle="1" w:styleId="178">
    <w:name w:val="ti"/>
    <w:qFormat/>
    <w:uiPriority w:val="0"/>
  </w:style>
  <w:style w:type="character" w:customStyle="1" w:styleId="179">
    <w:name w:val="1ji Char"/>
    <w:link w:val="180"/>
    <w:qFormat/>
    <w:uiPriority w:val="0"/>
    <w:rPr>
      <w:rFonts w:ascii="宋体" w:hAnsi="宋体" w:eastAsia="宋体"/>
      <w:b/>
      <w:bCs/>
      <w:kern w:val="44"/>
      <w:sz w:val="36"/>
      <w:szCs w:val="44"/>
      <w:lang w:val="en-US" w:eastAsia="zh-CN" w:bidi="ar-SA"/>
    </w:rPr>
  </w:style>
  <w:style w:type="paragraph" w:customStyle="1" w:styleId="180">
    <w:name w:val="1ji"/>
    <w:basedOn w:val="2"/>
    <w:link w:val="179"/>
    <w:qFormat/>
    <w:uiPriority w:val="0"/>
    <w:pPr>
      <w:keepLines w:val="0"/>
      <w:widowControl/>
      <w:spacing w:before="0" w:after="0" w:line="240" w:lineRule="auto"/>
      <w:jc w:val="center"/>
    </w:pPr>
    <w:rPr>
      <w:rFonts w:ascii="宋体" w:hAnsi="宋体"/>
      <w:sz w:val="36"/>
    </w:rPr>
  </w:style>
  <w:style w:type="character" w:customStyle="1" w:styleId="181">
    <w:name w:val="Char Char2311"/>
    <w:qFormat/>
    <w:uiPriority w:val="0"/>
    <w:rPr>
      <w:rFonts w:ascii="Times New Roman" w:hAnsi="Times New Roman" w:eastAsia="宋体" w:cs="Times New Roman"/>
      <w:b/>
      <w:bCs/>
      <w:kern w:val="44"/>
      <w:sz w:val="44"/>
      <w:szCs w:val="44"/>
    </w:rPr>
  </w:style>
  <w:style w:type="character" w:customStyle="1" w:styleId="182">
    <w:name w:val="ca-13"/>
    <w:qFormat/>
    <w:uiPriority w:val="0"/>
  </w:style>
  <w:style w:type="character" w:customStyle="1" w:styleId="183">
    <w:name w:val="纯文本 Char1"/>
    <w:qFormat/>
    <w:uiPriority w:val="99"/>
    <w:rPr>
      <w:rFonts w:ascii="宋体" w:hAnsi="Courier New" w:eastAsia="宋体" w:cs="Courier New"/>
      <w:kern w:val="2"/>
      <w:sz w:val="21"/>
      <w:szCs w:val="21"/>
      <w:lang w:val="en-US" w:eastAsia="zh-CN" w:bidi="ar-SA"/>
    </w:rPr>
  </w:style>
  <w:style w:type="character" w:customStyle="1" w:styleId="184">
    <w:name w:val="font51"/>
    <w:qFormat/>
    <w:uiPriority w:val="0"/>
    <w:rPr>
      <w:rFonts w:hint="eastAsia" w:ascii="宋体" w:hAnsi="宋体" w:eastAsia="宋体" w:cs="宋体"/>
      <w:color w:val="FF0000"/>
      <w:sz w:val="18"/>
      <w:szCs w:val="18"/>
      <w:u w:val="none"/>
      <w:vertAlign w:val="superscript"/>
    </w:rPr>
  </w:style>
  <w:style w:type="character" w:customStyle="1" w:styleId="185">
    <w:name w:val="ca-6"/>
    <w:qFormat/>
    <w:uiPriority w:val="0"/>
  </w:style>
  <w:style w:type="character" w:customStyle="1" w:styleId="186">
    <w:name w:val="style161"/>
    <w:qFormat/>
    <w:uiPriority w:val="0"/>
    <w:rPr>
      <w:color w:val="666666"/>
    </w:rPr>
  </w:style>
  <w:style w:type="character" w:customStyle="1" w:styleId="187">
    <w:name w:val="Char Char1511"/>
    <w:qFormat/>
    <w:uiPriority w:val="0"/>
    <w:rPr>
      <w:sz w:val="18"/>
      <w:szCs w:val="18"/>
    </w:rPr>
  </w:style>
  <w:style w:type="character" w:customStyle="1" w:styleId="188">
    <w:name w:val="llyf92"/>
    <w:qFormat/>
    <w:uiPriority w:val="0"/>
    <w:rPr>
      <w:sz w:val="18"/>
      <w:szCs w:val="18"/>
    </w:rPr>
  </w:style>
  <w:style w:type="paragraph" w:customStyle="1" w:styleId="18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90">
    <w:name w:val="Char Char1 Char Char Char Char1"/>
    <w:basedOn w:val="16"/>
    <w:qFormat/>
    <w:uiPriority w:val="0"/>
    <w:rPr>
      <w:rFonts w:ascii="Tahoma" w:hAnsi="Tahoma"/>
      <w:sz w:val="24"/>
    </w:rPr>
  </w:style>
  <w:style w:type="paragraph" w:customStyle="1" w:styleId="191">
    <w:name w:val="表-正文"/>
    <w:basedOn w:val="1"/>
    <w:qFormat/>
    <w:uiPriority w:val="0"/>
    <w:pPr>
      <w:autoSpaceDE w:val="0"/>
      <w:autoSpaceDN w:val="0"/>
      <w:adjustRightInd w:val="0"/>
      <w:spacing w:line="240" w:lineRule="atLeast"/>
      <w:jc w:val="center"/>
    </w:pPr>
    <w:rPr>
      <w:rFonts w:ascii="方正中等线简体 Regular" w:hAnsi="Calibri" w:eastAsia="方正中等线简体 Regular" w:cs="方正中等线简体 Regular"/>
      <w:color w:val="000000"/>
      <w:kern w:val="0"/>
      <w:sz w:val="18"/>
      <w:szCs w:val="18"/>
      <w:lang w:val="zh-CN"/>
    </w:rPr>
  </w:style>
  <w:style w:type="paragraph" w:customStyle="1" w:styleId="192">
    <w:name w:val="Char Char112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193">
    <w:name w:val="列出段落1"/>
    <w:qFormat/>
    <w:uiPriority w:val="0"/>
    <w:pPr>
      <w:ind w:firstLine="420" w:firstLineChars="200"/>
    </w:pPr>
    <w:rPr>
      <w:rFonts w:ascii="Times New Roman" w:hAnsi="Times New Roman" w:eastAsia="宋体" w:cs="Times New Roman"/>
      <w:szCs w:val="22"/>
      <w:lang w:val="en-US" w:eastAsia="zh-CN" w:bidi="ar-SA"/>
    </w:rPr>
  </w:style>
  <w:style w:type="paragraph" w:customStyle="1" w:styleId="194">
    <w:name w:val="标准文本"/>
    <w:basedOn w:val="1"/>
    <w:qFormat/>
    <w:uiPriority w:val="0"/>
    <w:pPr>
      <w:spacing w:line="360" w:lineRule="auto"/>
      <w:ind w:firstLine="200" w:firstLineChars="200"/>
    </w:pPr>
    <w:rPr>
      <w:kern w:val="0"/>
      <w:sz w:val="24"/>
      <w:szCs w:val="20"/>
    </w:rPr>
  </w:style>
  <w:style w:type="paragraph" w:customStyle="1" w:styleId="195">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196">
    <w:name w:val="font10"/>
    <w:basedOn w:val="1"/>
    <w:qFormat/>
    <w:uiPriority w:val="0"/>
    <w:pPr>
      <w:widowControl/>
      <w:spacing w:before="100" w:beforeAutospacing="1" w:after="100" w:afterAutospacing="1"/>
      <w:jc w:val="left"/>
    </w:pPr>
    <w:rPr>
      <w:color w:val="000000"/>
      <w:kern w:val="0"/>
      <w:sz w:val="24"/>
    </w:rPr>
  </w:style>
  <w:style w:type="paragraph" w:customStyle="1" w:styleId="197">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8">
    <w:name w:val="列出段落2"/>
    <w:basedOn w:val="1"/>
    <w:qFormat/>
    <w:uiPriority w:val="0"/>
    <w:pPr>
      <w:ind w:firstLine="420" w:firstLineChars="200"/>
    </w:pPr>
    <w:rPr>
      <w:sz w:val="24"/>
    </w:rPr>
  </w:style>
  <w:style w:type="paragraph" w:customStyle="1" w:styleId="199">
    <w:name w:val="Char Char18"/>
    <w:basedOn w:val="16"/>
    <w:qFormat/>
    <w:uiPriority w:val="0"/>
    <w:pPr>
      <w:widowControl/>
      <w:ind w:firstLine="454"/>
      <w:jc w:val="left"/>
    </w:pPr>
    <w:rPr>
      <w:rFonts w:ascii="Tahoma" w:hAnsi="Tahoma" w:cs="宋体"/>
      <w:kern w:val="0"/>
      <w:sz w:val="24"/>
      <w:szCs w:val="20"/>
    </w:rPr>
  </w:style>
  <w:style w:type="paragraph" w:customStyle="1" w:styleId="200">
    <w:name w:val="Char Char Char Char Char Char Char Char Char"/>
    <w:basedOn w:val="1"/>
    <w:qFormat/>
    <w:uiPriority w:val="0"/>
    <w:pPr>
      <w:widowControl/>
      <w:spacing w:after="160" w:line="240" w:lineRule="exact"/>
      <w:jc w:val="left"/>
    </w:pPr>
    <w:rPr>
      <w:szCs w:val="20"/>
    </w:rPr>
  </w:style>
  <w:style w:type="paragraph" w:customStyle="1" w:styleId="201">
    <w:name w:val="Table Paragraph"/>
    <w:basedOn w:val="1"/>
    <w:qFormat/>
    <w:uiPriority w:val="1"/>
    <w:rPr>
      <w:rFonts w:ascii="宋体" w:hAnsi="宋体" w:cs="宋体"/>
      <w:lang w:val="zh-CN" w:bidi="zh-CN"/>
    </w:rPr>
  </w:style>
  <w:style w:type="paragraph" w:customStyle="1" w:styleId="202">
    <w:name w:val="纯文本111"/>
    <w:basedOn w:val="1"/>
    <w:qFormat/>
    <w:uiPriority w:val="0"/>
    <w:rPr>
      <w:rFonts w:ascii="宋体"/>
      <w:szCs w:val="21"/>
    </w:rPr>
  </w:style>
  <w:style w:type="paragraph" w:customStyle="1" w:styleId="203">
    <w:name w:val="1"/>
    <w:basedOn w:val="1"/>
    <w:next w:val="29"/>
    <w:qFormat/>
    <w:uiPriority w:val="0"/>
    <w:rPr>
      <w:rFonts w:ascii="宋体" w:hAnsi="Courier New"/>
      <w:szCs w:val="20"/>
    </w:rPr>
  </w:style>
  <w:style w:type="paragraph" w:customStyle="1" w:styleId="204">
    <w:name w:val="文章附标题"/>
    <w:basedOn w:val="1"/>
    <w:next w:val="2"/>
    <w:qFormat/>
    <w:uiPriority w:val="0"/>
    <w:pPr>
      <w:widowControl/>
      <w:spacing w:before="187" w:after="175" w:line="374" w:lineRule="atLeast"/>
      <w:jc w:val="center"/>
      <w:textAlignment w:val="baseline"/>
    </w:pPr>
    <w:rPr>
      <w:color w:val="000000"/>
      <w:kern w:val="0"/>
      <w:sz w:val="36"/>
      <w:szCs w:val="20"/>
    </w:rPr>
  </w:style>
  <w:style w:type="paragraph" w:customStyle="1" w:styleId="205">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206">
    <w:name w:val="Char2"/>
    <w:basedOn w:val="1"/>
    <w:qFormat/>
    <w:uiPriority w:val="0"/>
    <w:rPr>
      <w:szCs w:val="20"/>
    </w:rPr>
  </w:style>
  <w:style w:type="paragraph" w:customStyle="1" w:styleId="207">
    <w:name w:val="_Style 205"/>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8">
    <w:name w:val="正文文本缩进 Char Char Char Char"/>
    <w:basedOn w:val="1"/>
    <w:qFormat/>
    <w:uiPriority w:val="0"/>
    <w:pPr>
      <w:ind w:firstLine="540"/>
    </w:pPr>
    <w:rPr>
      <w:rFonts w:hint="eastAsia" w:ascii="宋体" w:hAnsi="Courier New"/>
      <w:szCs w:val="20"/>
    </w:rPr>
  </w:style>
  <w:style w:type="paragraph" w:customStyle="1" w:styleId="209">
    <w:name w:val="Char Char19 Char Char Char Char"/>
    <w:basedOn w:val="16"/>
    <w:qFormat/>
    <w:uiPriority w:val="0"/>
    <w:pPr>
      <w:widowControl/>
      <w:ind w:firstLine="454"/>
      <w:jc w:val="left"/>
    </w:pPr>
  </w:style>
  <w:style w:type="paragraph" w:customStyle="1" w:styleId="210">
    <w:name w:val="pa-14"/>
    <w:basedOn w:val="1"/>
    <w:qFormat/>
    <w:uiPriority w:val="0"/>
    <w:pPr>
      <w:widowControl/>
      <w:spacing w:before="169" w:after="169"/>
      <w:jc w:val="left"/>
    </w:pPr>
    <w:rPr>
      <w:rFonts w:ascii="宋体" w:hAnsi="宋体" w:cs="宋体"/>
      <w:kern w:val="0"/>
      <w:sz w:val="24"/>
    </w:rPr>
  </w:style>
  <w:style w:type="paragraph" w:customStyle="1" w:styleId="211">
    <w:name w:val="标题3"/>
    <w:basedOn w:val="4"/>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212">
    <w:name w:val="msolistparagraph"/>
    <w:basedOn w:val="1"/>
    <w:qFormat/>
    <w:uiPriority w:val="0"/>
    <w:pPr>
      <w:ind w:firstLine="420" w:firstLineChars="200"/>
    </w:pPr>
    <w:rPr>
      <w:rFonts w:ascii="Calibri" w:hAnsi="Calibri"/>
      <w:szCs w:val="22"/>
    </w:rPr>
  </w:style>
  <w:style w:type="paragraph" w:customStyle="1" w:styleId="213">
    <w:name w:val="标准正文"/>
    <w:basedOn w:val="1"/>
    <w:qFormat/>
    <w:uiPriority w:val="0"/>
    <w:pPr>
      <w:spacing w:before="60" w:after="60" w:line="360" w:lineRule="auto"/>
      <w:ind w:firstLine="482"/>
    </w:pPr>
    <w:rPr>
      <w:rFonts w:ascii="Arial" w:hAnsi="Arial"/>
      <w:color w:val="000000"/>
      <w:sz w:val="24"/>
      <w:szCs w:val="20"/>
    </w:rPr>
  </w:style>
  <w:style w:type="paragraph" w:customStyle="1" w:styleId="214">
    <w:name w:val="pa-6"/>
    <w:basedOn w:val="1"/>
    <w:qFormat/>
    <w:uiPriority w:val="0"/>
    <w:pPr>
      <w:widowControl/>
      <w:spacing w:before="169" w:after="169"/>
      <w:jc w:val="left"/>
    </w:pPr>
    <w:rPr>
      <w:rFonts w:ascii="宋体" w:hAnsi="宋体" w:cs="宋体"/>
      <w:kern w:val="0"/>
      <w:sz w:val="24"/>
    </w:rPr>
  </w:style>
  <w:style w:type="paragraph" w:customStyle="1" w:styleId="215">
    <w:name w:val="_Style 213"/>
    <w:semiHidden/>
    <w:qFormat/>
    <w:uiPriority w:val="99"/>
    <w:rPr>
      <w:rFonts w:ascii="Times New Roman" w:hAnsi="Times New Roman" w:eastAsia="宋体" w:cs="Times New Roman"/>
      <w:kern w:val="2"/>
      <w:sz w:val="21"/>
      <w:szCs w:val="24"/>
      <w:lang w:val="en-US" w:eastAsia="zh-CN" w:bidi="ar-SA"/>
    </w:rPr>
  </w:style>
  <w:style w:type="paragraph" w:customStyle="1" w:styleId="216">
    <w:name w:val="pa-4"/>
    <w:basedOn w:val="1"/>
    <w:qFormat/>
    <w:uiPriority w:val="0"/>
    <w:pPr>
      <w:widowControl/>
      <w:spacing w:before="169" w:after="169"/>
      <w:jc w:val="left"/>
    </w:pPr>
    <w:rPr>
      <w:rFonts w:ascii="宋体" w:hAnsi="宋体" w:cs="宋体"/>
      <w:kern w:val="0"/>
      <w:sz w:val="24"/>
    </w:rPr>
  </w:style>
  <w:style w:type="paragraph" w:customStyle="1" w:styleId="217">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1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221">
    <w:name w:val="7"/>
    <w:basedOn w:val="16"/>
    <w:qFormat/>
    <w:uiPriority w:val="0"/>
    <w:pPr>
      <w:widowControl/>
      <w:ind w:firstLine="454"/>
      <w:jc w:val="left"/>
    </w:pPr>
    <w:rPr>
      <w:rFonts w:ascii="Tahoma" w:hAnsi="Tahoma" w:cs="宋体"/>
      <w:kern w:val="0"/>
      <w:sz w:val="24"/>
      <w:szCs w:val="20"/>
    </w:rPr>
  </w:style>
  <w:style w:type="paragraph" w:customStyle="1" w:styleId="222">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223">
    <w:name w:val="pa-10"/>
    <w:basedOn w:val="1"/>
    <w:qFormat/>
    <w:uiPriority w:val="0"/>
    <w:pPr>
      <w:widowControl/>
      <w:spacing w:before="169" w:after="169"/>
      <w:jc w:val="left"/>
    </w:pPr>
    <w:rPr>
      <w:rFonts w:ascii="宋体" w:hAnsi="宋体" w:cs="宋体"/>
      <w:kern w:val="0"/>
      <w:sz w:val="24"/>
    </w:rPr>
  </w:style>
  <w:style w:type="paragraph" w:customStyle="1" w:styleId="224">
    <w:name w:val="表格"/>
    <w:basedOn w:val="1"/>
    <w:qFormat/>
    <w:uiPriority w:val="0"/>
    <w:pPr>
      <w:spacing w:line="400" w:lineRule="exact"/>
    </w:pPr>
    <w:rPr>
      <w:sz w:val="24"/>
    </w:rPr>
  </w:style>
  <w:style w:type="paragraph" w:customStyle="1" w:styleId="225">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226">
    <w:name w:val="p15"/>
    <w:basedOn w:val="1"/>
    <w:qFormat/>
    <w:uiPriority w:val="0"/>
    <w:pPr>
      <w:widowControl/>
    </w:pPr>
    <w:rPr>
      <w:rFonts w:ascii="宋体" w:hAnsi="宋体" w:cs="宋体"/>
      <w:kern w:val="0"/>
      <w:szCs w:val="21"/>
    </w:rPr>
  </w:style>
  <w:style w:type="paragraph" w:customStyle="1" w:styleId="227">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228">
    <w:name w:val="正文段"/>
    <w:basedOn w:val="1"/>
    <w:qFormat/>
    <w:uiPriority w:val="0"/>
    <w:pPr>
      <w:widowControl/>
      <w:snapToGrid w:val="0"/>
      <w:spacing w:after="156" w:afterLines="50"/>
      <w:ind w:firstLine="200" w:firstLineChars="200"/>
    </w:pPr>
    <w:rPr>
      <w:kern w:val="0"/>
      <w:sz w:val="24"/>
      <w:szCs w:val="20"/>
    </w:rPr>
  </w:style>
  <w:style w:type="paragraph" w:customStyle="1" w:styleId="229">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230">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3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32">
    <w:name w:val="p0"/>
    <w:basedOn w:val="1"/>
    <w:qFormat/>
    <w:uiPriority w:val="0"/>
    <w:pPr>
      <w:widowControl/>
    </w:pPr>
    <w:rPr>
      <w:kern w:val="0"/>
      <w:szCs w:val="21"/>
    </w:rPr>
  </w:style>
  <w:style w:type="paragraph" w:customStyle="1" w:styleId="233">
    <w:name w:val="段"/>
    <w:link w:val="23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4">
    <w:name w:val="段 Char Char"/>
    <w:link w:val="233"/>
    <w:qFormat/>
    <w:locked/>
    <w:uiPriority w:val="0"/>
    <w:rPr>
      <w:rFonts w:ascii="宋体"/>
      <w:sz w:val="21"/>
      <w:lang w:val="en-US" w:eastAsia="zh-CN" w:bidi="ar-SA"/>
    </w:rPr>
  </w:style>
  <w:style w:type="paragraph" w:customStyle="1" w:styleId="235">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236">
    <w:name w:val="Char Char19 Char Char Char Char11"/>
    <w:basedOn w:val="16"/>
    <w:qFormat/>
    <w:uiPriority w:val="0"/>
    <w:pPr>
      <w:widowControl/>
      <w:ind w:firstLine="454"/>
      <w:jc w:val="left"/>
    </w:pPr>
  </w:style>
  <w:style w:type="paragraph" w:customStyle="1" w:styleId="237">
    <w:name w:val="文章总标题"/>
    <w:basedOn w:val="1"/>
    <w:next w:val="204"/>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23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239">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240">
    <w:name w:val="4"/>
    <w:basedOn w:val="1"/>
    <w:next w:val="32"/>
    <w:qFormat/>
    <w:uiPriority w:val="0"/>
    <w:pPr>
      <w:spacing w:line="420" w:lineRule="exact"/>
      <w:ind w:firstLine="409" w:firstLineChars="195"/>
    </w:pPr>
  </w:style>
  <w:style w:type="paragraph" w:customStyle="1" w:styleId="241">
    <w:name w:val="pa-8"/>
    <w:basedOn w:val="1"/>
    <w:qFormat/>
    <w:uiPriority w:val="0"/>
    <w:pPr>
      <w:widowControl/>
      <w:spacing w:before="169" w:after="169"/>
      <w:jc w:val="left"/>
    </w:pPr>
    <w:rPr>
      <w:rFonts w:ascii="宋体" w:hAnsi="宋体" w:cs="宋体"/>
      <w:kern w:val="0"/>
      <w:sz w:val="24"/>
    </w:rPr>
  </w:style>
  <w:style w:type="paragraph" w:customStyle="1" w:styleId="242">
    <w:name w:val="Char Char Char Char"/>
    <w:basedOn w:val="16"/>
    <w:qFormat/>
    <w:uiPriority w:val="0"/>
    <w:pPr>
      <w:adjustRightInd w:val="0"/>
      <w:snapToGrid w:val="0"/>
      <w:spacing w:line="360" w:lineRule="auto"/>
    </w:pPr>
    <w:rPr>
      <w:rFonts w:ascii="Tahoma" w:hAnsi="Tahoma"/>
      <w:sz w:val="24"/>
    </w:rPr>
  </w:style>
  <w:style w:type="paragraph" w:customStyle="1" w:styleId="243">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4">
    <w:name w:val="表内文字"/>
    <w:basedOn w:val="1"/>
    <w:qFormat/>
    <w:uiPriority w:val="0"/>
    <w:pPr>
      <w:snapToGrid w:val="0"/>
      <w:spacing w:before="50" w:after="50" w:line="360" w:lineRule="exact"/>
    </w:pPr>
    <w:rPr>
      <w:rFonts w:ascii="宋体" w:hAnsi="宋体"/>
      <w:b/>
      <w:color w:val="0000FF"/>
      <w:szCs w:val="21"/>
    </w:rPr>
  </w:style>
  <w:style w:type="paragraph" w:customStyle="1" w:styleId="245">
    <w:name w:val="样式 正文文字 + 小四 段后: 0 磅 行距: 1.5 倍行距"/>
    <w:basedOn w:val="21"/>
    <w:qFormat/>
    <w:uiPriority w:val="0"/>
    <w:pPr>
      <w:spacing w:line="360" w:lineRule="auto"/>
      <w:ind w:firstLine="480" w:firstLineChars="200"/>
    </w:pPr>
    <w:rPr>
      <w:rFonts w:cs="宋体"/>
      <w:szCs w:val="20"/>
    </w:rPr>
  </w:style>
  <w:style w:type="paragraph" w:customStyle="1" w:styleId="246">
    <w:name w:val="No Spacing11"/>
    <w:link w:val="247"/>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47">
    <w:name w:val="No Spacing Char"/>
    <w:link w:val="246"/>
    <w:qFormat/>
    <w:locked/>
    <w:uiPriority w:val="0"/>
    <w:rPr>
      <w:kern w:val="2"/>
      <w:sz w:val="21"/>
      <w:szCs w:val="22"/>
      <w:lang w:val="en-US" w:eastAsia="zh-CN" w:bidi="ar-SA"/>
    </w:rPr>
  </w:style>
  <w:style w:type="paragraph" w:customStyle="1" w:styleId="248">
    <w:name w:val="Char21"/>
    <w:basedOn w:val="1"/>
    <w:qFormat/>
    <w:uiPriority w:val="0"/>
    <w:pPr>
      <w:widowControl/>
      <w:spacing w:after="160" w:line="240" w:lineRule="exact"/>
      <w:jc w:val="left"/>
    </w:pPr>
  </w:style>
  <w:style w:type="paragraph" w:customStyle="1" w:styleId="249">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50">
    <w:name w:val="默认段落字体 Para Char"/>
    <w:basedOn w:val="1"/>
    <w:qFormat/>
    <w:uiPriority w:val="0"/>
    <w:pPr>
      <w:adjustRightInd w:val="0"/>
      <w:spacing w:line="360" w:lineRule="auto"/>
    </w:pPr>
    <w:rPr>
      <w:szCs w:val="20"/>
    </w:rPr>
  </w:style>
  <w:style w:type="paragraph" w:customStyle="1" w:styleId="251">
    <w:name w:val="Char11"/>
    <w:basedOn w:val="16"/>
    <w:qFormat/>
    <w:uiPriority w:val="0"/>
    <w:pPr>
      <w:widowControl/>
      <w:ind w:firstLine="454"/>
      <w:jc w:val="left"/>
    </w:pPr>
    <w:rPr>
      <w:rFonts w:ascii="Tahoma" w:hAnsi="Tahoma" w:cs="宋体"/>
      <w:kern w:val="0"/>
      <w:sz w:val="24"/>
      <w:szCs w:val="20"/>
    </w:rPr>
  </w:style>
  <w:style w:type="paragraph" w:customStyle="1" w:styleId="252">
    <w:name w:val="pa-11"/>
    <w:basedOn w:val="1"/>
    <w:qFormat/>
    <w:uiPriority w:val="0"/>
    <w:pPr>
      <w:widowControl/>
      <w:spacing w:before="169" w:after="169"/>
      <w:jc w:val="left"/>
    </w:pPr>
    <w:rPr>
      <w:rFonts w:ascii="宋体" w:hAnsi="宋体" w:cs="宋体"/>
      <w:kern w:val="0"/>
      <w:sz w:val="24"/>
    </w:rPr>
  </w:style>
  <w:style w:type="paragraph" w:customStyle="1" w:styleId="253">
    <w:name w:val="Char"/>
    <w:basedOn w:val="16"/>
    <w:qFormat/>
    <w:uiPriority w:val="0"/>
    <w:pPr>
      <w:widowControl/>
      <w:ind w:firstLine="454"/>
      <w:jc w:val="left"/>
    </w:pPr>
    <w:rPr>
      <w:rFonts w:ascii="Tahoma" w:hAnsi="Tahoma" w:cs="宋体"/>
      <w:kern w:val="0"/>
      <w:sz w:val="24"/>
      <w:szCs w:val="20"/>
    </w:rPr>
  </w:style>
  <w:style w:type="paragraph" w:customStyle="1" w:styleId="254">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255">
    <w:name w:val="Char Char1 Char Char Char Char"/>
    <w:basedOn w:val="16"/>
    <w:qFormat/>
    <w:uiPriority w:val="0"/>
    <w:rPr>
      <w:rFonts w:ascii="Tahoma" w:hAnsi="Tahoma"/>
      <w:sz w:val="24"/>
    </w:rPr>
  </w:style>
  <w:style w:type="paragraph" w:customStyle="1" w:styleId="256">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257">
    <w:name w:val="pa-12"/>
    <w:basedOn w:val="1"/>
    <w:qFormat/>
    <w:uiPriority w:val="0"/>
    <w:pPr>
      <w:widowControl/>
      <w:spacing w:before="169" w:after="169"/>
      <w:jc w:val="left"/>
    </w:pPr>
    <w:rPr>
      <w:rFonts w:ascii="宋体" w:hAnsi="宋体" w:cs="宋体"/>
      <w:kern w:val="0"/>
      <w:sz w:val="24"/>
    </w:rPr>
  </w:style>
  <w:style w:type="paragraph" w:customStyle="1" w:styleId="258">
    <w:name w:val="标题1"/>
    <w:basedOn w:val="2"/>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259">
    <w:name w:val="2ji"/>
    <w:basedOn w:val="3"/>
    <w:qFormat/>
    <w:uiPriority w:val="0"/>
    <w:pPr>
      <w:adjustRightInd w:val="0"/>
      <w:spacing w:before="0" w:after="0" w:line="360" w:lineRule="auto"/>
      <w:textAlignment w:val="baseline"/>
    </w:pPr>
    <w:rPr>
      <w:rFonts w:ascii="宋体" w:hAnsi="宋体" w:eastAsia="宋体"/>
      <w:sz w:val="21"/>
      <w:szCs w:val="21"/>
    </w:rPr>
  </w:style>
  <w:style w:type="paragraph" w:customStyle="1" w:styleId="260">
    <w:name w:val="pa-9"/>
    <w:basedOn w:val="1"/>
    <w:qFormat/>
    <w:uiPriority w:val="0"/>
    <w:pPr>
      <w:widowControl/>
      <w:spacing w:before="169" w:after="169"/>
      <w:jc w:val="left"/>
    </w:pPr>
    <w:rPr>
      <w:rFonts w:ascii="宋体" w:hAnsi="宋体" w:cs="宋体"/>
      <w:kern w:val="0"/>
      <w:sz w:val="24"/>
    </w:rPr>
  </w:style>
  <w:style w:type="paragraph" w:customStyle="1" w:styleId="261">
    <w:name w:val="正文首行缩进两字符"/>
    <w:basedOn w:val="1"/>
    <w:qFormat/>
    <w:uiPriority w:val="0"/>
    <w:pPr>
      <w:spacing w:line="360" w:lineRule="auto"/>
      <w:ind w:firstLine="200" w:firstLineChars="200"/>
    </w:pPr>
  </w:style>
  <w:style w:type="paragraph" w:customStyle="1" w:styleId="262">
    <w:name w:val="Char Char Char1"/>
    <w:basedOn w:val="1"/>
    <w:qFormat/>
    <w:uiPriority w:val="0"/>
    <w:rPr>
      <w:rFonts w:ascii="Tahoma" w:hAnsi="Tahoma"/>
      <w:sz w:val="24"/>
      <w:szCs w:val="20"/>
    </w:rPr>
  </w:style>
  <w:style w:type="paragraph" w:customStyle="1" w:styleId="263">
    <w:name w:val="节标题"/>
    <w:basedOn w:val="1"/>
    <w:next w:val="225"/>
    <w:qFormat/>
    <w:uiPriority w:val="0"/>
    <w:pPr>
      <w:widowControl/>
      <w:spacing w:line="289" w:lineRule="atLeast"/>
      <w:jc w:val="center"/>
      <w:textAlignment w:val="baseline"/>
    </w:pPr>
    <w:rPr>
      <w:color w:val="000000"/>
      <w:kern w:val="0"/>
      <w:sz w:val="28"/>
      <w:szCs w:val="20"/>
    </w:rPr>
  </w:style>
  <w:style w:type="paragraph" w:customStyle="1" w:styleId="264">
    <w:name w:val="F2"/>
    <w:basedOn w:val="1"/>
    <w:qFormat/>
    <w:uiPriority w:val="0"/>
    <w:pPr>
      <w:autoSpaceDE w:val="0"/>
      <w:autoSpaceDN w:val="0"/>
      <w:adjustRightInd w:val="0"/>
      <w:ind w:firstLine="601"/>
    </w:pPr>
    <w:rPr>
      <w:kern w:val="0"/>
      <w:sz w:val="24"/>
      <w:szCs w:val="20"/>
    </w:rPr>
  </w:style>
  <w:style w:type="paragraph" w:customStyle="1" w:styleId="265">
    <w:name w:val="Char Char Char Char Char Char Char Char Char Char Char Char Char Char Char Char21"/>
    <w:basedOn w:val="1"/>
    <w:qFormat/>
    <w:uiPriority w:val="0"/>
    <w:pPr>
      <w:tabs>
        <w:tab w:val="left" w:pos="360"/>
      </w:tabs>
      <w:spacing w:line="360" w:lineRule="auto"/>
      <w:ind w:left="482" w:firstLine="200" w:firstLineChars="200"/>
    </w:pPr>
    <w:rPr>
      <w:rFonts w:ascii="宋体"/>
      <w:sz w:val="24"/>
    </w:rPr>
  </w:style>
  <w:style w:type="paragraph" w:customStyle="1" w:styleId="26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67">
    <w:name w:val="Char Char9 Char Char Char Char"/>
    <w:basedOn w:val="1"/>
    <w:qFormat/>
    <w:uiPriority w:val="0"/>
    <w:pPr>
      <w:widowControl/>
      <w:spacing w:after="160" w:line="240" w:lineRule="exact"/>
      <w:jc w:val="left"/>
    </w:pPr>
  </w:style>
  <w:style w:type="paragraph" w:customStyle="1" w:styleId="268">
    <w:name w:val="p16"/>
    <w:basedOn w:val="1"/>
    <w:qFormat/>
    <w:uiPriority w:val="0"/>
    <w:pPr>
      <w:widowControl/>
    </w:pPr>
    <w:rPr>
      <w:rFonts w:ascii="宋体" w:cs="宋体"/>
      <w:kern w:val="0"/>
      <w:sz w:val="20"/>
      <w:szCs w:val="20"/>
    </w:rPr>
  </w:style>
  <w:style w:type="paragraph" w:customStyle="1" w:styleId="269">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270">
    <w:name w:val="_Style 35"/>
    <w:basedOn w:val="16"/>
    <w:qFormat/>
    <w:uiPriority w:val="0"/>
    <w:pPr>
      <w:widowControl/>
      <w:ind w:firstLine="454"/>
      <w:jc w:val="left"/>
    </w:pPr>
  </w:style>
  <w:style w:type="paragraph" w:customStyle="1" w:styleId="271">
    <w:name w:val="Body"/>
    <w:basedOn w:val="1"/>
    <w:qFormat/>
    <w:uiPriority w:val="0"/>
    <w:pPr>
      <w:widowControl/>
      <w:tabs>
        <w:tab w:val="left" w:pos="1980"/>
      </w:tabs>
      <w:spacing w:before="80" w:after="80" w:line="360" w:lineRule="auto"/>
      <w:jc w:val="center"/>
    </w:pPr>
    <w:rPr>
      <w:szCs w:val="21"/>
    </w:rPr>
  </w:style>
  <w:style w:type="paragraph" w:customStyle="1" w:styleId="272">
    <w:name w:val="列出段落11"/>
    <w:basedOn w:val="1"/>
    <w:qFormat/>
    <w:uiPriority w:val="0"/>
    <w:pPr>
      <w:ind w:firstLine="200" w:firstLineChars="200"/>
    </w:pPr>
    <w:rPr>
      <w:sz w:val="24"/>
    </w:rPr>
  </w:style>
  <w:style w:type="paragraph" w:customStyle="1" w:styleId="273">
    <w:name w:val="pa-7"/>
    <w:basedOn w:val="1"/>
    <w:qFormat/>
    <w:uiPriority w:val="0"/>
    <w:pPr>
      <w:widowControl/>
      <w:spacing w:before="169" w:after="169"/>
      <w:jc w:val="left"/>
    </w:pPr>
    <w:rPr>
      <w:rFonts w:ascii="宋体" w:hAnsi="宋体" w:cs="宋体"/>
      <w:kern w:val="0"/>
      <w:sz w:val="24"/>
    </w:rPr>
  </w:style>
  <w:style w:type="paragraph" w:customStyle="1" w:styleId="274">
    <w:name w:val="Char31"/>
    <w:basedOn w:val="16"/>
    <w:qFormat/>
    <w:uiPriority w:val="0"/>
    <w:pPr>
      <w:widowControl/>
      <w:ind w:firstLine="454"/>
      <w:jc w:val="left"/>
    </w:pPr>
    <w:rPr>
      <w:rFonts w:ascii="Tahoma" w:hAnsi="Tahoma" w:cs="宋体"/>
      <w:kern w:val="0"/>
      <w:sz w:val="24"/>
      <w:szCs w:val="20"/>
    </w:rPr>
  </w:style>
  <w:style w:type="paragraph" w:customStyle="1" w:styleId="275">
    <w:name w:val="pa-15"/>
    <w:basedOn w:val="1"/>
    <w:qFormat/>
    <w:uiPriority w:val="0"/>
    <w:pPr>
      <w:widowControl/>
      <w:spacing w:before="169" w:after="169"/>
      <w:jc w:val="left"/>
    </w:pPr>
    <w:rPr>
      <w:rFonts w:ascii="宋体" w:hAnsi="宋体" w:cs="宋体"/>
      <w:kern w:val="0"/>
      <w:sz w:val="24"/>
    </w:rPr>
  </w:style>
  <w:style w:type="paragraph" w:customStyle="1" w:styleId="276">
    <w:name w:val="表-标题"/>
    <w:basedOn w:val="1"/>
    <w:qFormat/>
    <w:uiPriority w:val="0"/>
    <w:pPr>
      <w:autoSpaceDE w:val="0"/>
      <w:autoSpaceDN w:val="0"/>
      <w:adjustRightInd w:val="0"/>
      <w:spacing w:line="288" w:lineRule="auto"/>
      <w:jc w:val="center"/>
    </w:pPr>
    <w:rPr>
      <w:rFonts w:ascii="汉仪大黑简 regular" w:hAnsi="Calibri" w:eastAsia="汉仪大黑简 regular" w:cs="汉仪大黑简 regular"/>
      <w:color w:val="000000"/>
      <w:kern w:val="0"/>
      <w:sz w:val="16"/>
      <w:szCs w:val="16"/>
      <w:lang w:val="zh-CN"/>
    </w:rPr>
  </w:style>
  <w:style w:type="paragraph" w:customStyle="1" w:styleId="277">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78">
    <w:name w:val="List Paragraph1"/>
    <w:basedOn w:val="1"/>
    <w:qFormat/>
    <w:uiPriority w:val="0"/>
    <w:pPr>
      <w:ind w:firstLine="420" w:firstLineChars="200"/>
    </w:pPr>
  </w:style>
  <w:style w:type="paragraph" w:customStyle="1" w:styleId="27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0">
    <w:name w:val="[基本段落]"/>
    <w:basedOn w:val="1"/>
    <w:qFormat/>
    <w:uiPriority w:val="0"/>
    <w:pPr>
      <w:autoSpaceDE w:val="0"/>
      <w:autoSpaceDN w:val="0"/>
      <w:adjustRightInd w:val="0"/>
      <w:spacing w:line="288" w:lineRule="auto"/>
    </w:pPr>
    <w:rPr>
      <w:rFonts w:ascii="汉仪大黑简 regular" w:hAnsi="Calibri" w:eastAsia="汉仪大黑简 regular"/>
      <w:color w:val="000000"/>
      <w:kern w:val="0"/>
      <w:sz w:val="24"/>
      <w:lang w:val="zh-CN"/>
    </w:rPr>
  </w:style>
  <w:style w:type="paragraph" w:customStyle="1" w:styleId="281">
    <w:name w:val="Char Char1 Char Char Char Char21"/>
    <w:basedOn w:val="16"/>
    <w:qFormat/>
    <w:uiPriority w:val="0"/>
    <w:rPr>
      <w:rFonts w:ascii="Tahoma" w:hAnsi="Tahoma"/>
      <w:sz w:val="24"/>
    </w:rPr>
  </w:style>
  <w:style w:type="paragraph" w:customStyle="1" w:styleId="282">
    <w:name w:val="默认段落字体 Para Char Char Char Char Char Char Char Char Char1 Char Char Char Char"/>
    <w:basedOn w:val="1"/>
    <w:qFormat/>
    <w:uiPriority w:val="0"/>
    <w:rPr>
      <w:rFonts w:ascii="Tahoma" w:hAnsi="Tahoma"/>
      <w:sz w:val="24"/>
      <w:szCs w:val="20"/>
    </w:rPr>
  </w:style>
  <w:style w:type="paragraph" w:customStyle="1" w:styleId="283">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28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5">
    <w:name w:val="我的正文"/>
    <w:basedOn w:val="1"/>
    <w:qFormat/>
    <w:uiPriority w:val="0"/>
    <w:pPr>
      <w:spacing w:line="520" w:lineRule="exact"/>
      <w:ind w:firstLine="192" w:firstLineChars="192"/>
    </w:pPr>
    <w:rPr>
      <w:sz w:val="28"/>
      <w:szCs w:val="28"/>
    </w:rPr>
  </w:style>
  <w:style w:type="paragraph" w:customStyle="1" w:styleId="286">
    <w:name w:val="Char Char Char Char Char Char1 Char21"/>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87">
    <w:name w:val="Char221"/>
    <w:basedOn w:val="1"/>
    <w:qFormat/>
    <w:uiPriority w:val="0"/>
    <w:pPr>
      <w:widowControl/>
      <w:spacing w:after="160" w:line="240" w:lineRule="exact"/>
      <w:jc w:val="left"/>
    </w:pPr>
    <w:rPr>
      <w:rFonts w:ascii="Verdana" w:hAnsi="Verdana"/>
      <w:kern w:val="0"/>
      <w:szCs w:val="20"/>
      <w:lang w:eastAsia="en-US"/>
    </w:rPr>
  </w:style>
  <w:style w:type="paragraph" w:customStyle="1" w:styleId="288">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9">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0">
    <w:name w:val="Char Char9 Char Char Char Char1"/>
    <w:basedOn w:val="1"/>
    <w:qFormat/>
    <w:uiPriority w:val="0"/>
    <w:pPr>
      <w:widowControl/>
      <w:spacing w:after="160" w:line="240" w:lineRule="exact"/>
      <w:jc w:val="left"/>
    </w:pPr>
  </w:style>
  <w:style w:type="paragraph" w:customStyle="1" w:styleId="291">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292">
    <w:name w:val="Char Char Char21"/>
    <w:basedOn w:val="1"/>
    <w:qFormat/>
    <w:uiPriority w:val="0"/>
    <w:pPr>
      <w:widowControl/>
      <w:spacing w:after="160" w:line="240" w:lineRule="exact"/>
      <w:jc w:val="left"/>
    </w:pPr>
    <w:rPr>
      <w:rFonts w:ascii="Verdana" w:hAnsi="Verdana"/>
      <w:kern w:val="0"/>
      <w:sz w:val="20"/>
      <w:szCs w:val="20"/>
      <w:lang w:eastAsia="en-US"/>
    </w:rPr>
  </w:style>
  <w:style w:type="paragraph" w:customStyle="1" w:styleId="293">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294">
    <w:name w:val="Bullets"/>
    <w:basedOn w:val="1"/>
    <w:qFormat/>
    <w:uiPriority w:val="0"/>
    <w:pPr>
      <w:widowControl/>
      <w:adjustRightInd w:val="0"/>
      <w:snapToGrid w:val="0"/>
      <w:spacing w:before="60" w:after="60"/>
    </w:pPr>
    <w:rPr>
      <w:kern w:val="0"/>
      <w:sz w:val="24"/>
      <w:lang w:val="en-GB"/>
    </w:rPr>
  </w:style>
  <w:style w:type="paragraph" w:customStyle="1" w:styleId="295">
    <w:name w:val="Char131"/>
    <w:basedOn w:val="1"/>
    <w:qFormat/>
    <w:uiPriority w:val="0"/>
    <w:rPr>
      <w:szCs w:val="21"/>
    </w:rPr>
  </w:style>
  <w:style w:type="paragraph" w:customStyle="1" w:styleId="296">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29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8">
    <w:name w:val="样式1"/>
    <w:basedOn w:val="1"/>
    <w:qFormat/>
    <w:uiPriority w:val="0"/>
    <w:pPr>
      <w:spacing w:before="120" w:after="120" w:line="300" w:lineRule="auto"/>
    </w:pPr>
    <w:rPr>
      <w:rFonts w:ascii="宋体" w:hAnsi="宋体"/>
      <w:b/>
      <w:sz w:val="24"/>
      <w:szCs w:val="20"/>
    </w:rPr>
  </w:style>
  <w:style w:type="paragraph" w:customStyle="1" w:styleId="299">
    <w:name w:val="列表段落1"/>
    <w:basedOn w:val="1"/>
    <w:qFormat/>
    <w:uiPriority w:val="34"/>
    <w:pPr>
      <w:ind w:firstLine="420" w:firstLineChars="200"/>
    </w:pPr>
    <w:rPr>
      <w:rFonts w:ascii="Calibri" w:hAnsi="Calibri"/>
      <w:szCs w:val="22"/>
    </w:rPr>
  </w:style>
  <w:style w:type="paragraph" w:customStyle="1" w:styleId="300">
    <w:name w:val="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301">
    <w:name w:val="444"/>
    <w:basedOn w:val="1"/>
    <w:qFormat/>
    <w:uiPriority w:val="0"/>
    <w:pPr>
      <w:adjustRightInd w:val="0"/>
      <w:spacing w:line="312" w:lineRule="atLeast"/>
      <w:jc w:val="center"/>
      <w:textAlignment w:val="baseline"/>
    </w:pPr>
    <w:rPr>
      <w:b/>
      <w:kern w:val="0"/>
      <w:sz w:val="36"/>
      <w:szCs w:val="36"/>
    </w:rPr>
  </w:style>
  <w:style w:type="paragraph" w:customStyle="1" w:styleId="302">
    <w:name w:val="Char Char9 Char Char Char Char21"/>
    <w:basedOn w:val="1"/>
    <w:qFormat/>
    <w:uiPriority w:val="0"/>
    <w:pPr>
      <w:widowControl/>
      <w:spacing w:after="160" w:line="240" w:lineRule="exact"/>
      <w:jc w:val="left"/>
    </w:pPr>
  </w:style>
  <w:style w:type="paragraph" w:customStyle="1" w:styleId="303">
    <w:name w:val="样式 标题 2 + (西文) 宋体 非加粗 居中"/>
    <w:basedOn w:val="3"/>
    <w:qFormat/>
    <w:uiPriority w:val="0"/>
    <w:pPr>
      <w:jc w:val="center"/>
    </w:pPr>
    <w:rPr>
      <w:rFonts w:ascii="宋体" w:hAnsi="宋体" w:cs="宋体"/>
      <w:b w:val="0"/>
      <w:bCs w:val="0"/>
      <w:spacing w:val="2"/>
      <w:sz w:val="28"/>
      <w:szCs w:val="20"/>
    </w:rPr>
  </w:style>
  <w:style w:type="paragraph" w:customStyle="1" w:styleId="304">
    <w:name w:val="2-2ji"/>
    <w:basedOn w:val="3"/>
    <w:qFormat/>
    <w:uiPriority w:val="0"/>
    <w:pPr>
      <w:adjustRightInd w:val="0"/>
      <w:spacing w:before="0" w:after="0" w:line="360" w:lineRule="auto"/>
      <w:jc w:val="center"/>
      <w:textAlignment w:val="baseline"/>
    </w:pPr>
    <w:rPr>
      <w:rFonts w:ascii="宋体" w:hAnsi="宋体" w:eastAsia="宋体"/>
      <w:bCs w:val="0"/>
      <w:sz w:val="36"/>
    </w:rPr>
  </w:style>
  <w:style w:type="table" w:customStyle="1" w:styleId="305">
    <w:name w:val="彩色列表 - 强调文字颜色 1111"/>
    <w:basedOn w:val="53"/>
    <w:qFormat/>
    <w:uiPriority w:val="34"/>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paragraph" w:customStyle="1" w:styleId="306">
    <w:name w:val="_Style 4"/>
    <w:basedOn w:val="1"/>
    <w:next w:val="299"/>
    <w:qFormat/>
    <w:uiPriority w:val="0"/>
    <w:pPr>
      <w:ind w:firstLine="420" w:firstLineChars="200"/>
    </w:pPr>
  </w:style>
  <w:style w:type="table" w:customStyle="1" w:styleId="307">
    <w:name w:val="彩色列表 - 强调文字颜色 11"/>
    <w:basedOn w:val="53"/>
    <w:qFormat/>
    <w:uiPriority w:val="0"/>
    <w:rPr>
      <w:rFonts w:ascii="Calibri" w:hAnsi="Calibri" w:eastAsia="等线"/>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308">
    <w:name w:val="Header Char"/>
    <w:qFormat/>
    <w:locked/>
    <w:uiPriority w:val="0"/>
    <w:rPr>
      <w:rFonts w:ascii="Calibri" w:hAnsi="Calibri" w:eastAsia="宋体"/>
      <w:kern w:val="2"/>
      <w:sz w:val="18"/>
      <w:szCs w:val="18"/>
      <w:lang w:val="en-US" w:eastAsia="zh-CN" w:bidi="ar-SA"/>
    </w:rPr>
  </w:style>
  <w:style w:type="character" w:customStyle="1" w:styleId="309">
    <w:name w:val="Footer Char"/>
    <w:qFormat/>
    <w:locked/>
    <w:uiPriority w:val="0"/>
    <w:rPr>
      <w:rFonts w:ascii="Calibri" w:hAnsi="Calibri" w:eastAsia="宋体"/>
      <w:kern w:val="2"/>
      <w:sz w:val="18"/>
      <w:szCs w:val="18"/>
      <w:lang w:val="en-US" w:eastAsia="zh-CN" w:bidi="ar-SA"/>
    </w:rPr>
  </w:style>
  <w:style w:type="paragraph" w:customStyle="1" w:styleId="310">
    <w:name w:val="列表段落11"/>
    <w:basedOn w:val="1"/>
    <w:qFormat/>
    <w:uiPriority w:val="0"/>
    <w:pPr>
      <w:ind w:firstLine="420" w:firstLineChars="200"/>
    </w:pPr>
    <w:rPr>
      <w:rFonts w:ascii="Calibri" w:hAnsi="Calibri"/>
      <w:szCs w:val="22"/>
    </w:rPr>
  </w:style>
  <w:style w:type="character" w:customStyle="1" w:styleId="311">
    <w:name w:val="Heading 1 Char"/>
    <w:qFormat/>
    <w:locked/>
    <w:uiPriority w:val="0"/>
    <w:rPr>
      <w:rFonts w:ascii="宋体" w:eastAsia="宋体"/>
      <w:b/>
      <w:bCs/>
      <w:kern w:val="44"/>
      <w:sz w:val="44"/>
      <w:szCs w:val="44"/>
      <w:lang w:val="en-US" w:eastAsia="zh-CN" w:bidi="ar-SA"/>
    </w:rPr>
  </w:style>
  <w:style w:type="character" w:customStyle="1" w:styleId="312">
    <w:name w:val="Heading 2 Char"/>
    <w:qFormat/>
    <w:locked/>
    <w:uiPriority w:val="0"/>
    <w:rPr>
      <w:rFonts w:ascii="Arial" w:hAnsi="Arial" w:eastAsia="黑体"/>
      <w:b/>
      <w:bCs/>
      <w:kern w:val="21"/>
      <w:sz w:val="32"/>
      <w:szCs w:val="32"/>
      <w:lang w:val="en-US" w:eastAsia="zh-CN" w:bidi="ar-SA"/>
    </w:rPr>
  </w:style>
  <w:style w:type="character" w:customStyle="1" w:styleId="313">
    <w:name w:val="Heading 3 Char"/>
    <w:qFormat/>
    <w:locked/>
    <w:uiPriority w:val="0"/>
    <w:rPr>
      <w:rFonts w:ascii="宋体" w:eastAsia="宋体"/>
      <w:b/>
      <w:bCs/>
      <w:kern w:val="21"/>
      <w:sz w:val="32"/>
      <w:szCs w:val="32"/>
      <w:lang w:val="en-US" w:eastAsia="zh-CN" w:bidi="ar-SA"/>
    </w:rPr>
  </w:style>
  <w:style w:type="character" w:customStyle="1" w:styleId="314">
    <w:name w:val="Heading 4 Char"/>
    <w:qFormat/>
    <w:locked/>
    <w:uiPriority w:val="0"/>
    <w:rPr>
      <w:rFonts w:ascii="Arial" w:hAnsi="Arial" w:eastAsia="黑体"/>
      <w:b/>
      <w:bCs/>
      <w:kern w:val="21"/>
      <w:sz w:val="28"/>
      <w:szCs w:val="28"/>
      <w:lang w:val="en-US" w:eastAsia="zh-CN" w:bidi="ar-SA"/>
    </w:rPr>
  </w:style>
  <w:style w:type="character" w:customStyle="1" w:styleId="315">
    <w:name w:val="Heading 5 Char"/>
    <w:qFormat/>
    <w:locked/>
    <w:uiPriority w:val="0"/>
    <w:rPr>
      <w:rFonts w:ascii="宋体" w:eastAsia="宋体"/>
      <w:b/>
      <w:bCs/>
      <w:kern w:val="21"/>
      <w:sz w:val="28"/>
      <w:szCs w:val="28"/>
      <w:lang w:val="en-US" w:eastAsia="zh-CN" w:bidi="ar-SA"/>
    </w:rPr>
  </w:style>
  <w:style w:type="character" w:customStyle="1" w:styleId="316">
    <w:name w:val="Heading 6 Char"/>
    <w:qFormat/>
    <w:locked/>
    <w:uiPriority w:val="0"/>
    <w:rPr>
      <w:rFonts w:ascii="Arial" w:hAnsi="Arial" w:eastAsia="黑体"/>
      <w:b/>
      <w:bCs/>
      <w:kern w:val="21"/>
      <w:sz w:val="24"/>
      <w:szCs w:val="21"/>
      <w:lang w:val="en-US" w:eastAsia="zh-CN" w:bidi="ar-SA"/>
    </w:rPr>
  </w:style>
  <w:style w:type="character" w:customStyle="1" w:styleId="317">
    <w:name w:val="Heading 7 Char"/>
    <w:qFormat/>
    <w:locked/>
    <w:uiPriority w:val="0"/>
    <w:rPr>
      <w:rFonts w:ascii="宋体" w:eastAsia="宋体"/>
      <w:b/>
      <w:bCs/>
      <w:kern w:val="21"/>
      <w:sz w:val="24"/>
      <w:szCs w:val="21"/>
      <w:lang w:val="en-US" w:eastAsia="zh-CN" w:bidi="ar-SA"/>
    </w:rPr>
  </w:style>
  <w:style w:type="character" w:customStyle="1" w:styleId="318">
    <w:name w:val="Heading 8 Char"/>
    <w:qFormat/>
    <w:locked/>
    <w:uiPriority w:val="0"/>
    <w:rPr>
      <w:rFonts w:ascii="Arial" w:hAnsi="Arial" w:eastAsia="黑体"/>
      <w:kern w:val="21"/>
      <w:sz w:val="24"/>
      <w:szCs w:val="21"/>
      <w:lang w:val="en-US" w:eastAsia="zh-CN" w:bidi="ar-SA"/>
    </w:rPr>
  </w:style>
  <w:style w:type="character" w:customStyle="1" w:styleId="319">
    <w:name w:val="Heading 9 Char"/>
    <w:qFormat/>
    <w:locked/>
    <w:uiPriority w:val="0"/>
    <w:rPr>
      <w:rFonts w:ascii="Arial" w:hAnsi="Arial" w:eastAsia="黑体"/>
      <w:kern w:val="21"/>
      <w:sz w:val="21"/>
      <w:szCs w:val="21"/>
      <w:lang w:val="en-US" w:eastAsia="zh-CN" w:bidi="ar-SA"/>
    </w:rPr>
  </w:style>
  <w:style w:type="character" w:customStyle="1" w:styleId="320">
    <w:name w:val="一级条标题 Char"/>
    <w:qFormat/>
    <w:uiPriority w:val="0"/>
    <w:rPr>
      <w:rFonts w:cs="黑体"/>
      <w:szCs w:val="21"/>
      <w:lang w:val="en-US" w:eastAsia="zh-CN" w:bidi="ar-SA"/>
    </w:rPr>
  </w:style>
  <w:style w:type="character" w:customStyle="1" w:styleId="321">
    <w:name w:val="章标题 Char"/>
    <w:qFormat/>
    <w:uiPriority w:val="0"/>
    <w:rPr>
      <w:rFonts w:ascii="黑体" w:eastAsia="黑体"/>
      <w:sz w:val="21"/>
      <w:lang w:val="en-US" w:eastAsia="zh-CN"/>
    </w:rPr>
  </w:style>
  <w:style w:type="character" w:customStyle="1" w:styleId="322">
    <w:name w:val="发布"/>
    <w:qFormat/>
    <w:uiPriority w:val="0"/>
    <w:rPr>
      <w:rFonts w:ascii="黑体" w:eastAsia="黑体"/>
      <w:spacing w:val="22"/>
      <w:w w:val="100"/>
      <w:position w:val="3"/>
      <w:sz w:val="28"/>
    </w:rPr>
  </w:style>
  <w:style w:type="character" w:customStyle="1" w:styleId="323">
    <w:name w:val="个人答复风格"/>
    <w:qFormat/>
    <w:uiPriority w:val="0"/>
    <w:rPr>
      <w:rFonts w:ascii="Arial" w:hAnsi="Arial" w:eastAsia="宋体"/>
      <w:color w:val="auto"/>
      <w:sz w:val="20"/>
    </w:rPr>
  </w:style>
  <w:style w:type="character" w:customStyle="1" w:styleId="324">
    <w:name w:val="三级条标题 Char"/>
    <w:qFormat/>
    <w:uiPriority w:val="0"/>
    <w:rPr>
      <w:lang w:val="en-US" w:eastAsia="zh-CN" w:bidi="ar-SA"/>
    </w:rPr>
  </w:style>
  <w:style w:type="character" w:customStyle="1" w:styleId="325">
    <w:name w:val="二级条标题 Char"/>
    <w:qFormat/>
    <w:uiPriority w:val="0"/>
    <w:rPr>
      <w:lang w:val="en-US" w:eastAsia="zh-CN" w:bidi="ar-SA"/>
    </w:rPr>
  </w:style>
  <w:style w:type="character" w:customStyle="1" w:styleId="326">
    <w:name w:val="章标题 Char Char"/>
    <w:link w:val="327"/>
    <w:qFormat/>
    <w:locked/>
    <w:uiPriority w:val="0"/>
    <w:rPr>
      <w:rFonts w:ascii="黑体" w:eastAsia="黑体"/>
      <w:kern w:val="2"/>
      <w:sz w:val="22"/>
      <w:lang w:val="en-US" w:eastAsia="zh-CN" w:bidi="ar-SA"/>
    </w:rPr>
  </w:style>
  <w:style w:type="paragraph" w:customStyle="1" w:styleId="327">
    <w:name w:val="章标题"/>
    <w:next w:val="233"/>
    <w:link w:val="326"/>
    <w:qFormat/>
    <w:uiPriority w:val="0"/>
    <w:pPr>
      <w:numPr>
        <w:ilvl w:val="1"/>
        <w:numId w:val="1"/>
      </w:numPr>
      <w:spacing w:beforeLines="50" w:afterLines="50"/>
      <w:jc w:val="both"/>
      <w:outlineLvl w:val="1"/>
    </w:pPr>
    <w:rPr>
      <w:rFonts w:ascii="黑体" w:hAnsi="Times New Roman" w:eastAsia="黑体" w:cs="Times New Roman"/>
      <w:kern w:val="2"/>
      <w:sz w:val="22"/>
      <w:lang w:val="en-US" w:eastAsia="zh-CN" w:bidi="ar-SA"/>
    </w:rPr>
  </w:style>
  <w:style w:type="character" w:customStyle="1" w:styleId="328">
    <w:name w:val="三级条标题 Char Char"/>
    <w:link w:val="329"/>
    <w:qFormat/>
    <w:locked/>
    <w:uiPriority w:val="0"/>
    <w:rPr>
      <w:lang w:val="en-US" w:eastAsia="zh-CN" w:bidi="ar-SA"/>
    </w:rPr>
  </w:style>
  <w:style w:type="paragraph" w:customStyle="1" w:styleId="329">
    <w:name w:val="三级条标题"/>
    <w:basedOn w:val="330"/>
    <w:next w:val="233"/>
    <w:link w:val="328"/>
    <w:qFormat/>
    <w:uiPriority w:val="0"/>
    <w:pPr>
      <w:tabs>
        <w:tab w:val="left" w:pos="312"/>
        <w:tab w:val="left" w:pos="360"/>
      </w:tabs>
    </w:pPr>
  </w:style>
  <w:style w:type="paragraph" w:customStyle="1" w:styleId="330">
    <w:name w:val="二级条标题"/>
    <w:basedOn w:val="331"/>
    <w:next w:val="233"/>
    <w:link w:val="333"/>
    <w:qFormat/>
    <w:uiPriority w:val="0"/>
    <w:pPr>
      <w:numPr>
        <w:ilvl w:val="3"/>
        <w:numId w:val="2"/>
      </w:numPr>
      <w:tabs>
        <w:tab w:val="left" w:pos="312"/>
        <w:tab w:val="left" w:pos="360"/>
      </w:tabs>
      <w:outlineLvl w:val="3"/>
    </w:pPr>
  </w:style>
  <w:style w:type="paragraph" w:customStyle="1" w:styleId="331">
    <w:name w:val="一级条标题"/>
    <w:basedOn w:val="327"/>
    <w:next w:val="233"/>
    <w:link w:val="332"/>
    <w:qFormat/>
    <w:uiPriority w:val="0"/>
    <w:pPr>
      <w:numPr>
        <w:ilvl w:val="2"/>
      </w:numPr>
      <w:tabs>
        <w:tab w:val="left" w:pos="312"/>
        <w:tab w:val="left" w:pos="360"/>
      </w:tabs>
      <w:spacing w:beforeLines="0" w:afterLines="0"/>
      <w:ind w:left="0"/>
      <w:outlineLvl w:val="2"/>
    </w:pPr>
    <w:rPr>
      <w:szCs w:val="22"/>
    </w:rPr>
  </w:style>
  <w:style w:type="character" w:customStyle="1" w:styleId="332">
    <w:name w:val="一级条标题 Char Char"/>
    <w:link w:val="331"/>
    <w:qFormat/>
    <w:locked/>
    <w:uiPriority w:val="0"/>
    <w:rPr>
      <w:szCs w:val="22"/>
      <w:lang w:val="en-US" w:eastAsia="zh-CN" w:bidi="ar-SA"/>
    </w:rPr>
  </w:style>
  <w:style w:type="character" w:customStyle="1" w:styleId="333">
    <w:name w:val="二级条标题 Char Char"/>
    <w:link w:val="330"/>
    <w:qFormat/>
    <w:locked/>
    <w:uiPriority w:val="0"/>
    <w:rPr>
      <w:lang w:val="en-US" w:eastAsia="zh-CN" w:bidi="ar-SA"/>
    </w:rPr>
  </w:style>
  <w:style w:type="character" w:customStyle="1" w:styleId="334">
    <w:name w:val="个人撰写风格"/>
    <w:qFormat/>
    <w:uiPriority w:val="0"/>
    <w:rPr>
      <w:rFonts w:ascii="Arial" w:hAnsi="Arial" w:eastAsia="宋体"/>
      <w:color w:val="auto"/>
      <w:sz w:val="20"/>
    </w:rPr>
  </w:style>
  <w:style w:type="paragraph" w:customStyle="1" w:styleId="335">
    <w:name w:val="其他发布部门"/>
    <w:basedOn w:val="336"/>
    <w:qFormat/>
    <w:uiPriority w:val="0"/>
    <w:pPr>
      <w:spacing w:line="240" w:lineRule="atLeast"/>
    </w:pPr>
    <w:rPr>
      <w:rFonts w:ascii="黑体" w:eastAsia="黑体"/>
      <w:b w:val="0"/>
    </w:rPr>
  </w:style>
  <w:style w:type="paragraph" w:customStyle="1" w:styleId="336">
    <w:name w:val="发布部门"/>
    <w:next w:val="233"/>
    <w:qFormat/>
    <w:uiPriority w:val="0"/>
    <w:pPr>
      <w:jc w:val="center"/>
    </w:pPr>
    <w:rPr>
      <w:rFonts w:ascii="宋体" w:hAnsi="Times New Roman" w:eastAsia="宋体" w:cs="Times New Roman"/>
      <w:b/>
      <w:spacing w:val="20"/>
      <w:w w:val="135"/>
      <w:sz w:val="36"/>
      <w:lang w:val="en-US" w:eastAsia="zh-CN" w:bidi="ar-SA"/>
    </w:rPr>
  </w:style>
  <w:style w:type="paragraph" w:customStyle="1" w:styleId="337">
    <w:name w:val="其他标准称谓"/>
    <w:qFormat/>
    <w:uiPriority w:val="0"/>
    <w:pPr>
      <w:spacing w:line="240" w:lineRule="atLeast"/>
      <w:jc w:val="distribute"/>
    </w:pPr>
    <w:rPr>
      <w:rFonts w:ascii="黑体" w:hAnsi="宋体" w:eastAsia="黑体" w:cs="Times New Roman"/>
      <w:sz w:val="52"/>
      <w:lang w:val="en-US" w:eastAsia="zh-CN" w:bidi="ar-SA"/>
    </w:rPr>
  </w:style>
  <w:style w:type="paragraph" w:customStyle="1" w:styleId="33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39">
    <w:name w:val="文献分类号"/>
    <w:qFormat/>
    <w:uiPriority w:val="0"/>
    <w:pPr>
      <w:widowControl w:val="0"/>
      <w:jc w:val="both"/>
      <w:textAlignment w:val="center"/>
    </w:pPr>
    <w:rPr>
      <w:rFonts w:ascii="Times New Roman" w:hAnsi="Times New Roman" w:eastAsia="黑体" w:cs="Times New Roman"/>
      <w:sz w:val="21"/>
      <w:lang w:val="en-US" w:eastAsia="zh-CN" w:bidi="ar-SA"/>
    </w:rPr>
  </w:style>
  <w:style w:type="paragraph" w:customStyle="1" w:styleId="340">
    <w:name w:val="封面标准代替信息"/>
    <w:basedOn w:val="341"/>
    <w:qFormat/>
    <w:uiPriority w:val="0"/>
    <w:pPr>
      <w:spacing w:before="57"/>
    </w:pPr>
    <w:rPr>
      <w:rFonts w:ascii="宋体"/>
      <w:sz w:val="21"/>
    </w:rPr>
  </w:style>
  <w:style w:type="paragraph" w:customStyle="1" w:styleId="341">
    <w:name w:val="封面标准号2"/>
    <w:basedOn w:val="342"/>
    <w:qFormat/>
    <w:uiPriority w:val="0"/>
    <w:pPr>
      <w:adjustRightInd w:val="0"/>
      <w:spacing w:before="357" w:line="280" w:lineRule="exact"/>
    </w:pPr>
  </w:style>
  <w:style w:type="paragraph" w:customStyle="1" w:styleId="34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43">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44">
    <w:name w:val="正文表标题"/>
    <w:next w:val="233"/>
    <w:qFormat/>
    <w:uiPriority w:val="0"/>
    <w:pPr>
      <w:numPr>
        <w:ilvl w:val="0"/>
        <w:numId w:val="1"/>
      </w:numPr>
      <w:jc w:val="center"/>
    </w:pPr>
    <w:rPr>
      <w:rFonts w:ascii="黑体" w:hAnsi="Times New Roman" w:eastAsia="黑体" w:cs="Times New Roman"/>
      <w:sz w:val="21"/>
      <w:lang w:val="en-US" w:eastAsia="zh-CN" w:bidi="ar-SA"/>
    </w:rPr>
  </w:style>
  <w:style w:type="paragraph" w:customStyle="1" w:styleId="345">
    <w:name w:val="附录章标题"/>
    <w:next w:val="233"/>
    <w:qFormat/>
    <w:uiPriority w:val="0"/>
    <w:pPr>
      <w:numPr>
        <w:ilvl w:val="1"/>
        <w:numId w:val="3"/>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346">
    <w:name w:val="五级无标题条"/>
    <w:basedOn w:val="1"/>
    <w:qFormat/>
    <w:uiPriority w:val="0"/>
    <w:pPr>
      <w:numPr>
        <w:ilvl w:val="6"/>
        <w:numId w:val="3"/>
      </w:numPr>
    </w:pPr>
    <w:rPr>
      <w:rFonts w:ascii="宋体"/>
      <w:kern w:val="21"/>
      <w:szCs w:val="21"/>
    </w:rPr>
  </w:style>
  <w:style w:type="paragraph" w:customStyle="1" w:styleId="347">
    <w:name w:val="三级无标题条"/>
    <w:basedOn w:val="1"/>
    <w:qFormat/>
    <w:uiPriority w:val="0"/>
    <w:pPr>
      <w:numPr>
        <w:ilvl w:val="4"/>
        <w:numId w:val="3"/>
      </w:numPr>
    </w:pPr>
    <w:rPr>
      <w:rFonts w:ascii="宋体"/>
      <w:kern w:val="21"/>
      <w:szCs w:val="21"/>
    </w:rPr>
  </w:style>
  <w:style w:type="character" w:customStyle="1" w:styleId="348">
    <w:name w:val="Document Map Char"/>
    <w:qFormat/>
    <w:locked/>
    <w:uiPriority w:val="0"/>
    <w:rPr>
      <w:rFonts w:ascii="宋体" w:eastAsia="宋体"/>
      <w:kern w:val="21"/>
      <w:sz w:val="21"/>
      <w:szCs w:val="21"/>
      <w:lang w:val="en-US" w:eastAsia="zh-CN" w:bidi="ar-SA"/>
    </w:rPr>
  </w:style>
  <w:style w:type="paragraph" w:customStyle="1" w:styleId="349">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50">
    <w:name w:val="目次、标准名称标题"/>
    <w:basedOn w:val="343"/>
    <w:next w:val="233"/>
    <w:qFormat/>
    <w:uiPriority w:val="0"/>
    <w:pPr>
      <w:numPr>
        <w:numId w:val="0"/>
      </w:numPr>
      <w:spacing w:line="460" w:lineRule="exact"/>
    </w:pPr>
  </w:style>
  <w:style w:type="paragraph" w:customStyle="1" w:styleId="351">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52">
    <w:name w:val="二级无标题条"/>
    <w:basedOn w:val="1"/>
    <w:qFormat/>
    <w:uiPriority w:val="0"/>
    <w:pPr>
      <w:numPr>
        <w:ilvl w:val="3"/>
        <w:numId w:val="3"/>
      </w:numPr>
    </w:pPr>
    <w:rPr>
      <w:rFonts w:ascii="宋体"/>
      <w:kern w:val="21"/>
      <w:szCs w:val="21"/>
    </w:rPr>
  </w:style>
  <w:style w:type="paragraph" w:customStyle="1" w:styleId="353">
    <w:name w:val="条文脚注"/>
    <w:basedOn w:val="40"/>
    <w:qFormat/>
    <w:uiPriority w:val="0"/>
    <w:pPr>
      <w:ind w:left="780" w:leftChars="200" w:hanging="360" w:hangingChars="200"/>
      <w:jc w:val="both"/>
    </w:pPr>
  </w:style>
  <w:style w:type="character" w:customStyle="1" w:styleId="354">
    <w:name w:val="HTML Preformatted Char"/>
    <w:qFormat/>
    <w:locked/>
    <w:uiPriority w:val="0"/>
    <w:rPr>
      <w:rFonts w:ascii="Courier New" w:hAnsi="Courier New" w:eastAsia="宋体" w:cs="Courier New"/>
      <w:kern w:val="21"/>
      <w:lang w:val="en-US" w:eastAsia="zh-CN" w:bidi="ar-SA"/>
    </w:rPr>
  </w:style>
  <w:style w:type="character" w:customStyle="1" w:styleId="355">
    <w:name w:val="Date Char"/>
    <w:qFormat/>
    <w:locked/>
    <w:uiPriority w:val="0"/>
    <w:rPr>
      <w:rFonts w:ascii="宋体" w:eastAsia="宋体"/>
      <w:kern w:val="21"/>
      <w:sz w:val="24"/>
      <w:lang w:val="en-US" w:eastAsia="zh-CN" w:bidi="ar-SA"/>
    </w:rPr>
  </w:style>
  <w:style w:type="paragraph" w:customStyle="1" w:styleId="356">
    <w:name w:val="四级条标题"/>
    <w:basedOn w:val="329"/>
    <w:next w:val="233"/>
    <w:qFormat/>
    <w:uiPriority w:val="0"/>
    <w:pPr>
      <w:numPr>
        <w:ilvl w:val="5"/>
      </w:numPr>
      <w:ind w:left="2316"/>
      <w:outlineLvl w:val="5"/>
    </w:pPr>
  </w:style>
  <w:style w:type="character" w:customStyle="1" w:styleId="357">
    <w:name w:val="Title Char"/>
    <w:qFormat/>
    <w:locked/>
    <w:uiPriority w:val="0"/>
    <w:rPr>
      <w:rFonts w:ascii="Arial" w:hAnsi="Arial" w:eastAsia="宋体" w:cs="Arial"/>
      <w:b/>
      <w:bCs/>
      <w:kern w:val="21"/>
      <w:sz w:val="32"/>
      <w:szCs w:val="32"/>
      <w:lang w:val="en-US" w:eastAsia="zh-CN" w:bidi="ar-SA"/>
    </w:rPr>
  </w:style>
  <w:style w:type="paragraph" w:customStyle="1" w:styleId="358">
    <w:name w:val="注："/>
    <w:next w:val="233"/>
    <w:qFormat/>
    <w:uiPriority w:val="0"/>
    <w:pPr>
      <w:widowControl w:val="0"/>
      <w:numPr>
        <w:ilvl w:val="0"/>
        <w:numId w:val="4"/>
      </w:numPr>
      <w:autoSpaceDE w:val="0"/>
      <w:autoSpaceDN w:val="0"/>
      <w:jc w:val="both"/>
    </w:pPr>
    <w:rPr>
      <w:rFonts w:ascii="宋体" w:hAnsi="Times New Roman" w:eastAsia="宋体" w:cs="Times New Roman"/>
      <w:sz w:val="18"/>
      <w:lang w:val="en-US" w:eastAsia="zh-CN" w:bidi="ar-SA"/>
    </w:rPr>
  </w:style>
  <w:style w:type="paragraph" w:customStyle="1" w:styleId="359">
    <w:name w:val="五级条标题"/>
    <w:basedOn w:val="356"/>
    <w:next w:val="233"/>
    <w:qFormat/>
    <w:uiPriority w:val="0"/>
    <w:pPr>
      <w:numPr>
        <w:ilvl w:val="6"/>
      </w:numPr>
      <w:outlineLvl w:val="6"/>
    </w:pPr>
  </w:style>
  <w:style w:type="paragraph" w:customStyle="1" w:styleId="360">
    <w:name w:val="附录表标题"/>
    <w:next w:val="233"/>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361">
    <w:name w:val="正文图标题"/>
    <w:next w:val="233"/>
    <w:qFormat/>
    <w:uiPriority w:val="0"/>
    <w:pPr>
      <w:numPr>
        <w:ilvl w:val="0"/>
        <w:numId w:val="5"/>
      </w:numPr>
      <w:jc w:val="center"/>
    </w:pPr>
    <w:rPr>
      <w:rFonts w:ascii="黑体" w:hAnsi="Times New Roman" w:eastAsia="黑体" w:cs="Times New Roman"/>
      <w:sz w:val="21"/>
      <w:lang w:val="en-US" w:eastAsia="zh-CN" w:bidi="ar-SA"/>
    </w:rPr>
  </w:style>
  <w:style w:type="paragraph" w:customStyle="1" w:styleId="362">
    <w:name w:val="附录标识"/>
    <w:basedOn w:val="343"/>
    <w:qFormat/>
    <w:uiPriority w:val="0"/>
    <w:pPr>
      <w:numPr>
        <w:ilvl w:val="0"/>
        <w:numId w:val="6"/>
      </w:numPr>
      <w:tabs>
        <w:tab w:val="left" w:pos="6405"/>
      </w:tabs>
      <w:spacing w:after="200"/>
      <w:ind w:firstLine="0"/>
    </w:pPr>
    <w:rPr>
      <w:sz w:val="21"/>
    </w:rPr>
  </w:style>
  <w:style w:type="paragraph" w:customStyle="1" w:styleId="363">
    <w:name w:val="标准书眉_偶数页"/>
    <w:basedOn w:val="364"/>
    <w:next w:val="1"/>
    <w:qFormat/>
    <w:uiPriority w:val="0"/>
    <w:pPr>
      <w:tabs>
        <w:tab w:val="center" w:pos="4154"/>
        <w:tab w:val="right" w:pos="8306"/>
      </w:tabs>
      <w:jc w:val="left"/>
    </w:pPr>
  </w:style>
  <w:style w:type="paragraph" w:customStyle="1" w:styleId="36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65">
    <w:name w:val="附录三级条标题"/>
    <w:basedOn w:val="366"/>
    <w:next w:val="233"/>
    <w:qFormat/>
    <w:uiPriority w:val="0"/>
    <w:pPr>
      <w:numPr>
        <w:ilvl w:val="4"/>
      </w:numPr>
      <w:tabs>
        <w:tab w:val="left" w:pos="1418"/>
      </w:tabs>
      <w:outlineLvl w:val="4"/>
    </w:pPr>
  </w:style>
  <w:style w:type="paragraph" w:customStyle="1" w:styleId="366">
    <w:name w:val="附录二级条标题"/>
    <w:basedOn w:val="367"/>
    <w:next w:val="233"/>
    <w:qFormat/>
    <w:uiPriority w:val="0"/>
    <w:pPr>
      <w:numPr>
        <w:ilvl w:val="3"/>
      </w:numPr>
      <w:tabs>
        <w:tab w:val="left" w:pos="1418"/>
      </w:tabs>
      <w:outlineLvl w:val="3"/>
    </w:pPr>
  </w:style>
  <w:style w:type="paragraph" w:customStyle="1" w:styleId="367">
    <w:name w:val="附录一级条标题"/>
    <w:basedOn w:val="345"/>
    <w:next w:val="233"/>
    <w:qFormat/>
    <w:uiPriority w:val="0"/>
    <w:pPr>
      <w:numPr>
        <w:ilvl w:val="2"/>
        <w:numId w:val="6"/>
      </w:numPr>
      <w:autoSpaceDN w:val="0"/>
      <w:spacing w:beforeLines="0" w:afterLines="0"/>
      <w:outlineLvl w:val="2"/>
    </w:pPr>
  </w:style>
  <w:style w:type="paragraph" w:customStyle="1" w:styleId="368">
    <w:name w:val="附录图标题"/>
    <w:next w:val="233"/>
    <w:qFormat/>
    <w:uiPriority w:val="0"/>
    <w:pPr>
      <w:jc w:val="center"/>
    </w:pPr>
    <w:rPr>
      <w:rFonts w:ascii="黑体" w:hAnsi="Times New Roman" w:eastAsia="黑体" w:cs="Times New Roman"/>
      <w:sz w:val="21"/>
      <w:lang w:val="en-US" w:eastAsia="zh-CN" w:bidi="ar-SA"/>
    </w:rPr>
  </w:style>
  <w:style w:type="paragraph" w:customStyle="1" w:styleId="369">
    <w:name w:val="四级无标题条"/>
    <w:basedOn w:val="1"/>
    <w:qFormat/>
    <w:uiPriority w:val="0"/>
    <w:pPr>
      <w:numPr>
        <w:ilvl w:val="5"/>
        <w:numId w:val="3"/>
      </w:numPr>
    </w:pPr>
    <w:rPr>
      <w:rFonts w:ascii="宋体"/>
      <w:kern w:val="21"/>
      <w:szCs w:val="21"/>
    </w:rPr>
  </w:style>
  <w:style w:type="paragraph" w:customStyle="1" w:styleId="370">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371">
    <w:name w:val="封面正文"/>
    <w:qFormat/>
    <w:uiPriority w:val="0"/>
    <w:pPr>
      <w:jc w:val="both"/>
    </w:pPr>
    <w:rPr>
      <w:rFonts w:ascii="Times New Roman" w:hAnsi="Times New Roman" w:eastAsia="宋体" w:cs="Times New Roman"/>
      <w:lang w:val="en-US" w:eastAsia="zh-CN" w:bidi="ar-SA"/>
    </w:rPr>
  </w:style>
  <w:style w:type="character" w:customStyle="1" w:styleId="372">
    <w:name w:val="Balloon Text Char"/>
    <w:qFormat/>
    <w:locked/>
    <w:uiPriority w:val="0"/>
    <w:rPr>
      <w:rFonts w:ascii="宋体" w:eastAsia="宋体"/>
      <w:kern w:val="21"/>
      <w:sz w:val="18"/>
      <w:szCs w:val="18"/>
      <w:lang w:val="en-US" w:eastAsia="zh-CN" w:bidi="ar-SA"/>
    </w:rPr>
  </w:style>
  <w:style w:type="paragraph" w:customStyle="1" w:styleId="373">
    <w:name w:val="实施日期"/>
    <w:basedOn w:val="374"/>
    <w:qFormat/>
    <w:uiPriority w:val="0"/>
    <w:pPr>
      <w:jc w:val="right"/>
    </w:pPr>
  </w:style>
  <w:style w:type="paragraph" w:customStyle="1" w:styleId="374">
    <w:name w:val="发布日期"/>
    <w:qFormat/>
    <w:uiPriority w:val="0"/>
    <w:pPr>
      <w:jc w:val="both"/>
    </w:pPr>
    <w:rPr>
      <w:rFonts w:ascii="Times New Roman" w:hAnsi="Times New Roman" w:eastAsia="黑体" w:cs="Times New Roman"/>
      <w:sz w:val="28"/>
      <w:lang w:val="en-US" w:eastAsia="zh-CN" w:bidi="ar-SA"/>
    </w:rPr>
  </w:style>
  <w:style w:type="paragraph" w:customStyle="1" w:styleId="375">
    <w:name w:val="列项——"/>
    <w:qFormat/>
    <w:uiPriority w:val="0"/>
    <w:pPr>
      <w:widowControl w:val="0"/>
      <w:numPr>
        <w:ilvl w:val="0"/>
        <w:numId w:val="7"/>
      </w:numPr>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376">
    <w:name w:val="示例"/>
    <w:next w:val="233"/>
    <w:qFormat/>
    <w:uiPriority w:val="0"/>
    <w:pPr>
      <w:numPr>
        <w:ilvl w:val="0"/>
        <w:numId w:val="8"/>
      </w:numPr>
      <w:tabs>
        <w:tab w:val="left" w:pos="816"/>
        <w:tab w:val="clear" w:pos="1140"/>
      </w:tabs>
      <w:ind w:firstLine="419" w:firstLineChars="233"/>
      <w:jc w:val="both"/>
    </w:pPr>
    <w:rPr>
      <w:rFonts w:ascii="宋体" w:hAnsi="Times New Roman" w:eastAsia="宋体" w:cs="Times New Roman"/>
      <w:sz w:val="18"/>
      <w:lang w:val="en-US" w:eastAsia="zh-CN" w:bidi="ar-SA"/>
    </w:rPr>
  </w:style>
  <w:style w:type="paragraph" w:customStyle="1" w:styleId="377">
    <w:name w:val="附录四级条标题"/>
    <w:basedOn w:val="365"/>
    <w:next w:val="233"/>
    <w:qFormat/>
    <w:uiPriority w:val="0"/>
    <w:pPr>
      <w:numPr>
        <w:ilvl w:val="5"/>
      </w:numPr>
      <w:outlineLvl w:val="5"/>
    </w:pPr>
  </w:style>
  <w:style w:type="paragraph" w:customStyle="1" w:styleId="378">
    <w:name w:val="列项·"/>
    <w:qFormat/>
    <w:uiPriority w:val="0"/>
    <w:pPr>
      <w:numPr>
        <w:ilvl w:val="0"/>
        <w:numId w:val="9"/>
      </w:numPr>
      <w:tabs>
        <w:tab w:val="left" w:pos="840"/>
        <w:tab w:val="clear" w:pos="1120"/>
      </w:tabs>
      <w:ind w:left="840" w:leftChars="200" w:hanging="420" w:hangingChars="200"/>
      <w:jc w:val="both"/>
    </w:pPr>
    <w:rPr>
      <w:rFonts w:ascii="宋体" w:hAnsi="Times New Roman" w:eastAsia="宋体" w:cs="Times New Roman"/>
      <w:sz w:val="21"/>
      <w:lang w:val="en-US" w:eastAsia="zh-CN" w:bidi="ar-SA"/>
    </w:rPr>
  </w:style>
  <w:style w:type="paragraph" w:customStyle="1" w:styleId="379">
    <w:name w:val="图表脚注"/>
    <w:next w:val="233"/>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38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81">
    <w:name w:val="一级无标题条"/>
    <w:basedOn w:val="1"/>
    <w:qFormat/>
    <w:uiPriority w:val="0"/>
    <w:pPr>
      <w:numPr>
        <w:ilvl w:val="2"/>
        <w:numId w:val="3"/>
      </w:numPr>
    </w:pPr>
    <w:rPr>
      <w:rFonts w:ascii="宋体"/>
      <w:kern w:val="21"/>
      <w:szCs w:val="21"/>
    </w:rPr>
  </w:style>
  <w:style w:type="paragraph" w:customStyle="1" w:styleId="38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383">
    <w:name w:val="无标题条"/>
    <w:next w:val="233"/>
    <w:qFormat/>
    <w:uiPriority w:val="0"/>
    <w:pPr>
      <w:jc w:val="both"/>
    </w:pPr>
    <w:rPr>
      <w:rFonts w:ascii="Times New Roman" w:hAnsi="Times New Roman" w:eastAsia="宋体" w:cs="Times New Roman"/>
      <w:sz w:val="21"/>
      <w:lang w:val="en-US" w:eastAsia="zh-CN" w:bidi="ar-SA"/>
    </w:rPr>
  </w:style>
  <w:style w:type="paragraph" w:customStyle="1" w:styleId="384">
    <w:name w:val="标准书眉一"/>
    <w:qFormat/>
    <w:uiPriority w:val="0"/>
    <w:pPr>
      <w:jc w:val="both"/>
    </w:pPr>
    <w:rPr>
      <w:rFonts w:ascii="Times New Roman" w:hAnsi="Times New Roman" w:eastAsia="宋体" w:cs="Times New Roman"/>
      <w:lang w:val="en-US" w:eastAsia="zh-CN" w:bidi="ar-SA"/>
    </w:rPr>
  </w:style>
  <w:style w:type="paragraph" w:customStyle="1" w:styleId="385">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86">
    <w:name w:val="标准称谓"/>
    <w:next w:val="1"/>
    <w:qFormat/>
    <w:uiPriority w:val="0"/>
    <w:pPr>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52"/>
      <w:lang w:val="en-US" w:eastAsia="zh-CN" w:bidi="ar-SA"/>
    </w:rPr>
  </w:style>
  <w:style w:type="paragraph" w:customStyle="1" w:styleId="387">
    <w:name w:val="附录五级条标题"/>
    <w:basedOn w:val="377"/>
    <w:next w:val="233"/>
    <w:qFormat/>
    <w:uiPriority w:val="0"/>
    <w:pPr>
      <w:numPr>
        <w:ilvl w:val="6"/>
      </w:numPr>
      <w:outlineLvl w:val="6"/>
    </w:pPr>
  </w:style>
  <w:style w:type="paragraph" w:customStyle="1" w:styleId="388">
    <w:name w:val="注×："/>
    <w:qFormat/>
    <w:uiPriority w:val="0"/>
    <w:pPr>
      <w:widowControl w:val="0"/>
      <w:numPr>
        <w:ilvl w:val="0"/>
        <w:numId w:val="10"/>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38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9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91">
    <w:name w:val="参考文献、索引标题"/>
    <w:basedOn w:val="343"/>
    <w:next w:val="1"/>
    <w:qFormat/>
    <w:uiPriority w:val="0"/>
    <w:pPr>
      <w:numPr>
        <w:numId w:val="0"/>
      </w:numPr>
      <w:spacing w:after="200"/>
    </w:pPr>
    <w:rPr>
      <w:sz w:val="21"/>
    </w:rPr>
  </w:style>
  <w:style w:type="paragraph" w:customStyle="1" w:styleId="392">
    <w:name w:val="标准书脚_偶数页"/>
    <w:qFormat/>
    <w:uiPriority w:val="0"/>
    <w:pPr>
      <w:spacing w:before="120"/>
      <w:jc w:val="both"/>
    </w:pPr>
    <w:rPr>
      <w:rFonts w:ascii="Times New Roman" w:hAnsi="Times New Roman" w:eastAsia="宋体" w:cs="Times New Roman"/>
      <w:sz w:val="18"/>
      <w:lang w:val="en-US" w:eastAsia="zh-CN" w:bidi="ar-SA"/>
    </w:rPr>
  </w:style>
  <w:style w:type="paragraph" w:customStyle="1" w:styleId="393">
    <w:name w:val="标准标志"/>
    <w:next w:val="1"/>
    <w:qFormat/>
    <w:uiPriority w:val="0"/>
    <w:pPr>
      <w:shd w:val="solid" w:color="FFFFFF" w:fill="FFFFFF"/>
      <w:spacing w:line="240" w:lineRule="atLeast"/>
      <w:jc w:val="right"/>
    </w:pPr>
    <w:rPr>
      <w:rFonts w:ascii="Times New Roman" w:hAnsi="Times New Roman" w:eastAsia="宋体" w:cs="Times New Roman"/>
      <w:b/>
      <w:w w:val="130"/>
      <w:sz w:val="96"/>
      <w:lang w:val="en-US" w:eastAsia="zh-CN" w:bidi="ar-SA"/>
    </w:rPr>
  </w:style>
  <w:style w:type="paragraph" w:customStyle="1" w:styleId="394">
    <w:name w:val="示例×："/>
    <w:basedOn w:val="1"/>
    <w:next w:val="1"/>
    <w:qFormat/>
    <w:uiPriority w:val="0"/>
    <w:pPr>
      <w:tabs>
        <w:tab w:val="left" w:pos="630"/>
        <w:tab w:val="left" w:pos="760"/>
      </w:tabs>
      <w:autoSpaceDE w:val="0"/>
      <w:autoSpaceDN w:val="0"/>
      <w:ind w:left="20" w:firstLine="380"/>
    </w:pPr>
    <w:rPr>
      <w:rFonts w:ascii="宋体"/>
      <w:kern w:val="0"/>
      <w:sz w:val="18"/>
      <w:szCs w:val="20"/>
    </w:rPr>
  </w:style>
  <w:style w:type="character" w:customStyle="1" w:styleId="395">
    <w:name w:val="Char Char33"/>
    <w:qFormat/>
    <w:uiPriority w:val="0"/>
    <w:rPr>
      <w:rFonts w:eastAsia="宋体"/>
      <w:b/>
      <w:bCs/>
      <w:kern w:val="44"/>
      <w:sz w:val="44"/>
      <w:szCs w:val="44"/>
      <w:lang w:val="en-US" w:eastAsia="zh-CN" w:bidi="ar-SA"/>
    </w:rPr>
  </w:style>
  <w:style w:type="character" w:customStyle="1" w:styleId="396">
    <w:name w:val="Char Char32"/>
    <w:qFormat/>
    <w:uiPriority w:val="0"/>
    <w:rPr>
      <w:rFonts w:ascii="Arial" w:hAnsi="Arial" w:eastAsia="黑体"/>
      <w:b/>
      <w:bCs/>
      <w:sz w:val="32"/>
      <w:szCs w:val="32"/>
      <w:lang w:bidi="ar-SA"/>
    </w:rPr>
  </w:style>
  <w:style w:type="character" w:customStyle="1" w:styleId="397">
    <w:name w:val="Char Char35"/>
    <w:qFormat/>
    <w:uiPriority w:val="0"/>
    <w:rPr>
      <w:rFonts w:eastAsia="宋体"/>
      <w:b/>
      <w:bCs/>
      <w:kern w:val="44"/>
      <w:sz w:val="44"/>
      <w:szCs w:val="44"/>
      <w:lang w:val="en-US" w:eastAsia="zh-CN" w:bidi="ar-SA"/>
    </w:rPr>
  </w:style>
  <w:style w:type="character" w:customStyle="1" w:styleId="398">
    <w:name w:val="Char Char34"/>
    <w:qFormat/>
    <w:uiPriority w:val="0"/>
    <w:rPr>
      <w:rFonts w:ascii="Arial" w:hAnsi="Arial" w:eastAsia="黑体"/>
      <w:b/>
      <w:bCs/>
      <w:sz w:val="32"/>
      <w:szCs w:val="32"/>
      <w:lang w:bidi="ar-SA"/>
    </w:rPr>
  </w:style>
  <w:style w:type="paragraph" w:customStyle="1" w:styleId="399">
    <w:name w:val="标准正文 S"/>
    <w:basedOn w:val="1"/>
    <w:qFormat/>
    <w:uiPriority w:val="0"/>
    <w:pPr>
      <w:spacing w:beforeLines="50" w:afterLines="50" w:line="360" w:lineRule="auto"/>
      <w:ind w:firstLine="480"/>
      <w:jc w:val="left"/>
    </w:pPr>
    <w:rPr>
      <w:rFonts w:ascii="Calibri" w:hAnsi="Calibri"/>
      <w:sz w:val="24"/>
    </w:rPr>
  </w:style>
  <w:style w:type="paragraph" w:customStyle="1" w:styleId="400">
    <w:name w:val="*正文"/>
    <w:basedOn w:val="1"/>
    <w:qFormat/>
    <w:uiPriority w:val="0"/>
    <w:pPr>
      <w:spacing w:line="360" w:lineRule="auto"/>
      <w:ind w:firstLine="482"/>
      <w:jc w:val="left"/>
    </w:pPr>
    <w:rPr>
      <w:rFonts w:ascii="宋体" w:hAnsi="宋体"/>
      <w:kern w:val="0"/>
      <w:sz w:val="24"/>
      <w:szCs w:val="20"/>
    </w:rPr>
  </w:style>
  <w:style w:type="character" w:customStyle="1" w:styleId="401">
    <w:name w:val="Body text|3_"/>
    <w:link w:val="402"/>
    <w:qFormat/>
    <w:uiPriority w:val="0"/>
    <w:rPr>
      <w:rFonts w:ascii="宋体" w:hAnsi="宋体" w:eastAsia="宋体"/>
      <w:sz w:val="34"/>
      <w:szCs w:val="34"/>
      <w:lang w:bidi="ar-SA"/>
    </w:rPr>
  </w:style>
  <w:style w:type="paragraph" w:customStyle="1" w:styleId="402">
    <w:name w:val="Body text|3"/>
    <w:basedOn w:val="1"/>
    <w:link w:val="401"/>
    <w:qFormat/>
    <w:uiPriority w:val="0"/>
    <w:pPr>
      <w:spacing w:after="460"/>
      <w:jc w:val="center"/>
    </w:pPr>
    <w:rPr>
      <w:rFonts w:ascii="宋体" w:hAnsi="宋体"/>
      <w:kern w:val="0"/>
      <w:sz w:val="34"/>
      <w:szCs w:val="34"/>
    </w:rPr>
  </w:style>
  <w:style w:type="character" w:customStyle="1" w:styleId="403">
    <w:name w:val="Body text|1_"/>
    <w:link w:val="404"/>
    <w:qFormat/>
    <w:uiPriority w:val="0"/>
    <w:rPr>
      <w:rFonts w:ascii="宋体" w:hAnsi="宋体" w:eastAsia="宋体"/>
      <w:sz w:val="30"/>
      <w:szCs w:val="30"/>
      <w:lang w:bidi="ar-SA"/>
    </w:rPr>
  </w:style>
  <w:style w:type="paragraph" w:customStyle="1" w:styleId="404">
    <w:name w:val="Body text|1"/>
    <w:basedOn w:val="1"/>
    <w:link w:val="403"/>
    <w:qFormat/>
    <w:uiPriority w:val="0"/>
    <w:pPr>
      <w:spacing w:line="353" w:lineRule="auto"/>
      <w:ind w:firstLine="400"/>
      <w:jc w:val="left"/>
    </w:pPr>
    <w:rPr>
      <w:rFonts w:ascii="宋体" w:hAnsi="宋体"/>
      <w:kern w:val="0"/>
      <w:sz w:val="30"/>
      <w:szCs w:val="30"/>
    </w:rPr>
  </w:style>
  <w:style w:type="character" w:customStyle="1" w:styleId="405">
    <w:name w:val="Char Char37"/>
    <w:qFormat/>
    <w:uiPriority w:val="0"/>
    <w:rPr>
      <w:rFonts w:eastAsia="宋体"/>
      <w:b/>
      <w:bCs/>
      <w:kern w:val="44"/>
      <w:sz w:val="44"/>
      <w:szCs w:val="44"/>
      <w:lang w:val="en-US" w:eastAsia="zh-CN" w:bidi="ar-SA"/>
    </w:rPr>
  </w:style>
  <w:style w:type="character" w:customStyle="1" w:styleId="406">
    <w:name w:val="Char Char36"/>
    <w:qFormat/>
    <w:uiPriority w:val="0"/>
    <w:rPr>
      <w:rFonts w:ascii="Arial" w:hAnsi="Arial" w:eastAsia="黑体"/>
      <w:b/>
      <w:bCs/>
      <w:sz w:val="32"/>
      <w:szCs w:val="32"/>
      <w:lang w:bidi="ar-SA"/>
    </w:rPr>
  </w:style>
  <w:style w:type="character" w:customStyle="1" w:styleId="407">
    <w:name w:val="无间隔 字符"/>
    <w:qFormat/>
    <w:uiPriority w:val="0"/>
    <w:rPr>
      <w:sz w:val="22"/>
      <w:szCs w:val="22"/>
      <w:lang w:val="en-US" w:eastAsia="zh-CN" w:bidi="ar-SA"/>
    </w:rPr>
  </w:style>
  <w:style w:type="character" w:customStyle="1" w:styleId="408">
    <w:name w:val="正文文本 2 字符"/>
    <w:qFormat/>
    <w:uiPriority w:val="0"/>
    <w:rPr>
      <w:rFonts w:eastAsia="宋体"/>
      <w:kern w:val="2"/>
      <w:sz w:val="21"/>
      <w:szCs w:val="24"/>
      <w:lang w:val="en-US" w:eastAsia="zh-CN" w:bidi="ar-SA"/>
    </w:rPr>
  </w:style>
  <w:style w:type="character" w:customStyle="1" w:styleId="409">
    <w:name w:val="HTML 地址 字符"/>
    <w:qFormat/>
    <w:locked/>
    <w:uiPriority w:val="0"/>
    <w:rPr>
      <w:rFonts w:ascii="宋体" w:eastAsia="宋体"/>
      <w:i/>
      <w:iCs/>
      <w:kern w:val="21"/>
      <w:sz w:val="21"/>
      <w:szCs w:val="21"/>
      <w:lang w:val="en-US" w:eastAsia="zh-CN" w:bidi="ar-SA"/>
    </w:rPr>
  </w:style>
  <w:style w:type="character" w:customStyle="1" w:styleId="410">
    <w:name w:val="标题 6 字符"/>
    <w:qFormat/>
    <w:uiPriority w:val="0"/>
    <w:rPr>
      <w:rFonts w:ascii="Arial" w:hAnsi="Arial" w:eastAsia="黑体"/>
      <w:b/>
      <w:kern w:val="2"/>
      <w:sz w:val="24"/>
      <w:szCs w:val="24"/>
      <w:lang w:val="en-US" w:eastAsia="zh-CN" w:bidi="ar-SA"/>
    </w:rPr>
  </w:style>
  <w:style w:type="character" w:customStyle="1" w:styleId="411">
    <w:name w:val="日期 字符"/>
    <w:qFormat/>
    <w:uiPriority w:val="0"/>
    <w:rPr>
      <w:rFonts w:ascii="宋体" w:hAnsi="Courier New" w:eastAsia="宋体" w:cs="Courier New"/>
      <w:kern w:val="2"/>
      <w:sz w:val="21"/>
      <w:szCs w:val="21"/>
      <w:lang w:val="en-US" w:eastAsia="zh-CN" w:bidi="ar-SA"/>
    </w:rPr>
  </w:style>
  <w:style w:type="character" w:customStyle="1" w:styleId="412">
    <w:name w:val="正文文本缩进 2 字符"/>
    <w:qFormat/>
    <w:uiPriority w:val="0"/>
    <w:rPr>
      <w:rFonts w:eastAsia="宋体"/>
      <w:kern w:val="2"/>
      <w:sz w:val="32"/>
      <w:lang w:val="en-US" w:eastAsia="zh-CN" w:bidi="ar-SA"/>
    </w:rPr>
  </w:style>
  <w:style w:type="character" w:customStyle="1" w:styleId="413">
    <w:name w:val="标题 1 字符"/>
    <w:qFormat/>
    <w:uiPriority w:val="0"/>
    <w:rPr>
      <w:rFonts w:eastAsia="宋体"/>
      <w:b/>
      <w:bCs/>
      <w:kern w:val="44"/>
      <w:sz w:val="44"/>
      <w:szCs w:val="44"/>
      <w:lang w:val="en-US" w:eastAsia="zh-CN" w:bidi="ar-SA"/>
    </w:rPr>
  </w:style>
  <w:style w:type="character" w:customStyle="1" w:styleId="414">
    <w:name w:val="正文文本缩进 3 字符"/>
    <w:qFormat/>
    <w:uiPriority w:val="0"/>
    <w:rPr>
      <w:rFonts w:eastAsia="宋体"/>
      <w:kern w:val="2"/>
      <w:sz w:val="16"/>
      <w:szCs w:val="16"/>
      <w:lang w:val="en-US" w:eastAsia="zh-CN" w:bidi="ar-SA"/>
    </w:rPr>
  </w:style>
  <w:style w:type="character" w:customStyle="1" w:styleId="415">
    <w:name w:val="标题 2 字符"/>
    <w:qFormat/>
    <w:uiPriority w:val="0"/>
    <w:rPr>
      <w:rFonts w:ascii="Arial" w:hAnsi="Arial" w:eastAsia="黑体"/>
      <w:b/>
      <w:bCs/>
      <w:sz w:val="32"/>
      <w:szCs w:val="32"/>
      <w:lang w:bidi="ar-SA"/>
    </w:rPr>
  </w:style>
  <w:style w:type="character" w:customStyle="1" w:styleId="416">
    <w:name w:val="标题 3 字符"/>
    <w:qFormat/>
    <w:uiPriority w:val="0"/>
    <w:rPr>
      <w:rFonts w:eastAsia="宋体"/>
      <w:b/>
      <w:bCs/>
      <w:sz w:val="32"/>
      <w:szCs w:val="32"/>
      <w:lang w:bidi="ar-SA"/>
    </w:rPr>
  </w:style>
  <w:style w:type="character" w:customStyle="1" w:styleId="417">
    <w:name w:val="标题 4 字符"/>
    <w:qFormat/>
    <w:uiPriority w:val="0"/>
    <w:rPr>
      <w:rFonts w:ascii="Arial" w:hAnsi="Arial" w:eastAsia="黑体"/>
      <w:sz w:val="28"/>
      <w:lang w:bidi="ar-SA"/>
    </w:rPr>
  </w:style>
  <w:style w:type="character" w:customStyle="1" w:styleId="418">
    <w:name w:val="标题 5 字符"/>
    <w:qFormat/>
    <w:uiPriority w:val="0"/>
    <w:rPr>
      <w:rFonts w:eastAsia="宋体"/>
      <w:b/>
      <w:kern w:val="2"/>
      <w:sz w:val="28"/>
      <w:szCs w:val="24"/>
      <w:lang w:val="en-US" w:eastAsia="zh-CN" w:bidi="ar-SA"/>
    </w:rPr>
  </w:style>
  <w:style w:type="character" w:customStyle="1" w:styleId="419">
    <w:name w:val="标题 7 字符"/>
    <w:qFormat/>
    <w:uiPriority w:val="0"/>
    <w:rPr>
      <w:rFonts w:eastAsia="宋体"/>
      <w:b/>
      <w:kern w:val="2"/>
      <w:sz w:val="24"/>
      <w:szCs w:val="24"/>
      <w:lang w:val="en-US" w:eastAsia="zh-CN" w:bidi="ar-SA"/>
    </w:rPr>
  </w:style>
  <w:style w:type="character" w:customStyle="1" w:styleId="420">
    <w:name w:val="标题 8 字符"/>
    <w:qFormat/>
    <w:uiPriority w:val="0"/>
    <w:rPr>
      <w:rFonts w:ascii="Arial" w:hAnsi="Arial" w:eastAsia="黑体"/>
      <w:kern w:val="2"/>
      <w:sz w:val="24"/>
      <w:szCs w:val="24"/>
      <w:lang w:val="en-US" w:eastAsia="zh-CN" w:bidi="ar-SA"/>
    </w:rPr>
  </w:style>
  <w:style w:type="character" w:customStyle="1" w:styleId="421">
    <w:name w:val="标题 9 字符"/>
    <w:qFormat/>
    <w:uiPriority w:val="0"/>
    <w:rPr>
      <w:rFonts w:ascii="Arial" w:hAnsi="Arial" w:eastAsia="黑体"/>
      <w:kern w:val="2"/>
      <w:sz w:val="21"/>
      <w:szCs w:val="24"/>
      <w:lang w:val="en-US" w:eastAsia="zh-CN" w:bidi="ar-SA"/>
    </w:rPr>
  </w:style>
  <w:style w:type="character" w:customStyle="1" w:styleId="422">
    <w:name w:val="正文文本 3 字符"/>
    <w:qFormat/>
    <w:uiPriority w:val="0"/>
    <w:rPr>
      <w:rFonts w:eastAsia="宋体"/>
      <w:b/>
      <w:bCs/>
      <w:kern w:val="2"/>
      <w:sz w:val="24"/>
      <w:szCs w:val="24"/>
      <w:lang w:val="en-US" w:eastAsia="zh-CN" w:bidi="ar-SA"/>
    </w:rPr>
  </w:style>
  <w:style w:type="character" w:customStyle="1" w:styleId="423">
    <w:name w:val="页眉 字符"/>
    <w:qFormat/>
    <w:uiPriority w:val="0"/>
    <w:rPr>
      <w:rFonts w:eastAsia="宋体"/>
      <w:kern w:val="2"/>
      <w:sz w:val="18"/>
      <w:szCs w:val="18"/>
      <w:lang w:val="en-US" w:eastAsia="zh-CN" w:bidi="ar-SA"/>
    </w:rPr>
  </w:style>
  <w:style w:type="character" w:customStyle="1" w:styleId="424">
    <w:name w:val="标题 字符"/>
    <w:qFormat/>
    <w:uiPriority w:val="0"/>
    <w:rPr>
      <w:rFonts w:ascii="Arial" w:hAnsi="Arial" w:eastAsia="宋体"/>
      <w:b/>
      <w:bCs/>
      <w:kern w:val="2"/>
      <w:sz w:val="32"/>
      <w:szCs w:val="32"/>
      <w:lang w:bidi="ar-SA"/>
    </w:rPr>
  </w:style>
  <w:style w:type="character" w:customStyle="1" w:styleId="425">
    <w:name w:val="称呼 字符"/>
    <w:qFormat/>
    <w:uiPriority w:val="0"/>
    <w:rPr>
      <w:kern w:val="2"/>
      <w:sz w:val="28"/>
      <w:szCs w:val="24"/>
    </w:rPr>
  </w:style>
  <w:style w:type="character" w:customStyle="1" w:styleId="426">
    <w:name w:val="尾注文本 字符"/>
    <w:qFormat/>
    <w:uiPriority w:val="0"/>
    <w:rPr>
      <w:rFonts w:ascii="Calibri" w:hAnsi="Calibri"/>
      <w:kern w:val="2"/>
      <w:sz w:val="21"/>
      <w:szCs w:val="22"/>
    </w:rPr>
  </w:style>
  <w:style w:type="character" w:customStyle="1" w:styleId="427">
    <w:name w:val="纯文本 字符1"/>
    <w:qFormat/>
    <w:uiPriority w:val="0"/>
    <w:rPr>
      <w:rFonts w:ascii="宋体" w:hAnsi="Courier New" w:eastAsia="宋体" w:cs="Courier New"/>
      <w:kern w:val="2"/>
      <w:sz w:val="21"/>
      <w:szCs w:val="21"/>
      <w:lang w:val="en-US" w:eastAsia="zh-CN" w:bidi="ar-SA"/>
    </w:rPr>
  </w:style>
  <w:style w:type="character" w:customStyle="1" w:styleId="428">
    <w:name w:val="页脚 字符"/>
    <w:qFormat/>
    <w:uiPriority w:val="0"/>
    <w:rPr>
      <w:rFonts w:eastAsia="宋体"/>
      <w:kern w:val="2"/>
      <w:sz w:val="18"/>
      <w:szCs w:val="18"/>
      <w:lang w:val="en-US" w:eastAsia="zh-CN" w:bidi="ar-SA"/>
    </w:rPr>
  </w:style>
  <w:style w:type="character" w:customStyle="1" w:styleId="429">
    <w:name w:val="正文文本 字符"/>
    <w:qFormat/>
    <w:uiPriority w:val="0"/>
    <w:rPr>
      <w:rFonts w:eastAsia="宋体"/>
      <w:kern w:val="2"/>
      <w:sz w:val="24"/>
      <w:szCs w:val="24"/>
      <w:lang w:val="en-US" w:eastAsia="zh-CN" w:bidi="ar-SA"/>
    </w:rPr>
  </w:style>
  <w:style w:type="character" w:customStyle="1" w:styleId="430">
    <w:name w:val="HTML 预设格式 字符"/>
    <w:qFormat/>
    <w:uiPriority w:val="0"/>
    <w:rPr>
      <w:rFonts w:ascii="黑体" w:hAnsi="Courier New" w:eastAsia="黑体" w:cs="Courier New"/>
      <w:lang w:val="en-US" w:eastAsia="zh-CN" w:bidi="ar-SA"/>
    </w:rPr>
  </w:style>
  <w:style w:type="character" w:customStyle="1" w:styleId="431">
    <w:name w:val="批注文字 字符"/>
    <w:qFormat/>
    <w:uiPriority w:val="0"/>
    <w:rPr>
      <w:rFonts w:eastAsia="宋体"/>
      <w:sz w:val="24"/>
      <w:lang w:bidi="ar-SA"/>
    </w:rPr>
  </w:style>
  <w:style w:type="character" w:customStyle="1" w:styleId="432">
    <w:name w:val="正文文本缩进 字符"/>
    <w:qFormat/>
    <w:uiPriority w:val="0"/>
    <w:rPr>
      <w:rFonts w:ascii="仿宋_GB2312" w:eastAsia="仿宋_GB2312"/>
      <w:kern w:val="2"/>
      <w:sz w:val="32"/>
      <w:lang w:val="en-US" w:eastAsia="zh-CN" w:bidi="ar-SA"/>
    </w:rPr>
  </w:style>
  <w:style w:type="character" w:customStyle="1" w:styleId="433">
    <w:name w:val="脚注文本 字符"/>
    <w:qFormat/>
    <w:locked/>
    <w:uiPriority w:val="0"/>
    <w:rPr>
      <w:rFonts w:ascii="宋体" w:eastAsia="宋体"/>
      <w:kern w:val="21"/>
      <w:sz w:val="18"/>
      <w:szCs w:val="18"/>
      <w:lang w:val="en-US" w:eastAsia="zh-CN" w:bidi="ar-SA"/>
    </w:rPr>
  </w:style>
  <w:style w:type="character" w:customStyle="1" w:styleId="434">
    <w:name w:val="文档结构图 字符"/>
    <w:qFormat/>
    <w:uiPriority w:val="0"/>
    <w:rPr>
      <w:rFonts w:eastAsia="宋体"/>
      <w:kern w:val="2"/>
      <w:sz w:val="21"/>
      <w:szCs w:val="24"/>
      <w:lang w:val="en-US" w:eastAsia="zh-CN" w:bidi="ar-SA"/>
    </w:rPr>
  </w:style>
  <w:style w:type="character" w:customStyle="1" w:styleId="435">
    <w:name w:val="标题 3 字符1"/>
    <w:qFormat/>
    <w:uiPriority w:val="0"/>
    <w:rPr>
      <w:rFonts w:eastAsia="宋体"/>
      <w:b/>
      <w:bCs/>
      <w:sz w:val="32"/>
      <w:szCs w:val="32"/>
      <w:lang w:bidi="ar-SA"/>
    </w:rPr>
  </w:style>
  <w:style w:type="character" w:customStyle="1" w:styleId="436">
    <w:name w:val="纯文本 字符2"/>
    <w:qFormat/>
    <w:uiPriority w:val="0"/>
    <w:rPr>
      <w:rFonts w:ascii="宋体" w:hAnsi="Courier New" w:eastAsia="宋体" w:cs="Courier New"/>
      <w:kern w:val="2"/>
      <w:sz w:val="21"/>
      <w:szCs w:val="21"/>
      <w:lang w:val="en-US" w:eastAsia="zh-CN" w:bidi="ar-SA"/>
    </w:rPr>
  </w:style>
  <w:style w:type="character" w:customStyle="1" w:styleId="437">
    <w:name w:val="标题 5 字符1"/>
    <w:qFormat/>
    <w:uiPriority w:val="0"/>
    <w:rPr>
      <w:rFonts w:eastAsia="宋体"/>
      <w:b/>
      <w:kern w:val="2"/>
      <w:sz w:val="28"/>
      <w:szCs w:val="24"/>
      <w:lang w:val="en-US" w:eastAsia="zh-CN" w:bidi="ar-SA"/>
    </w:rPr>
  </w:style>
  <w:style w:type="character" w:customStyle="1" w:styleId="438">
    <w:name w:val="标题 8 字符1"/>
    <w:qFormat/>
    <w:uiPriority w:val="0"/>
    <w:rPr>
      <w:rFonts w:ascii="Arial" w:hAnsi="Arial" w:eastAsia="黑体"/>
      <w:kern w:val="2"/>
      <w:sz w:val="24"/>
      <w:szCs w:val="24"/>
      <w:lang w:val="en-US" w:eastAsia="zh-CN" w:bidi="ar-SA"/>
    </w:rPr>
  </w:style>
  <w:style w:type="character" w:customStyle="1" w:styleId="439">
    <w:name w:val="文档结构图 字符1"/>
    <w:qFormat/>
    <w:uiPriority w:val="0"/>
    <w:rPr>
      <w:rFonts w:eastAsia="宋体"/>
      <w:kern w:val="2"/>
      <w:sz w:val="21"/>
      <w:szCs w:val="24"/>
      <w:lang w:val="en-US" w:eastAsia="zh-CN" w:bidi="ar-SA"/>
    </w:rPr>
  </w:style>
  <w:style w:type="character" w:customStyle="1" w:styleId="440">
    <w:name w:val="标题 1 字符1"/>
    <w:qFormat/>
    <w:uiPriority w:val="0"/>
    <w:rPr>
      <w:rFonts w:eastAsia="宋体"/>
      <w:b/>
      <w:bCs/>
      <w:kern w:val="44"/>
      <w:sz w:val="44"/>
      <w:szCs w:val="44"/>
      <w:lang w:val="en-US" w:eastAsia="zh-CN" w:bidi="ar-SA"/>
    </w:rPr>
  </w:style>
  <w:style w:type="character" w:customStyle="1" w:styleId="441">
    <w:name w:val="页眉 字符1"/>
    <w:qFormat/>
    <w:uiPriority w:val="0"/>
    <w:rPr>
      <w:rFonts w:eastAsia="宋体"/>
      <w:kern w:val="2"/>
      <w:sz w:val="18"/>
      <w:szCs w:val="18"/>
      <w:lang w:val="en-US" w:eastAsia="zh-CN" w:bidi="ar-SA"/>
    </w:rPr>
  </w:style>
  <w:style w:type="character" w:customStyle="1" w:styleId="442">
    <w:name w:val="正文文本缩进 3 字符1"/>
    <w:qFormat/>
    <w:uiPriority w:val="0"/>
    <w:rPr>
      <w:rFonts w:eastAsia="宋体"/>
      <w:kern w:val="2"/>
      <w:sz w:val="16"/>
      <w:szCs w:val="16"/>
      <w:lang w:val="en-US" w:eastAsia="zh-CN" w:bidi="ar-SA"/>
    </w:rPr>
  </w:style>
  <w:style w:type="character" w:customStyle="1" w:styleId="443">
    <w:name w:val="页脚 字符1"/>
    <w:qFormat/>
    <w:uiPriority w:val="0"/>
    <w:rPr>
      <w:rFonts w:eastAsia="宋体"/>
      <w:kern w:val="2"/>
      <w:sz w:val="18"/>
      <w:szCs w:val="18"/>
      <w:lang w:val="en-US" w:eastAsia="zh-CN" w:bidi="ar-SA"/>
    </w:rPr>
  </w:style>
  <w:style w:type="character" w:customStyle="1" w:styleId="444">
    <w:name w:val="正文文本缩进 字符1"/>
    <w:qFormat/>
    <w:uiPriority w:val="0"/>
    <w:rPr>
      <w:rFonts w:ascii="仿宋_GB2312" w:eastAsia="仿宋_GB2312"/>
      <w:kern w:val="2"/>
      <w:sz w:val="32"/>
      <w:lang w:val="en-US" w:eastAsia="zh-CN" w:bidi="ar-SA"/>
    </w:rPr>
  </w:style>
  <w:style w:type="character" w:customStyle="1" w:styleId="445">
    <w:name w:val="标题 9 字符1"/>
    <w:qFormat/>
    <w:uiPriority w:val="0"/>
    <w:rPr>
      <w:rFonts w:ascii="Arial" w:hAnsi="Arial" w:eastAsia="黑体"/>
      <w:kern w:val="2"/>
      <w:sz w:val="21"/>
      <w:szCs w:val="24"/>
      <w:lang w:val="en-US" w:eastAsia="zh-CN" w:bidi="ar-SA"/>
    </w:rPr>
  </w:style>
  <w:style w:type="character" w:customStyle="1" w:styleId="446">
    <w:name w:val="正文文本缩进 2 字符1"/>
    <w:qFormat/>
    <w:uiPriority w:val="0"/>
    <w:rPr>
      <w:rFonts w:eastAsia="宋体"/>
      <w:kern w:val="2"/>
      <w:sz w:val="32"/>
      <w:lang w:val="en-US" w:eastAsia="zh-CN" w:bidi="ar-SA"/>
    </w:rPr>
  </w:style>
  <w:style w:type="character" w:customStyle="1" w:styleId="447">
    <w:name w:val="HTML 预设格式 字符1"/>
    <w:qFormat/>
    <w:uiPriority w:val="0"/>
    <w:rPr>
      <w:rFonts w:ascii="黑体" w:hAnsi="Courier New" w:eastAsia="黑体" w:cs="Courier New"/>
      <w:lang w:val="en-US" w:eastAsia="zh-CN" w:bidi="ar-SA"/>
    </w:rPr>
  </w:style>
  <w:style w:type="character" w:customStyle="1" w:styleId="448">
    <w:name w:val="正文文本 2 字符1"/>
    <w:qFormat/>
    <w:uiPriority w:val="0"/>
    <w:rPr>
      <w:rFonts w:eastAsia="宋体"/>
      <w:kern w:val="2"/>
      <w:sz w:val="21"/>
      <w:szCs w:val="24"/>
      <w:lang w:val="en-US" w:eastAsia="zh-CN" w:bidi="ar-SA"/>
    </w:rPr>
  </w:style>
  <w:style w:type="character" w:customStyle="1" w:styleId="449">
    <w:name w:val="正文文本 字符1"/>
    <w:qFormat/>
    <w:uiPriority w:val="0"/>
    <w:rPr>
      <w:rFonts w:eastAsia="宋体"/>
      <w:kern w:val="2"/>
      <w:sz w:val="24"/>
      <w:szCs w:val="24"/>
      <w:lang w:val="en-US" w:eastAsia="zh-CN" w:bidi="ar-SA"/>
    </w:rPr>
  </w:style>
  <w:style w:type="character" w:customStyle="1" w:styleId="450">
    <w:name w:val="标题 6 字符1"/>
    <w:qFormat/>
    <w:uiPriority w:val="0"/>
    <w:rPr>
      <w:rFonts w:ascii="Arial" w:hAnsi="Arial" w:eastAsia="黑体"/>
      <w:b/>
      <w:kern w:val="2"/>
      <w:sz w:val="24"/>
      <w:szCs w:val="24"/>
      <w:lang w:val="en-US" w:eastAsia="zh-CN" w:bidi="ar-SA"/>
    </w:rPr>
  </w:style>
  <w:style w:type="character" w:customStyle="1" w:styleId="451">
    <w:name w:val="称呼 字符1"/>
    <w:qFormat/>
    <w:uiPriority w:val="0"/>
    <w:rPr>
      <w:kern w:val="2"/>
      <w:sz w:val="28"/>
      <w:szCs w:val="24"/>
    </w:rPr>
  </w:style>
  <w:style w:type="character" w:customStyle="1" w:styleId="452">
    <w:name w:val="标题 4 字符1"/>
    <w:qFormat/>
    <w:uiPriority w:val="0"/>
    <w:rPr>
      <w:rFonts w:ascii="Arial" w:hAnsi="Arial" w:eastAsia="黑体"/>
      <w:sz w:val="28"/>
      <w:lang w:bidi="ar-SA"/>
    </w:rPr>
  </w:style>
  <w:style w:type="character" w:customStyle="1" w:styleId="453">
    <w:name w:val="标题 2 字符1"/>
    <w:qFormat/>
    <w:uiPriority w:val="0"/>
    <w:rPr>
      <w:rFonts w:ascii="Arial" w:hAnsi="Arial" w:eastAsia="黑体"/>
      <w:b/>
      <w:bCs/>
      <w:sz w:val="32"/>
      <w:szCs w:val="32"/>
      <w:lang w:bidi="ar-SA"/>
    </w:rPr>
  </w:style>
  <w:style w:type="character" w:customStyle="1" w:styleId="454">
    <w:name w:val="尾注文本 字符1"/>
    <w:qFormat/>
    <w:uiPriority w:val="0"/>
    <w:rPr>
      <w:rFonts w:ascii="Calibri" w:hAnsi="Calibri"/>
      <w:kern w:val="2"/>
      <w:sz w:val="21"/>
      <w:szCs w:val="22"/>
    </w:rPr>
  </w:style>
  <w:style w:type="character" w:customStyle="1" w:styleId="455">
    <w:name w:val="正文文本 3 字符1"/>
    <w:qFormat/>
    <w:uiPriority w:val="0"/>
    <w:rPr>
      <w:rFonts w:eastAsia="宋体"/>
      <w:b/>
      <w:bCs/>
      <w:kern w:val="2"/>
      <w:sz w:val="24"/>
      <w:szCs w:val="24"/>
      <w:lang w:val="en-US" w:eastAsia="zh-CN" w:bidi="ar-SA"/>
    </w:rPr>
  </w:style>
  <w:style w:type="character" w:customStyle="1" w:styleId="456">
    <w:name w:val="日期 字符1"/>
    <w:qFormat/>
    <w:uiPriority w:val="0"/>
    <w:rPr>
      <w:rFonts w:ascii="宋体" w:hAnsi="Courier New" w:eastAsia="宋体" w:cs="Courier New"/>
      <w:kern w:val="2"/>
      <w:sz w:val="21"/>
      <w:szCs w:val="21"/>
      <w:lang w:val="en-US" w:eastAsia="zh-CN" w:bidi="ar-SA"/>
    </w:rPr>
  </w:style>
  <w:style w:type="character" w:customStyle="1" w:styleId="457">
    <w:name w:val="批注文字 字符1"/>
    <w:qFormat/>
    <w:uiPriority w:val="0"/>
    <w:rPr>
      <w:rFonts w:eastAsia="宋体"/>
      <w:sz w:val="24"/>
      <w:lang w:bidi="ar-SA"/>
    </w:rPr>
  </w:style>
  <w:style w:type="character" w:customStyle="1" w:styleId="458">
    <w:name w:val="标题 字符1"/>
    <w:qFormat/>
    <w:uiPriority w:val="0"/>
    <w:rPr>
      <w:rFonts w:ascii="Arial" w:hAnsi="Arial" w:eastAsia="宋体"/>
      <w:b/>
      <w:bCs/>
      <w:kern w:val="2"/>
      <w:sz w:val="32"/>
      <w:szCs w:val="32"/>
      <w:lang w:bidi="ar-SA"/>
    </w:rPr>
  </w:style>
  <w:style w:type="character" w:customStyle="1" w:styleId="459">
    <w:name w:val="标题 7 字符1"/>
    <w:qFormat/>
    <w:uiPriority w:val="0"/>
    <w:rPr>
      <w:rFonts w:eastAsia="宋体"/>
      <w:b/>
      <w:kern w:val="2"/>
      <w:sz w:val="24"/>
      <w:szCs w:val="24"/>
      <w:lang w:val="en-US" w:eastAsia="zh-CN" w:bidi="ar-SA"/>
    </w:rPr>
  </w:style>
  <w:style w:type="character" w:customStyle="1" w:styleId="460">
    <w:name w:val="HTML 地址 字符1"/>
    <w:qFormat/>
    <w:locked/>
    <w:uiPriority w:val="0"/>
    <w:rPr>
      <w:rFonts w:ascii="宋体" w:eastAsia="宋体"/>
      <w:i/>
      <w:iCs/>
      <w:kern w:val="21"/>
      <w:sz w:val="21"/>
      <w:szCs w:val="21"/>
      <w:lang w:val="en-US" w:eastAsia="zh-CN" w:bidi="ar-SA"/>
    </w:rPr>
  </w:style>
  <w:style w:type="character" w:customStyle="1" w:styleId="461">
    <w:name w:val="无间隔 字符1"/>
    <w:qFormat/>
    <w:uiPriority w:val="0"/>
    <w:rPr>
      <w:sz w:val="22"/>
      <w:szCs w:val="22"/>
      <w:lang w:val="en-US" w:eastAsia="zh-CN" w:bidi="ar-SA"/>
    </w:rPr>
  </w:style>
  <w:style w:type="character" w:customStyle="1" w:styleId="462">
    <w:name w:val="脚注文本 字符1"/>
    <w:qFormat/>
    <w:locked/>
    <w:uiPriority w:val="0"/>
    <w:rPr>
      <w:rFonts w:ascii="宋体" w:eastAsia="宋体"/>
      <w:kern w:val="21"/>
      <w:sz w:val="18"/>
      <w:szCs w:val="18"/>
      <w:lang w:val="en-US" w:eastAsia="zh-CN" w:bidi="ar-SA"/>
    </w:rPr>
  </w:style>
  <w:style w:type="character" w:customStyle="1" w:styleId="463">
    <w:name w:val="批注文字 字符2"/>
    <w:qFormat/>
    <w:uiPriority w:val="0"/>
    <w:rPr>
      <w:rFonts w:eastAsia="宋体"/>
      <w:sz w:val="24"/>
      <w:lang w:bidi="ar-SA"/>
    </w:rPr>
  </w:style>
  <w:style w:type="character" w:customStyle="1" w:styleId="464">
    <w:name w:val="HTML 预设格式 字符2"/>
    <w:qFormat/>
    <w:uiPriority w:val="0"/>
    <w:rPr>
      <w:rFonts w:ascii="黑体" w:hAnsi="Courier New" w:eastAsia="黑体" w:cs="Courier New"/>
      <w:lang w:val="en-US" w:eastAsia="zh-CN" w:bidi="ar-SA"/>
    </w:rPr>
  </w:style>
  <w:style w:type="character" w:customStyle="1" w:styleId="465">
    <w:name w:val="HTML 地址 字符2"/>
    <w:qFormat/>
    <w:locked/>
    <w:uiPriority w:val="0"/>
    <w:rPr>
      <w:rFonts w:ascii="宋体" w:eastAsia="宋体"/>
      <w:i/>
      <w:iCs/>
      <w:kern w:val="21"/>
      <w:sz w:val="21"/>
      <w:szCs w:val="21"/>
      <w:lang w:val="en-US" w:eastAsia="zh-CN" w:bidi="ar-SA"/>
    </w:rPr>
  </w:style>
  <w:style w:type="character" w:customStyle="1" w:styleId="466">
    <w:name w:val="页脚 字符2"/>
    <w:qFormat/>
    <w:uiPriority w:val="0"/>
    <w:rPr>
      <w:rFonts w:eastAsia="宋体"/>
      <w:kern w:val="2"/>
      <w:sz w:val="18"/>
      <w:szCs w:val="18"/>
      <w:lang w:val="en-US" w:eastAsia="zh-CN" w:bidi="ar-SA"/>
    </w:rPr>
  </w:style>
  <w:style w:type="character" w:customStyle="1" w:styleId="467">
    <w:name w:val="标题 5 字符2"/>
    <w:qFormat/>
    <w:uiPriority w:val="0"/>
    <w:rPr>
      <w:rFonts w:eastAsia="宋体"/>
      <w:b/>
      <w:kern w:val="2"/>
      <w:sz w:val="28"/>
      <w:szCs w:val="24"/>
      <w:lang w:val="en-US" w:eastAsia="zh-CN" w:bidi="ar-SA"/>
    </w:rPr>
  </w:style>
  <w:style w:type="character" w:customStyle="1" w:styleId="468">
    <w:name w:val="标题 8 字符2"/>
    <w:qFormat/>
    <w:uiPriority w:val="0"/>
    <w:rPr>
      <w:rFonts w:ascii="Arial" w:hAnsi="Arial" w:eastAsia="黑体"/>
      <w:kern w:val="2"/>
      <w:sz w:val="24"/>
      <w:szCs w:val="24"/>
      <w:lang w:val="en-US" w:eastAsia="zh-CN" w:bidi="ar-SA"/>
    </w:rPr>
  </w:style>
  <w:style w:type="character" w:customStyle="1" w:styleId="469">
    <w:name w:val="尾注文本 字符2"/>
    <w:qFormat/>
    <w:uiPriority w:val="0"/>
    <w:rPr>
      <w:rFonts w:ascii="Calibri" w:hAnsi="Calibri"/>
      <w:kern w:val="2"/>
      <w:sz w:val="21"/>
      <w:szCs w:val="22"/>
    </w:rPr>
  </w:style>
  <w:style w:type="character" w:customStyle="1" w:styleId="470">
    <w:name w:val="正文文本 2 字符2"/>
    <w:qFormat/>
    <w:uiPriority w:val="0"/>
    <w:rPr>
      <w:rFonts w:eastAsia="宋体"/>
      <w:kern w:val="2"/>
      <w:sz w:val="21"/>
      <w:szCs w:val="24"/>
      <w:lang w:val="en-US" w:eastAsia="zh-CN" w:bidi="ar-SA"/>
    </w:rPr>
  </w:style>
  <w:style w:type="character" w:customStyle="1" w:styleId="471">
    <w:name w:val="标题 1 字符2"/>
    <w:qFormat/>
    <w:uiPriority w:val="0"/>
    <w:rPr>
      <w:rFonts w:eastAsia="宋体"/>
      <w:b/>
      <w:bCs/>
      <w:kern w:val="44"/>
      <w:sz w:val="44"/>
      <w:szCs w:val="44"/>
      <w:lang w:val="en-US" w:eastAsia="zh-CN" w:bidi="ar-SA"/>
    </w:rPr>
  </w:style>
  <w:style w:type="character" w:customStyle="1" w:styleId="472">
    <w:name w:val="标题 9 字符2"/>
    <w:qFormat/>
    <w:uiPriority w:val="0"/>
    <w:rPr>
      <w:rFonts w:ascii="Arial" w:hAnsi="Arial" w:eastAsia="黑体"/>
      <w:kern w:val="2"/>
      <w:sz w:val="21"/>
      <w:szCs w:val="24"/>
      <w:lang w:val="en-US" w:eastAsia="zh-CN" w:bidi="ar-SA"/>
    </w:rPr>
  </w:style>
  <w:style w:type="character" w:customStyle="1" w:styleId="473">
    <w:name w:val="标题 6 字符2"/>
    <w:qFormat/>
    <w:uiPriority w:val="0"/>
    <w:rPr>
      <w:rFonts w:ascii="Arial" w:hAnsi="Arial" w:eastAsia="黑体"/>
      <w:b/>
      <w:kern w:val="2"/>
      <w:sz w:val="24"/>
      <w:szCs w:val="24"/>
      <w:lang w:val="en-US" w:eastAsia="zh-CN" w:bidi="ar-SA"/>
    </w:rPr>
  </w:style>
  <w:style w:type="character" w:customStyle="1" w:styleId="474">
    <w:name w:val="正文文本缩进 3 字符2"/>
    <w:qFormat/>
    <w:uiPriority w:val="0"/>
    <w:rPr>
      <w:rFonts w:eastAsia="宋体"/>
      <w:kern w:val="2"/>
      <w:sz w:val="16"/>
      <w:szCs w:val="16"/>
      <w:lang w:val="en-US" w:eastAsia="zh-CN" w:bidi="ar-SA"/>
    </w:rPr>
  </w:style>
  <w:style w:type="character" w:customStyle="1" w:styleId="475">
    <w:name w:val="标题 4 字符2"/>
    <w:qFormat/>
    <w:uiPriority w:val="0"/>
    <w:rPr>
      <w:rFonts w:ascii="Arial" w:hAnsi="Arial" w:eastAsia="黑体"/>
      <w:sz w:val="28"/>
      <w:lang w:bidi="ar-SA"/>
    </w:rPr>
  </w:style>
  <w:style w:type="character" w:customStyle="1" w:styleId="476">
    <w:name w:val="标题 字符2"/>
    <w:qFormat/>
    <w:uiPriority w:val="0"/>
    <w:rPr>
      <w:rFonts w:ascii="Arial" w:hAnsi="Arial" w:eastAsia="宋体"/>
      <w:b/>
      <w:bCs/>
      <w:kern w:val="2"/>
      <w:sz w:val="32"/>
      <w:szCs w:val="32"/>
      <w:lang w:bidi="ar-SA"/>
    </w:rPr>
  </w:style>
  <w:style w:type="character" w:customStyle="1" w:styleId="477">
    <w:name w:val="文档结构图 字符2"/>
    <w:qFormat/>
    <w:uiPriority w:val="0"/>
    <w:rPr>
      <w:rFonts w:eastAsia="宋体"/>
      <w:kern w:val="2"/>
      <w:sz w:val="21"/>
      <w:szCs w:val="24"/>
      <w:lang w:val="en-US" w:eastAsia="zh-CN" w:bidi="ar-SA"/>
    </w:rPr>
  </w:style>
  <w:style w:type="character" w:customStyle="1" w:styleId="478">
    <w:name w:val="正文文本 3 字符2"/>
    <w:qFormat/>
    <w:uiPriority w:val="0"/>
    <w:rPr>
      <w:rFonts w:eastAsia="宋体"/>
      <w:b/>
      <w:bCs/>
      <w:kern w:val="2"/>
      <w:sz w:val="24"/>
      <w:szCs w:val="24"/>
      <w:lang w:val="en-US" w:eastAsia="zh-CN" w:bidi="ar-SA"/>
    </w:rPr>
  </w:style>
  <w:style w:type="character" w:customStyle="1" w:styleId="479">
    <w:name w:val="正文文本 字符2"/>
    <w:qFormat/>
    <w:uiPriority w:val="0"/>
    <w:rPr>
      <w:rFonts w:eastAsia="宋体"/>
      <w:kern w:val="2"/>
      <w:sz w:val="24"/>
      <w:szCs w:val="24"/>
      <w:lang w:val="en-US" w:eastAsia="zh-CN" w:bidi="ar-SA"/>
    </w:rPr>
  </w:style>
  <w:style w:type="character" w:customStyle="1" w:styleId="480">
    <w:name w:val="无间隔 字符2"/>
    <w:qFormat/>
    <w:uiPriority w:val="0"/>
    <w:rPr>
      <w:sz w:val="22"/>
      <w:szCs w:val="22"/>
      <w:lang w:val="en-US" w:eastAsia="zh-CN" w:bidi="ar-SA"/>
    </w:rPr>
  </w:style>
  <w:style w:type="character" w:customStyle="1" w:styleId="481">
    <w:name w:val="正文文本缩进 字符2"/>
    <w:qFormat/>
    <w:uiPriority w:val="0"/>
    <w:rPr>
      <w:rFonts w:ascii="仿宋_GB2312" w:eastAsia="仿宋_GB2312"/>
      <w:kern w:val="2"/>
      <w:sz w:val="32"/>
      <w:lang w:val="en-US" w:eastAsia="zh-CN" w:bidi="ar-SA"/>
    </w:rPr>
  </w:style>
  <w:style w:type="character" w:customStyle="1" w:styleId="482">
    <w:name w:val="标题 2 字符2"/>
    <w:qFormat/>
    <w:uiPriority w:val="0"/>
    <w:rPr>
      <w:rFonts w:ascii="Arial" w:hAnsi="Arial" w:eastAsia="黑体"/>
      <w:b/>
      <w:bCs/>
      <w:sz w:val="32"/>
      <w:szCs w:val="32"/>
      <w:lang w:bidi="ar-SA"/>
    </w:rPr>
  </w:style>
  <w:style w:type="character" w:customStyle="1" w:styleId="483">
    <w:name w:val="标题 3 字符2"/>
    <w:qFormat/>
    <w:uiPriority w:val="0"/>
    <w:rPr>
      <w:rFonts w:eastAsia="宋体"/>
      <w:b/>
      <w:bCs/>
      <w:sz w:val="32"/>
      <w:szCs w:val="32"/>
      <w:lang w:bidi="ar-SA"/>
    </w:rPr>
  </w:style>
  <w:style w:type="character" w:customStyle="1" w:styleId="484">
    <w:name w:val="标题 7 字符2"/>
    <w:qFormat/>
    <w:uiPriority w:val="0"/>
    <w:rPr>
      <w:rFonts w:eastAsia="宋体"/>
      <w:b/>
      <w:kern w:val="2"/>
      <w:sz w:val="24"/>
      <w:szCs w:val="24"/>
      <w:lang w:val="en-US" w:eastAsia="zh-CN" w:bidi="ar-SA"/>
    </w:rPr>
  </w:style>
  <w:style w:type="character" w:customStyle="1" w:styleId="485">
    <w:name w:val="正文文本缩进 2 字符2"/>
    <w:qFormat/>
    <w:uiPriority w:val="0"/>
    <w:rPr>
      <w:rFonts w:eastAsia="宋体"/>
      <w:kern w:val="2"/>
      <w:sz w:val="32"/>
      <w:lang w:val="en-US" w:eastAsia="zh-CN" w:bidi="ar-SA"/>
    </w:rPr>
  </w:style>
  <w:style w:type="character" w:customStyle="1" w:styleId="486">
    <w:name w:val="称呼 字符2"/>
    <w:qFormat/>
    <w:uiPriority w:val="0"/>
    <w:rPr>
      <w:kern w:val="2"/>
      <w:sz w:val="28"/>
      <w:szCs w:val="24"/>
    </w:rPr>
  </w:style>
  <w:style w:type="character" w:customStyle="1" w:styleId="487">
    <w:name w:val="纯文本 字符3"/>
    <w:qFormat/>
    <w:uiPriority w:val="0"/>
    <w:rPr>
      <w:rFonts w:ascii="宋体" w:hAnsi="Courier New" w:eastAsia="宋体" w:cs="Courier New"/>
      <w:kern w:val="2"/>
      <w:sz w:val="21"/>
      <w:szCs w:val="21"/>
      <w:lang w:val="en-US" w:eastAsia="zh-CN" w:bidi="ar-SA"/>
    </w:rPr>
  </w:style>
  <w:style w:type="character" w:customStyle="1" w:styleId="488">
    <w:name w:val="日期 字符2"/>
    <w:qFormat/>
    <w:uiPriority w:val="0"/>
    <w:rPr>
      <w:rFonts w:ascii="宋体" w:hAnsi="Courier New" w:eastAsia="宋体" w:cs="Courier New"/>
      <w:kern w:val="2"/>
      <w:sz w:val="21"/>
      <w:szCs w:val="21"/>
      <w:lang w:val="en-US" w:eastAsia="zh-CN" w:bidi="ar-SA"/>
    </w:rPr>
  </w:style>
  <w:style w:type="character" w:customStyle="1" w:styleId="489">
    <w:name w:val="页眉 字符2"/>
    <w:qFormat/>
    <w:uiPriority w:val="0"/>
    <w:rPr>
      <w:rFonts w:eastAsia="宋体"/>
      <w:kern w:val="2"/>
      <w:sz w:val="18"/>
      <w:szCs w:val="18"/>
      <w:lang w:val="en-US" w:eastAsia="zh-CN" w:bidi="ar-SA"/>
    </w:rPr>
  </w:style>
  <w:style w:type="character" w:customStyle="1" w:styleId="490">
    <w:name w:val="脚注文本 字符2"/>
    <w:qFormat/>
    <w:locked/>
    <w:uiPriority w:val="0"/>
    <w:rPr>
      <w:rFonts w:ascii="宋体" w:eastAsia="宋体"/>
      <w:kern w:val="21"/>
      <w:sz w:val="18"/>
      <w:szCs w:val="18"/>
      <w:lang w:val="en-US" w:eastAsia="zh-CN" w:bidi="ar-SA"/>
    </w:rPr>
  </w:style>
  <w:style w:type="character" w:customStyle="1" w:styleId="491">
    <w:name w:val="Char Char39"/>
    <w:qFormat/>
    <w:uiPriority w:val="0"/>
    <w:rPr>
      <w:rFonts w:eastAsia="宋体"/>
      <w:b/>
      <w:bCs/>
      <w:kern w:val="44"/>
      <w:sz w:val="44"/>
      <w:szCs w:val="44"/>
      <w:lang w:val="en-US" w:eastAsia="zh-CN" w:bidi="ar-SA"/>
    </w:rPr>
  </w:style>
  <w:style w:type="character" w:customStyle="1" w:styleId="492">
    <w:name w:val="Char Char38"/>
    <w:qFormat/>
    <w:uiPriority w:val="0"/>
    <w:rPr>
      <w:rFonts w:ascii="Arial" w:hAnsi="Arial" w:eastAsia="黑体"/>
      <w:b/>
      <w:bCs/>
      <w:sz w:val="32"/>
      <w:szCs w:val="32"/>
      <w:lang w:bidi="ar-SA"/>
    </w:rPr>
  </w:style>
  <w:style w:type="character" w:customStyle="1" w:styleId="493">
    <w:name w:val="无间隔 字符3"/>
    <w:qFormat/>
    <w:uiPriority w:val="0"/>
    <w:rPr>
      <w:sz w:val="22"/>
      <w:szCs w:val="22"/>
      <w:lang w:val="en-US" w:eastAsia="zh-CN" w:bidi="ar-SA"/>
    </w:rPr>
  </w:style>
  <w:style w:type="character" w:customStyle="1" w:styleId="494">
    <w:name w:val="普通文字 Char Char6"/>
    <w:qFormat/>
    <w:uiPriority w:val="0"/>
    <w:rPr>
      <w:rFonts w:ascii="宋体" w:hAnsi="Courier New" w:eastAsia="宋体" w:cs="Courier New"/>
      <w:kern w:val="2"/>
      <w:sz w:val="21"/>
      <w:szCs w:val="21"/>
      <w:lang w:val="en-US" w:eastAsia="zh-CN" w:bidi="ar-SA"/>
    </w:rPr>
  </w:style>
  <w:style w:type="character" w:customStyle="1" w:styleId="495">
    <w:name w:val="页脚 Char2"/>
    <w:qFormat/>
    <w:locked/>
    <w:uiPriority w:val="0"/>
    <w:rPr>
      <w:rFonts w:hint="eastAsia" w:ascii="宋体" w:hAnsi="宋体" w:eastAsia="宋体"/>
      <w:kern w:val="2"/>
      <w:sz w:val="18"/>
      <w:szCs w:val="18"/>
    </w:rPr>
  </w:style>
  <w:style w:type="character" w:customStyle="1" w:styleId="496">
    <w:name w:val="font61"/>
    <w:qFormat/>
    <w:uiPriority w:val="0"/>
    <w:rPr>
      <w:rFonts w:hint="eastAsia" w:ascii="宋体" w:hAnsi="宋体" w:eastAsia="宋体" w:cs="宋体"/>
      <w:color w:val="000000"/>
      <w:sz w:val="21"/>
      <w:szCs w:val="21"/>
      <w:u w:val="none"/>
    </w:rPr>
  </w:style>
  <w:style w:type="character" w:customStyle="1" w:styleId="497">
    <w:name w:val="font101"/>
    <w:qFormat/>
    <w:uiPriority w:val="0"/>
    <w:rPr>
      <w:rFonts w:hint="eastAsia" w:ascii="宋体" w:hAnsi="宋体" w:eastAsia="宋体" w:cs="宋体"/>
      <w:color w:val="000000"/>
      <w:sz w:val="21"/>
      <w:szCs w:val="21"/>
      <w:u w:val="none"/>
    </w:rPr>
  </w:style>
  <w:style w:type="table" w:customStyle="1" w:styleId="498">
    <w:name w:val="彩色列表 - 着色 11"/>
    <w:qFormat/>
    <w:uiPriority w:val="0"/>
    <w:rPr>
      <w:rFonts w:ascii="Calibri" w:hAnsi="Calibri"/>
      <w:sz w:val="24"/>
      <w:szCs w:val="24"/>
      <w:lang w:eastAsia="en-US"/>
    </w:rPr>
    <w:tblPr>
      <w:tblCellMar>
        <w:top w:w="0" w:type="dxa"/>
        <w:left w:w="108" w:type="dxa"/>
        <w:bottom w:w="0" w:type="dxa"/>
        <w:right w:w="108" w:type="dxa"/>
      </w:tblCellMar>
    </w:tblPr>
    <w:tcPr>
      <w:shd w:val="clear" w:color="auto" w:fill="EDF2F8"/>
    </w:tcPr>
  </w:style>
  <w:style w:type="character" w:customStyle="1" w:styleId="499">
    <w:name w:val="Body Text Char1"/>
    <w:qFormat/>
    <w:locked/>
    <w:uiPriority w:val="0"/>
    <w:rPr>
      <w:rFonts w:eastAsia="宋体"/>
      <w:kern w:val="2"/>
      <w:sz w:val="24"/>
      <w:lang w:val="en-US" w:eastAsia="zh-CN"/>
    </w:rPr>
  </w:style>
  <w:style w:type="character" w:customStyle="1" w:styleId="500">
    <w:name w:val="Heading 1 Char1"/>
    <w:qFormat/>
    <w:locked/>
    <w:uiPriority w:val="0"/>
    <w:rPr>
      <w:rFonts w:eastAsia="宋体"/>
      <w:b/>
      <w:kern w:val="44"/>
      <w:sz w:val="44"/>
      <w:lang w:val="en-US" w:eastAsia="zh-CN"/>
    </w:rPr>
  </w:style>
  <w:style w:type="character" w:customStyle="1" w:styleId="501">
    <w:name w:val="Heading 2 Char1"/>
    <w:qFormat/>
    <w:locked/>
    <w:uiPriority w:val="0"/>
    <w:rPr>
      <w:rFonts w:ascii="Arial" w:hAnsi="Arial" w:eastAsia="黑体"/>
      <w:b/>
      <w:sz w:val="32"/>
    </w:rPr>
  </w:style>
  <w:style w:type="character" w:customStyle="1" w:styleId="502">
    <w:name w:val="Heading 3 Char1"/>
    <w:qFormat/>
    <w:locked/>
    <w:uiPriority w:val="0"/>
    <w:rPr>
      <w:rFonts w:eastAsia="宋体"/>
      <w:b/>
      <w:sz w:val="32"/>
    </w:rPr>
  </w:style>
  <w:style w:type="character" w:customStyle="1" w:styleId="503">
    <w:name w:val="Heading 4 Char1"/>
    <w:qFormat/>
    <w:locked/>
    <w:uiPriority w:val="0"/>
    <w:rPr>
      <w:rFonts w:ascii="Arial" w:hAnsi="Arial" w:eastAsia="黑体"/>
      <w:sz w:val="28"/>
    </w:rPr>
  </w:style>
  <w:style w:type="character" w:customStyle="1" w:styleId="504">
    <w:name w:val="Heading 5 Char1"/>
    <w:qFormat/>
    <w:locked/>
    <w:uiPriority w:val="0"/>
    <w:rPr>
      <w:rFonts w:eastAsia="宋体"/>
      <w:b/>
      <w:kern w:val="2"/>
      <w:sz w:val="24"/>
      <w:lang w:val="en-US" w:eastAsia="zh-CN"/>
    </w:rPr>
  </w:style>
  <w:style w:type="character" w:customStyle="1" w:styleId="505">
    <w:name w:val="Heading 6 Char1"/>
    <w:qFormat/>
    <w:locked/>
    <w:uiPriority w:val="0"/>
    <w:rPr>
      <w:rFonts w:ascii="Arial" w:hAnsi="Arial" w:eastAsia="黑体"/>
      <w:b/>
      <w:kern w:val="2"/>
      <w:sz w:val="24"/>
      <w:lang w:val="en-US" w:eastAsia="zh-CN"/>
    </w:rPr>
  </w:style>
  <w:style w:type="character" w:customStyle="1" w:styleId="506">
    <w:name w:val="Heading 7 Char1"/>
    <w:qFormat/>
    <w:locked/>
    <w:uiPriority w:val="0"/>
    <w:rPr>
      <w:rFonts w:eastAsia="宋体"/>
      <w:b/>
      <w:kern w:val="2"/>
      <w:sz w:val="24"/>
      <w:lang w:val="en-US" w:eastAsia="zh-CN"/>
    </w:rPr>
  </w:style>
  <w:style w:type="character" w:customStyle="1" w:styleId="507">
    <w:name w:val="Heading 8 Char1"/>
    <w:qFormat/>
    <w:locked/>
    <w:uiPriority w:val="0"/>
    <w:rPr>
      <w:rFonts w:ascii="Arial" w:hAnsi="Arial" w:eastAsia="黑体"/>
      <w:kern w:val="2"/>
      <w:sz w:val="24"/>
      <w:lang w:val="en-US" w:eastAsia="zh-CN"/>
    </w:rPr>
  </w:style>
  <w:style w:type="character" w:customStyle="1" w:styleId="508">
    <w:name w:val="Heading 9 Char1"/>
    <w:qFormat/>
    <w:locked/>
    <w:uiPriority w:val="0"/>
    <w:rPr>
      <w:rFonts w:ascii="Arial" w:hAnsi="Arial" w:eastAsia="黑体"/>
      <w:kern w:val="2"/>
      <w:sz w:val="24"/>
      <w:lang w:val="en-US" w:eastAsia="zh-CN"/>
    </w:rPr>
  </w:style>
  <w:style w:type="character" w:customStyle="1" w:styleId="509">
    <w:name w:val="Document Map Char1"/>
    <w:qFormat/>
    <w:locked/>
    <w:uiPriority w:val="0"/>
    <w:rPr>
      <w:rFonts w:eastAsia="宋体"/>
      <w:kern w:val="2"/>
      <w:sz w:val="24"/>
      <w:lang w:val="en-US" w:eastAsia="zh-CN"/>
    </w:rPr>
  </w:style>
  <w:style w:type="character" w:customStyle="1" w:styleId="510">
    <w:name w:val="Comment Text Char"/>
    <w:qFormat/>
    <w:locked/>
    <w:uiPriority w:val="0"/>
    <w:rPr>
      <w:rFonts w:eastAsia="宋体"/>
      <w:sz w:val="24"/>
    </w:rPr>
  </w:style>
  <w:style w:type="character" w:customStyle="1" w:styleId="511">
    <w:name w:val="Salutation Char"/>
    <w:qFormat/>
    <w:locked/>
    <w:uiPriority w:val="0"/>
    <w:rPr>
      <w:kern w:val="2"/>
      <w:sz w:val="24"/>
    </w:rPr>
  </w:style>
  <w:style w:type="character" w:customStyle="1" w:styleId="512">
    <w:name w:val="Body Text 3 Char"/>
    <w:qFormat/>
    <w:locked/>
    <w:uiPriority w:val="0"/>
    <w:rPr>
      <w:rFonts w:eastAsia="宋体"/>
      <w:b/>
      <w:kern w:val="2"/>
      <w:sz w:val="24"/>
      <w:lang w:val="en-US" w:eastAsia="zh-CN"/>
    </w:rPr>
  </w:style>
  <w:style w:type="character" w:customStyle="1" w:styleId="513">
    <w:name w:val="Body Text Indent Char"/>
    <w:qFormat/>
    <w:locked/>
    <w:uiPriority w:val="0"/>
    <w:rPr>
      <w:rFonts w:ascii="仿宋_GB2312" w:eastAsia="仿宋_GB2312"/>
      <w:kern w:val="2"/>
      <w:sz w:val="32"/>
      <w:lang w:val="en-US" w:eastAsia="zh-CN"/>
    </w:rPr>
  </w:style>
  <w:style w:type="character" w:customStyle="1" w:styleId="514">
    <w:name w:val="Plain Text Char1"/>
    <w:qFormat/>
    <w:locked/>
    <w:uiPriority w:val="0"/>
    <w:rPr>
      <w:rFonts w:ascii="宋体" w:hAnsi="Courier New" w:eastAsia="宋体"/>
      <w:kern w:val="2"/>
      <w:sz w:val="21"/>
      <w:lang w:val="en-US" w:eastAsia="zh-CN"/>
    </w:rPr>
  </w:style>
  <w:style w:type="character" w:customStyle="1" w:styleId="515">
    <w:name w:val="Date Char1"/>
    <w:qFormat/>
    <w:locked/>
    <w:uiPriority w:val="0"/>
    <w:rPr>
      <w:rFonts w:ascii="宋体" w:hAnsi="Courier New" w:eastAsia="宋体"/>
      <w:kern w:val="2"/>
      <w:sz w:val="21"/>
      <w:lang w:val="en-US" w:eastAsia="zh-CN"/>
    </w:rPr>
  </w:style>
  <w:style w:type="character" w:customStyle="1" w:styleId="516">
    <w:name w:val="Body Text Indent 2 Char"/>
    <w:qFormat/>
    <w:locked/>
    <w:uiPriority w:val="0"/>
    <w:rPr>
      <w:rFonts w:eastAsia="宋体"/>
      <w:kern w:val="2"/>
      <w:sz w:val="32"/>
      <w:lang w:val="en-US" w:eastAsia="zh-CN"/>
    </w:rPr>
  </w:style>
  <w:style w:type="character" w:customStyle="1" w:styleId="517">
    <w:name w:val="Endnote Text Char"/>
    <w:qFormat/>
    <w:locked/>
    <w:uiPriority w:val="0"/>
    <w:rPr>
      <w:rFonts w:ascii="Calibri" w:hAnsi="Calibri"/>
      <w:kern w:val="2"/>
      <w:sz w:val="22"/>
    </w:rPr>
  </w:style>
  <w:style w:type="character" w:customStyle="1" w:styleId="518">
    <w:name w:val="Balloon Text Char1"/>
    <w:semiHidden/>
    <w:qFormat/>
    <w:locked/>
    <w:uiPriority w:val="0"/>
    <w:rPr>
      <w:rFonts w:eastAsia="宋体"/>
      <w:kern w:val="2"/>
      <w:sz w:val="18"/>
      <w:lang w:val="en-US" w:eastAsia="zh-CN"/>
    </w:rPr>
  </w:style>
  <w:style w:type="character" w:customStyle="1" w:styleId="519">
    <w:name w:val="Footer Char1"/>
    <w:qFormat/>
    <w:locked/>
    <w:uiPriority w:val="0"/>
    <w:rPr>
      <w:rFonts w:eastAsia="宋体"/>
      <w:kern w:val="2"/>
      <w:sz w:val="18"/>
      <w:lang w:val="en-US" w:eastAsia="zh-CN"/>
    </w:rPr>
  </w:style>
  <w:style w:type="character" w:customStyle="1" w:styleId="520">
    <w:name w:val="Header Char1"/>
    <w:qFormat/>
    <w:locked/>
    <w:uiPriority w:val="0"/>
    <w:rPr>
      <w:rFonts w:eastAsia="宋体"/>
      <w:kern w:val="2"/>
      <w:sz w:val="18"/>
      <w:lang w:val="en-US" w:eastAsia="zh-CN"/>
    </w:rPr>
  </w:style>
  <w:style w:type="character" w:customStyle="1" w:styleId="521">
    <w:name w:val="Body Text Indent 3 Char"/>
    <w:qFormat/>
    <w:locked/>
    <w:uiPriority w:val="0"/>
    <w:rPr>
      <w:rFonts w:eastAsia="宋体"/>
      <w:kern w:val="2"/>
      <w:sz w:val="16"/>
      <w:lang w:val="en-US" w:eastAsia="zh-CN"/>
    </w:rPr>
  </w:style>
  <w:style w:type="character" w:customStyle="1" w:styleId="522">
    <w:name w:val="Body Text 2 Char"/>
    <w:qFormat/>
    <w:locked/>
    <w:uiPriority w:val="0"/>
    <w:rPr>
      <w:rFonts w:eastAsia="宋体"/>
      <w:kern w:val="2"/>
      <w:sz w:val="24"/>
      <w:lang w:val="en-US" w:eastAsia="zh-CN"/>
    </w:rPr>
  </w:style>
  <w:style w:type="character" w:customStyle="1" w:styleId="523">
    <w:name w:val="HTML Preformatted Char1"/>
    <w:qFormat/>
    <w:locked/>
    <w:uiPriority w:val="0"/>
    <w:rPr>
      <w:rFonts w:ascii="黑体" w:hAnsi="Courier New" w:eastAsia="黑体"/>
      <w:lang w:val="en-US" w:eastAsia="zh-CN"/>
    </w:rPr>
  </w:style>
  <w:style w:type="character" w:customStyle="1" w:styleId="524">
    <w:name w:val="Title Char1"/>
    <w:qFormat/>
    <w:locked/>
    <w:uiPriority w:val="0"/>
    <w:rPr>
      <w:rFonts w:ascii="Arial" w:hAnsi="Arial" w:eastAsia="宋体"/>
      <w:b/>
      <w:kern w:val="2"/>
      <w:sz w:val="32"/>
    </w:rPr>
  </w:style>
  <w:style w:type="character" w:customStyle="1" w:styleId="525">
    <w:name w:val="Comment Subject Char"/>
    <w:semiHidden/>
    <w:qFormat/>
    <w:locked/>
    <w:uiPriority w:val="0"/>
    <w:rPr>
      <w:b/>
      <w:kern w:val="2"/>
      <w:sz w:val="24"/>
    </w:rPr>
  </w:style>
  <w:style w:type="character" w:customStyle="1" w:styleId="526">
    <w:name w:val="Char Char101"/>
    <w:semiHidden/>
    <w:qFormat/>
    <w:uiPriority w:val="0"/>
    <w:rPr>
      <w:rFonts w:eastAsia="宋体"/>
      <w:kern w:val="2"/>
      <w:sz w:val="24"/>
      <w:lang w:val="en-US" w:eastAsia="zh-CN"/>
    </w:rPr>
  </w:style>
  <w:style w:type="character" w:customStyle="1" w:styleId="527">
    <w:name w:val="Char Char141"/>
    <w:qFormat/>
    <w:uiPriority w:val="0"/>
    <w:rPr>
      <w:sz w:val="18"/>
    </w:rPr>
  </w:style>
  <w:style w:type="character" w:customStyle="1" w:styleId="528">
    <w:name w:val="Char Char Char Char Char1"/>
    <w:qFormat/>
    <w:uiPriority w:val="0"/>
    <w:rPr>
      <w:rFonts w:eastAsia="宋体"/>
      <w:b/>
      <w:kern w:val="44"/>
      <w:sz w:val="44"/>
      <w:lang w:val="en-US" w:eastAsia="zh-CN"/>
    </w:rPr>
  </w:style>
  <w:style w:type="character" w:customStyle="1" w:styleId="529">
    <w:name w:val="Char Char231"/>
    <w:qFormat/>
    <w:uiPriority w:val="0"/>
    <w:rPr>
      <w:rFonts w:ascii="Times New Roman" w:hAnsi="Times New Roman" w:eastAsia="宋体"/>
      <w:b/>
      <w:kern w:val="44"/>
      <w:sz w:val="44"/>
    </w:rPr>
  </w:style>
  <w:style w:type="character" w:customStyle="1" w:styleId="530">
    <w:name w:val="Char Char151"/>
    <w:qFormat/>
    <w:uiPriority w:val="0"/>
    <w:rPr>
      <w:sz w:val="18"/>
    </w:rPr>
  </w:style>
  <w:style w:type="paragraph" w:customStyle="1" w:styleId="531">
    <w:name w:val="Char Char112"/>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32">
    <w:name w:val="纯文本11"/>
    <w:basedOn w:val="1"/>
    <w:qFormat/>
    <w:uiPriority w:val="0"/>
    <w:rPr>
      <w:rFonts w:ascii="宋体"/>
      <w:szCs w:val="21"/>
    </w:rPr>
  </w:style>
  <w:style w:type="paragraph" w:customStyle="1" w:styleId="533">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534">
    <w:name w:val="修订1"/>
    <w:semiHidden/>
    <w:qFormat/>
    <w:uiPriority w:val="0"/>
    <w:rPr>
      <w:rFonts w:ascii="Times New Roman" w:hAnsi="Times New Roman" w:eastAsia="宋体" w:cs="Times New Roman"/>
      <w:kern w:val="2"/>
      <w:sz w:val="21"/>
      <w:szCs w:val="24"/>
      <w:lang w:val="en-US" w:eastAsia="zh-CN" w:bidi="ar-SA"/>
    </w:rPr>
  </w:style>
  <w:style w:type="paragraph" w:customStyle="1" w:styleId="535">
    <w:name w:val="Char Char19 Char Char Char Char1"/>
    <w:basedOn w:val="16"/>
    <w:qFormat/>
    <w:uiPriority w:val="0"/>
    <w:pPr>
      <w:widowControl/>
      <w:ind w:firstLine="454"/>
      <w:jc w:val="left"/>
    </w:pPr>
  </w:style>
  <w:style w:type="paragraph" w:customStyle="1" w:styleId="536">
    <w:name w:val="No Spacing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7">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38">
    <w:name w:val="Char3"/>
    <w:basedOn w:val="16"/>
    <w:qFormat/>
    <w:uiPriority w:val="0"/>
    <w:pPr>
      <w:widowControl/>
      <w:ind w:firstLine="454"/>
      <w:jc w:val="left"/>
    </w:pPr>
    <w:rPr>
      <w:rFonts w:ascii="Tahoma" w:hAnsi="Tahoma" w:cs="宋体"/>
      <w:kern w:val="0"/>
      <w:sz w:val="24"/>
      <w:szCs w:val="20"/>
    </w:rPr>
  </w:style>
  <w:style w:type="paragraph" w:customStyle="1" w:styleId="539">
    <w:name w:val="Char Char1 Char Char Char Char2"/>
    <w:basedOn w:val="16"/>
    <w:qFormat/>
    <w:uiPriority w:val="0"/>
    <w:rPr>
      <w:rFonts w:ascii="Tahoma" w:hAnsi="Tahoma"/>
      <w:sz w:val="24"/>
    </w:rPr>
  </w:style>
  <w:style w:type="paragraph" w:customStyle="1" w:styleId="540">
    <w:name w:val="Char Char Char Char Char Char1 Char2"/>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541">
    <w:name w:val="Char22"/>
    <w:basedOn w:val="1"/>
    <w:qFormat/>
    <w:uiPriority w:val="0"/>
    <w:pPr>
      <w:widowControl/>
      <w:spacing w:after="160" w:line="240" w:lineRule="exact"/>
      <w:jc w:val="left"/>
    </w:pPr>
    <w:rPr>
      <w:rFonts w:ascii="Verdana" w:hAnsi="Verdana"/>
      <w:kern w:val="0"/>
      <w:szCs w:val="20"/>
      <w:lang w:eastAsia="en-US"/>
    </w:rPr>
  </w:style>
  <w:style w:type="paragraph" w:customStyle="1" w:styleId="542">
    <w:name w:val="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43">
    <w:name w:val="Char13"/>
    <w:basedOn w:val="1"/>
    <w:qFormat/>
    <w:uiPriority w:val="0"/>
    <w:rPr>
      <w:szCs w:val="21"/>
    </w:rPr>
  </w:style>
  <w:style w:type="paragraph" w:customStyle="1" w:styleId="544">
    <w:name w:val="列出段落4"/>
    <w:basedOn w:val="1"/>
    <w:qFormat/>
    <w:uiPriority w:val="0"/>
    <w:pPr>
      <w:ind w:firstLine="420" w:firstLineChars="200"/>
    </w:pPr>
    <w:rPr>
      <w:rFonts w:ascii="Calibri" w:hAnsi="Calibri"/>
      <w:szCs w:val="22"/>
    </w:rPr>
  </w:style>
  <w:style w:type="paragraph" w:customStyle="1" w:styleId="545">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46">
    <w:name w:val="Char Char9 Char Char Char Char2"/>
    <w:basedOn w:val="1"/>
    <w:qFormat/>
    <w:uiPriority w:val="0"/>
    <w:pPr>
      <w:widowControl/>
      <w:spacing w:after="160" w:line="240" w:lineRule="exact"/>
      <w:jc w:val="left"/>
    </w:pPr>
  </w:style>
  <w:style w:type="character" w:customStyle="1" w:styleId="547">
    <w:name w:val="Char Char331"/>
    <w:qFormat/>
    <w:uiPriority w:val="0"/>
    <w:rPr>
      <w:rFonts w:eastAsia="宋体"/>
      <w:b/>
      <w:kern w:val="44"/>
      <w:sz w:val="44"/>
      <w:lang w:val="en-US" w:eastAsia="zh-CN"/>
    </w:rPr>
  </w:style>
  <w:style w:type="character" w:customStyle="1" w:styleId="548">
    <w:name w:val="Char Char321"/>
    <w:qFormat/>
    <w:uiPriority w:val="0"/>
    <w:rPr>
      <w:rFonts w:ascii="Arial" w:hAnsi="Arial" w:eastAsia="黑体"/>
      <w:b/>
      <w:sz w:val="32"/>
    </w:rPr>
  </w:style>
  <w:style w:type="character" w:customStyle="1" w:styleId="549">
    <w:name w:val="Char Char351"/>
    <w:qFormat/>
    <w:uiPriority w:val="0"/>
    <w:rPr>
      <w:rFonts w:eastAsia="宋体"/>
      <w:b/>
      <w:kern w:val="44"/>
      <w:sz w:val="44"/>
      <w:lang w:val="en-US" w:eastAsia="zh-CN"/>
    </w:rPr>
  </w:style>
  <w:style w:type="character" w:customStyle="1" w:styleId="550">
    <w:name w:val="Char Char341"/>
    <w:qFormat/>
    <w:uiPriority w:val="0"/>
    <w:rPr>
      <w:rFonts w:ascii="Arial" w:hAnsi="Arial" w:eastAsia="黑体"/>
      <w:b/>
      <w:sz w:val="32"/>
    </w:rPr>
  </w:style>
  <w:style w:type="character" w:customStyle="1" w:styleId="551">
    <w:name w:val="Char Char371"/>
    <w:qFormat/>
    <w:uiPriority w:val="0"/>
    <w:rPr>
      <w:rFonts w:eastAsia="宋体"/>
      <w:b/>
      <w:kern w:val="44"/>
      <w:sz w:val="44"/>
      <w:lang w:val="en-US" w:eastAsia="zh-CN"/>
    </w:rPr>
  </w:style>
  <w:style w:type="character" w:customStyle="1" w:styleId="552">
    <w:name w:val="Char Char361"/>
    <w:qFormat/>
    <w:uiPriority w:val="0"/>
    <w:rPr>
      <w:rFonts w:ascii="Arial" w:hAnsi="Arial" w:eastAsia="黑体"/>
      <w:b/>
      <w:sz w:val="32"/>
    </w:rPr>
  </w:style>
  <w:style w:type="character" w:customStyle="1" w:styleId="553">
    <w:name w:val="Char Char391"/>
    <w:qFormat/>
    <w:uiPriority w:val="0"/>
    <w:rPr>
      <w:rFonts w:eastAsia="宋体"/>
      <w:b/>
      <w:kern w:val="44"/>
      <w:sz w:val="44"/>
      <w:lang w:val="en-US" w:eastAsia="zh-CN"/>
    </w:rPr>
  </w:style>
  <w:style w:type="character" w:customStyle="1" w:styleId="554">
    <w:name w:val="Char Char381"/>
    <w:qFormat/>
    <w:uiPriority w:val="0"/>
    <w:rPr>
      <w:rFonts w:ascii="Arial" w:hAnsi="Arial" w:eastAsia="黑体"/>
      <w:b/>
      <w:sz w:val="32"/>
    </w:rPr>
  </w:style>
  <w:style w:type="paragraph" w:customStyle="1" w:styleId="555">
    <w:name w:val="_Style 49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6">
    <w:name w:val="Char Char42"/>
    <w:qFormat/>
    <w:uiPriority w:val="0"/>
    <w:rPr>
      <w:rFonts w:eastAsia="宋体"/>
      <w:b/>
      <w:bCs/>
      <w:kern w:val="44"/>
      <w:sz w:val="44"/>
      <w:szCs w:val="44"/>
      <w:lang w:val="en-US" w:eastAsia="zh-CN" w:bidi="ar-SA"/>
    </w:rPr>
  </w:style>
  <w:style w:type="character" w:customStyle="1" w:styleId="557">
    <w:name w:val="Char Char41"/>
    <w:qFormat/>
    <w:uiPriority w:val="0"/>
    <w:rPr>
      <w:rFonts w:ascii="Arial" w:hAnsi="Arial" w:eastAsia="黑体"/>
      <w:b/>
      <w:bCs/>
      <w:sz w:val="32"/>
      <w:szCs w:val="32"/>
      <w:lang w:bidi="ar-SA"/>
    </w:rPr>
  </w:style>
  <w:style w:type="character" w:customStyle="1" w:styleId="558">
    <w:name w:val="Char Char40"/>
    <w:qFormat/>
    <w:uiPriority w:val="0"/>
    <w:rPr>
      <w:rFonts w:eastAsia="宋体"/>
      <w:b/>
      <w:bCs/>
      <w:sz w:val="32"/>
      <w:szCs w:val="32"/>
      <w:lang w:bidi="ar-SA"/>
    </w:rPr>
  </w:style>
  <w:style w:type="character" w:customStyle="1" w:styleId="559">
    <w:name w:val="Char Char45"/>
    <w:qFormat/>
    <w:uiPriority w:val="0"/>
    <w:rPr>
      <w:rFonts w:eastAsia="宋体"/>
      <w:b/>
      <w:bCs/>
      <w:kern w:val="44"/>
      <w:sz w:val="44"/>
      <w:szCs w:val="44"/>
      <w:lang w:val="en-US" w:eastAsia="zh-CN" w:bidi="ar-SA"/>
    </w:rPr>
  </w:style>
  <w:style w:type="character" w:customStyle="1" w:styleId="560">
    <w:name w:val="Char Char44"/>
    <w:qFormat/>
    <w:uiPriority w:val="0"/>
    <w:rPr>
      <w:rFonts w:ascii="Arial" w:hAnsi="Arial" w:eastAsia="黑体"/>
      <w:b/>
      <w:bCs/>
      <w:sz w:val="32"/>
      <w:szCs w:val="32"/>
      <w:lang w:bidi="ar-SA"/>
    </w:rPr>
  </w:style>
  <w:style w:type="character" w:customStyle="1" w:styleId="561">
    <w:name w:val="Char Char43"/>
    <w:qFormat/>
    <w:uiPriority w:val="0"/>
    <w:rPr>
      <w:rFonts w:eastAsia="宋体"/>
      <w:b/>
      <w:bCs/>
      <w:sz w:val="32"/>
      <w:szCs w:val="32"/>
      <w:lang w:bidi="ar-SA"/>
    </w:rPr>
  </w:style>
  <w:style w:type="table" w:customStyle="1" w:styleId="562">
    <w:name w:val="彩色列表 - 强调文字颜色 111"/>
    <w:basedOn w:val="53"/>
    <w:qFormat/>
    <w:uiPriority w:val="0"/>
    <w:rPr>
      <w:rFonts w:ascii="Calibri" w:hAnsi="Calibri"/>
      <w:sz w:val="24"/>
      <w:szCs w:val="24"/>
      <w:lang w:eastAsia="en-US"/>
    </w:rPr>
    <w:tcPr>
      <w:shd w:val="clear" w:color="auto" w:fill="EDF2F8"/>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character" w:customStyle="1" w:styleId="563">
    <w:name w:val="Char Char48"/>
    <w:qFormat/>
    <w:uiPriority w:val="0"/>
    <w:rPr>
      <w:rFonts w:eastAsia="宋体"/>
      <w:b/>
      <w:bCs/>
      <w:kern w:val="44"/>
      <w:sz w:val="44"/>
      <w:szCs w:val="44"/>
      <w:lang w:val="en-US" w:eastAsia="zh-CN" w:bidi="ar-SA"/>
    </w:rPr>
  </w:style>
  <w:style w:type="character" w:customStyle="1" w:styleId="564">
    <w:name w:val="Char Char47"/>
    <w:qFormat/>
    <w:uiPriority w:val="0"/>
    <w:rPr>
      <w:rFonts w:ascii="Arial" w:hAnsi="Arial" w:eastAsia="黑体"/>
      <w:b/>
      <w:bCs/>
      <w:sz w:val="32"/>
      <w:szCs w:val="32"/>
      <w:lang w:bidi="ar-SA"/>
    </w:rPr>
  </w:style>
  <w:style w:type="character" w:customStyle="1" w:styleId="565">
    <w:name w:val="Char Char46"/>
    <w:qFormat/>
    <w:uiPriority w:val="0"/>
    <w:rPr>
      <w:rFonts w:eastAsia="宋体"/>
      <w:b/>
      <w:bCs/>
      <w:sz w:val="32"/>
      <w:szCs w:val="32"/>
      <w:lang w:bidi="ar-SA"/>
    </w:rPr>
  </w:style>
  <w:style w:type="character" w:customStyle="1" w:styleId="566">
    <w:name w:val="普通文字 Char Char3"/>
    <w:qFormat/>
    <w:uiPriority w:val="0"/>
    <w:rPr>
      <w:rFonts w:ascii="宋体" w:hAnsi="Courier New" w:eastAsia="宋体" w:cs="Courier New"/>
      <w:kern w:val="2"/>
      <w:sz w:val="21"/>
      <w:szCs w:val="21"/>
      <w:lang w:val="en-US" w:eastAsia="zh-CN" w:bidi="ar-SA"/>
    </w:rPr>
  </w:style>
  <w:style w:type="character" w:customStyle="1" w:styleId="567">
    <w:name w:val="普通文字 Char Char5"/>
    <w:qFormat/>
    <w:uiPriority w:val="0"/>
    <w:rPr>
      <w:rFonts w:ascii="宋体" w:hAnsi="Courier New" w:eastAsia="宋体" w:cs="Courier New"/>
      <w:kern w:val="2"/>
      <w:sz w:val="21"/>
      <w:szCs w:val="21"/>
      <w:lang w:val="en-US" w:eastAsia="zh-CN" w:bidi="ar-SA"/>
    </w:rPr>
  </w:style>
  <w:style w:type="paragraph" w:customStyle="1" w:styleId="568">
    <w:name w:val="首行缩进"/>
    <w:basedOn w:val="1"/>
    <w:qFormat/>
    <w:uiPriority w:val="0"/>
    <w:pPr>
      <w:ind w:firstLine="480" w:firstLineChars="200"/>
    </w:pPr>
    <w:rPr>
      <w:sz w:val="24"/>
    </w:rPr>
  </w:style>
  <w:style w:type="paragraph" w:customStyle="1" w:styleId="569">
    <w:name w:val="_Style 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70">
    <w:name w:val="称呼 字符3"/>
    <w:qFormat/>
    <w:uiPriority w:val="0"/>
    <w:rPr>
      <w:kern w:val="2"/>
      <w:sz w:val="28"/>
      <w:szCs w:val="24"/>
    </w:rPr>
  </w:style>
  <w:style w:type="character" w:customStyle="1" w:styleId="571">
    <w:name w:val="批注文字 字符3"/>
    <w:qFormat/>
    <w:uiPriority w:val="0"/>
    <w:rPr>
      <w:rFonts w:eastAsia="宋体"/>
      <w:sz w:val="24"/>
      <w:lang w:bidi="ar-SA"/>
    </w:rPr>
  </w:style>
  <w:style w:type="character" w:customStyle="1" w:styleId="572">
    <w:name w:val="正文文本缩进 2 字符3"/>
    <w:qFormat/>
    <w:uiPriority w:val="0"/>
    <w:rPr>
      <w:rFonts w:eastAsia="宋体"/>
      <w:kern w:val="2"/>
      <w:sz w:val="32"/>
      <w:lang w:val="en-US" w:eastAsia="zh-CN" w:bidi="ar-SA"/>
    </w:rPr>
  </w:style>
  <w:style w:type="character" w:customStyle="1" w:styleId="573">
    <w:name w:val="标题 5 字符3"/>
    <w:qFormat/>
    <w:uiPriority w:val="0"/>
    <w:rPr>
      <w:rFonts w:eastAsia="宋体"/>
      <w:b/>
      <w:kern w:val="2"/>
      <w:sz w:val="28"/>
      <w:szCs w:val="24"/>
      <w:lang w:val="en-US" w:eastAsia="zh-CN" w:bidi="ar-SA"/>
    </w:rPr>
  </w:style>
  <w:style w:type="character" w:customStyle="1" w:styleId="574">
    <w:name w:val="正文文本 3 字符3"/>
    <w:qFormat/>
    <w:uiPriority w:val="0"/>
    <w:rPr>
      <w:rFonts w:eastAsia="宋体"/>
      <w:b/>
      <w:bCs/>
      <w:kern w:val="2"/>
      <w:sz w:val="24"/>
      <w:szCs w:val="24"/>
      <w:lang w:val="en-US" w:eastAsia="zh-CN" w:bidi="ar-SA"/>
    </w:rPr>
  </w:style>
  <w:style w:type="character" w:customStyle="1" w:styleId="575">
    <w:name w:val="标题 8 字符3"/>
    <w:qFormat/>
    <w:uiPriority w:val="0"/>
    <w:rPr>
      <w:rFonts w:ascii="Arial" w:hAnsi="Arial" w:eastAsia="黑体"/>
      <w:kern w:val="2"/>
      <w:sz w:val="24"/>
      <w:szCs w:val="24"/>
      <w:lang w:val="en-US" w:eastAsia="zh-CN" w:bidi="ar-SA"/>
    </w:rPr>
  </w:style>
  <w:style w:type="character" w:customStyle="1" w:styleId="576">
    <w:name w:val="正文文本 字符3"/>
    <w:qFormat/>
    <w:uiPriority w:val="0"/>
    <w:rPr>
      <w:rFonts w:eastAsia="宋体"/>
      <w:kern w:val="2"/>
      <w:sz w:val="24"/>
      <w:szCs w:val="24"/>
      <w:lang w:val="en-US" w:eastAsia="zh-CN" w:bidi="ar-SA"/>
    </w:rPr>
  </w:style>
  <w:style w:type="character" w:customStyle="1" w:styleId="577">
    <w:name w:val="标题 1 字符3"/>
    <w:qFormat/>
    <w:uiPriority w:val="0"/>
    <w:rPr>
      <w:rFonts w:eastAsia="宋体"/>
      <w:b/>
      <w:bCs/>
      <w:kern w:val="44"/>
      <w:sz w:val="44"/>
      <w:szCs w:val="44"/>
      <w:lang w:val="en-US" w:eastAsia="zh-CN" w:bidi="ar-SA"/>
    </w:rPr>
  </w:style>
  <w:style w:type="character" w:customStyle="1" w:styleId="578">
    <w:name w:val="文档结构图 字符3"/>
    <w:qFormat/>
    <w:uiPriority w:val="0"/>
    <w:rPr>
      <w:rFonts w:eastAsia="宋体"/>
      <w:kern w:val="2"/>
      <w:sz w:val="21"/>
      <w:szCs w:val="24"/>
      <w:lang w:val="en-US" w:eastAsia="zh-CN" w:bidi="ar-SA"/>
    </w:rPr>
  </w:style>
  <w:style w:type="character" w:customStyle="1" w:styleId="579">
    <w:name w:val="标题 7 字符3"/>
    <w:qFormat/>
    <w:uiPriority w:val="0"/>
    <w:rPr>
      <w:rFonts w:eastAsia="宋体"/>
      <w:b/>
      <w:kern w:val="2"/>
      <w:sz w:val="24"/>
      <w:szCs w:val="24"/>
      <w:lang w:val="en-US" w:eastAsia="zh-CN" w:bidi="ar-SA"/>
    </w:rPr>
  </w:style>
  <w:style w:type="character" w:customStyle="1" w:styleId="580">
    <w:name w:val="标题 6 字符3"/>
    <w:qFormat/>
    <w:uiPriority w:val="0"/>
    <w:rPr>
      <w:rFonts w:ascii="Arial" w:hAnsi="Arial" w:eastAsia="黑体"/>
      <w:b/>
      <w:kern w:val="2"/>
      <w:sz w:val="24"/>
      <w:szCs w:val="24"/>
      <w:lang w:val="en-US" w:eastAsia="zh-CN" w:bidi="ar-SA"/>
    </w:rPr>
  </w:style>
  <w:style w:type="character" w:customStyle="1" w:styleId="581">
    <w:name w:val="标题 3 字符3"/>
    <w:qFormat/>
    <w:uiPriority w:val="0"/>
    <w:rPr>
      <w:rFonts w:eastAsia="宋体"/>
      <w:b/>
      <w:bCs/>
      <w:sz w:val="32"/>
      <w:szCs w:val="32"/>
      <w:lang w:bidi="ar-SA"/>
    </w:rPr>
  </w:style>
  <w:style w:type="character" w:customStyle="1" w:styleId="582">
    <w:name w:val="页脚 字符3"/>
    <w:qFormat/>
    <w:uiPriority w:val="0"/>
    <w:rPr>
      <w:rFonts w:eastAsia="宋体"/>
      <w:kern w:val="2"/>
      <w:sz w:val="18"/>
      <w:szCs w:val="18"/>
      <w:lang w:val="en-US" w:eastAsia="zh-CN" w:bidi="ar-SA"/>
    </w:rPr>
  </w:style>
  <w:style w:type="character" w:customStyle="1" w:styleId="583">
    <w:name w:val="尾注文本 字符3"/>
    <w:qFormat/>
    <w:uiPriority w:val="0"/>
    <w:rPr>
      <w:rFonts w:ascii="Calibri" w:hAnsi="Calibri"/>
      <w:kern w:val="2"/>
      <w:sz w:val="21"/>
      <w:szCs w:val="22"/>
    </w:rPr>
  </w:style>
  <w:style w:type="character" w:customStyle="1" w:styleId="584">
    <w:name w:val="日期 字符3"/>
    <w:qFormat/>
    <w:uiPriority w:val="0"/>
    <w:rPr>
      <w:rFonts w:ascii="宋体" w:hAnsi="Courier New" w:eastAsia="宋体" w:cs="Courier New"/>
      <w:kern w:val="2"/>
      <w:sz w:val="21"/>
      <w:szCs w:val="21"/>
      <w:lang w:val="en-US" w:eastAsia="zh-CN" w:bidi="ar-SA"/>
    </w:rPr>
  </w:style>
  <w:style w:type="character" w:customStyle="1" w:styleId="585">
    <w:name w:val="正文文本缩进 字符3"/>
    <w:qFormat/>
    <w:uiPriority w:val="0"/>
    <w:rPr>
      <w:rFonts w:ascii="仿宋_GB2312" w:eastAsia="仿宋_GB2312"/>
      <w:kern w:val="2"/>
      <w:sz w:val="32"/>
      <w:lang w:val="en-US" w:eastAsia="zh-CN" w:bidi="ar-SA"/>
    </w:rPr>
  </w:style>
  <w:style w:type="character" w:customStyle="1" w:styleId="586">
    <w:name w:val="标题 9 字符3"/>
    <w:qFormat/>
    <w:uiPriority w:val="0"/>
    <w:rPr>
      <w:rFonts w:ascii="Arial" w:hAnsi="Arial" w:eastAsia="黑体"/>
      <w:kern w:val="2"/>
      <w:sz w:val="21"/>
      <w:szCs w:val="24"/>
      <w:lang w:val="en-US" w:eastAsia="zh-CN" w:bidi="ar-SA"/>
    </w:rPr>
  </w:style>
  <w:style w:type="character" w:customStyle="1" w:styleId="587">
    <w:name w:val="正文文本缩进 3 字符3"/>
    <w:qFormat/>
    <w:uiPriority w:val="0"/>
    <w:rPr>
      <w:rFonts w:eastAsia="宋体"/>
      <w:kern w:val="2"/>
      <w:sz w:val="16"/>
      <w:szCs w:val="16"/>
      <w:lang w:val="en-US" w:eastAsia="zh-CN" w:bidi="ar-SA"/>
    </w:rPr>
  </w:style>
  <w:style w:type="character" w:customStyle="1" w:styleId="588">
    <w:name w:val="脚注文本 字符3"/>
    <w:qFormat/>
    <w:locked/>
    <w:uiPriority w:val="0"/>
    <w:rPr>
      <w:rFonts w:ascii="宋体" w:eastAsia="宋体"/>
      <w:kern w:val="21"/>
      <w:sz w:val="18"/>
      <w:szCs w:val="18"/>
      <w:lang w:val="en-US" w:eastAsia="zh-CN" w:bidi="ar-SA"/>
    </w:rPr>
  </w:style>
  <w:style w:type="character" w:customStyle="1" w:styleId="589">
    <w:name w:val="纯文本 字符4"/>
    <w:qFormat/>
    <w:uiPriority w:val="0"/>
    <w:rPr>
      <w:rFonts w:ascii="宋体" w:hAnsi="Courier New" w:eastAsia="宋体" w:cs="Courier New"/>
      <w:kern w:val="2"/>
      <w:sz w:val="21"/>
      <w:szCs w:val="21"/>
      <w:lang w:val="en-US" w:eastAsia="zh-CN" w:bidi="ar-SA"/>
    </w:rPr>
  </w:style>
  <w:style w:type="character" w:customStyle="1" w:styleId="590">
    <w:name w:val="HTML 预设格式 字符3"/>
    <w:qFormat/>
    <w:uiPriority w:val="0"/>
    <w:rPr>
      <w:rFonts w:ascii="黑体" w:hAnsi="Courier New" w:eastAsia="黑体" w:cs="Courier New"/>
      <w:lang w:val="en-US" w:eastAsia="zh-CN" w:bidi="ar-SA"/>
    </w:rPr>
  </w:style>
  <w:style w:type="character" w:customStyle="1" w:styleId="591">
    <w:name w:val="标题 2 字符3"/>
    <w:qFormat/>
    <w:uiPriority w:val="0"/>
    <w:rPr>
      <w:rFonts w:ascii="Arial" w:hAnsi="Arial" w:eastAsia="黑体"/>
      <w:b/>
      <w:bCs/>
      <w:sz w:val="32"/>
      <w:szCs w:val="32"/>
      <w:lang w:bidi="ar-SA"/>
    </w:rPr>
  </w:style>
  <w:style w:type="character" w:customStyle="1" w:styleId="592">
    <w:name w:val="HTML 地址 字符3"/>
    <w:qFormat/>
    <w:locked/>
    <w:uiPriority w:val="0"/>
    <w:rPr>
      <w:rFonts w:ascii="宋体" w:eastAsia="宋体"/>
      <w:i/>
      <w:iCs/>
      <w:kern w:val="21"/>
      <w:sz w:val="21"/>
      <w:szCs w:val="21"/>
      <w:lang w:val="en-US" w:eastAsia="zh-CN" w:bidi="ar-SA"/>
    </w:rPr>
  </w:style>
  <w:style w:type="character" w:customStyle="1" w:styleId="593">
    <w:name w:val="页眉 字符3"/>
    <w:qFormat/>
    <w:uiPriority w:val="0"/>
    <w:rPr>
      <w:rFonts w:eastAsia="宋体"/>
      <w:kern w:val="2"/>
      <w:sz w:val="18"/>
      <w:szCs w:val="18"/>
      <w:lang w:val="en-US" w:eastAsia="zh-CN" w:bidi="ar-SA"/>
    </w:rPr>
  </w:style>
  <w:style w:type="character" w:customStyle="1" w:styleId="594">
    <w:name w:val="无间隔 字符4"/>
    <w:qFormat/>
    <w:uiPriority w:val="0"/>
    <w:rPr>
      <w:sz w:val="22"/>
      <w:szCs w:val="22"/>
      <w:lang w:val="en-US" w:eastAsia="zh-CN" w:bidi="ar-SA"/>
    </w:rPr>
  </w:style>
  <w:style w:type="character" w:customStyle="1" w:styleId="595">
    <w:name w:val="正文文本 2 字符3"/>
    <w:qFormat/>
    <w:uiPriority w:val="0"/>
    <w:rPr>
      <w:rFonts w:eastAsia="宋体"/>
      <w:kern w:val="2"/>
      <w:sz w:val="21"/>
      <w:szCs w:val="24"/>
      <w:lang w:val="en-US" w:eastAsia="zh-CN" w:bidi="ar-SA"/>
    </w:rPr>
  </w:style>
  <w:style w:type="character" w:customStyle="1" w:styleId="596">
    <w:name w:val="标题 字符3"/>
    <w:qFormat/>
    <w:uiPriority w:val="0"/>
    <w:rPr>
      <w:rFonts w:ascii="Arial" w:hAnsi="Arial" w:eastAsia="宋体"/>
      <w:b/>
      <w:bCs/>
      <w:kern w:val="2"/>
      <w:sz w:val="32"/>
      <w:szCs w:val="32"/>
      <w:lang w:bidi="ar-SA"/>
    </w:rPr>
  </w:style>
  <w:style w:type="character" w:customStyle="1" w:styleId="597">
    <w:name w:val="标题 4 字符3"/>
    <w:qFormat/>
    <w:uiPriority w:val="0"/>
    <w:rPr>
      <w:rFonts w:ascii="Arial" w:hAnsi="Arial" w:eastAsia="黑体"/>
      <w:sz w:val="28"/>
      <w:lang w:bidi="ar-SA"/>
    </w:rPr>
  </w:style>
  <w:style w:type="character" w:customStyle="1" w:styleId="598">
    <w:name w:val="Char Char50"/>
    <w:qFormat/>
    <w:uiPriority w:val="0"/>
    <w:rPr>
      <w:rFonts w:eastAsia="宋体"/>
      <w:b/>
      <w:bCs/>
      <w:kern w:val="44"/>
      <w:sz w:val="44"/>
      <w:szCs w:val="44"/>
      <w:lang w:val="en-US" w:eastAsia="zh-CN" w:bidi="ar-SA"/>
    </w:rPr>
  </w:style>
  <w:style w:type="character" w:customStyle="1" w:styleId="599">
    <w:name w:val="Char Char49"/>
    <w:qFormat/>
    <w:uiPriority w:val="0"/>
    <w:rPr>
      <w:rFonts w:ascii="Arial" w:hAnsi="Arial" w:eastAsia="黑体"/>
      <w:b/>
      <w:bCs/>
      <w:sz w:val="32"/>
      <w:szCs w:val="32"/>
      <w:lang w:bidi="ar-SA"/>
    </w:rPr>
  </w:style>
  <w:style w:type="character" w:customStyle="1" w:styleId="600">
    <w:name w:val="普通文字 Char Char7"/>
    <w:qFormat/>
    <w:uiPriority w:val="0"/>
    <w:rPr>
      <w:rFonts w:ascii="宋体" w:hAnsi="Courier New" w:eastAsia="宋体" w:cs="Courier New"/>
      <w:kern w:val="2"/>
      <w:sz w:val="21"/>
      <w:szCs w:val="21"/>
      <w:lang w:val="en-US" w:eastAsia="zh-CN" w:bidi="ar-SA"/>
    </w:rPr>
  </w:style>
  <w:style w:type="paragraph" w:customStyle="1" w:styleId="601">
    <w:name w:val="Char Char Char3"/>
    <w:basedOn w:val="1"/>
    <w:qFormat/>
    <w:uiPriority w:val="0"/>
    <w:pPr>
      <w:widowControl/>
      <w:spacing w:after="160" w:line="240" w:lineRule="exact"/>
      <w:jc w:val="left"/>
    </w:pPr>
    <w:rPr>
      <w:rFonts w:ascii="Verdana" w:hAnsi="Verdana"/>
      <w:kern w:val="0"/>
      <w:sz w:val="20"/>
      <w:szCs w:val="20"/>
      <w:lang w:eastAsia="en-US"/>
    </w:rPr>
  </w:style>
  <w:style w:type="character" w:customStyle="1" w:styleId="602">
    <w:name w:val="普通文字 Char Char2 Char"/>
    <w:qFormat/>
    <w:locked/>
    <w:uiPriority w:val="0"/>
    <w:rPr>
      <w:rFonts w:ascii="宋体" w:hAnsi="Courier New" w:eastAsia="宋体"/>
      <w:kern w:val="2"/>
      <w:sz w:val="21"/>
      <w:lang w:val="en-US" w:eastAsia="zh-CN" w:bidi="ar-SA"/>
    </w:rPr>
  </w:style>
  <w:style w:type="character" w:customStyle="1" w:styleId="603">
    <w:name w:val="标题 1 字符4"/>
    <w:qFormat/>
    <w:uiPriority w:val="0"/>
    <w:rPr>
      <w:rFonts w:eastAsia="宋体"/>
      <w:b/>
      <w:bCs/>
      <w:kern w:val="44"/>
      <w:sz w:val="44"/>
      <w:szCs w:val="44"/>
      <w:lang w:val="en-US" w:eastAsia="zh-CN" w:bidi="ar-SA"/>
    </w:rPr>
  </w:style>
  <w:style w:type="character" w:customStyle="1" w:styleId="604">
    <w:name w:val="标题 2 字符4"/>
    <w:qFormat/>
    <w:uiPriority w:val="0"/>
    <w:rPr>
      <w:rFonts w:ascii="Arial" w:hAnsi="Arial" w:eastAsia="黑体"/>
      <w:b/>
      <w:bCs/>
      <w:sz w:val="32"/>
      <w:szCs w:val="32"/>
      <w:lang w:bidi="ar-SA"/>
    </w:rPr>
  </w:style>
  <w:style w:type="character" w:customStyle="1" w:styleId="605">
    <w:name w:val="标题 3 字符4"/>
    <w:qFormat/>
    <w:uiPriority w:val="0"/>
    <w:rPr>
      <w:rFonts w:eastAsia="宋体"/>
      <w:b/>
      <w:bCs/>
      <w:sz w:val="32"/>
      <w:szCs w:val="32"/>
      <w:lang w:bidi="ar-SA"/>
    </w:rPr>
  </w:style>
  <w:style w:type="character" w:customStyle="1" w:styleId="606">
    <w:name w:val="标题 4 字符4"/>
    <w:qFormat/>
    <w:uiPriority w:val="0"/>
    <w:rPr>
      <w:rFonts w:ascii="Arial" w:hAnsi="Arial" w:eastAsia="黑体"/>
      <w:sz w:val="28"/>
      <w:lang w:bidi="ar-SA"/>
    </w:rPr>
  </w:style>
  <w:style w:type="character" w:customStyle="1" w:styleId="607">
    <w:name w:val="标题 5 字符4"/>
    <w:qFormat/>
    <w:uiPriority w:val="0"/>
    <w:rPr>
      <w:rFonts w:eastAsia="宋体"/>
      <w:b/>
      <w:kern w:val="2"/>
      <w:sz w:val="28"/>
      <w:szCs w:val="24"/>
      <w:lang w:val="en-US" w:eastAsia="zh-CN" w:bidi="ar-SA"/>
    </w:rPr>
  </w:style>
  <w:style w:type="character" w:customStyle="1" w:styleId="608">
    <w:name w:val="标题 6 字符4"/>
    <w:qFormat/>
    <w:uiPriority w:val="0"/>
    <w:rPr>
      <w:rFonts w:ascii="Arial" w:hAnsi="Arial" w:eastAsia="黑体"/>
      <w:b/>
      <w:kern w:val="2"/>
      <w:sz w:val="24"/>
      <w:szCs w:val="24"/>
      <w:lang w:val="en-US" w:eastAsia="zh-CN" w:bidi="ar-SA"/>
    </w:rPr>
  </w:style>
  <w:style w:type="character" w:customStyle="1" w:styleId="609">
    <w:name w:val="标题 7 字符4"/>
    <w:qFormat/>
    <w:uiPriority w:val="0"/>
    <w:rPr>
      <w:rFonts w:eastAsia="宋体"/>
      <w:b/>
      <w:kern w:val="2"/>
      <w:sz w:val="24"/>
      <w:szCs w:val="24"/>
      <w:lang w:val="en-US" w:eastAsia="zh-CN" w:bidi="ar-SA"/>
    </w:rPr>
  </w:style>
  <w:style w:type="character" w:customStyle="1" w:styleId="610">
    <w:name w:val="标题 8 字符4"/>
    <w:qFormat/>
    <w:uiPriority w:val="0"/>
    <w:rPr>
      <w:rFonts w:ascii="Arial" w:hAnsi="Arial" w:eastAsia="黑体"/>
      <w:kern w:val="2"/>
      <w:sz w:val="24"/>
      <w:szCs w:val="24"/>
      <w:lang w:val="en-US" w:eastAsia="zh-CN" w:bidi="ar-SA"/>
    </w:rPr>
  </w:style>
  <w:style w:type="character" w:customStyle="1" w:styleId="611">
    <w:name w:val="标题 9 字符4"/>
    <w:qFormat/>
    <w:uiPriority w:val="0"/>
    <w:rPr>
      <w:rFonts w:ascii="Arial" w:hAnsi="Arial" w:eastAsia="黑体"/>
      <w:kern w:val="2"/>
      <w:sz w:val="21"/>
      <w:szCs w:val="24"/>
      <w:lang w:val="en-US" w:eastAsia="zh-CN" w:bidi="ar-SA"/>
    </w:rPr>
  </w:style>
  <w:style w:type="character" w:customStyle="1" w:styleId="612">
    <w:name w:val="文档结构图 字符4"/>
    <w:qFormat/>
    <w:uiPriority w:val="0"/>
    <w:rPr>
      <w:rFonts w:eastAsia="宋体"/>
      <w:kern w:val="2"/>
      <w:sz w:val="21"/>
      <w:szCs w:val="24"/>
      <w:lang w:val="en-US" w:eastAsia="zh-CN" w:bidi="ar-SA"/>
    </w:rPr>
  </w:style>
  <w:style w:type="character" w:customStyle="1" w:styleId="613">
    <w:name w:val="批注文字 字符4"/>
    <w:qFormat/>
    <w:uiPriority w:val="0"/>
    <w:rPr>
      <w:rFonts w:eastAsia="宋体"/>
      <w:sz w:val="24"/>
      <w:lang w:bidi="ar-SA"/>
    </w:rPr>
  </w:style>
  <w:style w:type="character" w:customStyle="1" w:styleId="614">
    <w:name w:val="称呼 字符4"/>
    <w:qFormat/>
    <w:uiPriority w:val="0"/>
    <w:rPr>
      <w:kern w:val="2"/>
      <w:sz w:val="28"/>
      <w:szCs w:val="24"/>
    </w:rPr>
  </w:style>
  <w:style w:type="character" w:customStyle="1" w:styleId="615">
    <w:name w:val="正文文本 3 字符4"/>
    <w:qFormat/>
    <w:uiPriority w:val="0"/>
    <w:rPr>
      <w:rFonts w:eastAsia="宋体"/>
      <w:b/>
      <w:bCs/>
      <w:kern w:val="2"/>
      <w:sz w:val="24"/>
      <w:szCs w:val="24"/>
      <w:lang w:val="en-US" w:eastAsia="zh-CN" w:bidi="ar-SA"/>
    </w:rPr>
  </w:style>
  <w:style w:type="character" w:customStyle="1" w:styleId="616">
    <w:name w:val="正文文本 字符4"/>
    <w:qFormat/>
    <w:uiPriority w:val="0"/>
    <w:rPr>
      <w:rFonts w:eastAsia="宋体"/>
      <w:kern w:val="2"/>
      <w:sz w:val="24"/>
      <w:szCs w:val="24"/>
      <w:lang w:val="en-US" w:eastAsia="zh-CN" w:bidi="ar-SA"/>
    </w:rPr>
  </w:style>
  <w:style w:type="character" w:customStyle="1" w:styleId="617">
    <w:name w:val="正文文本缩进 字符4"/>
    <w:qFormat/>
    <w:uiPriority w:val="0"/>
    <w:rPr>
      <w:rFonts w:ascii="仿宋_GB2312" w:eastAsia="仿宋_GB2312"/>
      <w:kern w:val="2"/>
      <w:sz w:val="32"/>
      <w:lang w:val="en-US" w:eastAsia="zh-CN" w:bidi="ar-SA"/>
    </w:rPr>
  </w:style>
  <w:style w:type="character" w:customStyle="1" w:styleId="618">
    <w:name w:val="HTML 地址 字符4"/>
    <w:qFormat/>
    <w:locked/>
    <w:uiPriority w:val="0"/>
    <w:rPr>
      <w:rFonts w:ascii="宋体" w:eastAsia="宋体"/>
      <w:i/>
      <w:iCs/>
      <w:kern w:val="21"/>
      <w:sz w:val="21"/>
      <w:szCs w:val="21"/>
      <w:lang w:val="en-US" w:eastAsia="zh-CN" w:bidi="ar-SA"/>
    </w:rPr>
  </w:style>
  <w:style w:type="character" w:customStyle="1" w:styleId="619">
    <w:name w:val="TOC 3 字符"/>
    <w:qFormat/>
    <w:locked/>
    <w:uiPriority w:val="0"/>
    <w:rPr>
      <w:rFonts w:eastAsia="宋体"/>
      <w:kern w:val="2"/>
      <w:sz w:val="21"/>
      <w:szCs w:val="24"/>
      <w:lang w:val="en-US" w:eastAsia="zh-CN" w:bidi="ar-SA"/>
    </w:rPr>
  </w:style>
  <w:style w:type="character" w:customStyle="1" w:styleId="620">
    <w:name w:val="纯文本 字符5"/>
    <w:qFormat/>
    <w:uiPriority w:val="0"/>
    <w:rPr>
      <w:rFonts w:ascii="宋体" w:hAnsi="Courier New" w:eastAsia="宋体" w:cs="Courier New"/>
      <w:kern w:val="2"/>
      <w:sz w:val="21"/>
      <w:szCs w:val="21"/>
      <w:lang w:val="en-US" w:eastAsia="zh-CN" w:bidi="ar-SA"/>
    </w:rPr>
  </w:style>
  <w:style w:type="character" w:customStyle="1" w:styleId="621">
    <w:name w:val="日期 字符4"/>
    <w:qFormat/>
    <w:uiPriority w:val="0"/>
    <w:rPr>
      <w:rFonts w:ascii="宋体" w:hAnsi="Courier New" w:eastAsia="宋体" w:cs="Courier New"/>
      <w:kern w:val="2"/>
      <w:sz w:val="21"/>
      <w:szCs w:val="21"/>
      <w:lang w:val="en-US" w:eastAsia="zh-CN" w:bidi="ar-SA"/>
    </w:rPr>
  </w:style>
  <w:style w:type="character" w:customStyle="1" w:styleId="622">
    <w:name w:val="正文文本缩进 2 字符4"/>
    <w:qFormat/>
    <w:uiPriority w:val="0"/>
    <w:rPr>
      <w:rFonts w:eastAsia="宋体"/>
      <w:kern w:val="2"/>
      <w:sz w:val="32"/>
      <w:lang w:val="en-US" w:eastAsia="zh-CN" w:bidi="ar-SA"/>
    </w:rPr>
  </w:style>
  <w:style w:type="character" w:customStyle="1" w:styleId="623">
    <w:name w:val="尾注文本 字符4"/>
    <w:qFormat/>
    <w:uiPriority w:val="0"/>
    <w:rPr>
      <w:rFonts w:ascii="Calibri" w:hAnsi="Calibri"/>
      <w:kern w:val="2"/>
      <w:sz w:val="21"/>
      <w:szCs w:val="22"/>
    </w:rPr>
  </w:style>
  <w:style w:type="character" w:customStyle="1" w:styleId="624">
    <w:name w:val="页脚 字符4"/>
    <w:qFormat/>
    <w:uiPriority w:val="0"/>
    <w:rPr>
      <w:rFonts w:eastAsia="宋体"/>
      <w:kern w:val="2"/>
      <w:sz w:val="18"/>
      <w:szCs w:val="18"/>
      <w:lang w:val="en-US" w:eastAsia="zh-CN" w:bidi="ar-SA"/>
    </w:rPr>
  </w:style>
  <w:style w:type="character" w:customStyle="1" w:styleId="625">
    <w:name w:val="页眉 字符4"/>
    <w:qFormat/>
    <w:uiPriority w:val="0"/>
    <w:rPr>
      <w:rFonts w:eastAsia="宋体"/>
      <w:kern w:val="2"/>
      <w:sz w:val="18"/>
      <w:szCs w:val="18"/>
      <w:lang w:val="en-US" w:eastAsia="zh-CN" w:bidi="ar-SA"/>
    </w:rPr>
  </w:style>
  <w:style w:type="character" w:customStyle="1" w:styleId="626">
    <w:name w:val="脚注文本 字符4"/>
    <w:qFormat/>
    <w:locked/>
    <w:uiPriority w:val="0"/>
    <w:rPr>
      <w:rFonts w:ascii="宋体" w:eastAsia="宋体"/>
      <w:kern w:val="21"/>
      <w:sz w:val="18"/>
      <w:szCs w:val="18"/>
      <w:lang w:val="en-US" w:eastAsia="zh-CN" w:bidi="ar-SA"/>
    </w:rPr>
  </w:style>
  <w:style w:type="character" w:customStyle="1" w:styleId="627">
    <w:name w:val="正文文本缩进 3 字符4"/>
    <w:qFormat/>
    <w:uiPriority w:val="0"/>
    <w:rPr>
      <w:rFonts w:eastAsia="宋体"/>
      <w:kern w:val="2"/>
      <w:sz w:val="16"/>
      <w:szCs w:val="16"/>
      <w:lang w:val="en-US" w:eastAsia="zh-CN" w:bidi="ar-SA"/>
    </w:rPr>
  </w:style>
  <w:style w:type="character" w:customStyle="1" w:styleId="628">
    <w:name w:val="正文文本 2 字符4"/>
    <w:qFormat/>
    <w:uiPriority w:val="0"/>
    <w:rPr>
      <w:rFonts w:eastAsia="宋体"/>
      <w:kern w:val="2"/>
      <w:sz w:val="21"/>
      <w:szCs w:val="24"/>
      <w:lang w:val="en-US" w:eastAsia="zh-CN" w:bidi="ar-SA"/>
    </w:rPr>
  </w:style>
  <w:style w:type="character" w:customStyle="1" w:styleId="629">
    <w:name w:val="HTML 预设格式 字符4"/>
    <w:qFormat/>
    <w:uiPriority w:val="0"/>
    <w:rPr>
      <w:rFonts w:ascii="黑体" w:hAnsi="Courier New" w:eastAsia="黑体" w:cs="Courier New"/>
      <w:lang w:val="en-US" w:eastAsia="zh-CN" w:bidi="ar-SA"/>
    </w:rPr>
  </w:style>
  <w:style w:type="character" w:customStyle="1" w:styleId="630">
    <w:name w:val="标题 字符4"/>
    <w:qFormat/>
    <w:uiPriority w:val="0"/>
    <w:rPr>
      <w:rFonts w:ascii="Arial" w:hAnsi="Arial" w:eastAsia="宋体"/>
      <w:b/>
      <w:bCs/>
      <w:kern w:val="2"/>
      <w:sz w:val="32"/>
      <w:szCs w:val="32"/>
      <w:lang w:bidi="ar-SA"/>
    </w:rPr>
  </w:style>
  <w:style w:type="character" w:customStyle="1" w:styleId="631">
    <w:name w:val="无间隔 字符5"/>
    <w:qFormat/>
    <w:uiPriority w:val="0"/>
    <w:rPr>
      <w:sz w:val="22"/>
      <w:szCs w:val="22"/>
      <w:lang w:val="en-US" w:eastAsia="zh-CN" w:bidi="ar-SA"/>
    </w:rPr>
  </w:style>
  <w:style w:type="character" w:customStyle="1" w:styleId="632">
    <w:name w:val="Char Char53"/>
    <w:qFormat/>
    <w:uiPriority w:val="0"/>
    <w:rPr>
      <w:rFonts w:eastAsia="宋体"/>
      <w:b/>
      <w:bCs/>
      <w:kern w:val="44"/>
      <w:sz w:val="44"/>
      <w:szCs w:val="44"/>
      <w:lang w:val="en-US" w:eastAsia="zh-CN" w:bidi="ar-SA"/>
    </w:rPr>
  </w:style>
  <w:style w:type="character" w:customStyle="1" w:styleId="633">
    <w:name w:val="Char Char52"/>
    <w:qFormat/>
    <w:uiPriority w:val="0"/>
    <w:rPr>
      <w:rFonts w:ascii="Arial" w:hAnsi="Arial" w:eastAsia="黑体"/>
      <w:b/>
      <w:bCs/>
      <w:sz w:val="32"/>
      <w:szCs w:val="32"/>
      <w:lang w:bidi="ar-SA"/>
    </w:rPr>
  </w:style>
  <w:style w:type="character" w:customStyle="1" w:styleId="634">
    <w:name w:val="Char Char51"/>
    <w:qFormat/>
    <w:uiPriority w:val="0"/>
    <w:rPr>
      <w:rFonts w:eastAsia="宋体"/>
      <w:b/>
      <w:bCs/>
      <w:sz w:val="32"/>
      <w:szCs w:val="32"/>
      <w:lang w:bidi="ar-SA"/>
    </w:rPr>
  </w:style>
  <w:style w:type="character" w:customStyle="1" w:styleId="635">
    <w:name w:val="无间隔 字符6"/>
    <w:qFormat/>
    <w:uiPriority w:val="0"/>
    <w:rPr>
      <w:sz w:val="22"/>
      <w:szCs w:val="22"/>
      <w:lang w:val="en-US" w:eastAsia="zh-CN" w:bidi="ar-SA"/>
    </w:rPr>
  </w:style>
  <w:style w:type="character" w:customStyle="1" w:styleId="636">
    <w:name w:val="普通文字 Char Char8"/>
    <w:qFormat/>
    <w:uiPriority w:val="0"/>
    <w:rPr>
      <w:rFonts w:ascii="宋体" w:hAnsi="Courier New" w:eastAsia="宋体" w:cs="Courier New"/>
      <w:kern w:val="2"/>
      <w:sz w:val="21"/>
      <w:szCs w:val="21"/>
      <w:lang w:val="en-US" w:eastAsia="zh-CN" w:bidi="ar-SA"/>
    </w:rPr>
  </w:style>
  <w:style w:type="character" w:customStyle="1" w:styleId="637">
    <w:name w:val="font81"/>
    <w:qFormat/>
    <w:uiPriority w:val="0"/>
    <w:rPr>
      <w:rFonts w:ascii="微软雅黑" w:hAnsi="微软雅黑" w:eastAsia="微软雅黑" w:cs="微软雅黑"/>
      <w:color w:val="000000"/>
      <w:sz w:val="18"/>
      <w:szCs w:val="18"/>
      <w:u w:val="none"/>
    </w:rPr>
  </w:style>
  <w:style w:type="character" w:customStyle="1" w:styleId="638">
    <w:name w:val="Char Char57"/>
    <w:qFormat/>
    <w:uiPriority w:val="0"/>
    <w:rPr>
      <w:rFonts w:eastAsia="宋体"/>
      <w:b/>
      <w:bCs/>
      <w:kern w:val="44"/>
      <w:sz w:val="44"/>
      <w:szCs w:val="44"/>
      <w:lang w:val="en-US" w:eastAsia="zh-CN" w:bidi="ar-SA"/>
    </w:rPr>
  </w:style>
  <w:style w:type="character" w:customStyle="1" w:styleId="639">
    <w:name w:val="Char Char56"/>
    <w:qFormat/>
    <w:uiPriority w:val="0"/>
    <w:rPr>
      <w:rFonts w:ascii="Arial" w:hAnsi="Arial" w:eastAsia="黑体"/>
      <w:b/>
      <w:bCs/>
      <w:sz w:val="32"/>
      <w:szCs w:val="32"/>
      <w:lang w:bidi="ar-SA"/>
    </w:rPr>
  </w:style>
  <w:style w:type="character" w:customStyle="1" w:styleId="640">
    <w:name w:val="Char Char55"/>
    <w:qFormat/>
    <w:uiPriority w:val="0"/>
    <w:rPr>
      <w:rFonts w:eastAsia="宋体"/>
      <w:b/>
      <w:bCs/>
      <w:sz w:val="32"/>
      <w:szCs w:val="32"/>
      <w:lang w:bidi="ar-SA"/>
    </w:rPr>
  </w:style>
  <w:style w:type="character" w:customStyle="1" w:styleId="641">
    <w:name w:val="Char Char54"/>
    <w:qFormat/>
    <w:uiPriority w:val="0"/>
    <w:rPr>
      <w:rFonts w:ascii="Arial" w:hAnsi="Arial" w:eastAsia="黑体"/>
      <w:sz w:val="28"/>
      <w:lang w:bidi="ar-SA"/>
    </w:rPr>
  </w:style>
  <w:style w:type="character" w:customStyle="1" w:styleId="642">
    <w:name w:val="无间隔 字符7"/>
    <w:qFormat/>
    <w:uiPriority w:val="0"/>
    <w:rPr>
      <w:sz w:val="22"/>
      <w:szCs w:val="22"/>
      <w:lang w:val="en-US" w:eastAsia="zh-CN" w:bidi="ar-SA"/>
    </w:rPr>
  </w:style>
  <w:style w:type="paragraph" w:customStyle="1" w:styleId="643">
    <w:name w:val="_Style 637"/>
    <w:basedOn w:val="1"/>
    <w:next w:val="1"/>
    <w:qFormat/>
    <w:uiPriority w:val="0"/>
    <w:pPr>
      <w:tabs>
        <w:tab w:val="right" w:leader="dot" w:pos="9185"/>
      </w:tabs>
      <w:adjustRightInd w:val="0"/>
      <w:spacing w:line="312" w:lineRule="atLeast"/>
      <w:ind w:left="3360"/>
      <w:textAlignment w:val="baseline"/>
    </w:pPr>
    <w:rPr>
      <w:kern w:val="0"/>
      <w:szCs w:val="20"/>
    </w:rPr>
  </w:style>
  <w:style w:type="character" w:customStyle="1" w:styleId="644">
    <w:name w:val="Char Char61"/>
    <w:qFormat/>
    <w:uiPriority w:val="0"/>
    <w:rPr>
      <w:rFonts w:eastAsia="宋体"/>
      <w:b/>
      <w:bCs/>
      <w:kern w:val="44"/>
      <w:sz w:val="44"/>
      <w:szCs w:val="44"/>
      <w:lang w:val="en-US" w:eastAsia="zh-CN" w:bidi="ar-SA"/>
    </w:rPr>
  </w:style>
  <w:style w:type="character" w:customStyle="1" w:styleId="645">
    <w:name w:val="Char Char60"/>
    <w:qFormat/>
    <w:uiPriority w:val="0"/>
    <w:rPr>
      <w:rFonts w:ascii="Arial" w:hAnsi="Arial" w:eastAsia="黑体"/>
      <w:b/>
      <w:bCs/>
      <w:sz w:val="32"/>
      <w:szCs w:val="32"/>
      <w:lang w:bidi="ar-SA"/>
    </w:rPr>
  </w:style>
  <w:style w:type="character" w:customStyle="1" w:styleId="646">
    <w:name w:val="Char Char59"/>
    <w:qFormat/>
    <w:uiPriority w:val="0"/>
    <w:rPr>
      <w:rFonts w:eastAsia="宋体"/>
      <w:b/>
      <w:bCs/>
      <w:sz w:val="32"/>
      <w:szCs w:val="32"/>
      <w:lang w:bidi="ar-SA"/>
    </w:rPr>
  </w:style>
  <w:style w:type="character" w:customStyle="1" w:styleId="647">
    <w:name w:val="Char Char58"/>
    <w:qFormat/>
    <w:uiPriority w:val="0"/>
    <w:rPr>
      <w:rFonts w:ascii="Arial" w:hAnsi="Arial" w:eastAsia="黑体"/>
      <w:sz w:val="28"/>
      <w:lang w:bidi="ar-SA"/>
    </w:rPr>
  </w:style>
  <w:style w:type="character" w:customStyle="1" w:styleId="648">
    <w:name w:val="无间隔 字符8"/>
    <w:qFormat/>
    <w:uiPriority w:val="0"/>
    <w:rPr>
      <w:sz w:val="22"/>
      <w:szCs w:val="22"/>
      <w:lang w:val="en-US" w:eastAsia="zh-CN" w:bidi="ar-SA"/>
    </w:rPr>
  </w:style>
  <w:style w:type="character" w:customStyle="1" w:styleId="649">
    <w:name w:val="font121"/>
    <w:qFormat/>
    <w:uiPriority w:val="0"/>
    <w:rPr>
      <w:rFonts w:hint="eastAsia" w:ascii="宋体" w:hAnsi="宋体" w:eastAsia="宋体" w:cs="宋体"/>
      <w:b/>
      <w:bCs/>
      <w:color w:val="000000"/>
      <w:sz w:val="12"/>
      <w:szCs w:val="12"/>
      <w:u w:val="none"/>
    </w:rPr>
  </w:style>
  <w:style w:type="paragraph" w:customStyle="1" w:styleId="650">
    <w:name w:val="Table Text"/>
    <w:basedOn w:val="1"/>
    <w:semiHidden/>
    <w:qFormat/>
    <w:uiPriority w:val="0"/>
    <w:rPr>
      <w:rFonts w:ascii="宋体" w:hAnsi="宋体" w:cs="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71</Pages>
  <Words>30929</Words>
  <Characters>34954</Characters>
  <Lines>410</Lines>
  <Paragraphs>115</Paragraphs>
  <TotalTime>36</TotalTime>
  <ScaleCrop>false</ScaleCrop>
  <LinksUpToDate>false</LinksUpToDate>
  <CharactersWithSpaces>36109</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2022-05-18T11:06:00Z</dcterms:created>
  <dc:creator>聂泉源</dc:creator>
  <cp:lastModifiedBy>gxxc</cp:lastModifiedBy>
  <cp:lastPrinted>2021-02-04T16:33:00Z</cp:lastPrinted>
  <dcterms:modified xsi:type="dcterms:W3CDTF">2025-10-11T16:47:18Z</dcterms:modified>
  <dc:title>3</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eyJoZGlkIjoiM2M2YmM5NGM0ZjNiMTdiNGRhNzIzN2RjZTRlYjUxMDciLCJ1c2VySWQiOiI1MzUxNTQxNTMifQ==</vt:lpwstr>
  </property>
  <property fmtid="{D5CDD505-2E9C-101B-9397-08002B2CF9AE}" pid="4" name="ICV">
    <vt:lpwstr>3267308DD96D44CEAB1E594CCE43231E_13</vt:lpwstr>
  </property>
</Properties>
</file>