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jc w:val="center"/>
        <w:rPr>
          <w:rFonts w:hint="eastAsia" w:ascii="仿宋_GB2312" w:hAnsi="宋体" w:eastAsia="仿宋_GB2312"/>
          <w:color w:val="auto"/>
          <w:sz w:val="72"/>
          <w:szCs w:val="72"/>
          <w:highlight w:val="none"/>
        </w:rPr>
      </w:pPr>
    </w:p>
    <w:p>
      <w:pPr>
        <w:spacing w:before="156" w:beforeLines="50"/>
        <w:jc w:val="center"/>
        <w:rPr>
          <w:rFonts w:hint="eastAsia" w:ascii="仿宋_GB2312" w:hAnsi="宋体" w:eastAsia="仿宋_GB2312"/>
          <w:color w:val="auto"/>
          <w:sz w:val="72"/>
          <w:szCs w:val="72"/>
          <w:highlight w:val="none"/>
        </w:rPr>
      </w:pPr>
    </w:p>
    <w:p>
      <w:pPr>
        <w:spacing w:before="156" w:beforeLines="50"/>
        <w:jc w:val="center"/>
        <w:rPr>
          <w:rFonts w:hint="eastAsia" w:ascii="仿宋_GB2312" w:hAnsi="宋体" w:eastAsia="仿宋_GB2312"/>
          <w:color w:val="auto"/>
          <w:sz w:val="72"/>
          <w:szCs w:val="72"/>
          <w:highlight w:val="none"/>
        </w:rPr>
      </w:pPr>
      <w:r>
        <w:rPr>
          <w:rFonts w:hint="eastAsia" w:ascii="仿宋_GB2312" w:hAnsi="宋体" w:eastAsia="仿宋_GB2312"/>
          <w:color w:val="auto"/>
          <w:sz w:val="72"/>
          <w:szCs w:val="72"/>
          <w:highlight w:val="none"/>
        </w:rPr>
        <w:t>公开招标采购文件</w:t>
      </w:r>
    </w:p>
    <w:p>
      <w:pPr>
        <w:pStyle w:val="27"/>
        <w:snapToGrid w:val="0"/>
        <w:spacing w:before="120" w:after="120" w:line="360" w:lineRule="auto"/>
        <w:ind w:firstLine="1042" w:firstLineChars="346"/>
        <w:rPr>
          <w:rFonts w:hint="eastAsia" w:ascii="仿宋_GB2312" w:hAnsi="宋体" w:eastAsia="仿宋_GB2312"/>
          <w:b/>
          <w:bCs/>
          <w:color w:val="auto"/>
          <w:sz w:val="30"/>
          <w:szCs w:val="30"/>
          <w:highlight w:val="none"/>
        </w:rPr>
      </w:pPr>
    </w:p>
    <w:p>
      <w:pPr>
        <w:ind w:firstLine="1656" w:firstLineChars="550"/>
        <w:rPr>
          <w:rFonts w:ascii="仿宋_GB2312" w:hAnsi="宋体" w:eastAsia="仿宋_GB2312"/>
          <w:b/>
          <w:bCs/>
          <w:color w:val="auto"/>
          <w:sz w:val="30"/>
          <w:szCs w:val="30"/>
          <w:highlight w:val="none"/>
        </w:rPr>
      </w:pPr>
      <w:r>
        <w:rPr>
          <w:rFonts w:hint="eastAsia" w:ascii="仿宋_GB2312" w:hAnsi="宋体" w:eastAsia="仿宋_GB2312"/>
          <w:b/>
          <w:bCs/>
          <w:color w:val="auto"/>
          <w:sz w:val="30"/>
          <w:szCs w:val="30"/>
          <w:highlight w:val="none"/>
        </w:rPr>
        <w:t>项目编号：GXZC2025-G1-002826-CGZX</w:t>
      </w:r>
      <w:r>
        <w:rPr>
          <w:rFonts w:ascii="仿宋_GB2312" w:hAnsi="宋体" w:eastAsia="仿宋_GB2312"/>
          <w:b/>
          <w:bCs/>
          <w:color w:val="auto"/>
          <w:sz w:val="30"/>
          <w:szCs w:val="30"/>
          <w:highlight w:val="none"/>
        </w:rPr>
        <w:t xml:space="preserve">    </w:t>
      </w:r>
    </w:p>
    <w:p>
      <w:pPr>
        <w:widowControl/>
        <w:jc w:val="left"/>
        <w:rPr>
          <w:color w:val="auto"/>
          <w:highlight w:val="none"/>
        </w:rPr>
      </w:pPr>
      <w:r>
        <w:rPr>
          <w:rFonts w:hint="eastAsia" w:ascii="仿宋_GB2312" w:hAnsi="宋体" w:eastAsia="仿宋_GB2312"/>
          <w:b/>
          <w:color w:val="auto"/>
          <w:sz w:val="30"/>
          <w:szCs w:val="72"/>
          <w:highlight w:val="none"/>
        </w:rPr>
        <w:t xml:space="preserve">           项目名称：广西艺术学院相思湖校区电梯采购及安装</w:t>
      </w:r>
    </w:p>
    <w:p>
      <w:pPr>
        <w:snapToGrid w:val="0"/>
        <w:spacing w:before="156" w:beforeLines="50" w:line="360" w:lineRule="auto"/>
        <w:ind w:firstLine="1650" w:firstLineChars="550"/>
        <w:rPr>
          <w:rFonts w:hint="eastAsia" w:ascii="仿宋_GB2312" w:hAnsi="宋体" w:eastAsia="仿宋_GB2312"/>
          <w:color w:val="auto"/>
          <w:sz w:val="30"/>
          <w:szCs w:val="72"/>
          <w:highlight w:val="none"/>
        </w:rPr>
      </w:pPr>
    </w:p>
    <w:p>
      <w:pPr>
        <w:snapToGrid w:val="0"/>
        <w:spacing w:before="156" w:beforeLines="50" w:line="360" w:lineRule="auto"/>
        <w:ind w:firstLine="1656" w:firstLineChars="550"/>
        <w:rPr>
          <w:rFonts w:hint="eastAsia" w:ascii="仿宋_GB2312" w:hAnsi="宋体" w:eastAsia="仿宋_GB2312"/>
          <w:b/>
          <w:color w:val="auto"/>
          <w:sz w:val="30"/>
          <w:szCs w:val="72"/>
          <w:highlight w:val="none"/>
        </w:rPr>
      </w:pPr>
      <w:r>
        <w:rPr>
          <w:rFonts w:hint="eastAsia" w:ascii="仿宋_GB2312" w:hAnsi="宋体" w:eastAsia="仿宋_GB2312"/>
          <w:b/>
          <w:color w:val="auto"/>
          <w:sz w:val="30"/>
          <w:szCs w:val="72"/>
          <w:highlight w:val="none"/>
        </w:rPr>
        <w:t xml:space="preserve">采购单位：广西艺术学院 </w:t>
      </w:r>
    </w:p>
    <w:p>
      <w:pPr>
        <w:snapToGrid w:val="0"/>
        <w:spacing w:before="156" w:beforeLines="50" w:line="360" w:lineRule="auto"/>
        <w:ind w:firstLine="1054" w:firstLineChars="350"/>
        <w:rPr>
          <w:rFonts w:hint="eastAsia" w:ascii="仿宋_GB2312" w:hAnsi="宋体" w:eastAsia="仿宋_GB2312"/>
          <w:b/>
          <w:color w:val="auto"/>
          <w:sz w:val="30"/>
          <w:szCs w:val="72"/>
          <w:highlight w:val="none"/>
        </w:rPr>
      </w:pPr>
    </w:p>
    <w:p>
      <w:pPr>
        <w:snapToGrid w:val="0"/>
        <w:spacing w:before="156" w:beforeLines="50" w:line="360" w:lineRule="auto"/>
        <w:rPr>
          <w:rFonts w:hint="eastAsia" w:ascii="仿宋_GB2312" w:hAnsi="宋体" w:eastAsia="仿宋_GB2312"/>
          <w:b/>
          <w:color w:val="auto"/>
          <w:sz w:val="30"/>
          <w:szCs w:val="72"/>
          <w:highlight w:val="none"/>
        </w:rPr>
      </w:pPr>
    </w:p>
    <w:p>
      <w:pPr>
        <w:snapToGrid w:val="0"/>
        <w:spacing w:before="156" w:beforeLines="50" w:line="360" w:lineRule="auto"/>
        <w:ind w:firstLine="1054" w:firstLineChars="350"/>
        <w:rPr>
          <w:rFonts w:hint="eastAsia" w:ascii="仿宋_GB2312" w:hAnsi="宋体" w:eastAsia="仿宋_GB2312"/>
          <w:b/>
          <w:color w:val="auto"/>
          <w:sz w:val="30"/>
          <w:szCs w:val="72"/>
          <w:highlight w:val="none"/>
        </w:rPr>
      </w:pPr>
    </w:p>
    <w:p>
      <w:pPr>
        <w:snapToGrid w:val="0"/>
        <w:spacing w:before="156" w:beforeLines="50" w:line="360" w:lineRule="auto"/>
        <w:ind w:firstLine="1054" w:firstLineChars="350"/>
        <w:rPr>
          <w:rFonts w:hint="eastAsia" w:ascii="仿宋_GB2312" w:hAnsi="宋体" w:eastAsia="仿宋_GB2312"/>
          <w:b/>
          <w:color w:val="auto"/>
          <w:sz w:val="30"/>
          <w:szCs w:val="72"/>
          <w:highlight w:val="none"/>
        </w:rPr>
      </w:pPr>
    </w:p>
    <w:p>
      <w:pPr>
        <w:snapToGrid w:val="0"/>
        <w:spacing w:before="156" w:beforeLines="50" w:line="360" w:lineRule="auto"/>
        <w:ind w:firstLine="1054" w:firstLineChars="350"/>
        <w:rPr>
          <w:rFonts w:hint="eastAsia" w:ascii="仿宋_GB2312" w:hAnsi="宋体" w:eastAsia="仿宋_GB2312"/>
          <w:b/>
          <w:color w:val="auto"/>
          <w:sz w:val="30"/>
          <w:szCs w:val="72"/>
          <w:highlight w:val="none"/>
        </w:rPr>
      </w:pPr>
    </w:p>
    <w:p>
      <w:pPr>
        <w:snapToGrid w:val="0"/>
        <w:spacing w:before="156" w:beforeLines="50" w:line="360" w:lineRule="auto"/>
        <w:ind w:firstLine="1054" w:firstLineChars="350"/>
        <w:rPr>
          <w:rFonts w:hint="eastAsia" w:ascii="仿宋_GB2312" w:hAnsi="宋体" w:eastAsia="仿宋_GB2312"/>
          <w:b/>
          <w:color w:val="auto"/>
          <w:sz w:val="30"/>
          <w:szCs w:val="72"/>
          <w:highlight w:val="none"/>
        </w:rPr>
      </w:pPr>
    </w:p>
    <w:p>
      <w:pPr>
        <w:snapToGrid w:val="0"/>
        <w:spacing w:before="156" w:beforeLines="50" w:line="360" w:lineRule="auto"/>
        <w:jc w:val="center"/>
        <w:rPr>
          <w:rFonts w:hint="eastAsia" w:ascii="仿宋_GB2312" w:hAnsi="宋体" w:eastAsia="仿宋_GB2312"/>
          <w:b/>
          <w:color w:val="auto"/>
          <w:sz w:val="30"/>
          <w:szCs w:val="72"/>
          <w:highlight w:val="none"/>
        </w:rPr>
      </w:pPr>
      <w:r>
        <w:rPr>
          <w:rFonts w:hint="eastAsia" w:ascii="仿宋_GB2312" w:hAnsi="宋体" w:eastAsia="仿宋_GB2312"/>
          <w:b/>
          <w:color w:val="auto"/>
          <w:sz w:val="30"/>
          <w:szCs w:val="72"/>
          <w:highlight w:val="none"/>
        </w:rPr>
        <w:t>采购代理机构：广西壮族自治区政府采购中心</w:t>
      </w:r>
    </w:p>
    <w:p>
      <w:pPr>
        <w:snapToGrid w:val="0"/>
        <w:spacing w:before="156" w:beforeLines="50" w:line="360" w:lineRule="auto"/>
        <w:rPr>
          <w:rFonts w:hint="eastAsia" w:ascii="仿宋_GB2312" w:hAnsi="宋体" w:eastAsia="仿宋_GB2312"/>
          <w:color w:val="auto"/>
          <w:sz w:val="30"/>
          <w:szCs w:val="72"/>
          <w:highlight w:val="none"/>
        </w:rPr>
      </w:pPr>
      <w:r>
        <w:rPr>
          <w:rFonts w:hint="eastAsia" w:ascii="仿宋_GB2312" w:hAnsi="宋体" w:eastAsia="仿宋_GB2312"/>
          <w:color w:val="auto"/>
          <w:sz w:val="30"/>
          <w:szCs w:val="72"/>
          <w:highlight w:val="none"/>
        </w:rPr>
        <w:t xml:space="preserve">                          202</w:t>
      </w:r>
      <w:r>
        <w:rPr>
          <w:rFonts w:ascii="仿宋_GB2312" w:hAnsi="宋体" w:eastAsia="仿宋_GB2312"/>
          <w:color w:val="auto"/>
          <w:sz w:val="30"/>
          <w:szCs w:val="72"/>
          <w:highlight w:val="none"/>
          <w:lang w:val="en"/>
        </w:rPr>
        <w:t>5</w:t>
      </w:r>
      <w:r>
        <w:rPr>
          <w:rFonts w:hint="eastAsia" w:ascii="仿宋_GB2312" w:hAnsi="宋体" w:eastAsia="仿宋_GB2312"/>
          <w:color w:val="auto"/>
          <w:sz w:val="30"/>
          <w:szCs w:val="72"/>
          <w:highlight w:val="none"/>
        </w:rPr>
        <w:t>年</w:t>
      </w:r>
      <w:r>
        <w:rPr>
          <w:rFonts w:hint="default" w:ascii="仿宋_GB2312" w:hAnsi="宋体" w:eastAsia="仿宋_GB2312"/>
          <w:color w:val="auto"/>
          <w:sz w:val="30"/>
          <w:szCs w:val="72"/>
          <w:highlight w:val="none"/>
          <w:lang w:val="en"/>
        </w:rPr>
        <w:t>10</w:t>
      </w:r>
      <w:r>
        <w:rPr>
          <w:rFonts w:hint="eastAsia" w:ascii="仿宋_GB2312" w:hAnsi="宋体" w:eastAsia="仿宋_GB2312"/>
          <w:color w:val="auto"/>
          <w:sz w:val="30"/>
          <w:szCs w:val="72"/>
          <w:highlight w:val="none"/>
        </w:rPr>
        <w:t>月</w:t>
      </w:r>
    </w:p>
    <w:p>
      <w:pPr>
        <w:pStyle w:val="27"/>
        <w:jc w:val="center"/>
        <w:rPr>
          <w:rFonts w:hint="eastAsia" w:ascii="仿宋_GB2312" w:hAnsi="宋体" w:eastAsia="仿宋_GB2312"/>
          <w:color w:val="auto"/>
          <w:sz w:val="28"/>
          <w:szCs w:val="28"/>
          <w:highlight w:val="none"/>
          <w:u w:val="single"/>
        </w:rPr>
      </w:pPr>
    </w:p>
    <w:p>
      <w:pPr>
        <w:pStyle w:val="27"/>
        <w:jc w:val="center"/>
        <w:rPr>
          <w:rFonts w:hint="eastAsia" w:ascii="仿宋_GB2312" w:hAnsi="宋体" w:eastAsia="仿宋_GB2312"/>
          <w:color w:val="auto"/>
          <w:sz w:val="28"/>
          <w:szCs w:val="28"/>
          <w:highlight w:val="none"/>
          <w:u w:val="single"/>
        </w:rPr>
      </w:pPr>
    </w:p>
    <w:p>
      <w:pPr>
        <w:pStyle w:val="27"/>
        <w:jc w:val="center"/>
        <w:rPr>
          <w:color w:val="auto"/>
          <w:sz w:val="44"/>
          <w:szCs w:val="44"/>
          <w:highlight w:val="none"/>
        </w:rPr>
      </w:pPr>
      <w:r>
        <w:rPr>
          <w:color w:val="auto"/>
          <w:sz w:val="44"/>
          <w:szCs w:val="44"/>
          <w:highlight w:val="none"/>
          <w:lang w:val="zh-CN"/>
        </w:rPr>
        <w:t>目录</w:t>
      </w:r>
    </w:p>
    <w:p>
      <w:pPr>
        <w:pStyle w:val="35"/>
        <w:tabs>
          <w:tab w:val="right" w:leader="dot" w:pos="9356"/>
          <w:tab w:val="right" w:leader="dot" w:pos="9498"/>
          <w:tab w:val="clear" w:pos="8296"/>
          <w:tab w:val="clear" w:pos="8398"/>
        </w:tabs>
        <w:spacing w:line="500" w:lineRule="exact"/>
        <w:ind w:right="-510" w:rightChars="-243" w:firstLine="0" w:firstLineChars="0"/>
        <w:rPr>
          <w:rFonts w:ascii="Calibri" w:hAnsi="Calibri" w:eastAsia="宋体" w:cs="Times New Roman"/>
          <w:bCs w:val="0"/>
          <w:caps w:val="0"/>
          <w:color w:val="auto"/>
          <w:sz w:val="28"/>
          <w:szCs w:val="28"/>
          <w:highlight w:val="none"/>
        </w:rPr>
      </w:pPr>
      <w:r>
        <w:rPr>
          <w:color w:val="auto"/>
          <w:sz w:val="28"/>
          <w:szCs w:val="28"/>
          <w:highlight w:val="none"/>
        </w:rPr>
        <w:fldChar w:fldCharType="begin"/>
      </w:r>
      <w:r>
        <w:rPr>
          <w:color w:val="auto"/>
          <w:sz w:val="28"/>
          <w:szCs w:val="28"/>
          <w:highlight w:val="none"/>
        </w:rPr>
        <w:instrText xml:space="preserve"> TOC \o "1-3" \h \z \u </w:instrText>
      </w:r>
      <w:r>
        <w:rPr>
          <w:color w:val="auto"/>
          <w:sz w:val="28"/>
          <w:szCs w:val="28"/>
          <w:highlight w:val="none"/>
        </w:rPr>
        <w:fldChar w:fldCharType="separate"/>
      </w:r>
      <w:r>
        <w:rPr>
          <w:color w:val="auto"/>
          <w:sz w:val="28"/>
          <w:szCs w:val="28"/>
          <w:highlight w:val="none"/>
        </w:rPr>
        <w:fldChar w:fldCharType="begin"/>
      </w:r>
      <w:r>
        <w:rPr>
          <w:rStyle w:val="56"/>
          <w:color w:val="auto"/>
          <w:sz w:val="28"/>
          <w:szCs w:val="28"/>
          <w:highlight w:val="none"/>
        </w:rPr>
        <w:instrText xml:space="preserve"> </w:instrText>
      </w:r>
      <w:r>
        <w:rPr>
          <w:color w:val="auto"/>
          <w:sz w:val="28"/>
          <w:szCs w:val="28"/>
          <w:highlight w:val="none"/>
        </w:rPr>
        <w:instrText xml:space="preserve">HYPERLINK \l "_Toc40865015"</w:instrText>
      </w:r>
      <w:r>
        <w:rPr>
          <w:rStyle w:val="56"/>
          <w:color w:val="auto"/>
          <w:sz w:val="28"/>
          <w:szCs w:val="28"/>
          <w:highlight w:val="none"/>
        </w:rPr>
        <w:instrText xml:space="preserve"> </w:instrText>
      </w:r>
      <w:r>
        <w:rPr>
          <w:color w:val="auto"/>
          <w:sz w:val="28"/>
          <w:szCs w:val="28"/>
          <w:highlight w:val="none"/>
        </w:rPr>
        <w:fldChar w:fldCharType="separate"/>
      </w:r>
      <w:r>
        <w:rPr>
          <w:rStyle w:val="56"/>
          <w:rFonts w:hint="eastAsia"/>
          <w:color w:val="auto"/>
          <w:sz w:val="28"/>
          <w:szCs w:val="28"/>
          <w:highlight w:val="none"/>
        </w:rPr>
        <w:t>第一章</w:t>
      </w:r>
      <w:r>
        <w:rPr>
          <w:rStyle w:val="56"/>
          <w:color w:val="auto"/>
          <w:sz w:val="28"/>
          <w:szCs w:val="28"/>
          <w:highlight w:val="none"/>
        </w:rPr>
        <w:t xml:space="preserve">  </w:t>
      </w:r>
      <w:r>
        <w:rPr>
          <w:rStyle w:val="56"/>
          <w:rFonts w:hint="eastAsia"/>
          <w:color w:val="auto"/>
          <w:sz w:val="28"/>
          <w:szCs w:val="28"/>
          <w:highlight w:val="none"/>
        </w:rPr>
        <w:t>公开招标公告</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_Toc40865015 \h </w:instrText>
      </w:r>
      <w:r>
        <w:rPr>
          <w:color w:val="auto"/>
          <w:sz w:val="28"/>
          <w:szCs w:val="28"/>
          <w:highlight w:val="none"/>
        </w:rPr>
        <w:fldChar w:fldCharType="separate"/>
      </w:r>
      <w:r>
        <w:rPr>
          <w:color w:val="auto"/>
          <w:sz w:val="28"/>
          <w:szCs w:val="28"/>
          <w:highlight w:val="none"/>
        </w:rPr>
        <w:t>2</w:t>
      </w:r>
      <w:r>
        <w:rPr>
          <w:color w:val="auto"/>
          <w:sz w:val="28"/>
          <w:szCs w:val="28"/>
          <w:highlight w:val="none"/>
        </w:rPr>
        <w:fldChar w:fldCharType="end"/>
      </w:r>
      <w:r>
        <w:rPr>
          <w:color w:val="auto"/>
          <w:sz w:val="28"/>
          <w:szCs w:val="28"/>
          <w:highlight w:val="none"/>
        </w:rPr>
        <w:fldChar w:fldCharType="end"/>
      </w:r>
    </w:p>
    <w:p>
      <w:pPr>
        <w:pStyle w:val="35"/>
        <w:tabs>
          <w:tab w:val="right" w:leader="dot" w:pos="9356"/>
          <w:tab w:val="right" w:leader="dot" w:pos="9498"/>
          <w:tab w:val="clear" w:pos="8296"/>
          <w:tab w:val="clear" w:pos="8398"/>
        </w:tabs>
        <w:spacing w:line="500" w:lineRule="exact"/>
        <w:ind w:right="-510" w:rightChars="-243" w:firstLine="0" w:firstLineChars="0"/>
        <w:rPr>
          <w:rFonts w:ascii="Calibri" w:hAnsi="Calibri" w:eastAsia="宋体" w:cs="Times New Roman"/>
          <w:bCs w:val="0"/>
          <w:caps w:val="0"/>
          <w:color w:val="auto"/>
          <w:sz w:val="28"/>
          <w:szCs w:val="28"/>
          <w:highlight w:val="none"/>
        </w:rPr>
      </w:pPr>
      <w:r>
        <w:rPr>
          <w:color w:val="auto"/>
          <w:sz w:val="28"/>
          <w:szCs w:val="28"/>
          <w:highlight w:val="none"/>
        </w:rPr>
        <w:fldChar w:fldCharType="begin"/>
      </w:r>
      <w:r>
        <w:rPr>
          <w:rStyle w:val="56"/>
          <w:color w:val="auto"/>
          <w:sz w:val="28"/>
          <w:szCs w:val="28"/>
          <w:highlight w:val="none"/>
        </w:rPr>
        <w:instrText xml:space="preserve"> </w:instrText>
      </w:r>
      <w:r>
        <w:rPr>
          <w:color w:val="auto"/>
          <w:sz w:val="28"/>
          <w:szCs w:val="28"/>
          <w:highlight w:val="none"/>
        </w:rPr>
        <w:instrText xml:space="preserve">HYPERLINK \l "_Toc40865016"</w:instrText>
      </w:r>
      <w:r>
        <w:rPr>
          <w:rStyle w:val="56"/>
          <w:color w:val="auto"/>
          <w:sz w:val="28"/>
          <w:szCs w:val="28"/>
          <w:highlight w:val="none"/>
        </w:rPr>
        <w:instrText xml:space="preserve"> </w:instrText>
      </w:r>
      <w:r>
        <w:rPr>
          <w:color w:val="auto"/>
          <w:sz w:val="28"/>
          <w:szCs w:val="28"/>
          <w:highlight w:val="none"/>
        </w:rPr>
        <w:fldChar w:fldCharType="separate"/>
      </w:r>
      <w:r>
        <w:rPr>
          <w:rStyle w:val="56"/>
          <w:rFonts w:hint="eastAsia"/>
          <w:color w:val="auto"/>
          <w:sz w:val="28"/>
          <w:szCs w:val="28"/>
          <w:highlight w:val="none"/>
        </w:rPr>
        <w:t>第二章</w:t>
      </w:r>
      <w:r>
        <w:rPr>
          <w:rStyle w:val="56"/>
          <w:color w:val="auto"/>
          <w:sz w:val="28"/>
          <w:szCs w:val="28"/>
          <w:highlight w:val="none"/>
        </w:rPr>
        <w:t xml:space="preserve">  </w:t>
      </w:r>
      <w:r>
        <w:rPr>
          <w:rStyle w:val="56"/>
          <w:rFonts w:hint="eastAsia"/>
          <w:color w:val="auto"/>
          <w:sz w:val="28"/>
          <w:szCs w:val="28"/>
          <w:highlight w:val="none"/>
        </w:rPr>
        <w:t>招标项目采购需求</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_Toc40865016 \h </w:instrText>
      </w:r>
      <w:r>
        <w:rPr>
          <w:color w:val="auto"/>
          <w:sz w:val="28"/>
          <w:szCs w:val="28"/>
          <w:highlight w:val="none"/>
        </w:rPr>
        <w:fldChar w:fldCharType="separate"/>
      </w:r>
      <w:r>
        <w:rPr>
          <w:color w:val="auto"/>
          <w:sz w:val="28"/>
          <w:szCs w:val="28"/>
          <w:highlight w:val="none"/>
        </w:rPr>
        <w:t>6</w:t>
      </w:r>
      <w:r>
        <w:rPr>
          <w:color w:val="auto"/>
          <w:sz w:val="28"/>
          <w:szCs w:val="28"/>
          <w:highlight w:val="none"/>
        </w:rPr>
        <w:fldChar w:fldCharType="end"/>
      </w:r>
      <w:r>
        <w:rPr>
          <w:color w:val="auto"/>
          <w:sz w:val="28"/>
          <w:szCs w:val="28"/>
          <w:highlight w:val="none"/>
        </w:rPr>
        <w:fldChar w:fldCharType="end"/>
      </w:r>
    </w:p>
    <w:p>
      <w:pPr>
        <w:pStyle w:val="35"/>
        <w:tabs>
          <w:tab w:val="right" w:leader="dot" w:pos="9356"/>
          <w:tab w:val="right" w:leader="dot" w:pos="9498"/>
          <w:tab w:val="clear" w:pos="8296"/>
          <w:tab w:val="clear" w:pos="8398"/>
        </w:tabs>
        <w:spacing w:line="500" w:lineRule="exact"/>
        <w:ind w:right="-510" w:rightChars="-243" w:firstLine="0" w:firstLineChars="0"/>
        <w:rPr>
          <w:rFonts w:ascii="Calibri" w:hAnsi="Calibri" w:eastAsia="宋体" w:cs="Times New Roman"/>
          <w:bCs w:val="0"/>
          <w:caps w:val="0"/>
          <w:color w:val="auto"/>
          <w:sz w:val="28"/>
          <w:szCs w:val="28"/>
          <w:highlight w:val="none"/>
        </w:rPr>
      </w:pPr>
      <w:r>
        <w:rPr>
          <w:color w:val="auto"/>
          <w:sz w:val="28"/>
          <w:szCs w:val="28"/>
          <w:highlight w:val="none"/>
        </w:rPr>
        <w:fldChar w:fldCharType="begin"/>
      </w:r>
      <w:r>
        <w:rPr>
          <w:rStyle w:val="56"/>
          <w:color w:val="auto"/>
          <w:sz w:val="28"/>
          <w:szCs w:val="28"/>
          <w:highlight w:val="none"/>
        </w:rPr>
        <w:instrText xml:space="preserve"> </w:instrText>
      </w:r>
      <w:r>
        <w:rPr>
          <w:color w:val="auto"/>
          <w:sz w:val="28"/>
          <w:szCs w:val="28"/>
          <w:highlight w:val="none"/>
        </w:rPr>
        <w:instrText xml:space="preserve">HYPERLINK \l "_Toc40865022"</w:instrText>
      </w:r>
      <w:r>
        <w:rPr>
          <w:rStyle w:val="56"/>
          <w:color w:val="auto"/>
          <w:sz w:val="28"/>
          <w:szCs w:val="28"/>
          <w:highlight w:val="none"/>
        </w:rPr>
        <w:instrText xml:space="preserve"> </w:instrText>
      </w:r>
      <w:r>
        <w:rPr>
          <w:color w:val="auto"/>
          <w:sz w:val="28"/>
          <w:szCs w:val="28"/>
          <w:highlight w:val="none"/>
        </w:rPr>
        <w:fldChar w:fldCharType="separate"/>
      </w:r>
      <w:r>
        <w:rPr>
          <w:rStyle w:val="56"/>
          <w:rFonts w:hint="eastAsia"/>
          <w:color w:val="auto"/>
          <w:sz w:val="28"/>
          <w:szCs w:val="28"/>
          <w:highlight w:val="none"/>
        </w:rPr>
        <w:t>第三章</w:t>
      </w:r>
      <w:r>
        <w:rPr>
          <w:rStyle w:val="56"/>
          <w:color w:val="auto"/>
          <w:sz w:val="28"/>
          <w:szCs w:val="28"/>
          <w:highlight w:val="none"/>
        </w:rPr>
        <w:t xml:space="preserve">  </w:t>
      </w:r>
      <w:r>
        <w:rPr>
          <w:rStyle w:val="56"/>
          <w:rFonts w:hint="eastAsia"/>
          <w:color w:val="auto"/>
          <w:sz w:val="28"/>
          <w:szCs w:val="28"/>
          <w:highlight w:val="none"/>
        </w:rPr>
        <w:t>投标人须知</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_Toc40865022 \h </w:instrText>
      </w:r>
      <w:r>
        <w:rPr>
          <w:color w:val="auto"/>
          <w:sz w:val="28"/>
          <w:szCs w:val="28"/>
          <w:highlight w:val="none"/>
        </w:rPr>
        <w:fldChar w:fldCharType="separate"/>
      </w:r>
      <w:r>
        <w:rPr>
          <w:rFonts w:hint="eastAsia"/>
          <w:color w:val="auto"/>
          <w:sz w:val="28"/>
          <w:szCs w:val="28"/>
          <w:highlight w:val="none"/>
          <w:lang w:val="en-US" w:eastAsia="zh-CN"/>
        </w:rPr>
        <w:t>1</w:t>
      </w:r>
      <w:r>
        <w:rPr>
          <w:color w:val="auto"/>
          <w:sz w:val="28"/>
          <w:szCs w:val="28"/>
          <w:highlight w:val="none"/>
        </w:rPr>
        <w:t>6</w:t>
      </w:r>
      <w:r>
        <w:rPr>
          <w:color w:val="auto"/>
          <w:sz w:val="28"/>
          <w:szCs w:val="28"/>
          <w:highlight w:val="none"/>
        </w:rPr>
        <w:fldChar w:fldCharType="end"/>
      </w:r>
      <w:r>
        <w:rPr>
          <w:color w:val="auto"/>
          <w:sz w:val="28"/>
          <w:szCs w:val="28"/>
          <w:highlight w:val="none"/>
        </w:rPr>
        <w:fldChar w:fldCharType="end"/>
      </w:r>
    </w:p>
    <w:p>
      <w:pPr>
        <w:pStyle w:val="35"/>
        <w:tabs>
          <w:tab w:val="right" w:leader="dot" w:pos="9356"/>
          <w:tab w:val="right" w:leader="dot" w:pos="9498"/>
          <w:tab w:val="clear" w:pos="8296"/>
          <w:tab w:val="clear" w:pos="8398"/>
        </w:tabs>
        <w:spacing w:line="500" w:lineRule="exact"/>
        <w:ind w:right="-510" w:rightChars="-243" w:firstLine="0" w:firstLineChars="0"/>
        <w:rPr>
          <w:rFonts w:hint="eastAsia" w:ascii="Calibri" w:hAnsi="Calibri" w:eastAsia="仿宋_GB2312" w:cs="Times New Roman"/>
          <w:bCs w:val="0"/>
          <w:caps w:val="0"/>
          <w:color w:val="auto"/>
          <w:sz w:val="28"/>
          <w:szCs w:val="28"/>
          <w:highlight w:val="none"/>
          <w:lang w:val="en-US" w:eastAsia="zh-CN"/>
        </w:rPr>
      </w:pPr>
      <w:r>
        <w:rPr>
          <w:color w:val="auto"/>
          <w:sz w:val="28"/>
          <w:szCs w:val="28"/>
          <w:highlight w:val="none"/>
        </w:rPr>
        <w:fldChar w:fldCharType="begin"/>
      </w:r>
      <w:r>
        <w:rPr>
          <w:rStyle w:val="56"/>
          <w:color w:val="auto"/>
          <w:sz w:val="28"/>
          <w:szCs w:val="28"/>
          <w:highlight w:val="none"/>
        </w:rPr>
        <w:instrText xml:space="preserve"> </w:instrText>
      </w:r>
      <w:r>
        <w:rPr>
          <w:color w:val="auto"/>
          <w:sz w:val="28"/>
          <w:szCs w:val="28"/>
          <w:highlight w:val="none"/>
        </w:rPr>
        <w:instrText xml:space="preserve">HYPERLINK \l "_Toc40865097"</w:instrText>
      </w:r>
      <w:r>
        <w:rPr>
          <w:rStyle w:val="56"/>
          <w:color w:val="auto"/>
          <w:sz w:val="28"/>
          <w:szCs w:val="28"/>
          <w:highlight w:val="none"/>
        </w:rPr>
        <w:instrText xml:space="preserve"> </w:instrText>
      </w:r>
      <w:r>
        <w:rPr>
          <w:color w:val="auto"/>
          <w:sz w:val="28"/>
          <w:szCs w:val="28"/>
          <w:highlight w:val="none"/>
        </w:rPr>
        <w:fldChar w:fldCharType="separate"/>
      </w:r>
      <w:r>
        <w:rPr>
          <w:rStyle w:val="56"/>
          <w:rFonts w:hint="eastAsia"/>
          <w:color w:val="auto"/>
          <w:kern w:val="44"/>
          <w:sz w:val="28"/>
          <w:szCs w:val="28"/>
          <w:highlight w:val="none"/>
        </w:rPr>
        <w:t>第四章</w:t>
      </w:r>
      <w:r>
        <w:rPr>
          <w:rStyle w:val="56"/>
          <w:color w:val="auto"/>
          <w:kern w:val="44"/>
          <w:sz w:val="28"/>
          <w:szCs w:val="28"/>
          <w:highlight w:val="none"/>
        </w:rPr>
        <w:t xml:space="preserve">  </w:t>
      </w:r>
      <w:r>
        <w:rPr>
          <w:rStyle w:val="56"/>
          <w:rFonts w:hint="eastAsia"/>
          <w:color w:val="auto"/>
          <w:sz w:val="28"/>
          <w:szCs w:val="28"/>
          <w:highlight w:val="none"/>
          <w:lang w:eastAsia="zh-CN"/>
        </w:rPr>
        <w:t>评标方法及评分标准</w:t>
      </w:r>
      <w:r>
        <w:rPr>
          <w:color w:val="auto"/>
          <w:sz w:val="28"/>
          <w:szCs w:val="28"/>
          <w:highlight w:val="none"/>
        </w:rPr>
        <w:tab/>
      </w:r>
      <w:r>
        <w:rPr>
          <w:rFonts w:hint="eastAsia"/>
          <w:color w:val="auto"/>
          <w:sz w:val="28"/>
          <w:szCs w:val="28"/>
          <w:highlight w:val="none"/>
          <w:lang w:val="en-US" w:eastAsia="zh-CN"/>
        </w:rPr>
        <w:t>2</w:t>
      </w:r>
      <w:r>
        <w:rPr>
          <w:color w:val="auto"/>
          <w:sz w:val="28"/>
          <w:szCs w:val="28"/>
          <w:highlight w:val="none"/>
        </w:rPr>
        <w:fldChar w:fldCharType="end"/>
      </w:r>
      <w:r>
        <w:rPr>
          <w:rFonts w:hint="eastAsia"/>
          <w:color w:val="auto"/>
          <w:sz w:val="28"/>
          <w:szCs w:val="28"/>
          <w:highlight w:val="none"/>
          <w:lang w:val="en-US" w:eastAsia="zh-CN"/>
        </w:rPr>
        <w:t>9</w:t>
      </w:r>
    </w:p>
    <w:p>
      <w:pPr>
        <w:pStyle w:val="35"/>
        <w:tabs>
          <w:tab w:val="right" w:leader="dot" w:pos="9356"/>
          <w:tab w:val="right" w:leader="dot" w:pos="9498"/>
          <w:tab w:val="clear" w:pos="8296"/>
          <w:tab w:val="clear" w:pos="8398"/>
        </w:tabs>
        <w:spacing w:line="500" w:lineRule="exact"/>
        <w:ind w:right="-510" w:rightChars="-243" w:firstLine="0" w:firstLineChars="0"/>
        <w:rPr>
          <w:rFonts w:hint="eastAsia" w:ascii="Calibri" w:hAnsi="Calibri" w:eastAsia="仿宋_GB2312" w:cs="Times New Roman"/>
          <w:bCs w:val="0"/>
          <w:caps w:val="0"/>
          <w:color w:val="auto"/>
          <w:sz w:val="28"/>
          <w:szCs w:val="28"/>
          <w:highlight w:val="none"/>
          <w:lang w:val="en-US" w:eastAsia="zh-CN"/>
        </w:rPr>
      </w:pPr>
      <w:r>
        <w:rPr>
          <w:color w:val="auto"/>
          <w:sz w:val="28"/>
          <w:szCs w:val="28"/>
          <w:highlight w:val="none"/>
        </w:rPr>
        <w:fldChar w:fldCharType="begin"/>
      </w:r>
      <w:r>
        <w:rPr>
          <w:rStyle w:val="56"/>
          <w:color w:val="auto"/>
          <w:sz w:val="28"/>
          <w:szCs w:val="28"/>
          <w:highlight w:val="none"/>
        </w:rPr>
        <w:instrText xml:space="preserve"> </w:instrText>
      </w:r>
      <w:r>
        <w:rPr>
          <w:color w:val="auto"/>
          <w:sz w:val="28"/>
          <w:szCs w:val="28"/>
          <w:highlight w:val="none"/>
        </w:rPr>
        <w:instrText xml:space="preserve">HYPERLINK \l "_Toc40865115"</w:instrText>
      </w:r>
      <w:r>
        <w:rPr>
          <w:rStyle w:val="56"/>
          <w:color w:val="auto"/>
          <w:sz w:val="28"/>
          <w:szCs w:val="28"/>
          <w:highlight w:val="none"/>
        </w:rPr>
        <w:instrText xml:space="preserve"> </w:instrText>
      </w:r>
      <w:r>
        <w:rPr>
          <w:color w:val="auto"/>
          <w:sz w:val="28"/>
          <w:szCs w:val="28"/>
          <w:highlight w:val="none"/>
        </w:rPr>
        <w:fldChar w:fldCharType="separate"/>
      </w:r>
      <w:r>
        <w:rPr>
          <w:rStyle w:val="56"/>
          <w:rFonts w:hint="eastAsia"/>
          <w:color w:val="auto"/>
          <w:sz w:val="28"/>
          <w:szCs w:val="28"/>
          <w:highlight w:val="none"/>
        </w:rPr>
        <w:t>第五章</w:t>
      </w:r>
      <w:r>
        <w:rPr>
          <w:rStyle w:val="56"/>
          <w:color w:val="auto"/>
          <w:sz w:val="28"/>
          <w:szCs w:val="28"/>
          <w:highlight w:val="none"/>
        </w:rPr>
        <w:t xml:space="preserve">  </w:t>
      </w:r>
      <w:r>
        <w:rPr>
          <w:rStyle w:val="56"/>
          <w:rFonts w:hint="eastAsia"/>
          <w:color w:val="auto"/>
          <w:sz w:val="28"/>
          <w:szCs w:val="28"/>
          <w:highlight w:val="none"/>
        </w:rPr>
        <w:t>政府采购合同</w:t>
      </w:r>
      <w:bookmarkStart w:id="0" w:name="_Hlt40865342"/>
      <w:bookmarkStart w:id="1" w:name="_Hlt40865341"/>
      <w:r>
        <w:rPr>
          <w:rStyle w:val="56"/>
          <w:rFonts w:hint="eastAsia"/>
          <w:color w:val="auto"/>
          <w:sz w:val="28"/>
          <w:szCs w:val="28"/>
          <w:highlight w:val="none"/>
        </w:rPr>
        <w:t>主</w:t>
      </w:r>
      <w:bookmarkEnd w:id="0"/>
      <w:bookmarkEnd w:id="1"/>
      <w:r>
        <w:rPr>
          <w:rStyle w:val="56"/>
          <w:rFonts w:hint="eastAsia"/>
          <w:color w:val="auto"/>
          <w:sz w:val="28"/>
          <w:szCs w:val="28"/>
          <w:highlight w:val="none"/>
        </w:rPr>
        <w:t>要条款</w:t>
      </w:r>
      <w:r>
        <w:rPr>
          <w:color w:val="auto"/>
          <w:sz w:val="28"/>
          <w:szCs w:val="28"/>
          <w:highlight w:val="none"/>
        </w:rPr>
        <w:tab/>
      </w:r>
      <w:r>
        <w:rPr>
          <w:rFonts w:hint="eastAsia"/>
          <w:color w:val="auto"/>
          <w:sz w:val="28"/>
          <w:szCs w:val="28"/>
          <w:highlight w:val="none"/>
          <w:lang w:val="en-US" w:eastAsia="zh-CN"/>
        </w:rPr>
        <w:t>3</w:t>
      </w:r>
      <w:r>
        <w:rPr>
          <w:color w:val="auto"/>
          <w:sz w:val="28"/>
          <w:szCs w:val="28"/>
          <w:highlight w:val="none"/>
        </w:rPr>
        <w:fldChar w:fldCharType="end"/>
      </w:r>
      <w:r>
        <w:rPr>
          <w:rFonts w:hint="eastAsia"/>
          <w:color w:val="auto"/>
          <w:sz w:val="28"/>
          <w:szCs w:val="28"/>
          <w:highlight w:val="none"/>
          <w:lang w:val="en-US" w:eastAsia="zh-CN"/>
        </w:rPr>
        <w:t>3</w:t>
      </w:r>
    </w:p>
    <w:p>
      <w:pPr>
        <w:pStyle w:val="35"/>
        <w:tabs>
          <w:tab w:val="right" w:leader="dot" w:pos="9356"/>
          <w:tab w:val="right" w:leader="dot" w:pos="9498"/>
          <w:tab w:val="clear" w:pos="8296"/>
          <w:tab w:val="clear" w:pos="8398"/>
        </w:tabs>
        <w:spacing w:line="500" w:lineRule="exact"/>
        <w:ind w:right="-510" w:rightChars="-243" w:firstLine="0" w:firstLineChars="0"/>
        <w:rPr>
          <w:rFonts w:hint="eastAsia" w:ascii="Calibri" w:hAnsi="Calibri" w:eastAsia="仿宋_GB2312" w:cs="Times New Roman"/>
          <w:bCs w:val="0"/>
          <w:caps w:val="0"/>
          <w:color w:val="auto"/>
          <w:sz w:val="28"/>
          <w:szCs w:val="28"/>
          <w:highlight w:val="none"/>
          <w:lang w:val="en-US" w:eastAsia="zh-CN"/>
        </w:rPr>
      </w:pPr>
      <w:r>
        <w:rPr>
          <w:color w:val="auto"/>
          <w:sz w:val="28"/>
          <w:szCs w:val="28"/>
          <w:highlight w:val="none"/>
        </w:rPr>
        <w:fldChar w:fldCharType="begin"/>
      </w:r>
      <w:r>
        <w:rPr>
          <w:rStyle w:val="56"/>
          <w:color w:val="auto"/>
          <w:sz w:val="28"/>
          <w:szCs w:val="28"/>
          <w:highlight w:val="none"/>
        </w:rPr>
        <w:instrText xml:space="preserve"> </w:instrText>
      </w:r>
      <w:r>
        <w:rPr>
          <w:color w:val="auto"/>
          <w:sz w:val="28"/>
          <w:szCs w:val="28"/>
          <w:highlight w:val="none"/>
        </w:rPr>
        <w:instrText xml:space="preserve">HYPERLINK \l "_Toc40865116"</w:instrText>
      </w:r>
      <w:r>
        <w:rPr>
          <w:rStyle w:val="56"/>
          <w:color w:val="auto"/>
          <w:sz w:val="28"/>
          <w:szCs w:val="28"/>
          <w:highlight w:val="none"/>
        </w:rPr>
        <w:instrText xml:space="preserve"> </w:instrText>
      </w:r>
      <w:r>
        <w:rPr>
          <w:color w:val="auto"/>
          <w:sz w:val="28"/>
          <w:szCs w:val="28"/>
          <w:highlight w:val="none"/>
        </w:rPr>
        <w:fldChar w:fldCharType="separate"/>
      </w:r>
      <w:r>
        <w:rPr>
          <w:rStyle w:val="56"/>
          <w:rFonts w:hint="eastAsia"/>
          <w:color w:val="auto"/>
          <w:sz w:val="28"/>
          <w:szCs w:val="28"/>
          <w:highlight w:val="none"/>
        </w:rPr>
        <w:t>第六章　投标文件格式</w:t>
      </w:r>
      <w:r>
        <w:rPr>
          <w:color w:val="auto"/>
          <w:sz w:val="28"/>
          <w:szCs w:val="28"/>
          <w:highlight w:val="none"/>
        </w:rPr>
        <w:tab/>
      </w:r>
      <w:r>
        <w:rPr>
          <w:rFonts w:hint="eastAsia"/>
          <w:color w:val="auto"/>
          <w:sz w:val="28"/>
          <w:szCs w:val="28"/>
          <w:highlight w:val="none"/>
          <w:lang w:val="en-US" w:eastAsia="zh-CN"/>
        </w:rPr>
        <w:t>4</w:t>
      </w:r>
      <w:r>
        <w:rPr>
          <w:color w:val="auto"/>
          <w:sz w:val="28"/>
          <w:szCs w:val="28"/>
          <w:highlight w:val="none"/>
        </w:rPr>
        <w:fldChar w:fldCharType="end"/>
      </w:r>
      <w:r>
        <w:rPr>
          <w:rFonts w:hint="eastAsia"/>
          <w:color w:val="auto"/>
          <w:sz w:val="28"/>
          <w:szCs w:val="28"/>
          <w:highlight w:val="none"/>
          <w:lang w:val="en-US" w:eastAsia="zh-CN"/>
        </w:rPr>
        <w:t>1</w:t>
      </w:r>
    </w:p>
    <w:p>
      <w:pPr>
        <w:tabs>
          <w:tab w:val="right" w:leader="dot" w:pos="9356"/>
          <w:tab w:val="right" w:leader="dot" w:pos="9498"/>
        </w:tabs>
        <w:spacing w:line="500" w:lineRule="exact"/>
        <w:ind w:right="-510" w:rightChars="-243"/>
        <w:rPr>
          <w:color w:val="auto"/>
          <w:highlight w:val="none"/>
        </w:rPr>
      </w:pPr>
      <w:r>
        <w:rPr>
          <w:color w:val="auto"/>
          <w:sz w:val="28"/>
          <w:szCs w:val="28"/>
          <w:highlight w:val="none"/>
        </w:rPr>
        <w:fldChar w:fldCharType="end"/>
      </w:r>
    </w:p>
    <w:p>
      <w:pPr>
        <w:pStyle w:val="27"/>
        <w:jc w:val="center"/>
        <w:rPr>
          <w:rFonts w:hint="eastAsia" w:ascii="隶书" w:eastAsia="隶书"/>
          <w:color w:val="auto"/>
          <w:sz w:val="44"/>
          <w:highlight w:val="none"/>
        </w:rPr>
      </w:pPr>
    </w:p>
    <w:p>
      <w:pPr>
        <w:pStyle w:val="27"/>
        <w:jc w:val="center"/>
        <w:rPr>
          <w:rFonts w:hint="eastAsia" w:ascii="隶书" w:eastAsia="隶书"/>
          <w:color w:val="auto"/>
          <w:sz w:val="44"/>
          <w:highlight w:val="none"/>
        </w:rPr>
      </w:pPr>
    </w:p>
    <w:p>
      <w:pPr>
        <w:pStyle w:val="27"/>
        <w:jc w:val="center"/>
        <w:rPr>
          <w:rFonts w:hint="eastAsia" w:ascii="隶书" w:eastAsia="隶书"/>
          <w:color w:val="auto"/>
          <w:sz w:val="44"/>
          <w:highlight w:val="none"/>
        </w:rPr>
      </w:pPr>
    </w:p>
    <w:p>
      <w:pPr>
        <w:pStyle w:val="27"/>
        <w:jc w:val="center"/>
        <w:rPr>
          <w:rFonts w:hint="eastAsia" w:ascii="隶书" w:eastAsia="隶书"/>
          <w:color w:val="auto"/>
          <w:sz w:val="44"/>
          <w:highlight w:val="none"/>
        </w:rPr>
      </w:pPr>
    </w:p>
    <w:p>
      <w:pPr>
        <w:pStyle w:val="27"/>
        <w:jc w:val="center"/>
        <w:rPr>
          <w:rFonts w:hint="eastAsia" w:ascii="隶书" w:eastAsia="隶书"/>
          <w:color w:val="auto"/>
          <w:sz w:val="44"/>
          <w:highlight w:val="none"/>
        </w:rPr>
      </w:pPr>
    </w:p>
    <w:p>
      <w:pPr>
        <w:pStyle w:val="27"/>
        <w:jc w:val="center"/>
        <w:rPr>
          <w:rFonts w:hint="eastAsia" w:ascii="隶书" w:eastAsia="隶书"/>
          <w:color w:val="auto"/>
          <w:sz w:val="44"/>
          <w:highlight w:val="none"/>
        </w:rPr>
      </w:pPr>
    </w:p>
    <w:p>
      <w:pPr>
        <w:pStyle w:val="27"/>
        <w:jc w:val="center"/>
        <w:rPr>
          <w:rFonts w:hint="eastAsia" w:ascii="隶书" w:eastAsia="隶书"/>
          <w:color w:val="auto"/>
          <w:sz w:val="44"/>
          <w:highlight w:val="none"/>
        </w:rPr>
      </w:pPr>
    </w:p>
    <w:p>
      <w:pPr>
        <w:pStyle w:val="237"/>
        <w:widowControl w:val="0"/>
        <w:ind w:firstLine="883"/>
        <w:jc w:val="center"/>
        <w:rPr>
          <w:rFonts w:hint="eastAsia" w:ascii="仿宋_GB2312" w:hAnsi="宋体" w:eastAsia="仿宋_GB2312"/>
          <w:b/>
          <w:color w:val="auto"/>
          <w:sz w:val="44"/>
          <w:szCs w:val="44"/>
          <w:highlight w:val="none"/>
        </w:rPr>
      </w:pPr>
    </w:p>
    <w:p>
      <w:pPr>
        <w:pStyle w:val="237"/>
        <w:widowControl w:val="0"/>
        <w:ind w:firstLine="883"/>
        <w:jc w:val="center"/>
        <w:rPr>
          <w:rFonts w:hint="eastAsia" w:ascii="仿宋_GB2312" w:hAnsi="宋体" w:eastAsia="仿宋_GB2312"/>
          <w:b/>
          <w:color w:val="auto"/>
          <w:sz w:val="44"/>
          <w:szCs w:val="44"/>
          <w:highlight w:val="none"/>
        </w:rPr>
      </w:pPr>
    </w:p>
    <w:p>
      <w:pPr>
        <w:pStyle w:val="237"/>
        <w:widowControl w:val="0"/>
        <w:ind w:firstLine="883"/>
        <w:jc w:val="center"/>
        <w:rPr>
          <w:rFonts w:hint="eastAsia" w:ascii="仿宋_GB2312" w:hAnsi="宋体" w:eastAsia="仿宋_GB2312"/>
          <w:b/>
          <w:color w:val="auto"/>
          <w:sz w:val="44"/>
          <w:szCs w:val="44"/>
          <w:highlight w:val="none"/>
        </w:rPr>
      </w:pPr>
    </w:p>
    <w:p>
      <w:pPr>
        <w:pStyle w:val="237"/>
        <w:widowControl w:val="0"/>
        <w:ind w:firstLine="883"/>
        <w:jc w:val="center"/>
        <w:rPr>
          <w:rFonts w:hint="eastAsia" w:ascii="仿宋_GB2312" w:hAnsi="宋体" w:eastAsia="仿宋_GB2312"/>
          <w:b/>
          <w:color w:val="auto"/>
          <w:sz w:val="44"/>
          <w:szCs w:val="44"/>
          <w:highlight w:val="none"/>
        </w:rPr>
      </w:pPr>
    </w:p>
    <w:p>
      <w:pPr>
        <w:pStyle w:val="237"/>
        <w:widowControl w:val="0"/>
        <w:ind w:firstLine="883"/>
        <w:jc w:val="center"/>
        <w:rPr>
          <w:rFonts w:hint="eastAsia" w:ascii="仿宋_GB2312" w:hAnsi="宋体" w:eastAsia="仿宋_GB2312"/>
          <w:b/>
          <w:color w:val="auto"/>
          <w:sz w:val="44"/>
          <w:szCs w:val="44"/>
          <w:highlight w:val="none"/>
        </w:rPr>
      </w:pPr>
    </w:p>
    <w:p>
      <w:pPr>
        <w:pStyle w:val="237"/>
        <w:widowControl w:val="0"/>
        <w:ind w:firstLine="883"/>
        <w:jc w:val="center"/>
        <w:rPr>
          <w:rFonts w:hint="eastAsia" w:ascii="仿宋_GB2312" w:hAnsi="宋体" w:eastAsia="仿宋_GB2312"/>
          <w:b/>
          <w:color w:val="auto"/>
          <w:sz w:val="44"/>
          <w:szCs w:val="44"/>
          <w:highlight w:val="none"/>
        </w:rPr>
      </w:pPr>
    </w:p>
    <w:p>
      <w:pPr>
        <w:pStyle w:val="237"/>
        <w:widowControl w:val="0"/>
        <w:ind w:firstLine="883"/>
        <w:jc w:val="center"/>
        <w:rPr>
          <w:rFonts w:hint="eastAsia" w:ascii="仿宋_GB2312" w:hAnsi="宋体" w:eastAsia="仿宋_GB2312"/>
          <w:b/>
          <w:color w:val="auto"/>
          <w:sz w:val="44"/>
          <w:szCs w:val="44"/>
          <w:highlight w:val="none"/>
        </w:rPr>
      </w:pPr>
    </w:p>
    <w:p>
      <w:pPr>
        <w:pStyle w:val="237"/>
        <w:widowControl w:val="0"/>
        <w:ind w:firstLine="883"/>
        <w:jc w:val="center"/>
        <w:rPr>
          <w:rFonts w:hint="eastAsia" w:ascii="仿宋_GB2312" w:hAnsi="宋体" w:eastAsia="仿宋_GB2312"/>
          <w:b/>
          <w:color w:val="auto"/>
          <w:sz w:val="44"/>
          <w:szCs w:val="44"/>
          <w:highlight w:val="none"/>
        </w:rPr>
      </w:pPr>
    </w:p>
    <w:p>
      <w:pPr>
        <w:pStyle w:val="237"/>
        <w:widowControl w:val="0"/>
        <w:ind w:firstLine="883"/>
        <w:jc w:val="center"/>
        <w:rPr>
          <w:rFonts w:hint="eastAsia" w:ascii="仿宋_GB2312" w:hAnsi="宋体" w:eastAsia="仿宋_GB2312"/>
          <w:b/>
          <w:color w:val="auto"/>
          <w:sz w:val="44"/>
          <w:szCs w:val="44"/>
          <w:highlight w:val="none"/>
        </w:rPr>
      </w:pPr>
    </w:p>
    <w:p>
      <w:pPr>
        <w:pStyle w:val="237"/>
        <w:widowControl w:val="0"/>
        <w:ind w:firstLine="883"/>
        <w:jc w:val="center"/>
        <w:rPr>
          <w:rFonts w:hint="eastAsia" w:ascii="仿宋_GB2312" w:hAnsi="宋体" w:eastAsia="仿宋_GB2312"/>
          <w:b/>
          <w:color w:val="auto"/>
          <w:sz w:val="44"/>
          <w:szCs w:val="44"/>
          <w:highlight w:val="none"/>
        </w:rPr>
      </w:pPr>
    </w:p>
    <w:p>
      <w:pPr>
        <w:pStyle w:val="237"/>
        <w:widowControl w:val="0"/>
        <w:ind w:firstLine="883"/>
        <w:jc w:val="center"/>
        <w:rPr>
          <w:rFonts w:hint="eastAsia" w:ascii="仿宋_GB2312" w:hAnsi="宋体" w:eastAsia="仿宋_GB2312"/>
          <w:b/>
          <w:color w:val="auto"/>
          <w:sz w:val="44"/>
          <w:szCs w:val="44"/>
          <w:highlight w:val="none"/>
        </w:rPr>
      </w:pPr>
    </w:p>
    <w:p>
      <w:pPr>
        <w:pStyle w:val="237"/>
        <w:widowControl w:val="0"/>
        <w:ind w:firstLine="883"/>
        <w:jc w:val="center"/>
        <w:rPr>
          <w:rFonts w:hint="eastAsia" w:ascii="仿宋_GB2312" w:hAnsi="宋体" w:eastAsia="仿宋_GB2312"/>
          <w:b/>
          <w:color w:val="auto"/>
          <w:sz w:val="44"/>
          <w:szCs w:val="44"/>
          <w:highlight w:val="none"/>
        </w:rPr>
      </w:pPr>
    </w:p>
    <w:p>
      <w:pPr>
        <w:pStyle w:val="237"/>
        <w:widowControl w:val="0"/>
        <w:ind w:firstLine="883"/>
        <w:jc w:val="center"/>
        <w:rPr>
          <w:rFonts w:hint="eastAsia" w:ascii="仿宋_GB2312" w:hAnsi="宋体" w:eastAsia="仿宋_GB2312"/>
          <w:b/>
          <w:color w:val="auto"/>
          <w:sz w:val="44"/>
          <w:szCs w:val="44"/>
          <w:highlight w:val="none"/>
        </w:rPr>
      </w:pPr>
    </w:p>
    <w:p>
      <w:pPr>
        <w:pStyle w:val="2"/>
        <w:jc w:val="center"/>
        <w:rPr>
          <w:rFonts w:hint="eastAsia"/>
          <w:color w:val="auto"/>
          <w:sz w:val="32"/>
          <w:szCs w:val="32"/>
          <w:highlight w:val="none"/>
        </w:rPr>
      </w:pPr>
      <w:bookmarkStart w:id="2" w:name="_Toc40865015"/>
      <w:r>
        <w:rPr>
          <w:rFonts w:hint="eastAsia"/>
          <w:color w:val="auto"/>
          <w:highlight w:val="none"/>
        </w:rPr>
        <w:t>第一章  公开招标公告</w:t>
      </w:r>
      <w:bookmarkEnd w:id="2"/>
    </w:p>
    <w:p>
      <w:pPr>
        <w:pStyle w:val="237"/>
        <w:pageBreakBefore/>
        <w:widowControl w:val="0"/>
        <w:spacing w:line="480" w:lineRule="exact"/>
        <w:ind w:firstLine="0" w:firstLineChars="0"/>
        <w:jc w:val="center"/>
        <w:rPr>
          <w:rFonts w:ascii="仿宋_GB2312" w:hAnsi="宋体" w:eastAsia="仿宋_GB2312"/>
          <w:color w:val="auto"/>
          <w:sz w:val="28"/>
          <w:szCs w:val="28"/>
          <w:highlight w:val="none"/>
        </w:rPr>
      </w:pPr>
      <w:r>
        <w:rPr>
          <w:rFonts w:hint="eastAsia" w:ascii="黑体" w:hAnsi="宋体" w:eastAsia="黑体"/>
          <w:color w:val="auto"/>
          <w:sz w:val="32"/>
          <w:szCs w:val="32"/>
          <w:highlight w:val="none"/>
        </w:rPr>
        <w:t>公开招标公告</w:t>
      </w:r>
    </w:p>
    <w:p>
      <w:pPr>
        <w:rPr>
          <w:color w:val="auto"/>
          <w:highlight w:val="none"/>
        </w:rPr>
      </w:pPr>
    </w:p>
    <w:p>
      <w:pPr>
        <w:pBdr>
          <w:top w:val="single" w:color="auto" w:sz="4" w:space="1"/>
          <w:left w:val="single" w:color="auto" w:sz="4" w:space="4"/>
          <w:bottom w:val="single" w:color="auto" w:sz="4" w:space="1"/>
          <w:right w:val="single" w:color="auto" w:sz="4" w:space="4"/>
        </w:pBdr>
        <w:adjustRightInd w:val="0"/>
        <w:snapToGrid w:val="0"/>
        <w:spacing w:line="400" w:lineRule="exact"/>
        <w:ind w:firstLine="420" w:firstLineChars="200"/>
        <w:rPr>
          <w:rFonts w:hint="eastAsia" w:ascii="宋体" w:hAnsi="宋体"/>
          <w:color w:val="auto"/>
          <w:highlight w:val="none"/>
        </w:rPr>
      </w:pPr>
      <w:r>
        <w:rPr>
          <w:rFonts w:hint="eastAsia" w:ascii="宋体" w:hAnsi="宋体"/>
          <w:color w:val="auto"/>
          <w:highlight w:val="none"/>
        </w:rPr>
        <w:t>项目概况</w:t>
      </w:r>
    </w:p>
    <w:p>
      <w:pPr>
        <w:pBdr>
          <w:top w:val="single" w:color="auto" w:sz="4" w:space="1"/>
          <w:left w:val="single" w:color="auto" w:sz="4" w:space="4"/>
          <w:bottom w:val="single" w:color="auto" w:sz="4" w:space="1"/>
          <w:right w:val="single" w:color="auto" w:sz="4" w:space="4"/>
        </w:pBdr>
        <w:adjustRightInd w:val="0"/>
        <w:snapToGrid w:val="0"/>
        <w:spacing w:line="400" w:lineRule="exact"/>
        <w:ind w:firstLine="421" w:firstLineChars="200"/>
        <w:rPr>
          <w:rFonts w:hint="eastAsia"/>
          <w:color w:val="auto"/>
          <w:highlight w:val="none"/>
        </w:rPr>
      </w:pPr>
      <w:r>
        <w:rPr>
          <w:rFonts w:hint="eastAsia"/>
          <w:b/>
          <w:bCs/>
          <w:color w:val="auto"/>
          <w:highlight w:val="none"/>
          <w:u w:val="single"/>
        </w:rPr>
        <w:t>广西艺术学院相思湖校区电梯采购及安装</w:t>
      </w:r>
      <w:r>
        <w:rPr>
          <w:rFonts w:hint="eastAsia"/>
          <w:color w:val="auto"/>
          <w:highlight w:val="none"/>
        </w:rPr>
        <w:t>项目的潜在投标人应在</w:t>
      </w:r>
      <w:r>
        <w:rPr>
          <w:rFonts w:hint="eastAsia" w:ascii="宋体" w:hAnsi="宋体" w:cs="宋体"/>
          <w:b/>
          <w:bCs/>
          <w:color w:val="auto"/>
          <w:kern w:val="0"/>
          <w:szCs w:val="21"/>
          <w:highlight w:val="none"/>
        </w:rPr>
        <w:t>广西政府采购云平台（网址：https://www.gcy.zfcg.gxzf.gov.cn）获取</w:t>
      </w:r>
      <w:r>
        <w:rPr>
          <w:rFonts w:hint="eastAsia"/>
          <w:color w:val="auto"/>
          <w:highlight w:val="none"/>
        </w:rPr>
        <w:t>招标文件，并于</w:t>
      </w:r>
      <w:r>
        <w:rPr>
          <w:rFonts w:hint="eastAsia"/>
          <w:color w:val="auto"/>
          <w:highlight w:val="none"/>
          <w:u w:val="single"/>
        </w:rPr>
        <w:t xml:space="preserve"> 2025年</w:t>
      </w:r>
      <w:r>
        <w:rPr>
          <w:rFonts w:hint="eastAsia"/>
          <w:color w:val="auto"/>
          <w:highlight w:val="none"/>
          <w:u w:val="single"/>
          <w:lang w:val="en-US" w:eastAsia="zh-CN"/>
        </w:rPr>
        <w:t>10</w:t>
      </w:r>
      <w:r>
        <w:rPr>
          <w:rFonts w:hint="eastAsia"/>
          <w:color w:val="auto"/>
          <w:highlight w:val="none"/>
          <w:u w:val="single"/>
        </w:rPr>
        <w:t>月</w:t>
      </w:r>
      <w:r>
        <w:rPr>
          <w:rFonts w:hint="default"/>
          <w:color w:val="auto"/>
          <w:highlight w:val="none"/>
          <w:u w:val="single"/>
          <w:lang w:val="en" w:eastAsia="zh-CN"/>
        </w:rPr>
        <w:t>30</w:t>
      </w:r>
      <w:r>
        <w:rPr>
          <w:rFonts w:hint="eastAsia"/>
          <w:color w:val="auto"/>
          <w:highlight w:val="none"/>
          <w:u w:val="single"/>
        </w:rPr>
        <w:t>日 10:00</w:t>
      </w:r>
      <w:r>
        <w:rPr>
          <w:rFonts w:hint="eastAsia"/>
          <w:color w:val="auto"/>
          <w:highlight w:val="none"/>
        </w:rPr>
        <w:t>（北京时间）前递交投标文件</w:t>
      </w:r>
      <w:r>
        <w:rPr>
          <w:color w:val="auto"/>
          <w:highlight w:val="none"/>
        </w:rPr>
        <w:t>。</w:t>
      </w:r>
    </w:p>
    <w:p>
      <w:pPr>
        <w:widowControl/>
        <w:spacing w:before="75" w:after="75" w:line="360" w:lineRule="exact"/>
        <w:jc w:val="left"/>
        <w:rPr>
          <w:rFonts w:ascii="宋体" w:hAnsi="宋体" w:cs="宋体"/>
          <w:color w:val="auto"/>
          <w:kern w:val="0"/>
          <w:szCs w:val="21"/>
          <w:highlight w:val="none"/>
        </w:rPr>
      </w:pPr>
      <w:r>
        <w:rPr>
          <w:rFonts w:hint="eastAsia" w:ascii="宋体" w:hAnsi="宋体" w:cs="宋体"/>
          <w:b/>
          <w:bCs/>
          <w:color w:val="auto"/>
          <w:kern w:val="0"/>
          <w:szCs w:val="21"/>
          <w:highlight w:val="none"/>
        </w:rPr>
        <w:t>一、项目基本情况  </w:t>
      </w:r>
      <w:r>
        <w:rPr>
          <w:rFonts w:hint="eastAsia" w:ascii="宋体" w:hAnsi="宋体" w:cs="黑体"/>
          <w:color w:val="auto"/>
          <w:kern w:val="0"/>
          <w:szCs w:val="21"/>
          <w:highlight w:val="none"/>
        </w:rPr>
        <w:t xml:space="preserve"> </w:t>
      </w:r>
      <w:r>
        <w:rPr>
          <w:rFonts w:hint="eastAsia" w:ascii="宋体" w:hAnsi="宋体" w:cs="宋体"/>
          <w:color w:val="auto"/>
          <w:kern w:val="0"/>
          <w:szCs w:val="21"/>
          <w:highlight w:val="none"/>
        </w:rPr>
        <w:t> </w:t>
      </w:r>
      <w:r>
        <w:rPr>
          <w:rFonts w:hint="eastAsia" w:ascii="宋体" w:hAnsi="宋体" w:cs="黑体"/>
          <w:color w:val="auto"/>
          <w:kern w:val="0"/>
          <w:szCs w:val="21"/>
          <w:highlight w:val="none"/>
        </w:rPr>
        <w:t xml:space="preserve"> </w:t>
      </w:r>
      <w:r>
        <w:rPr>
          <w:rFonts w:hint="eastAsia" w:ascii="宋体" w:hAnsi="宋体" w:cs="宋体"/>
          <w:color w:val="auto"/>
          <w:kern w:val="0"/>
          <w:szCs w:val="21"/>
          <w:highlight w:val="none"/>
        </w:rPr>
        <w:t> </w:t>
      </w:r>
      <w:r>
        <w:rPr>
          <w:rFonts w:hint="eastAsia" w:ascii="宋体" w:hAnsi="宋体" w:cs="黑体"/>
          <w:color w:val="auto"/>
          <w:kern w:val="0"/>
          <w:szCs w:val="21"/>
          <w:highlight w:val="none"/>
        </w:rPr>
        <w:t xml:space="preserve"> </w:t>
      </w:r>
      <w:r>
        <w:rPr>
          <w:rFonts w:hint="eastAsia" w:ascii="宋体" w:hAnsi="宋体" w:cs="宋体"/>
          <w:color w:val="auto"/>
          <w:kern w:val="0"/>
          <w:szCs w:val="21"/>
          <w:highlight w:val="none"/>
        </w:rPr>
        <w:t> </w:t>
      </w:r>
      <w:r>
        <w:rPr>
          <w:rFonts w:hint="eastAsia" w:ascii="宋体" w:hAnsi="宋体" w:cs="黑体"/>
          <w:color w:val="auto"/>
          <w:kern w:val="0"/>
          <w:szCs w:val="21"/>
          <w:highlight w:val="none"/>
        </w:rPr>
        <w:t xml:space="preserve"> </w:t>
      </w:r>
      <w:r>
        <w:rPr>
          <w:rFonts w:hint="eastAsia" w:ascii="宋体" w:hAnsi="宋体" w:cs="宋体"/>
          <w:color w:val="auto"/>
          <w:kern w:val="0"/>
          <w:szCs w:val="21"/>
          <w:highlight w:val="none"/>
        </w:rPr>
        <w:t> </w:t>
      </w:r>
      <w:r>
        <w:rPr>
          <w:rFonts w:hint="eastAsia" w:ascii="宋体" w:hAnsi="宋体" w:cs="黑体"/>
          <w:color w:val="auto"/>
          <w:kern w:val="0"/>
          <w:szCs w:val="21"/>
          <w:highlight w:val="none"/>
        </w:rPr>
        <w:t xml:space="preserve"> </w:t>
      </w:r>
      <w:r>
        <w:rPr>
          <w:rFonts w:hint="eastAsia" w:ascii="宋体" w:hAnsi="宋体" w:cs="宋体"/>
          <w:color w:val="auto"/>
          <w:kern w:val="0"/>
          <w:szCs w:val="21"/>
          <w:highlight w:val="none"/>
        </w:rPr>
        <w:t> </w:t>
      </w:r>
      <w:r>
        <w:rPr>
          <w:rFonts w:hint="eastAsia" w:ascii="宋体" w:hAnsi="宋体" w:cs="黑体"/>
          <w:color w:val="auto"/>
          <w:kern w:val="0"/>
          <w:szCs w:val="21"/>
          <w:highlight w:val="none"/>
        </w:rPr>
        <w:t xml:space="preserve"> </w:t>
      </w:r>
      <w:r>
        <w:rPr>
          <w:rFonts w:hint="eastAsia" w:ascii="宋体" w:hAnsi="宋体" w:cs="宋体"/>
          <w:color w:val="auto"/>
          <w:kern w:val="0"/>
          <w:szCs w:val="21"/>
          <w:highlight w:val="none"/>
        </w:rPr>
        <w:t> </w:t>
      </w:r>
      <w:r>
        <w:rPr>
          <w:rFonts w:hint="eastAsia" w:ascii="宋体" w:hAnsi="宋体" w:cs="黑体"/>
          <w:color w:val="auto"/>
          <w:kern w:val="0"/>
          <w:szCs w:val="21"/>
          <w:highlight w:val="none"/>
        </w:rPr>
        <w:t xml:space="preserve"> </w:t>
      </w:r>
      <w:r>
        <w:rPr>
          <w:rFonts w:hint="eastAsia" w:ascii="宋体" w:hAnsi="宋体" w:cs="宋体"/>
          <w:color w:val="auto"/>
          <w:kern w:val="0"/>
          <w:szCs w:val="21"/>
          <w:highlight w:val="none"/>
        </w:rPr>
        <w:t> </w:t>
      </w:r>
      <w:r>
        <w:rPr>
          <w:rFonts w:hint="eastAsia" w:ascii="宋体" w:hAnsi="宋体" w:cs="黑体"/>
          <w:color w:val="auto"/>
          <w:kern w:val="0"/>
          <w:szCs w:val="21"/>
          <w:highlight w:val="none"/>
        </w:rPr>
        <w:t xml:space="preserve"> </w:t>
      </w:r>
      <w:r>
        <w:rPr>
          <w:rFonts w:hint="eastAsia" w:ascii="宋体" w:hAnsi="宋体" w:cs="宋体"/>
          <w:color w:val="auto"/>
          <w:kern w:val="0"/>
          <w:szCs w:val="21"/>
          <w:highlight w:val="none"/>
        </w:rPr>
        <w:t> </w:t>
      </w:r>
      <w:r>
        <w:rPr>
          <w:rFonts w:hint="eastAsia" w:ascii="宋体" w:hAnsi="宋体" w:cs="黑体"/>
          <w:color w:val="auto"/>
          <w:kern w:val="0"/>
          <w:szCs w:val="21"/>
          <w:highlight w:val="none"/>
        </w:rPr>
        <w:t xml:space="preserve"> </w:t>
      </w:r>
      <w:r>
        <w:rPr>
          <w:rFonts w:hint="eastAsia" w:ascii="宋体" w:hAnsi="宋体" w:cs="宋体"/>
          <w:color w:val="auto"/>
          <w:kern w:val="0"/>
          <w:szCs w:val="21"/>
          <w:highlight w:val="none"/>
        </w:rPr>
        <w:t> </w:t>
      </w:r>
      <w:r>
        <w:rPr>
          <w:rFonts w:hint="eastAsia" w:ascii="宋体" w:hAnsi="宋体" w:cs="黑体"/>
          <w:color w:val="auto"/>
          <w:kern w:val="0"/>
          <w:szCs w:val="21"/>
          <w:highlight w:val="none"/>
        </w:rPr>
        <w:t xml:space="preserve"> </w:t>
      </w:r>
      <w:r>
        <w:rPr>
          <w:rFonts w:hint="eastAsia" w:ascii="宋体" w:hAnsi="宋体" w:cs="宋体"/>
          <w:color w:val="auto"/>
          <w:kern w:val="0"/>
          <w:szCs w:val="21"/>
          <w:highlight w:val="none"/>
        </w:rPr>
        <w:t> </w:t>
      </w:r>
      <w:r>
        <w:rPr>
          <w:rFonts w:hint="eastAsia" w:ascii="宋体" w:hAnsi="宋体" w:cs="黑体"/>
          <w:color w:val="auto"/>
          <w:kern w:val="0"/>
          <w:szCs w:val="21"/>
          <w:highlight w:val="none"/>
        </w:rPr>
        <w:t xml:space="preserve"> </w:t>
      </w:r>
      <w:r>
        <w:rPr>
          <w:rFonts w:hint="eastAsia" w:ascii="宋体" w:hAnsi="宋体" w:cs="宋体"/>
          <w:color w:val="auto"/>
          <w:kern w:val="0"/>
          <w:szCs w:val="21"/>
          <w:highlight w:val="none"/>
        </w:rPr>
        <w:t>   </w:t>
      </w:r>
      <w:r>
        <w:rPr>
          <w:rFonts w:hint="eastAsia" w:ascii="宋体" w:hAnsi="宋体" w:cs="黑体"/>
          <w:color w:val="auto"/>
          <w:kern w:val="0"/>
          <w:szCs w:val="21"/>
          <w:highlight w:val="none"/>
        </w:rPr>
        <w:t xml:space="preserve"> </w:t>
      </w:r>
      <w:r>
        <w:rPr>
          <w:rFonts w:hint="eastAsia" w:ascii="宋体" w:hAnsi="宋体" w:cs="宋体"/>
          <w:color w:val="auto"/>
          <w:kern w:val="0"/>
          <w:szCs w:val="21"/>
          <w:highlight w:val="none"/>
        </w:rPr>
        <w:t> </w:t>
      </w:r>
      <w:r>
        <w:rPr>
          <w:rFonts w:hint="eastAsia" w:ascii="宋体" w:hAnsi="宋体" w:cs="黑体"/>
          <w:color w:val="auto"/>
          <w:kern w:val="0"/>
          <w:szCs w:val="21"/>
          <w:highlight w:val="none"/>
        </w:rPr>
        <w:t xml:space="preserve"> </w:t>
      </w:r>
      <w:r>
        <w:rPr>
          <w:rFonts w:hint="eastAsia" w:ascii="宋体" w:hAnsi="宋体" w:cs="宋体"/>
          <w:color w:val="auto"/>
          <w:kern w:val="0"/>
          <w:szCs w:val="21"/>
          <w:highlight w:val="none"/>
        </w:rPr>
        <w:t> </w:t>
      </w:r>
      <w:r>
        <w:rPr>
          <w:rFonts w:hint="eastAsia" w:ascii="宋体" w:hAnsi="宋体" w:cs="黑体"/>
          <w:color w:val="auto"/>
          <w:kern w:val="0"/>
          <w:szCs w:val="21"/>
          <w:highlight w:val="none"/>
        </w:rPr>
        <w:t xml:space="preserve"> </w:t>
      </w:r>
      <w:r>
        <w:rPr>
          <w:rFonts w:hint="eastAsia" w:ascii="宋体" w:hAnsi="宋体" w:cs="宋体"/>
          <w:color w:val="auto"/>
          <w:kern w:val="0"/>
          <w:szCs w:val="21"/>
          <w:highlight w:val="none"/>
        </w:rPr>
        <w:t> </w:t>
      </w:r>
      <w:r>
        <w:rPr>
          <w:rFonts w:hint="eastAsia" w:ascii="宋体" w:hAnsi="宋体" w:cs="黑体"/>
          <w:color w:val="auto"/>
          <w:kern w:val="0"/>
          <w:szCs w:val="21"/>
          <w:highlight w:val="none"/>
        </w:rPr>
        <w:t xml:space="preserve"> </w:t>
      </w:r>
      <w:r>
        <w:rPr>
          <w:rFonts w:hint="eastAsia" w:ascii="宋体" w:hAnsi="宋体" w:cs="宋体"/>
          <w:color w:val="auto"/>
          <w:kern w:val="0"/>
          <w:szCs w:val="21"/>
          <w:highlight w:val="none"/>
        </w:rPr>
        <w:t> </w:t>
      </w:r>
      <w:r>
        <w:rPr>
          <w:rFonts w:hint="eastAsia" w:ascii="宋体" w:hAnsi="宋体" w:cs="黑体"/>
          <w:color w:val="auto"/>
          <w:kern w:val="0"/>
          <w:szCs w:val="21"/>
          <w:highlight w:val="none"/>
        </w:rPr>
        <w:t xml:space="preserve"> </w:t>
      </w:r>
      <w:r>
        <w:rPr>
          <w:rFonts w:hint="eastAsia" w:ascii="宋体" w:hAnsi="宋体" w:cs="宋体"/>
          <w:color w:val="auto"/>
          <w:kern w:val="0"/>
          <w:szCs w:val="21"/>
          <w:highlight w:val="none"/>
        </w:rPr>
        <w:t> </w:t>
      </w:r>
      <w:r>
        <w:rPr>
          <w:rFonts w:hint="eastAsia" w:ascii="宋体" w:hAnsi="宋体" w:cs="黑体"/>
          <w:color w:val="auto"/>
          <w:kern w:val="0"/>
          <w:szCs w:val="21"/>
          <w:highlight w:val="none"/>
        </w:rPr>
        <w:t xml:space="preserve"> </w:t>
      </w:r>
      <w:r>
        <w:rPr>
          <w:rFonts w:hint="eastAsia" w:ascii="宋体" w:hAnsi="宋体" w:cs="宋体"/>
          <w:color w:val="auto"/>
          <w:kern w:val="0"/>
          <w:szCs w:val="21"/>
          <w:highlight w:val="none"/>
        </w:rPr>
        <w:t> </w:t>
      </w:r>
      <w:r>
        <w:rPr>
          <w:rFonts w:hint="eastAsia" w:ascii="宋体" w:hAnsi="宋体" w:cs="黑体"/>
          <w:color w:val="auto"/>
          <w:kern w:val="0"/>
          <w:szCs w:val="21"/>
          <w:highlight w:val="none"/>
        </w:rPr>
        <w:t xml:space="preserve"> </w:t>
      </w:r>
      <w:r>
        <w:rPr>
          <w:rFonts w:hint="eastAsia" w:ascii="宋体" w:hAnsi="宋体" w:cs="宋体"/>
          <w:color w:val="auto"/>
          <w:kern w:val="0"/>
          <w:szCs w:val="21"/>
          <w:highlight w:val="none"/>
        </w:rPr>
        <w:t> </w:t>
      </w:r>
      <w:r>
        <w:rPr>
          <w:rFonts w:hint="eastAsia" w:ascii="宋体" w:hAnsi="宋体" w:cs="黑体"/>
          <w:color w:val="auto"/>
          <w:kern w:val="0"/>
          <w:szCs w:val="21"/>
          <w:highlight w:val="none"/>
        </w:rPr>
        <w:t xml:space="preserve"> </w:t>
      </w:r>
      <w:r>
        <w:rPr>
          <w:rFonts w:hint="eastAsia" w:ascii="宋体" w:hAnsi="宋体" w:cs="宋体"/>
          <w:color w:val="auto"/>
          <w:kern w:val="0"/>
          <w:szCs w:val="21"/>
          <w:highlight w:val="none"/>
        </w:rPr>
        <w:t> </w:t>
      </w:r>
      <w:r>
        <w:rPr>
          <w:rFonts w:hint="eastAsia" w:ascii="宋体" w:hAnsi="宋体" w:cs="黑体"/>
          <w:color w:val="auto"/>
          <w:kern w:val="0"/>
          <w:szCs w:val="21"/>
          <w:highlight w:val="none"/>
        </w:rPr>
        <w:t xml:space="preserve"> </w:t>
      </w:r>
      <w:r>
        <w:rPr>
          <w:rFonts w:hint="eastAsia" w:ascii="宋体" w:hAnsi="宋体" w:cs="宋体"/>
          <w:color w:val="auto"/>
          <w:kern w:val="0"/>
          <w:szCs w:val="21"/>
          <w:highlight w:val="none"/>
        </w:rPr>
        <w:t> </w:t>
      </w:r>
    </w:p>
    <w:p>
      <w:pPr>
        <w:pStyle w:val="46"/>
        <w:rPr>
          <w:rFonts w:hint="eastAsia" w:hAnsi="宋体" w:cs="宋体"/>
          <w:b w:val="0"/>
          <w:color w:val="auto"/>
          <w:kern w:val="0"/>
          <w:szCs w:val="21"/>
          <w:highlight w:val="none"/>
        </w:rPr>
      </w:pPr>
      <w:r>
        <w:rPr>
          <w:rFonts w:hAnsi="宋体" w:cs="宋体"/>
          <w:b w:val="0"/>
          <w:color w:val="auto"/>
          <w:kern w:val="0"/>
          <w:szCs w:val="21"/>
          <w:highlight w:val="none"/>
        </w:rPr>
        <w:t>项目编号：</w:t>
      </w:r>
      <w:r>
        <w:rPr>
          <w:rFonts w:hint="eastAsia"/>
          <w:color w:val="auto"/>
          <w:highlight w:val="none"/>
        </w:rPr>
        <w:t>GXZC2025-G1-002826-CGZX</w:t>
      </w:r>
      <w:r>
        <w:rPr>
          <w:rFonts w:hint="eastAsia" w:hAnsi="宋体" w:cs="宋体"/>
          <w:b w:val="0"/>
          <w:color w:val="auto"/>
          <w:kern w:val="0"/>
          <w:szCs w:val="21"/>
          <w:highlight w:val="none"/>
        </w:rPr>
        <w:t xml:space="preserve"> </w:t>
      </w:r>
      <w:r>
        <w:rPr>
          <w:rFonts w:hAnsi="宋体" w:cs="宋体"/>
          <w:b w:val="0"/>
          <w:color w:val="auto"/>
          <w:kern w:val="0"/>
          <w:szCs w:val="21"/>
          <w:highlight w:val="none"/>
        </w:rPr>
        <w:t> </w:t>
      </w:r>
    </w:p>
    <w:p>
      <w:pPr>
        <w:pStyle w:val="46"/>
        <w:rPr>
          <w:rFonts w:hAnsi="宋体" w:cs="宋体"/>
          <w:b w:val="0"/>
          <w:color w:val="auto"/>
          <w:kern w:val="0"/>
          <w:szCs w:val="21"/>
          <w:highlight w:val="none"/>
        </w:rPr>
      </w:pPr>
      <w:r>
        <w:rPr>
          <w:rFonts w:hAnsi="宋体" w:cs="宋体"/>
          <w:b w:val="0"/>
          <w:color w:val="auto"/>
          <w:kern w:val="0"/>
          <w:szCs w:val="21"/>
          <w:highlight w:val="none"/>
        </w:rPr>
        <w:t>项目名称：</w:t>
      </w:r>
      <w:r>
        <w:rPr>
          <w:rFonts w:hint="eastAsia"/>
          <w:color w:val="auto"/>
          <w:highlight w:val="none"/>
        </w:rPr>
        <w:t>广西艺术学院相思湖校区电梯采购及安装</w:t>
      </w:r>
      <w:r>
        <w:rPr>
          <w:rFonts w:hint="eastAsia"/>
          <w:b w:val="0"/>
          <w:bCs/>
          <w:color w:val="auto"/>
          <w:highlight w:val="none"/>
        </w:rPr>
        <w:t xml:space="preserve"> </w:t>
      </w:r>
      <w:r>
        <w:rPr>
          <w:rFonts w:hint="eastAsia" w:hAnsi="宋体" w:cs="宋体"/>
          <w:b w:val="0"/>
          <w:bCs/>
          <w:color w:val="auto"/>
          <w:kern w:val="0"/>
          <w:szCs w:val="21"/>
          <w:highlight w:val="none"/>
        </w:rPr>
        <w:t xml:space="preserve"> </w:t>
      </w:r>
    </w:p>
    <w:p>
      <w:pPr>
        <w:pStyle w:val="46"/>
        <w:rPr>
          <w:rFonts w:hint="eastAsia" w:hAnsi="宋体" w:cs="宋体"/>
          <w:b w:val="0"/>
          <w:color w:val="auto"/>
          <w:kern w:val="0"/>
          <w:szCs w:val="21"/>
          <w:highlight w:val="none"/>
        </w:rPr>
      </w:pPr>
      <w:r>
        <w:rPr>
          <w:rFonts w:hAnsi="宋体" w:cs="宋体"/>
          <w:b w:val="0"/>
          <w:color w:val="auto"/>
          <w:kern w:val="0"/>
          <w:szCs w:val="21"/>
          <w:highlight w:val="none"/>
        </w:rPr>
        <w:t>预算</w:t>
      </w:r>
      <w:r>
        <w:rPr>
          <w:rFonts w:hint="eastAsia" w:hAnsi="宋体" w:cs="宋体"/>
          <w:b w:val="0"/>
          <w:color w:val="auto"/>
          <w:kern w:val="0"/>
          <w:szCs w:val="21"/>
          <w:highlight w:val="none"/>
        </w:rPr>
        <w:t>总</w:t>
      </w:r>
      <w:r>
        <w:rPr>
          <w:rFonts w:hAnsi="宋体" w:cs="宋体"/>
          <w:b w:val="0"/>
          <w:color w:val="auto"/>
          <w:kern w:val="0"/>
          <w:szCs w:val="21"/>
          <w:highlight w:val="none"/>
        </w:rPr>
        <w:t>金额（元）：</w:t>
      </w:r>
      <w:r>
        <w:rPr>
          <w:rFonts w:hint="eastAsia" w:hAnsi="宋体" w:cs="宋体"/>
          <w:b w:val="0"/>
          <w:color w:val="auto"/>
          <w:kern w:val="0"/>
          <w:szCs w:val="21"/>
          <w:highlight w:val="none"/>
        </w:rPr>
        <w:t xml:space="preserve">6545300.00 </w:t>
      </w:r>
    </w:p>
    <w:p>
      <w:pPr>
        <w:pStyle w:val="46"/>
        <w:rPr>
          <w:rFonts w:hAnsi="宋体" w:cs="宋体"/>
          <w:b w:val="0"/>
          <w:color w:val="auto"/>
          <w:kern w:val="0"/>
          <w:szCs w:val="21"/>
          <w:highlight w:val="none"/>
        </w:rPr>
      </w:pPr>
      <w:r>
        <w:rPr>
          <w:rFonts w:hAnsi="宋体" w:cs="宋体"/>
          <w:b w:val="0"/>
          <w:color w:val="auto"/>
          <w:kern w:val="0"/>
          <w:szCs w:val="21"/>
          <w:highlight w:val="none"/>
        </w:rPr>
        <w:t>采购需求</w:t>
      </w:r>
    </w:p>
    <w:p>
      <w:pPr>
        <w:pStyle w:val="46"/>
        <w:rPr>
          <w:rFonts w:hint="eastAsia" w:hAnsi="宋体" w:cs="宋体"/>
          <w:b w:val="0"/>
          <w:color w:val="auto"/>
          <w:kern w:val="0"/>
          <w:szCs w:val="21"/>
          <w:highlight w:val="none"/>
        </w:rPr>
      </w:pPr>
      <w:r>
        <w:rPr>
          <w:rFonts w:hAnsi="宋体" w:cs="宋体"/>
          <w:b w:val="0"/>
          <w:color w:val="auto"/>
          <w:kern w:val="0"/>
          <w:szCs w:val="21"/>
          <w:highlight w:val="none"/>
        </w:rPr>
        <w:t>标项名称:</w:t>
      </w:r>
      <w:r>
        <w:rPr>
          <w:rFonts w:hint="eastAsia"/>
          <w:color w:val="auto"/>
          <w:highlight w:val="none"/>
        </w:rPr>
        <w:t>广西艺术学院相思湖校区电梯采购及安装</w:t>
      </w:r>
    </w:p>
    <w:p>
      <w:pPr>
        <w:pStyle w:val="46"/>
        <w:rPr>
          <w:rFonts w:hint="eastAsia" w:hAnsi="宋体" w:cs="宋体"/>
          <w:b w:val="0"/>
          <w:color w:val="auto"/>
          <w:kern w:val="0"/>
          <w:szCs w:val="21"/>
          <w:highlight w:val="none"/>
        </w:rPr>
      </w:pPr>
      <w:r>
        <w:rPr>
          <w:rFonts w:hAnsi="宋体" w:cs="宋体"/>
          <w:b w:val="0"/>
          <w:color w:val="auto"/>
          <w:kern w:val="0"/>
          <w:szCs w:val="21"/>
          <w:highlight w:val="none"/>
        </w:rPr>
        <w:t>数量:</w:t>
      </w:r>
      <w:r>
        <w:rPr>
          <w:rFonts w:hint="eastAsia" w:hAnsi="宋体" w:cs="宋体"/>
          <w:b w:val="0"/>
          <w:color w:val="auto"/>
          <w:kern w:val="0"/>
          <w:szCs w:val="21"/>
          <w:highlight w:val="none"/>
        </w:rPr>
        <w:t>1</w:t>
      </w:r>
    </w:p>
    <w:p>
      <w:pPr>
        <w:pStyle w:val="46"/>
        <w:rPr>
          <w:rFonts w:hint="eastAsia" w:hAnsi="宋体" w:cs="宋体"/>
          <w:b w:val="0"/>
          <w:color w:val="auto"/>
          <w:kern w:val="0"/>
          <w:szCs w:val="21"/>
          <w:highlight w:val="none"/>
        </w:rPr>
      </w:pPr>
      <w:r>
        <w:rPr>
          <w:rFonts w:hAnsi="宋体" w:cs="宋体"/>
          <w:b w:val="0"/>
          <w:color w:val="auto"/>
          <w:kern w:val="0"/>
          <w:szCs w:val="21"/>
          <w:highlight w:val="none"/>
        </w:rPr>
        <w:t>预算金额（元）:</w:t>
      </w:r>
      <w:r>
        <w:rPr>
          <w:rFonts w:hint="eastAsia" w:hAnsi="宋体" w:cs="宋体"/>
          <w:b w:val="0"/>
          <w:color w:val="auto"/>
          <w:kern w:val="0"/>
          <w:szCs w:val="21"/>
          <w:highlight w:val="none"/>
        </w:rPr>
        <w:t>6545300.00</w:t>
      </w:r>
    </w:p>
    <w:p>
      <w:pPr>
        <w:rPr>
          <w:rFonts w:hAnsi="宋体" w:cs="宋体"/>
          <w:b/>
          <w:color w:val="auto"/>
          <w:kern w:val="0"/>
          <w:szCs w:val="21"/>
          <w:highlight w:val="none"/>
        </w:rPr>
      </w:pPr>
      <w:r>
        <w:rPr>
          <w:rFonts w:hint="eastAsia" w:hAnsi="宋体" w:cs="宋体"/>
          <w:b/>
          <w:color w:val="auto"/>
          <w:kern w:val="0"/>
          <w:szCs w:val="21"/>
          <w:highlight w:val="none"/>
          <w:lang w:val="en-US" w:eastAsia="zh-CN"/>
        </w:rPr>
        <w:t xml:space="preserve">    </w:t>
      </w:r>
      <w:r>
        <w:rPr>
          <w:rFonts w:hAnsi="宋体" w:cs="宋体"/>
          <w:b/>
          <w:color w:val="auto"/>
          <w:kern w:val="0"/>
          <w:szCs w:val="21"/>
          <w:highlight w:val="none"/>
        </w:rPr>
        <w:t>简要规格描述或项目基本概况介绍、用途：</w:t>
      </w:r>
      <w:r>
        <w:rPr>
          <w:rFonts w:hint="eastAsia"/>
          <w:color w:val="auto"/>
          <w:highlight w:val="none"/>
        </w:rPr>
        <w:t>无机房乘客电梯</w:t>
      </w:r>
      <w:r>
        <w:rPr>
          <w:rFonts w:hint="eastAsia"/>
          <w:color w:val="auto"/>
          <w:highlight w:val="none"/>
          <w:lang w:val="en-US" w:eastAsia="zh-CN"/>
        </w:rPr>
        <w:t>14</w:t>
      </w:r>
      <w:r>
        <w:rPr>
          <w:rFonts w:hint="eastAsia"/>
          <w:color w:val="auto"/>
          <w:highlight w:val="none"/>
        </w:rPr>
        <w:t>台</w:t>
      </w:r>
      <w:r>
        <w:rPr>
          <w:rFonts w:hint="eastAsia"/>
          <w:color w:val="auto"/>
          <w:highlight w:val="none"/>
          <w:lang w:eastAsia="zh-CN"/>
        </w:rPr>
        <w:t>；</w:t>
      </w:r>
      <w:r>
        <w:rPr>
          <w:rFonts w:hint="eastAsia"/>
          <w:color w:val="auto"/>
          <w:highlight w:val="none"/>
        </w:rPr>
        <w:t>电梯井道土建</w:t>
      </w:r>
      <w:r>
        <w:rPr>
          <w:rFonts w:hint="eastAsia"/>
          <w:color w:val="auto"/>
          <w:highlight w:val="none"/>
          <w:lang w:val="en-US" w:eastAsia="zh-CN"/>
        </w:rPr>
        <w:t>14</w:t>
      </w:r>
      <w:r>
        <w:rPr>
          <w:rFonts w:hint="eastAsia"/>
          <w:color w:val="auto"/>
          <w:highlight w:val="none"/>
        </w:rPr>
        <w:t>个</w:t>
      </w:r>
      <w:r>
        <w:rPr>
          <w:rFonts w:hAnsi="宋体" w:cs="宋体"/>
          <w:b/>
          <w:color w:val="auto"/>
          <w:kern w:val="0"/>
          <w:szCs w:val="21"/>
          <w:highlight w:val="none"/>
        </w:rPr>
        <w:t>。详见招标项目采购需求。</w:t>
      </w:r>
    </w:p>
    <w:p>
      <w:pPr>
        <w:pStyle w:val="46"/>
        <w:rPr>
          <w:rFonts w:hAnsi="宋体" w:cs="宋体"/>
          <w:b w:val="0"/>
          <w:color w:val="auto"/>
          <w:kern w:val="0"/>
          <w:szCs w:val="21"/>
          <w:highlight w:val="none"/>
        </w:rPr>
      </w:pPr>
      <w:r>
        <w:rPr>
          <w:rFonts w:hAnsi="宋体" w:cs="宋体"/>
          <w:b w:val="0"/>
          <w:color w:val="auto"/>
          <w:kern w:val="0"/>
          <w:szCs w:val="21"/>
          <w:highlight w:val="none"/>
        </w:rPr>
        <w:t>最高限价（如有）：/</w:t>
      </w:r>
    </w:p>
    <w:p>
      <w:pPr>
        <w:pStyle w:val="46"/>
        <w:rPr>
          <w:rFonts w:hAnsi="宋体" w:cs="宋体"/>
          <w:b w:val="0"/>
          <w:color w:val="auto"/>
          <w:kern w:val="0"/>
          <w:szCs w:val="21"/>
          <w:highlight w:val="none"/>
        </w:rPr>
      </w:pPr>
      <w:r>
        <w:rPr>
          <w:rFonts w:hAnsi="宋体" w:cs="宋体"/>
          <w:b w:val="0"/>
          <w:color w:val="auto"/>
          <w:kern w:val="0"/>
          <w:szCs w:val="21"/>
          <w:highlight w:val="none"/>
        </w:rPr>
        <w:t>合同履约期限：自签订合同至履约完成</w:t>
      </w:r>
    </w:p>
    <w:p>
      <w:pPr>
        <w:pStyle w:val="46"/>
        <w:rPr>
          <w:rFonts w:hint="eastAsia" w:hAnsi="宋体" w:cs="宋体"/>
          <w:b w:val="0"/>
          <w:color w:val="auto"/>
          <w:kern w:val="0"/>
          <w:szCs w:val="21"/>
          <w:highlight w:val="none"/>
        </w:rPr>
      </w:pPr>
      <w:r>
        <w:rPr>
          <w:rFonts w:hAnsi="宋体" w:cs="宋体"/>
          <w:b w:val="0"/>
          <w:color w:val="auto"/>
          <w:kern w:val="0"/>
          <w:szCs w:val="21"/>
          <w:highlight w:val="none"/>
        </w:rPr>
        <w:t>本标项（否）接受联合体投标</w:t>
      </w:r>
    </w:p>
    <w:p>
      <w:pPr>
        <w:pStyle w:val="46"/>
        <w:rPr>
          <w:rFonts w:hAnsi="宋体" w:cs="宋体"/>
          <w:b w:val="0"/>
          <w:color w:val="auto"/>
          <w:kern w:val="0"/>
          <w:szCs w:val="21"/>
          <w:highlight w:val="none"/>
        </w:rPr>
      </w:pPr>
      <w:r>
        <w:rPr>
          <w:rFonts w:hAnsi="宋体" w:cs="宋体"/>
          <w:b w:val="0"/>
          <w:color w:val="auto"/>
          <w:kern w:val="0"/>
          <w:szCs w:val="21"/>
          <w:highlight w:val="none"/>
        </w:rPr>
        <w:t>备注：</w:t>
      </w:r>
      <w:r>
        <w:rPr>
          <w:rFonts w:hint="eastAsia" w:hAnsi="宋体"/>
          <w:b w:val="0"/>
          <w:color w:val="auto"/>
          <w:highlight w:val="none"/>
        </w:rPr>
        <w:t>本项目为线上电子招标项目，有意向参与本项目的供应商应当做好参与全流程电子招投标交易的充分准备。</w:t>
      </w:r>
    </w:p>
    <w:p>
      <w:pPr>
        <w:widowControl/>
        <w:spacing w:before="75" w:after="75" w:line="360" w:lineRule="exact"/>
        <w:jc w:val="left"/>
        <w:rPr>
          <w:rFonts w:ascii="宋体" w:hAnsi="宋体" w:cs="宋体"/>
          <w:color w:val="auto"/>
          <w:kern w:val="0"/>
          <w:szCs w:val="21"/>
          <w:highlight w:val="none"/>
        </w:rPr>
      </w:pPr>
      <w:r>
        <w:rPr>
          <w:rFonts w:hint="eastAsia" w:ascii="宋体" w:hAnsi="宋体" w:cs="宋体"/>
          <w:b/>
          <w:bCs/>
          <w:color w:val="auto"/>
          <w:kern w:val="0"/>
          <w:szCs w:val="21"/>
          <w:highlight w:val="none"/>
        </w:rPr>
        <w:t>二、申请人的资格要求：</w:t>
      </w:r>
    </w:p>
    <w:p>
      <w:pPr>
        <w:pStyle w:val="46"/>
        <w:rPr>
          <w:rFonts w:hAnsi="宋体" w:cs="宋体"/>
          <w:b w:val="0"/>
          <w:color w:val="auto"/>
          <w:kern w:val="0"/>
          <w:szCs w:val="21"/>
          <w:highlight w:val="none"/>
        </w:rPr>
      </w:pPr>
      <w:r>
        <w:rPr>
          <w:rFonts w:hAnsi="宋体" w:cs="宋体"/>
          <w:b w:val="0"/>
          <w:color w:val="auto"/>
          <w:kern w:val="0"/>
          <w:szCs w:val="21"/>
          <w:highlight w:val="none"/>
        </w:rPr>
        <w:t>1.满足《中华人民共和国政府采购法》第二十二条规定；</w:t>
      </w:r>
    </w:p>
    <w:p>
      <w:pPr>
        <w:pStyle w:val="46"/>
        <w:rPr>
          <w:rFonts w:hAnsi="宋体" w:cs="宋体"/>
          <w:b w:val="0"/>
          <w:color w:val="auto"/>
          <w:kern w:val="0"/>
          <w:szCs w:val="21"/>
          <w:highlight w:val="none"/>
        </w:rPr>
      </w:pPr>
      <w:r>
        <w:rPr>
          <w:rFonts w:hAnsi="宋体" w:cs="宋体"/>
          <w:b w:val="0"/>
          <w:color w:val="auto"/>
          <w:kern w:val="0"/>
          <w:szCs w:val="21"/>
          <w:highlight w:val="none"/>
        </w:rPr>
        <w:t>2.落实政府采购政策需满足的资格要求：</w:t>
      </w:r>
      <w:r>
        <w:rPr>
          <w:rFonts w:hint="eastAsia" w:hAnsi="宋体" w:cs="宋体"/>
          <w:b w:val="0"/>
          <w:color w:val="auto"/>
          <w:kern w:val="0"/>
          <w:szCs w:val="21"/>
          <w:highlight w:val="none"/>
        </w:rPr>
        <w:t>分标1：无。</w:t>
      </w:r>
    </w:p>
    <w:p>
      <w:pPr>
        <w:pStyle w:val="46"/>
        <w:rPr>
          <w:rFonts w:hAnsi="宋体" w:cs="宋体"/>
          <w:b w:val="0"/>
          <w:color w:val="auto"/>
          <w:kern w:val="0"/>
          <w:szCs w:val="21"/>
          <w:highlight w:val="none"/>
        </w:rPr>
      </w:pPr>
      <w:r>
        <w:rPr>
          <w:rFonts w:hAnsi="宋体" w:cs="宋体"/>
          <w:b w:val="0"/>
          <w:color w:val="auto"/>
          <w:kern w:val="0"/>
          <w:szCs w:val="21"/>
          <w:highlight w:val="none"/>
        </w:rPr>
        <w:t>3.本项目的特定资格要求：</w:t>
      </w:r>
      <w:r>
        <w:rPr>
          <w:rFonts w:hint="eastAsia" w:hAnsi="宋体" w:cs="宋体"/>
          <w:color w:val="auto"/>
          <w:kern w:val="0"/>
          <w:szCs w:val="21"/>
          <w:highlight w:val="none"/>
        </w:rPr>
        <w:t>投标人必须具有《中华人民共和国特种设备安装改造维修许可证（电梯）》安装、维修B级及以上证书或《中华人民共和国特种设备生产许可证》证书（需提供证书扫描件或其他电子文件并加盖投标人公章）</w:t>
      </w:r>
      <w:r>
        <w:rPr>
          <w:rFonts w:hint="eastAsia" w:hAnsi="宋体" w:cs="宋体"/>
          <w:b w:val="0"/>
          <w:color w:val="auto"/>
          <w:kern w:val="0"/>
          <w:szCs w:val="21"/>
          <w:highlight w:val="none"/>
        </w:rPr>
        <w:t>。</w:t>
      </w:r>
      <w:r>
        <w:rPr>
          <w:rFonts w:hAnsi="宋体" w:cs="宋体"/>
          <w:b w:val="0"/>
          <w:color w:val="auto"/>
          <w:kern w:val="0"/>
          <w:szCs w:val="21"/>
          <w:highlight w:val="none"/>
        </w:rPr>
        <w:t> </w:t>
      </w:r>
    </w:p>
    <w:p>
      <w:pPr>
        <w:widowControl/>
        <w:spacing w:before="75" w:after="75" w:line="360" w:lineRule="exact"/>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三、获取招标文件 </w:t>
      </w:r>
    </w:p>
    <w:p>
      <w:pPr>
        <w:pStyle w:val="46"/>
        <w:rPr>
          <w:rFonts w:hint="eastAsia" w:hAnsi="宋体" w:cs="宋体"/>
          <w:b w:val="0"/>
          <w:color w:val="auto"/>
          <w:kern w:val="0"/>
          <w:szCs w:val="21"/>
          <w:highlight w:val="none"/>
        </w:rPr>
      </w:pPr>
      <w:r>
        <w:rPr>
          <w:rFonts w:hAnsi="宋体" w:cs="宋体"/>
          <w:b w:val="0"/>
          <w:color w:val="auto"/>
          <w:kern w:val="0"/>
          <w:szCs w:val="21"/>
          <w:highlight w:val="none"/>
        </w:rPr>
        <w:t>时间：</w:t>
      </w:r>
      <w:r>
        <w:rPr>
          <w:rFonts w:hAnsi="宋体" w:cs="宋体"/>
          <w:bCs/>
          <w:color w:val="auto"/>
          <w:kern w:val="0"/>
          <w:szCs w:val="21"/>
          <w:highlight w:val="none"/>
        </w:rPr>
        <w:t>202</w:t>
      </w:r>
      <w:r>
        <w:rPr>
          <w:rFonts w:hint="eastAsia" w:hAnsi="宋体" w:cs="宋体"/>
          <w:bCs/>
          <w:color w:val="auto"/>
          <w:kern w:val="0"/>
          <w:szCs w:val="21"/>
          <w:highlight w:val="none"/>
        </w:rPr>
        <w:t>5</w:t>
      </w:r>
      <w:r>
        <w:rPr>
          <w:rFonts w:hAnsi="宋体" w:cs="宋体"/>
          <w:bCs/>
          <w:color w:val="auto"/>
          <w:kern w:val="0"/>
          <w:szCs w:val="21"/>
          <w:highlight w:val="none"/>
        </w:rPr>
        <w:t>年</w:t>
      </w:r>
      <w:r>
        <w:rPr>
          <w:rFonts w:hint="default" w:hAnsi="宋体" w:cs="宋体"/>
          <w:bCs/>
          <w:color w:val="auto"/>
          <w:kern w:val="0"/>
          <w:szCs w:val="21"/>
          <w:highlight w:val="none"/>
          <w:lang w:val="en" w:eastAsia="zh-CN"/>
        </w:rPr>
        <w:t>10</w:t>
      </w:r>
      <w:r>
        <w:rPr>
          <w:rFonts w:hAnsi="宋体" w:cs="宋体"/>
          <w:bCs/>
          <w:color w:val="auto"/>
          <w:kern w:val="0"/>
          <w:szCs w:val="21"/>
          <w:highlight w:val="none"/>
        </w:rPr>
        <w:t>月</w:t>
      </w:r>
      <w:r>
        <w:rPr>
          <w:rFonts w:hint="default" w:hAnsi="宋体" w:cs="宋体"/>
          <w:bCs/>
          <w:color w:val="auto"/>
          <w:kern w:val="0"/>
          <w:szCs w:val="21"/>
          <w:highlight w:val="none"/>
          <w:lang w:val="en" w:eastAsia="zh-CN"/>
        </w:rPr>
        <w:t>9</w:t>
      </w:r>
      <w:r>
        <w:rPr>
          <w:rFonts w:hAnsi="宋体" w:cs="宋体"/>
          <w:bCs/>
          <w:color w:val="auto"/>
          <w:kern w:val="0"/>
          <w:szCs w:val="21"/>
          <w:highlight w:val="none"/>
        </w:rPr>
        <w:t>日至202</w:t>
      </w:r>
      <w:r>
        <w:rPr>
          <w:rFonts w:hint="eastAsia" w:hAnsi="宋体" w:cs="宋体"/>
          <w:bCs/>
          <w:color w:val="auto"/>
          <w:kern w:val="0"/>
          <w:szCs w:val="21"/>
          <w:highlight w:val="none"/>
        </w:rPr>
        <w:t>5</w:t>
      </w:r>
      <w:r>
        <w:rPr>
          <w:rFonts w:hAnsi="宋体" w:cs="宋体"/>
          <w:bCs/>
          <w:color w:val="auto"/>
          <w:kern w:val="0"/>
          <w:szCs w:val="21"/>
          <w:highlight w:val="none"/>
        </w:rPr>
        <w:t>年</w:t>
      </w:r>
      <w:r>
        <w:rPr>
          <w:rFonts w:hint="eastAsia" w:hAnsi="宋体" w:cs="宋体"/>
          <w:bCs/>
          <w:color w:val="auto"/>
          <w:kern w:val="0"/>
          <w:szCs w:val="21"/>
          <w:highlight w:val="none"/>
          <w:lang w:val="en-US" w:eastAsia="zh-CN"/>
        </w:rPr>
        <w:t>10</w:t>
      </w:r>
      <w:r>
        <w:rPr>
          <w:rFonts w:hAnsi="宋体" w:cs="宋体"/>
          <w:bCs/>
          <w:color w:val="auto"/>
          <w:kern w:val="0"/>
          <w:szCs w:val="21"/>
          <w:highlight w:val="none"/>
        </w:rPr>
        <w:t>月</w:t>
      </w:r>
      <w:r>
        <w:rPr>
          <w:rFonts w:hint="eastAsia" w:hAnsi="宋体" w:cs="宋体"/>
          <w:bCs/>
          <w:color w:val="auto"/>
          <w:kern w:val="0"/>
          <w:szCs w:val="21"/>
          <w:highlight w:val="none"/>
          <w:lang w:val="en-US" w:eastAsia="zh-CN"/>
        </w:rPr>
        <w:t>1</w:t>
      </w:r>
      <w:r>
        <w:rPr>
          <w:rFonts w:hint="default" w:hAnsi="宋体" w:cs="宋体"/>
          <w:bCs/>
          <w:color w:val="auto"/>
          <w:kern w:val="0"/>
          <w:szCs w:val="21"/>
          <w:highlight w:val="none"/>
          <w:lang w:val="en" w:eastAsia="zh-CN"/>
        </w:rPr>
        <w:t>5</w:t>
      </w:r>
      <w:r>
        <w:rPr>
          <w:rFonts w:hAnsi="宋体" w:cs="宋体"/>
          <w:bCs/>
          <w:color w:val="auto"/>
          <w:kern w:val="0"/>
          <w:szCs w:val="21"/>
          <w:highlight w:val="none"/>
        </w:rPr>
        <w:t>日，每天上午0</w:t>
      </w:r>
      <w:r>
        <w:rPr>
          <w:rFonts w:hAnsi="宋体" w:cs="宋体"/>
          <w:bCs/>
          <w:color w:val="auto"/>
          <w:kern w:val="0"/>
          <w:szCs w:val="21"/>
          <w:highlight w:val="none"/>
          <w:lang w:val="en"/>
        </w:rPr>
        <w:t>0</w:t>
      </w:r>
      <w:r>
        <w:rPr>
          <w:rFonts w:hAnsi="宋体" w:cs="宋体"/>
          <w:bCs/>
          <w:color w:val="auto"/>
          <w:kern w:val="0"/>
          <w:szCs w:val="21"/>
          <w:highlight w:val="none"/>
        </w:rPr>
        <w:t>:00至12:00</w:t>
      </w:r>
      <w:r>
        <w:rPr>
          <w:rFonts w:hint="eastAsia" w:hAnsi="宋体" w:cs="宋体"/>
          <w:bCs/>
          <w:color w:val="auto"/>
          <w:kern w:val="0"/>
          <w:szCs w:val="21"/>
          <w:highlight w:val="none"/>
        </w:rPr>
        <w:t>；</w:t>
      </w:r>
      <w:r>
        <w:rPr>
          <w:rFonts w:hAnsi="宋体" w:cs="宋体"/>
          <w:bCs/>
          <w:color w:val="auto"/>
          <w:kern w:val="0"/>
          <w:szCs w:val="21"/>
          <w:highlight w:val="none"/>
        </w:rPr>
        <w:t>下午1</w:t>
      </w:r>
      <w:r>
        <w:rPr>
          <w:rFonts w:hAnsi="宋体" w:cs="宋体"/>
          <w:bCs/>
          <w:color w:val="auto"/>
          <w:kern w:val="0"/>
          <w:szCs w:val="21"/>
          <w:highlight w:val="none"/>
          <w:lang w:val="en"/>
        </w:rPr>
        <w:t>2</w:t>
      </w:r>
      <w:r>
        <w:rPr>
          <w:rFonts w:hAnsi="宋体" w:cs="宋体"/>
          <w:bCs/>
          <w:color w:val="auto"/>
          <w:kern w:val="0"/>
          <w:szCs w:val="21"/>
          <w:highlight w:val="none"/>
        </w:rPr>
        <w:t>:00至</w:t>
      </w:r>
      <w:r>
        <w:rPr>
          <w:rFonts w:hAnsi="宋体" w:cs="宋体"/>
          <w:bCs/>
          <w:color w:val="auto"/>
          <w:kern w:val="0"/>
          <w:szCs w:val="21"/>
          <w:highlight w:val="none"/>
          <w:lang w:val="en"/>
        </w:rPr>
        <w:t>23</w:t>
      </w:r>
      <w:r>
        <w:rPr>
          <w:rFonts w:hint="eastAsia" w:hAnsi="宋体" w:cs="宋体"/>
          <w:bCs/>
          <w:color w:val="auto"/>
          <w:kern w:val="0"/>
          <w:szCs w:val="21"/>
          <w:highlight w:val="none"/>
          <w:lang w:val="en"/>
        </w:rPr>
        <w:t>：</w:t>
      </w:r>
      <w:r>
        <w:rPr>
          <w:rFonts w:hAnsi="宋体" w:cs="宋体"/>
          <w:bCs/>
          <w:color w:val="auto"/>
          <w:kern w:val="0"/>
          <w:szCs w:val="21"/>
          <w:highlight w:val="none"/>
          <w:lang w:val="en"/>
        </w:rPr>
        <w:t>59</w:t>
      </w:r>
      <w:r>
        <w:rPr>
          <w:rFonts w:hAnsi="宋体" w:cs="宋体"/>
          <w:b w:val="0"/>
          <w:color w:val="auto"/>
          <w:kern w:val="0"/>
          <w:szCs w:val="21"/>
          <w:highlight w:val="none"/>
        </w:rPr>
        <w:t>（北京时间，法定节假日除外）</w:t>
      </w:r>
    </w:p>
    <w:p>
      <w:pPr>
        <w:pStyle w:val="46"/>
        <w:rPr>
          <w:rFonts w:hAnsi="宋体" w:cs="宋体"/>
          <w:b w:val="0"/>
          <w:color w:val="auto"/>
          <w:kern w:val="0"/>
          <w:szCs w:val="21"/>
          <w:highlight w:val="none"/>
        </w:rPr>
      </w:pPr>
      <w:r>
        <w:rPr>
          <w:rFonts w:hAnsi="宋体" w:cs="宋体"/>
          <w:b w:val="0"/>
          <w:color w:val="auto"/>
          <w:kern w:val="0"/>
          <w:szCs w:val="21"/>
          <w:highlight w:val="none"/>
        </w:rPr>
        <w:t>地点：</w:t>
      </w:r>
      <w:r>
        <w:rPr>
          <w:rFonts w:hint="eastAsia" w:hAnsi="宋体" w:cs="宋体"/>
          <w:color w:val="auto"/>
          <w:szCs w:val="21"/>
          <w:highlight w:val="none"/>
        </w:rPr>
        <w:t>广西政府采购云平台线上</w:t>
      </w:r>
      <w:r>
        <w:rPr>
          <w:rStyle w:val="99"/>
          <w:rFonts w:hint="eastAsia" w:cs="宋体"/>
          <w:bCs/>
          <w:color w:val="auto"/>
          <w:szCs w:val="21"/>
          <w:highlight w:val="none"/>
        </w:rPr>
        <w:t>（网址：https://www.gcy.zfcg.gxzf.gov.cn）</w:t>
      </w:r>
      <w:r>
        <w:rPr>
          <w:rFonts w:hAnsi="宋体" w:cs="宋体"/>
          <w:b w:val="0"/>
          <w:color w:val="auto"/>
          <w:kern w:val="0"/>
          <w:szCs w:val="21"/>
          <w:highlight w:val="none"/>
        </w:rPr>
        <w:t> </w:t>
      </w:r>
    </w:p>
    <w:p>
      <w:pPr>
        <w:pStyle w:val="46"/>
        <w:spacing w:line="360" w:lineRule="exact"/>
        <w:rPr>
          <w:rFonts w:hint="eastAsia" w:hAnsi="宋体" w:cs="宋体"/>
          <w:b w:val="0"/>
          <w:color w:val="auto"/>
          <w:kern w:val="0"/>
          <w:szCs w:val="21"/>
          <w:highlight w:val="none"/>
        </w:rPr>
      </w:pPr>
      <w:r>
        <w:rPr>
          <w:rFonts w:hAnsi="宋体" w:cs="宋体"/>
          <w:b w:val="0"/>
          <w:color w:val="auto"/>
          <w:kern w:val="0"/>
          <w:szCs w:val="21"/>
          <w:highlight w:val="none"/>
        </w:rPr>
        <w:t>方式：</w:t>
      </w:r>
      <w:r>
        <w:rPr>
          <w:rStyle w:val="99"/>
          <w:rFonts w:hint="eastAsia" w:cs="宋体"/>
          <w:bCs/>
          <w:color w:val="auto"/>
          <w:szCs w:val="21"/>
          <w:highlight w:val="none"/>
        </w:rPr>
        <w:t>请登录广西政府采购云平台（网址：https://www.gcy.zfcg.gxzf.gov.cn）进行报名并获取采购文件</w:t>
      </w:r>
      <w:r>
        <w:rPr>
          <w:rFonts w:hAnsi="宋体" w:cs="宋体"/>
          <w:b w:val="0"/>
          <w:color w:val="auto"/>
          <w:kern w:val="0"/>
          <w:szCs w:val="21"/>
          <w:highlight w:val="none"/>
        </w:rPr>
        <w:t>；未注册的供应商可在</w:t>
      </w:r>
      <w:r>
        <w:rPr>
          <w:rFonts w:hAnsi="宋体" w:cs="宋体"/>
          <w:b w:val="0"/>
          <w:color w:val="auto"/>
          <w:kern w:val="0"/>
          <w:szCs w:val="21"/>
          <w:highlight w:val="none"/>
          <w:lang w:val="en"/>
        </w:rPr>
        <w:t>广西政府采购云平台</w:t>
      </w:r>
      <w:r>
        <w:rPr>
          <w:rFonts w:hAnsi="宋体" w:cs="宋体"/>
          <w:b w:val="0"/>
          <w:color w:val="auto"/>
          <w:kern w:val="0"/>
          <w:szCs w:val="21"/>
          <w:highlight w:val="none"/>
        </w:rPr>
        <w:t>完成注册后再行报名。如在操作过程中遇到问题或需技术支持，</w:t>
      </w:r>
      <w:r>
        <w:rPr>
          <w:rFonts w:hAnsi="宋体" w:cs="宋体"/>
          <w:bCs/>
          <w:color w:val="auto"/>
          <w:kern w:val="0"/>
          <w:szCs w:val="21"/>
          <w:highlight w:val="none"/>
        </w:rPr>
        <w:t>请致电政采云客服热线：</w:t>
      </w:r>
      <w:r>
        <w:rPr>
          <w:rFonts w:hAnsi="宋体" w:cs="宋体"/>
          <w:bCs/>
          <w:color w:val="auto"/>
          <w:kern w:val="0"/>
          <w:szCs w:val="21"/>
          <w:highlight w:val="none"/>
          <w:lang w:val="en"/>
        </w:rPr>
        <w:t>95763</w:t>
      </w:r>
      <w:r>
        <w:rPr>
          <w:rFonts w:hAnsi="宋体" w:cs="宋体"/>
          <w:b w:val="0"/>
          <w:color w:val="auto"/>
          <w:kern w:val="0"/>
          <w:szCs w:val="21"/>
          <w:highlight w:val="none"/>
        </w:rPr>
        <w:t>。</w:t>
      </w:r>
    </w:p>
    <w:p>
      <w:pPr>
        <w:pStyle w:val="46"/>
        <w:spacing w:line="360" w:lineRule="exact"/>
        <w:rPr>
          <w:rFonts w:hAnsi="宋体" w:cs="宋体"/>
          <w:b w:val="0"/>
          <w:color w:val="auto"/>
          <w:kern w:val="0"/>
          <w:szCs w:val="21"/>
          <w:highlight w:val="none"/>
        </w:rPr>
      </w:pPr>
      <w:r>
        <w:rPr>
          <w:rFonts w:hAnsi="宋体" w:cs="宋体"/>
          <w:b w:val="0"/>
          <w:color w:val="auto"/>
          <w:kern w:val="0"/>
          <w:szCs w:val="21"/>
          <w:highlight w:val="none"/>
        </w:rPr>
        <w:t>提示：</w:t>
      </w:r>
      <w:r>
        <w:rPr>
          <w:rFonts w:hint="eastAsia" w:hAnsi="宋体" w:cs="宋体"/>
          <w:b w:val="0"/>
          <w:color w:val="auto"/>
          <w:kern w:val="0"/>
          <w:szCs w:val="21"/>
          <w:highlight w:val="none"/>
        </w:rPr>
        <w:t>采购</w:t>
      </w:r>
      <w:r>
        <w:rPr>
          <w:rFonts w:hAnsi="宋体" w:cs="宋体"/>
          <w:b w:val="0"/>
          <w:color w:val="auto"/>
          <w:kern w:val="0"/>
          <w:szCs w:val="21"/>
          <w:highlight w:val="none"/>
        </w:rPr>
        <w:t>公告附件内的</w:t>
      </w:r>
      <w:r>
        <w:rPr>
          <w:rFonts w:hint="eastAsia" w:hAnsi="宋体" w:cs="宋体"/>
          <w:b w:val="0"/>
          <w:color w:val="auto"/>
          <w:kern w:val="0"/>
          <w:szCs w:val="21"/>
          <w:highlight w:val="none"/>
        </w:rPr>
        <w:t>采购文件</w:t>
      </w:r>
      <w:r>
        <w:rPr>
          <w:rFonts w:hAnsi="宋体" w:cs="宋体"/>
          <w:b w:val="0"/>
          <w:color w:val="auto"/>
          <w:kern w:val="0"/>
          <w:szCs w:val="21"/>
          <w:highlight w:val="none"/>
        </w:rPr>
        <w:t>仅供阅览使用</w:t>
      </w:r>
      <w:r>
        <w:rPr>
          <w:rFonts w:hint="eastAsia" w:hAnsi="宋体" w:cs="宋体"/>
          <w:b w:val="0"/>
          <w:color w:val="auto"/>
          <w:kern w:val="0"/>
          <w:szCs w:val="21"/>
          <w:highlight w:val="none"/>
        </w:rPr>
        <w:t>；</w:t>
      </w:r>
      <w:r>
        <w:rPr>
          <w:rFonts w:hAnsi="宋体" w:cs="宋体"/>
          <w:b w:val="0"/>
          <w:color w:val="auto"/>
          <w:kern w:val="0"/>
          <w:szCs w:val="21"/>
          <w:highlight w:val="none"/>
        </w:rPr>
        <w:t>供应商只有在“</w:t>
      </w:r>
      <w:r>
        <w:rPr>
          <w:rFonts w:hAnsi="宋体" w:cs="宋体"/>
          <w:b w:val="0"/>
          <w:color w:val="auto"/>
          <w:kern w:val="0"/>
          <w:szCs w:val="21"/>
          <w:highlight w:val="none"/>
          <w:lang w:val="en"/>
        </w:rPr>
        <w:t>广西政府采购云平台</w:t>
      </w:r>
      <w:r>
        <w:rPr>
          <w:rFonts w:hAnsi="宋体" w:cs="宋体"/>
          <w:b w:val="0"/>
          <w:color w:val="auto"/>
          <w:kern w:val="0"/>
          <w:szCs w:val="21"/>
          <w:highlight w:val="none"/>
        </w:rPr>
        <w:t>”完成获取</w:t>
      </w:r>
      <w:r>
        <w:rPr>
          <w:rFonts w:hint="eastAsia" w:hAnsi="宋体" w:cs="宋体"/>
          <w:b w:val="0"/>
          <w:color w:val="auto"/>
          <w:kern w:val="0"/>
          <w:szCs w:val="21"/>
          <w:highlight w:val="none"/>
        </w:rPr>
        <w:t>采购文件</w:t>
      </w:r>
      <w:r>
        <w:rPr>
          <w:rFonts w:hAnsi="宋体" w:cs="宋体"/>
          <w:b w:val="0"/>
          <w:color w:val="auto"/>
          <w:kern w:val="0"/>
          <w:szCs w:val="21"/>
          <w:highlight w:val="none"/>
        </w:rPr>
        <w:t>申请并下载了</w:t>
      </w:r>
      <w:r>
        <w:rPr>
          <w:rFonts w:hint="eastAsia" w:hAnsi="宋体" w:cs="宋体"/>
          <w:b w:val="0"/>
          <w:color w:val="auto"/>
          <w:kern w:val="0"/>
          <w:szCs w:val="21"/>
          <w:highlight w:val="none"/>
        </w:rPr>
        <w:t>采购文件</w:t>
      </w:r>
      <w:r>
        <w:rPr>
          <w:rFonts w:hAnsi="宋体" w:cs="宋体"/>
          <w:b w:val="0"/>
          <w:color w:val="auto"/>
          <w:kern w:val="0"/>
          <w:szCs w:val="21"/>
          <w:highlight w:val="none"/>
        </w:rPr>
        <w:t>后才视作依法获取</w:t>
      </w:r>
      <w:r>
        <w:rPr>
          <w:rFonts w:hint="eastAsia" w:hAnsi="宋体" w:cs="宋体"/>
          <w:b w:val="0"/>
          <w:color w:val="auto"/>
          <w:kern w:val="0"/>
          <w:szCs w:val="21"/>
          <w:highlight w:val="none"/>
        </w:rPr>
        <w:t>采购文件</w:t>
      </w:r>
      <w:r>
        <w:rPr>
          <w:rFonts w:hAnsi="宋体" w:cs="宋体"/>
          <w:b w:val="0"/>
          <w:color w:val="auto"/>
          <w:kern w:val="0"/>
          <w:szCs w:val="21"/>
          <w:highlight w:val="none"/>
        </w:rPr>
        <w:t>（法律法规所指的供应商获取</w:t>
      </w:r>
      <w:r>
        <w:rPr>
          <w:rFonts w:hint="eastAsia" w:hAnsi="宋体" w:cs="宋体"/>
          <w:b w:val="0"/>
          <w:color w:val="auto"/>
          <w:kern w:val="0"/>
          <w:szCs w:val="21"/>
          <w:highlight w:val="none"/>
        </w:rPr>
        <w:t>采购文件</w:t>
      </w:r>
      <w:r>
        <w:rPr>
          <w:rFonts w:hAnsi="宋体" w:cs="宋体"/>
          <w:b w:val="0"/>
          <w:color w:val="auto"/>
          <w:kern w:val="0"/>
          <w:szCs w:val="21"/>
          <w:highlight w:val="none"/>
        </w:rPr>
        <w:t>时间以供应商完成获取</w:t>
      </w:r>
      <w:r>
        <w:rPr>
          <w:rFonts w:hint="eastAsia" w:hAnsi="宋体" w:cs="宋体"/>
          <w:b w:val="0"/>
          <w:color w:val="auto"/>
          <w:kern w:val="0"/>
          <w:szCs w:val="21"/>
          <w:highlight w:val="none"/>
        </w:rPr>
        <w:t>采购文件</w:t>
      </w:r>
      <w:r>
        <w:rPr>
          <w:rFonts w:hAnsi="宋体" w:cs="宋体"/>
          <w:b w:val="0"/>
          <w:color w:val="auto"/>
          <w:kern w:val="0"/>
          <w:szCs w:val="21"/>
          <w:highlight w:val="none"/>
        </w:rPr>
        <w:t>申请后下载</w:t>
      </w:r>
      <w:r>
        <w:rPr>
          <w:rFonts w:hint="eastAsia" w:hAnsi="宋体" w:cs="宋体"/>
          <w:b w:val="0"/>
          <w:color w:val="auto"/>
          <w:kern w:val="0"/>
          <w:szCs w:val="21"/>
          <w:highlight w:val="none"/>
        </w:rPr>
        <w:t>采购文件</w:t>
      </w:r>
      <w:r>
        <w:rPr>
          <w:rFonts w:hAnsi="宋体" w:cs="宋体"/>
          <w:b w:val="0"/>
          <w:color w:val="auto"/>
          <w:kern w:val="0"/>
          <w:szCs w:val="21"/>
          <w:highlight w:val="none"/>
        </w:rPr>
        <w:t>的时间为准）。</w:t>
      </w:r>
    </w:p>
    <w:p>
      <w:pPr>
        <w:pStyle w:val="46"/>
        <w:rPr>
          <w:rFonts w:hAnsi="宋体" w:cs="宋体"/>
          <w:b w:val="0"/>
          <w:color w:val="auto"/>
          <w:kern w:val="0"/>
          <w:szCs w:val="21"/>
          <w:highlight w:val="none"/>
        </w:rPr>
      </w:pPr>
      <w:r>
        <w:rPr>
          <w:rFonts w:hAnsi="宋体" w:cs="宋体"/>
          <w:b w:val="0"/>
          <w:color w:val="auto"/>
          <w:kern w:val="0"/>
          <w:szCs w:val="21"/>
          <w:highlight w:val="none"/>
        </w:rPr>
        <w:t>售价（元）：0 </w:t>
      </w:r>
    </w:p>
    <w:p>
      <w:pPr>
        <w:widowControl/>
        <w:spacing w:before="75" w:after="75" w:line="360" w:lineRule="exact"/>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四、提交投标文件截止时间、开标时间和地点</w:t>
      </w:r>
    </w:p>
    <w:p>
      <w:pPr>
        <w:pStyle w:val="46"/>
        <w:rPr>
          <w:rFonts w:hint="eastAsia" w:hAnsi="宋体" w:cs="宋体"/>
          <w:b w:val="0"/>
          <w:color w:val="auto"/>
          <w:kern w:val="0"/>
          <w:szCs w:val="21"/>
          <w:highlight w:val="none"/>
        </w:rPr>
      </w:pPr>
      <w:r>
        <w:rPr>
          <w:rFonts w:hAnsi="宋体" w:cs="宋体"/>
          <w:b w:val="0"/>
          <w:color w:val="auto"/>
          <w:kern w:val="0"/>
          <w:szCs w:val="21"/>
          <w:highlight w:val="none"/>
        </w:rPr>
        <w:t>提交投标文件截止时间：</w:t>
      </w:r>
      <w:r>
        <w:rPr>
          <w:rFonts w:hAnsi="宋体" w:cs="宋体"/>
          <w:bCs/>
          <w:color w:val="auto"/>
          <w:kern w:val="0"/>
          <w:szCs w:val="21"/>
          <w:highlight w:val="none"/>
        </w:rPr>
        <w:t>202</w:t>
      </w:r>
      <w:r>
        <w:rPr>
          <w:rFonts w:hint="eastAsia" w:hAnsi="宋体" w:cs="宋体"/>
          <w:bCs/>
          <w:color w:val="auto"/>
          <w:kern w:val="0"/>
          <w:szCs w:val="21"/>
          <w:highlight w:val="none"/>
        </w:rPr>
        <w:t>5年</w:t>
      </w:r>
      <w:r>
        <w:rPr>
          <w:rFonts w:hint="eastAsia" w:hAnsi="宋体" w:cs="宋体"/>
          <w:bCs/>
          <w:color w:val="auto"/>
          <w:kern w:val="0"/>
          <w:szCs w:val="21"/>
          <w:highlight w:val="none"/>
          <w:lang w:val="en-US" w:eastAsia="zh-CN"/>
        </w:rPr>
        <w:t>10</w:t>
      </w:r>
      <w:r>
        <w:rPr>
          <w:rFonts w:hint="eastAsia" w:hAnsi="宋体" w:cs="宋体"/>
          <w:bCs/>
          <w:color w:val="auto"/>
          <w:kern w:val="0"/>
          <w:szCs w:val="21"/>
          <w:highlight w:val="none"/>
        </w:rPr>
        <w:t>月</w:t>
      </w:r>
      <w:r>
        <w:rPr>
          <w:rFonts w:hint="default" w:hAnsi="宋体" w:cs="宋体"/>
          <w:bCs/>
          <w:color w:val="auto"/>
          <w:kern w:val="0"/>
          <w:szCs w:val="21"/>
          <w:highlight w:val="none"/>
          <w:lang w:val="en" w:eastAsia="zh-CN"/>
        </w:rPr>
        <w:t>30</w:t>
      </w:r>
      <w:r>
        <w:rPr>
          <w:rFonts w:hint="eastAsia" w:hAnsi="宋体" w:cs="宋体"/>
          <w:bCs/>
          <w:color w:val="auto"/>
          <w:kern w:val="0"/>
          <w:szCs w:val="21"/>
          <w:highlight w:val="none"/>
        </w:rPr>
        <w:t>日</w:t>
      </w:r>
      <w:r>
        <w:rPr>
          <w:rFonts w:hAnsi="宋体" w:cs="宋体"/>
          <w:bCs/>
          <w:color w:val="auto"/>
          <w:kern w:val="0"/>
          <w:szCs w:val="21"/>
          <w:highlight w:val="none"/>
        </w:rPr>
        <w:t>10:00（北京时间）</w:t>
      </w:r>
    </w:p>
    <w:p>
      <w:pPr>
        <w:pStyle w:val="46"/>
        <w:rPr>
          <w:rFonts w:hAnsi="宋体" w:cs="宋体"/>
          <w:b w:val="0"/>
          <w:color w:val="auto"/>
          <w:kern w:val="0"/>
          <w:szCs w:val="21"/>
          <w:highlight w:val="none"/>
        </w:rPr>
      </w:pPr>
      <w:r>
        <w:rPr>
          <w:rFonts w:hAnsi="宋体" w:cs="宋体"/>
          <w:b w:val="0"/>
          <w:color w:val="auto"/>
          <w:kern w:val="0"/>
          <w:szCs w:val="21"/>
          <w:highlight w:val="none"/>
        </w:rPr>
        <w:t>投标地点（网址）：</w:t>
      </w:r>
      <w:r>
        <w:rPr>
          <w:rFonts w:hint="eastAsia" w:hAnsi="宋体" w:cs="宋体"/>
          <w:b w:val="0"/>
          <w:color w:val="auto"/>
          <w:kern w:val="0"/>
          <w:szCs w:val="21"/>
          <w:highlight w:val="none"/>
        </w:rPr>
        <w:t>请登录广西政府采购云平台投标客户端投标</w:t>
      </w:r>
      <w:r>
        <w:rPr>
          <w:rFonts w:hAnsi="宋体" w:cs="宋体"/>
          <w:b w:val="0"/>
          <w:color w:val="auto"/>
          <w:kern w:val="0"/>
          <w:szCs w:val="21"/>
          <w:highlight w:val="none"/>
        </w:rPr>
        <w:t>。本项目不要求投标供应商到达开标现场，但供应商应派法定代表人或委托代理人准时在线出席电子开评标会议，随时关注开评标进度，如在开评标过程中有电子询标，应在规定的时间内对电子询标函进行澄清回复。 </w:t>
      </w:r>
    </w:p>
    <w:p>
      <w:pPr>
        <w:pStyle w:val="46"/>
        <w:rPr>
          <w:rFonts w:hint="eastAsia" w:hAnsi="宋体" w:cs="宋体"/>
          <w:b w:val="0"/>
          <w:color w:val="auto"/>
          <w:kern w:val="0"/>
          <w:szCs w:val="21"/>
          <w:highlight w:val="none"/>
        </w:rPr>
      </w:pPr>
      <w:r>
        <w:rPr>
          <w:rFonts w:hAnsi="宋体" w:cs="宋体"/>
          <w:b w:val="0"/>
          <w:color w:val="auto"/>
          <w:kern w:val="0"/>
          <w:szCs w:val="21"/>
          <w:highlight w:val="none"/>
        </w:rPr>
        <w:t>开标时间：</w:t>
      </w:r>
      <w:r>
        <w:rPr>
          <w:rFonts w:hAnsi="宋体" w:cs="宋体"/>
          <w:bCs/>
          <w:color w:val="auto"/>
          <w:kern w:val="0"/>
          <w:szCs w:val="21"/>
          <w:highlight w:val="none"/>
        </w:rPr>
        <w:t>202</w:t>
      </w:r>
      <w:r>
        <w:rPr>
          <w:rFonts w:hint="eastAsia" w:hAnsi="宋体" w:cs="宋体"/>
          <w:bCs/>
          <w:color w:val="auto"/>
          <w:kern w:val="0"/>
          <w:szCs w:val="21"/>
          <w:highlight w:val="none"/>
        </w:rPr>
        <w:t>5年</w:t>
      </w:r>
      <w:r>
        <w:rPr>
          <w:rFonts w:hint="eastAsia" w:hAnsi="宋体" w:cs="宋体"/>
          <w:bCs/>
          <w:color w:val="auto"/>
          <w:kern w:val="0"/>
          <w:szCs w:val="21"/>
          <w:highlight w:val="none"/>
          <w:lang w:val="en-US" w:eastAsia="zh-CN"/>
        </w:rPr>
        <w:t>10</w:t>
      </w:r>
      <w:r>
        <w:rPr>
          <w:rFonts w:hint="eastAsia" w:hAnsi="宋体" w:cs="宋体"/>
          <w:bCs/>
          <w:color w:val="auto"/>
          <w:kern w:val="0"/>
          <w:szCs w:val="21"/>
          <w:highlight w:val="none"/>
        </w:rPr>
        <w:t>月</w:t>
      </w:r>
      <w:r>
        <w:rPr>
          <w:rFonts w:hint="default" w:hAnsi="宋体" w:cs="宋体"/>
          <w:bCs/>
          <w:color w:val="auto"/>
          <w:kern w:val="0"/>
          <w:szCs w:val="21"/>
          <w:highlight w:val="none"/>
          <w:lang w:val="en" w:eastAsia="zh-CN"/>
        </w:rPr>
        <w:t>30</w:t>
      </w:r>
      <w:r>
        <w:rPr>
          <w:rFonts w:hint="eastAsia" w:hAnsi="宋体" w:cs="宋体"/>
          <w:bCs/>
          <w:color w:val="auto"/>
          <w:kern w:val="0"/>
          <w:szCs w:val="21"/>
          <w:highlight w:val="none"/>
        </w:rPr>
        <w:t>日</w:t>
      </w:r>
      <w:r>
        <w:rPr>
          <w:rFonts w:hAnsi="宋体" w:cs="宋体"/>
          <w:bCs/>
          <w:color w:val="auto"/>
          <w:kern w:val="0"/>
          <w:szCs w:val="21"/>
          <w:highlight w:val="none"/>
        </w:rPr>
        <w:t>10:00</w:t>
      </w:r>
    </w:p>
    <w:p>
      <w:pPr>
        <w:pStyle w:val="46"/>
        <w:rPr>
          <w:rFonts w:hAnsi="宋体" w:cs="宋体"/>
          <w:b w:val="0"/>
          <w:color w:val="auto"/>
          <w:kern w:val="0"/>
          <w:szCs w:val="21"/>
          <w:highlight w:val="none"/>
        </w:rPr>
      </w:pPr>
      <w:r>
        <w:rPr>
          <w:rFonts w:hAnsi="宋体" w:cs="宋体"/>
          <w:b w:val="0"/>
          <w:color w:val="auto"/>
          <w:kern w:val="0"/>
          <w:szCs w:val="21"/>
          <w:highlight w:val="none"/>
        </w:rPr>
        <w:t>开标地点：</w:t>
      </w:r>
      <w:r>
        <w:rPr>
          <w:rFonts w:hint="eastAsia" w:hAnsi="宋体" w:cs="宋体"/>
          <w:b w:val="0"/>
          <w:color w:val="auto"/>
          <w:kern w:val="0"/>
          <w:szCs w:val="21"/>
          <w:highlight w:val="none"/>
        </w:rPr>
        <w:t>广西壮族自治区南宁市青秀区广西政府采购云平台开标大厅</w:t>
      </w:r>
    </w:p>
    <w:p>
      <w:pPr>
        <w:widowControl/>
        <w:spacing w:before="75" w:after="75" w:line="360" w:lineRule="exact"/>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五、公告期限 </w:t>
      </w:r>
    </w:p>
    <w:p>
      <w:pPr>
        <w:pStyle w:val="46"/>
        <w:rPr>
          <w:rFonts w:hint="eastAsia" w:hAnsi="宋体" w:cs="宋体"/>
          <w:b w:val="0"/>
          <w:color w:val="auto"/>
          <w:kern w:val="0"/>
          <w:szCs w:val="21"/>
          <w:highlight w:val="none"/>
        </w:rPr>
      </w:pPr>
      <w:r>
        <w:rPr>
          <w:rFonts w:hAnsi="宋体" w:cs="宋体"/>
          <w:b w:val="0"/>
          <w:color w:val="auto"/>
          <w:kern w:val="0"/>
          <w:szCs w:val="21"/>
          <w:highlight w:val="none"/>
        </w:rPr>
        <w:t>自本公告发布之日起5个工作日。</w:t>
      </w:r>
    </w:p>
    <w:p>
      <w:pPr>
        <w:widowControl/>
        <w:spacing w:before="75" w:after="75" w:line="360" w:lineRule="exact"/>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六、其他补充事宜</w:t>
      </w:r>
    </w:p>
    <w:p>
      <w:pPr>
        <w:pStyle w:val="46"/>
        <w:rPr>
          <w:rFonts w:hint="eastAsia" w:hAnsi="宋体" w:cs="宋体"/>
          <w:b w:val="0"/>
          <w:color w:val="auto"/>
          <w:kern w:val="0"/>
          <w:szCs w:val="21"/>
          <w:highlight w:val="none"/>
        </w:rPr>
      </w:pPr>
      <w:r>
        <w:rPr>
          <w:rFonts w:hAnsi="宋体" w:cs="宋体"/>
          <w:b w:val="0"/>
          <w:color w:val="auto"/>
          <w:kern w:val="0"/>
          <w:szCs w:val="21"/>
          <w:highlight w:val="none"/>
        </w:rPr>
        <w:t>1.投标保证金（人民币）：</w:t>
      </w:r>
      <w:r>
        <w:rPr>
          <w:rFonts w:hint="eastAsia" w:hAnsi="宋体" w:cs="宋体"/>
          <w:bCs/>
          <w:color w:val="auto"/>
          <w:kern w:val="0"/>
          <w:szCs w:val="21"/>
          <w:highlight w:val="none"/>
          <w:u w:val="single"/>
        </w:rPr>
        <w:t xml:space="preserve">     6    </w:t>
      </w:r>
      <w:r>
        <w:rPr>
          <w:rFonts w:hAnsi="宋体" w:cs="宋体"/>
          <w:bCs/>
          <w:color w:val="auto"/>
          <w:kern w:val="0"/>
          <w:szCs w:val="21"/>
          <w:highlight w:val="none"/>
        </w:rPr>
        <w:t xml:space="preserve">万元。(必须足额交纳) </w:t>
      </w:r>
    </w:p>
    <w:p>
      <w:pPr>
        <w:pStyle w:val="46"/>
        <w:rPr>
          <w:rFonts w:hint="eastAsia" w:hAnsi="宋体" w:cs="宋体"/>
          <w:b w:val="0"/>
          <w:color w:val="auto"/>
          <w:kern w:val="0"/>
          <w:szCs w:val="21"/>
          <w:highlight w:val="none"/>
        </w:rPr>
      </w:pPr>
      <w:r>
        <w:rPr>
          <w:rFonts w:hAnsi="宋体" w:cs="宋体"/>
          <w:b w:val="0"/>
          <w:color w:val="auto"/>
          <w:kern w:val="0"/>
          <w:szCs w:val="21"/>
          <w:highlight w:val="none"/>
        </w:rPr>
        <w:t>（1）投标保证金交纳形式：支票、汇票、本票、网上银行或者</w:t>
      </w:r>
      <w:r>
        <w:rPr>
          <w:rFonts w:hint="eastAsia" w:hAnsi="宋体" w:cs="宋体"/>
          <w:b w:val="0"/>
          <w:color w:val="auto"/>
          <w:kern w:val="0"/>
          <w:szCs w:val="21"/>
          <w:highlight w:val="none"/>
        </w:rPr>
        <w:t>金融机构</w:t>
      </w:r>
      <w:r>
        <w:rPr>
          <w:rFonts w:hAnsi="宋体" w:cs="宋体"/>
          <w:b w:val="0"/>
          <w:color w:val="auto"/>
          <w:kern w:val="0"/>
          <w:szCs w:val="21"/>
          <w:highlight w:val="none"/>
        </w:rPr>
        <w:t xml:space="preserve">、保险机构出具的保函等非现金形式。 </w:t>
      </w:r>
    </w:p>
    <w:p>
      <w:pPr>
        <w:pStyle w:val="46"/>
        <w:ind w:firstLine="422"/>
        <w:rPr>
          <w:rFonts w:hint="eastAsia" w:hAnsi="宋体" w:cs="宋体"/>
          <w:bCs/>
          <w:color w:val="auto"/>
          <w:kern w:val="0"/>
          <w:szCs w:val="21"/>
          <w:highlight w:val="none"/>
        </w:rPr>
      </w:pPr>
      <w:r>
        <w:rPr>
          <w:rFonts w:hAnsi="宋体" w:cs="宋体"/>
          <w:bCs/>
          <w:color w:val="auto"/>
          <w:kern w:val="0"/>
          <w:szCs w:val="21"/>
          <w:highlight w:val="none"/>
        </w:rPr>
        <w:t>（2）采用网上银行转账形式的，投标人应于提交投标文件截止时间前将投标保证金交至以下账户。</w:t>
      </w:r>
    </w:p>
    <w:p>
      <w:pPr>
        <w:pStyle w:val="46"/>
        <w:ind w:firstLine="422"/>
        <w:rPr>
          <w:rFonts w:hint="eastAsia" w:hAnsi="宋体" w:cs="宋体"/>
          <w:bCs/>
          <w:color w:val="auto"/>
          <w:kern w:val="0"/>
          <w:szCs w:val="21"/>
          <w:highlight w:val="none"/>
        </w:rPr>
      </w:pPr>
      <w:r>
        <w:rPr>
          <w:rFonts w:hAnsi="宋体" w:cs="宋体"/>
          <w:bCs/>
          <w:color w:val="auto"/>
          <w:kern w:val="0"/>
          <w:szCs w:val="21"/>
          <w:highlight w:val="none"/>
        </w:rPr>
        <w:t>开户名称：广西壮族自治区政府采购中心</w:t>
      </w:r>
      <w:r>
        <w:rPr>
          <w:rFonts w:hint="eastAsia" w:hAnsi="宋体" w:cs="宋体"/>
          <w:bCs/>
          <w:color w:val="auto"/>
          <w:kern w:val="0"/>
          <w:szCs w:val="21"/>
          <w:highlight w:val="none"/>
        </w:rPr>
        <w:t>；</w:t>
      </w:r>
      <w:r>
        <w:rPr>
          <w:rFonts w:hAnsi="宋体" w:cs="宋体"/>
          <w:bCs/>
          <w:color w:val="auto"/>
          <w:kern w:val="0"/>
          <w:szCs w:val="21"/>
          <w:highlight w:val="none"/>
        </w:rPr>
        <w:t xml:space="preserve"> </w:t>
      </w:r>
    </w:p>
    <w:p>
      <w:pPr>
        <w:pStyle w:val="46"/>
        <w:ind w:firstLine="422"/>
        <w:rPr>
          <w:rFonts w:hint="eastAsia" w:hAnsi="宋体" w:cs="宋体"/>
          <w:bCs/>
          <w:color w:val="auto"/>
          <w:kern w:val="0"/>
          <w:szCs w:val="21"/>
          <w:highlight w:val="none"/>
        </w:rPr>
      </w:pPr>
      <w:r>
        <w:rPr>
          <w:rFonts w:hAnsi="宋体" w:cs="宋体"/>
          <w:bCs/>
          <w:color w:val="auto"/>
          <w:kern w:val="0"/>
          <w:szCs w:val="21"/>
          <w:highlight w:val="none"/>
        </w:rPr>
        <w:t>开户银行：</w:t>
      </w:r>
      <w:r>
        <w:rPr>
          <w:rFonts w:hint="eastAsia" w:hAnsi="宋体" w:cs="宋体"/>
          <w:bCs/>
          <w:color w:val="auto"/>
          <w:kern w:val="0"/>
          <w:szCs w:val="21"/>
          <w:highlight w:val="none"/>
        </w:rPr>
        <w:t>中国农业银行股份有限公司南宁市古城支行；</w:t>
      </w:r>
      <w:r>
        <w:rPr>
          <w:rFonts w:hAnsi="宋体" w:cs="宋体"/>
          <w:bCs/>
          <w:color w:val="auto"/>
          <w:kern w:val="0"/>
          <w:szCs w:val="21"/>
          <w:highlight w:val="none"/>
        </w:rPr>
        <w:t xml:space="preserve"> </w:t>
      </w:r>
    </w:p>
    <w:p>
      <w:pPr>
        <w:pStyle w:val="46"/>
        <w:ind w:firstLine="422"/>
        <w:rPr>
          <w:rFonts w:hint="eastAsia" w:hAnsi="宋体" w:cs="宋体"/>
          <w:bCs/>
          <w:color w:val="auto"/>
          <w:kern w:val="0"/>
          <w:szCs w:val="21"/>
          <w:highlight w:val="none"/>
        </w:rPr>
      </w:pPr>
      <w:r>
        <w:rPr>
          <w:rFonts w:hAnsi="宋体" w:cs="宋体"/>
          <w:bCs/>
          <w:color w:val="auto"/>
          <w:kern w:val="0"/>
          <w:szCs w:val="21"/>
          <w:highlight w:val="none"/>
        </w:rPr>
        <w:t>银行</w:t>
      </w:r>
      <w:r>
        <w:rPr>
          <w:rFonts w:hint="eastAsia" w:hAnsi="宋体" w:cs="宋体"/>
          <w:bCs/>
          <w:color w:val="auto"/>
          <w:kern w:val="0"/>
          <w:szCs w:val="21"/>
          <w:highlight w:val="none"/>
        </w:rPr>
        <w:t>账</w:t>
      </w:r>
      <w:r>
        <w:rPr>
          <w:rFonts w:hAnsi="宋体" w:cs="宋体"/>
          <w:bCs/>
          <w:color w:val="auto"/>
          <w:kern w:val="0"/>
          <w:szCs w:val="21"/>
          <w:highlight w:val="none"/>
        </w:rPr>
        <w:t>号：</w:t>
      </w:r>
      <w:r>
        <w:rPr>
          <w:rFonts w:hint="eastAsia" w:hAnsi="宋体" w:cs="宋体"/>
          <w:bCs/>
          <w:color w:val="auto"/>
          <w:kern w:val="0"/>
          <w:szCs w:val="21"/>
          <w:highlight w:val="none"/>
        </w:rPr>
        <w:t xml:space="preserve">20009101040051648 </w:t>
      </w:r>
    </w:p>
    <w:p>
      <w:pPr>
        <w:pStyle w:val="46"/>
        <w:rPr>
          <w:rFonts w:hint="eastAsia" w:hAnsi="宋体" w:cs="宋体"/>
          <w:b w:val="0"/>
          <w:color w:val="auto"/>
          <w:kern w:val="0"/>
          <w:szCs w:val="21"/>
          <w:highlight w:val="none"/>
        </w:rPr>
      </w:pPr>
      <w:r>
        <w:rPr>
          <w:rFonts w:hAnsi="宋体" w:cs="宋体"/>
          <w:b w:val="0"/>
          <w:color w:val="auto"/>
          <w:kern w:val="0"/>
          <w:szCs w:val="21"/>
          <w:highlight w:val="none"/>
        </w:rPr>
        <w:t>（3）采用支票、汇票、本票或者保函等形式的，投标人应于提交投标文件截止时间前递交单独密封的支票、汇票、本票或者保函</w:t>
      </w:r>
      <w:r>
        <w:rPr>
          <w:rFonts w:hint="eastAsia" w:hAnsi="宋体" w:cs="宋体"/>
          <w:bCs/>
          <w:color w:val="auto"/>
          <w:kern w:val="0"/>
          <w:szCs w:val="21"/>
          <w:highlight w:val="none"/>
        </w:rPr>
        <w:t>（电子保函除外）</w:t>
      </w:r>
      <w:r>
        <w:rPr>
          <w:rFonts w:hAnsi="宋体" w:cs="宋体"/>
          <w:b w:val="0"/>
          <w:color w:val="auto"/>
          <w:kern w:val="0"/>
          <w:szCs w:val="21"/>
          <w:highlight w:val="none"/>
        </w:rPr>
        <w:t xml:space="preserve">原件至我中心财务处。 </w:t>
      </w:r>
    </w:p>
    <w:p>
      <w:pPr>
        <w:pStyle w:val="46"/>
        <w:ind w:firstLine="422"/>
        <w:rPr>
          <w:rFonts w:hint="eastAsia" w:hAnsi="宋体" w:cs="宋体"/>
          <w:bCs/>
          <w:color w:val="auto"/>
          <w:kern w:val="0"/>
          <w:szCs w:val="21"/>
          <w:highlight w:val="none"/>
        </w:rPr>
      </w:pPr>
      <w:r>
        <w:rPr>
          <w:rFonts w:hAnsi="宋体" w:cs="宋体"/>
          <w:bCs/>
          <w:color w:val="auto"/>
          <w:kern w:val="0"/>
          <w:szCs w:val="21"/>
          <w:highlight w:val="none"/>
        </w:rPr>
        <w:t>（4）本中心财务处联系方式： 地址：</w:t>
      </w:r>
      <w:r>
        <w:rPr>
          <w:rFonts w:hAnsi="宋体" w:cs="宋体"/>
          <w:bCs/>
          <w:color w:val="auto"/>
          <w:kern w:val="0"/>
          <w:szCs w:val="21"/>
          <w:highlight w:val="none"/>
          <w:lang w:val="en"/>
        </w:rPr>
        <w:t>广西南宁市星湖路22号广西壮族自治区政府采购中心综合楼3楼306室</w:t>
      </w:r>
      <w:r>
        <w:rPr>
          <w:rFonts w:hAnsi="宋体" w:cs="宋体"/>
          <w:bCs/>
          <w:color w:val="auto"/>
          <w:kern w:val="0"/>
          <w:szCs w:val="21"/>
          <w:highlight w:val="none"/>
        </w:rPr>
        <w:t>； 电话：0771-</w:t>
      </w:r>
      <w:r>
        <w:rPr>
          <w:rFonts w:hint="eastAsia" w:hAnsi="宋体" w:cs="宋体"/>
          <w:bCs/>
          <w:color w:val="auto"/>
          <w:kern w:val="0"/>
          <w:szCs w:val="21"/>
          <w:highlight w:val="none"/>
        </w:rPr>
        <w:t>8600309</w:t>
      </w:r>
      <w:r>
        <w:rPr>
          <w:rFonts w:hAnsi="宋体" w:cs="宋体"/>
          <w:bCs/>
          <w:color w:val="auto"/>
          <w:kern w:val="0"/>
          <w:szCs w:val="21"/>
          <w:highlight w:val="none"/>
        </w:rPr>
        <w:t>。</w:t>
      </w:r>
    </w:p>
    <w:p>
      <w:pPr>
        <w:pStyle w:val="46"/>
        <w:rPr>
          <w:rFonts w:hint="eastAsia" w:hAnsi="宋体" w:cs="宋体"/>
          <w:b w:val="0"/>
          <w:color w:val="auto"/>
          <w:kern w:val="0"/>
          <w:szCs w:val="21"/>
          <w:highlight w:val="none"/>
        </w:rPr>
      </w:pPr>
      <w:r>
        <w:rPr>
          <w:rFonts w:hAnsi="宋体" w:cs="宋体"/>
          <w:b w:val="0"/>
          <w:color w:val="auto"/>
          <w:kern w:val="0"/>
          <w:szCs w:val="21"/>
          <w:highlight w:val="none"/>
        </w:rPr>
        <w:t>2.本项目需要落实的政府采购政策： 政府采购促进中小企业发展；政府采购支持采用本国产品的政策；强制采购节能产品；优先采购节能产品、环境标志产品；政府采购促进残疾人就业政策；政府采购支持监狱企业发展；政府采购扶持不发达地区和少数民族地区等。</w:t>
      </w:r>
    </w:p>
    <w:p>
      <w:pPr>
        <w:pStyle w:val="46"/>
        <w:rPr>
          <w:rFonts w:hint="eastAsia" w:hAnsi="宋体" w:cs="宋体"/>
          <w:b w:val="0"/>
          <w:color w:val="auto"/>
          <w:kern w:val="0"/>
          <w:szCs w:val="21"/>
          <w:highlight w:val="none"/>
        </w:rPr>
      </w:pPr>
      <w:r>
        <w:rPr>
          <w:rFonts w:hAnsi="宋体" w:cs="宋体"/>
          <w:b w:val="0"/>
          <w:color w:val="auto"/>
          <w:kern w:val="0"/>
          <w:szCs w:val="21"/>
          <w:highlight w:val="none"/>
        </w:rPr>
        <w:t>3.网上公告媒体查询： 中国政府采购网（www.ccgp.gov.cn）、广西壮族自治区政府采购网（zfcg.gxzf.gov.cn）、广西壮族自治区政府采购中心网站（</w:t>
      </w:r>
      <w:r>
        <w:rPr>
          <w:rFonts w:hint="eastAsia" w:hAnsi="宋体" w:cs="宋体"/>
          <w:color w:val="auto"/>
          <w:kern w:val="0"/>
          <w:szCs w:val="21"/>
          <w:highlight w:val="none"/>
        </w:rPr>
        <w:t>gxggzy.gxzf.gov.cn</w:t>
      </w:r>
      <w:r>
        <w:rPr>
          <w:rFonts w:hAnsi="宋体" w:cs="宋体"/>
          <w:b w:val="0"/>
          <w:color w:val="auto"/>
          <w:kern w:val="0"/>
          <w:szCs w:val="21"/>
          <w:highlight w:val="none"/>
        </w:rPr>
        <w:t>）。</w:t>
      </w:r>
    </w:p>
    <w:p>
      <w:pPr>
        <w:pStyle w:val="46"/>
        <w:rPr>
          <w:rFonts w:hint="eastAsia" w:hAnsi="宋体" w:cs="宋体"/>
          <w:b w:val="0"/>
          <w:color w:val="auto"/>
          <w:kern w:val="0"/>
          <w:szCs w:val="21"/>
          <w:highlight w:val="none"/>
        </w:rPr>
      </w:pPr>
      <w:r>
        <w:rPr>
          <w:rFonts w:hAnsi="宋体" w:cs="宋体"/>
          <w:b w:val="0"/>
          <w:color w:val="auto"/>
          <w:kern w:val="0"/>
          <w:szCs w:val="21"/>
          <w:highlight w:val="none"/>
        </w:rPr>
        <w:t>4.其他注意事项：</w:t>
      </w:r>
    </w:p>
    <w:p>
      <w:pPr>
        <w:pStyle w:val="46"/>
        <w:rPr>
          <w:rFonts w:hint="eastAsia" w:hAnsi="宋体" w:cs="宋体"/>
          <w:b w:val="0"/>
          <w:color w:val="auto"/>
          <w:kern w:val="0"/>
          <w:szCs w:val="21"/>
          <w:highlight w:val="none"/>
        </w:rPr>
      </w:pPr>
      <w:r>
        <w:rPr>
          <w:rFonts w:hAnsi="宋体" w:cs="宋体"/>
          <w:b w:val="0"/>
          <w:color w:val="auto"/>
          <w:kern w:val="0"/>
          <w:szCs w:val="21"/>
          <w:highlight w:val="none"/>
        </w:rPr>
        <w:t>（1）本项目实行电子投标，供应商应按照本项目招标文件和</w:t>
      </w:r>
      <w:r>
        <w:rPr>
          <w:rFonts w:hAnsi="宋体" w:cs="宋体"/>
          <w:bCs/>
          <w:color w:val="auto"/>
          <w:kern w:val="0"/>
          <w:szCs w:val="21"/>
          <w:highlight w:val="none"/>
          <w:lang w:val="en"/>
        </w:rPr>
        <w:t>广西政府采购云平台</w:t>
      </w:r>
      <w:r>
        <w:rPr>
          <w:rFonts w:hAnsi="宋体" w:cs="宋体"/>
          <w:b w:val="0"/>
          <w:color w:val="auto"/>
          <w:kern w:val="0"/>
          <w:szCs w:val="21"/>
          <w:highlight w:val="none"/>
        </w:rPr>
        <w:t>的要求编制、加密并提交投标文件。供应商在使用系统参与投标过程中遇到涉及平台使用的任何问题，</w:t>
      </w:r>
      <w:r>
        <w:rPr>
          <w:rFonts w:hAnsi="宋体" w:cs="宋体"/>
          <w:bCs/>
          <w:color w:val="auto"/>
          <w:kern w:val="0"/>
          <w:szCs w:val="21"/>
          <w:highlight w:val="none"/>
        </w:rPr>
        <w:t>可致电政采云平台技术支持热线咨询，联系方式：</w:t>
      </w:r>
      <w:r>
        <w:rPr>
          <w:rFonts w:hAnsi="宋体" w:cs="宋体"/>
          <w:bCs/>
          <w:color w:val="auto"/>
          <w:kern w:val="0"/>
          <w:szCs w:val="21"/>
          <w:highlight w:val="none"/>
          <w:lang w:val="en"/>
        </w:rPr>
        <w:t>95763</w:t>
      </w:r>
      <w:r>
        <w:rPr>
          <w:rFonts w:hAnsi="宋体" w:cs="宋体"/>
          <w:b w:val="0"/>
          <w:color w:val="auto"/>
          <w:kern w:val="0"/>
          <w:szCs w:val="21"/>
          <w:highlight w:val="none"/>
        </w:rPr>
        <w:t xml:space="preserve">。 </w:t>
      </w:r>
    </w:p>
    <w:p>
      <w:pPr>
        <w:pStyle w:val="46"/>
        <w:rPr>
          <w:rFonts w:hint="eastAsia" w:hAnsi="宋体" w:cs="宋体"/>
          <w:b w:val="0"/>
          <w:color w:val="auto"/>
          <w:kern w:val="0"/>
          <w:szCs w:val="21"/>
          <w:highlight w:val="none"/>
        </w:rPr>
      </w:pPr>
      <w:r>
        <w:rPr>
          <w:rFonts w:hAnsi="宋体" w:cs="宋体"/>
          <w:b w:val="0"/>
          <w:color w:val="auto"/>
          <w:kern w:val="0"/>
          <w:szCs w:val="21"/>
          <w:highlight w:val="none"/>
        </w:rPr>
        <w:t xml:space="preserve">（2）供应商应及时熟悉掌握电子标系统操作指南（见政采云电子卖场首页右上角—服务中心—帮助文档—项目采购）：https://service.zcygov.cn/#/knowledges/tree?tag=AG1DtGwBFdiHxlNdhY0r。 </w:t>
      </w:r>
    </w:p>
    <w:p>
      <w:pPr>
        <w:pStyle w:val="46"/>
        <w:rPr>
          <w:rFonts w:hint="eastAsia" w:hAnsi="宋体" w:cs="宋体"/>
          <w:b w:val="0"/>
          <w:color w:val="auto"/>
          <w:kern w:val="0"/>
          <w:szCs w:val="21"/>
          <w:highlight w:val="none"/>
        </w:rPr>
      </w:pPr>
      <w:r>
        <w:rPr>
          <w:rFonts w:hAnsi="宋体" w:cs="宋体"/>
          <w:b w:val="0"/>
          <w:color w:val="auto"/>
          <w:kern w:val="0"/>
          <w:szCs w:val="21"/>
          <w:highlight w:val="none"/>
        </w:rPr>
        <w:t xml:space="preserve">（3）供应商应及时完成CA申领和绑定（见广西壮族自治区政府采购网—办事服务—下载专区-政采云CA证书办理操作指南）。 </w:t>
      </w:r>
    </w:p>
    <w:p>
      <w:pPr>
        <w:pStyle w:val="46"/>
        <w:rPr>
          <w:rFonts w:hint="eastAsia" w:hAnsi="宋体" w:cs="宋体"/>
          <w:b w:val="0"/>
          <w:color w:val="auto"/>
          <w:kern w:val="0"/>
          <w:szCs w:val="21"/>
          <w:highlight w:val="none"/>
        </w:rPr>
      </w:pPr>
      <w:r>
        <w:rPr>
          <w:rFonts w:hAnsi="宋体" w:cs="宋体"/>
          <w:b w:val="0"/>
          <w:color w:val="auto"/>
          <w:kern w:val="0"/>
          <w:szCs w:val="21"/>
          <w:highlight w:val="none"/>
        </w:rPr>
        <w:t>（4）供应商通过</w:t>
      </w:r>
      <w:r>
        <w:rPr>
          <w:rFonts w:hAnsi="宋体" w:cs="宋体"/>
          <w:bCs/>
          <w:color w:val="auto"/>
          <w:kern w:val="0"/>
          <w:szCs w:val="21"/>
          <w:highlight w:val="none"/>
          <w:lang w:val="en"/>
        </w:rPr>
        <w:t>广西政府采购云平台</w:t>
      </w:r>
      <w:r>
        <w:rPr>
          <w:rFonts w:hAnsi="宋体" w:cs="宋体"/>
          <w:b w:val="0"/>
          <w:color w:val="auto"/>
          <w:kern w:val="0"/>
          <w:szCs w:val="21"/>
          <w:highlight w:val="none"/>
        </w:rPr>
        <w:t>投标客户端软件制作投标文件，</w:t>
      </w:r>
      <w:r>
        <w:rPr>
          <w:rFonts w:hAnsi="宋体" w:cs="宋体"/>
          <w:bCs/>
          <w:color w:val="auto"/>
          <w:kern w:val="0"/>
          <w:szCs w:val="21"/>
          <w:highlight w:val="none"/>
          <w:lang w:val="en"/>
        </w:rPr>
        <w:t>广西政府采购云平台</w:t>
      </w:r>
      <w:r>
        <w:rPr>
          <w:rFonts w:hAnsi="宋体" w:cs="宋体"/>
          <w:b w:val="0"/>
          <w:color w:val="auto"/>
          <w:kern w:val="0"/>
          <w:szCs w:val="21"/>
          <w:highlight w:val="none"/>
        </w:rPr>
        <w:t xml:space="preserve">投标客户端软件请供应商自行前往下载并安装（见广西壮族自治区政府采购网—办事服务—下载专区-广西壮族自治区全流程电子招投标项目管理系统--供应商客户端）。 </w:t>
      </w:r>
    </w:p>
    <w:p>
      <w:pPr>
        <w:pStyle w:val="46"/>
        <w:rPr>
          <w:rFonts w:hint="eastAsia" w:hAnsi="宋体" w:cs="宋体"/>
          <w:b w:val="0"/>
          <w:color w:val="auto"/>
          <w:kern w:val="0"/>
          <w:szCs w:val="21"/>
          <w:highlight w:val="none"/>
        </w:rPr>
      </w:pPr>
      <w:r>
        <w:rPr>
          <w:rFonts w:hAnsi="宋体" w:cs="宋体"/>
          <w:b w:val="0"/>
          <w:color w:val="auto"/>
          <w:kern w:val="0"/>
          <w:szCs w:val="21"/>
          <w:highlight w:val="none"/>
        </w:rPr>
        <w:t>（5）因未注册入库、未办理CA数字证书、CA证书故障、操作不当等原因造成无法投标或投标失败等后果由供应商自行承担。</w:t>
      </w:r>
    </w:p>
    <w:p>
      <w:pPr>
        <w:pStyle w:val="46"/>
        <w:rPr>
          <w:rFonts w:hint="eastAsia" w:hAnsi="宋体" w:cs="宋体"/>
          <w:b w:val="0"/>
          <w:color w:val="auto"/>
          <w:kern w:val="0"/>
          <w:szCs w:val="21"/>
          <w:highlight w:val="none"/>
        </w:rPr>
      </w:pPr>
      <w:r>
        <w:rPr>
          <w:rFonts w:hint="eastAsia" w:hAnsi="宋体" w:cs="宋体"/>
          <w:b w:val="0"/>
          <w:color w:val="auto"/>
          <w:kern w:val="0"/>
          <w:szCs w:val="21"/>
          <w:highlight w:val="none"/>
        </w:rPr>
        <w:t>（6）</w:t>
      </w:r>
      <w:r>
        <w:rPr>
          <w:rFonts w:hAnsi="宋体" w:cs="宋体"/>
          <w:b w:val="0"/>
          <w:color w:val="auto"/>
          <w:kern w:val="0"/>
          <w:szCs w:val="21"/>
          <w:highlight w:val="none"/>
        </w:rPr>
        <w:t>投标文件网上提交截止后，</w:t>
      </w:r>
      <w:r>
        <w:rPr>
          <w:rFonts w:hAnsi="宋体" w:cs="宋体"/>
          <w:bCs/>
          <w:color w:val="auto"/>
          <w:kern w:val="0"/>
          <w:szCs w:val="21"/>
          <w:highlight w:val="none"/>
          <w:lang w:val="en"/>
        </w:rPr>
        <w:t>广西政府采购云平台</w:t>
      </w:r>
      <w:r>
        <w:rPr>
          <w:rFonts w:hAnsi="宋体" w:cs="宋体"/>
          <w:b w:val="0"/>
          <w:color w:val="auto"/>
          <w:kern w:val="0"/>
          <w:szCs w:val="21"/>
          <w:highlight w:val="none"/>
        </w:rPr>
        <w:t>（电子标系统）自动提取所有投标文件，各供应商须在开标开始后30分钟内对上传</w:t>
      </w:r>
      <w:r>
        <w:rPr>
          <w:rFonts w:hAnsi="宋体" w:cs="宋体"/>
          <w:bCs/>
          <w:color w:val="auto"/>
          <w:kern w:val="0"/>
          <w:szCs w:val="21"/>
          <w:highlight w:val="none"/>
          <w:lang w:val="en"/>
        </w:rPr>
        <w:t>广西政府采购云平台</w:t>
      </w:r>
      <w:r>
        <w:rPr>
          <w:rFonts w:hAnsi="宋体" w:cs="宋体"/>
          <w:b w:val="0"/>
          <w:color w:val="auto"/>
          <w:kern w:val="0"/>
          <w:szCs w:val="21"/>
          <w:highlight w:val="none"/>
        </w:rPr>
        <w:t>的投标文件进行解密，所有供应商在规定的解密时限内解密完成或解密时限结束后，本中心开启投标文件；供应商超过解密时限未完成解密的，系统默认其自动放弃。</w:t>
      </w:r>
    </w:p>
    <w:p>
      <w:pPr>
        <w:ind w:firstLine="420" w:firstLineChars="200"/>
        <w:rPr>
          <w:rFonts w:hint="eastAsia"/>
          <w:color w:val="auto"/>
          <w:highlight w:val="none"/>
        </w:rPr>
      </w:pPr>
      <w:r>
        <w:rPr>
          <w:rFonts w:hint="eastAsia"/>
          <w:color w:val="auto"/>
          <w:highlight w:val="none"/>
        </w:rPr>
        <w:t xml:space="preserve">   </w:t>
      </w:r>
    </w:p>
    <w:p>
      <w:pPr>
        <w:widowControl/>
        <w:spacing w:before="75" w:after="75" w:line="360" w:lineRule="exact"/>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七、对本次采购提出询问，请按以下方式联系</w:t>
      </w:r>
    </w:p>
    <w:p>
      <w:pPr>
        <w:pStyle w:val="46"/>
        <w:rPr>
          <w:rFonts w:hAnsi="宋体" w:cs="宋体"/>
          <w:b w:val="0"/>
          <w:color w:val="auto"/>
          <w:kern w:val="0"/>
          <w:szCs w:val="21"/>
          <w:highlight w:val="none"/>
        </w:rPr>
      </w:pPr>
      <w:r>
        <w:rPr>
          <w:rFonts w:hAnsi="宋体" w:cs="宋体"/>
          <w:b w:val="0"/>
          <w:color w:val="auto"/>
          <w:kern w:val="0"/>
          <w:szCs w:val="21"/>
          <w:highlight w:val="none"/>
        </w:rPr>
        <w:t>1.采购人信息</w:t>
      </w:r>
    </w:p>
    <w:p>
      <w:pPr>
        <w:pStyle w:val="46"/>
        <w:rPr>
          <w:rFonts w:hAnsi="宋体" w:cs="宋体"/>
          <w:b w:val="0"/>
          <w:color w:val="auto"/>
          <w:kern w:val="0"/>
          <w:szCs w:val="21"/>
          <w:highlight w:val="none"/>
        </w:rPr>
      </w:pPr>
      <w:r>
        <w:rPr>
          <w:rFonts w:hAnsi="宋体" w:cs="宋体"/>
          <w:b w:val="0"/>
          <w:color w:val="auto"/>
          <w:kern w:val="0"/>
          <w:szCs w:val="21"/>
          <w:highlight w:val="none"/>
        </w:rPr>
        <w:t> 名   称：</w:t>
      </w:r>
      <w:r>
        <w:rPr>
          <w:rFonts w:hint="eastAsia" w:hAnsi="宋体"/>
          <w:b w:val="0"/>
          <w:color w:val="auto"/>
          <w:highlight w:val="none"/>
        </w:rPr>
        <w:t xml:space="preserve"> 广西艺术学院</w:t>
      </w:r>
    </w:p>
    <w:p>
      <w:pPr>
        <w:pStyle w:val="46"/>
        <w:rPr>
          <w:rFonts w:hAnsi="宋体" w:cs="宋体"/>
          <w:b w:val="0"/>
          <w:color w:val="auto"/>
          <w:kern w:val="0"/>
          <w:szCs w:val="21"/>
          <w:highlight w:val="none"/>
        </w:rPr>
      </w:pPr>
      <w:r>
        <w:rPr>
          <w:rFonts w:hAnsi="宋体" w:cs="宋体"/>
          <w:b w:val="0"/>
          <w:color w:val="auto"/>
          <w:kern w:val="0"/>
          <w:szCs w:val="21"/>
          <w:highlight w:val="none"/>
        </w:rPr>
        <w:t> 地   址：</w:t>
      </w:r>
      <w:r>
        <w:rPr>
          <w:rFonts w:hint="eastAsia" w:hAnsi="宋体"/>
          <w:b w:val="0"/>
          <w:color w:val="auto"/>
          <w:highlight w:val="none"/>
        </w:rPr>
        <w:t xml:space="preserve"> 广西南宁市青秀区教育路7号</w:t>
      </w:r>
    </w:p>
    <w:p>
      <w:pPr>
        <w:pStyle w:val="46"/>
        <w:rPr>
          <w:rFonts w:hAnsi="宋体" w:cs="宋体"/>
          <w:b w:val="0"/>
          <w:color w:val="auto"/>
          <w:kern w:val="0"/>
          <w:szCs w:val="21"/>
          <w:highlight w:val="none"/>
        </w:rPr>
      </w:pPr>
      <w:r>
        <w:rPr>
          <w:rFonts w:hAnsi="宋体" w:cs="宋体"/>
          <w:b w:val="0"/>
          <w:color w:val="auto"/>
          <w:kern w:val="0"/>
          <w:szCs w:val="21"/>
          <w:highlight w:val="none"/>
        </w:rPr>
        <w:t> 项目联系人：</w:t>
      </w:r>
      <w:r>
        <w:rPr>
          <w:rFonts w:hint="eastAsia" w:hAnsi="宋体"/>
          <w:b w:val="0"/>
          <w:color w:val="auto"/>
          <w:highlight w:val="none"/>
        </w:rPr>
        <w:t xml:space="preserve"> 李建波、杨朝标、朱桂英、高静</w:t>
      </w:r>
    </w:p>
    <w:p>
      <w:pPr>
        <w:pStyle w:val="46"/>
        <w:rPr>
          <w:rFonts w:hAnsi="宋体" w:cs="宋体"/>
          <w:b w:val="0"/>
          <w:color w:val="auto"/>
          <w:kern w:val="0"/>
          <w:szCs w:val="21"/>
          <w:highlight w:val="none"/>
        </w:rPr>
      </w:pPr>
      <w:r>
        <w:rPr>
          <w:rFonts w:hAnsi="宋体" w:cs="宋体"/>
          <w:b w:val="0"/>
          <w:color w:val="auto"/>
          <w:kern w:val="0"/>
          <w:szCs w:val="21"/>
          <w:highlight w:val="none"/>
        </w:rPr>
        <w:t> 项目联系方式：</w:t>
      </w:r>
      <w:r>
        <w:rPr>
          <w:rFonts w:hint="eastAsia" w:hAnsi="宋体"/>
          <w:b w:val="0"/>
          <w:color w:val="auto"/>
          <w:highlight w:val="none"/>
        </w:rPr>
        <w:t xml:space="preserve"> 0771-5327987</w:t>
      </w:r>
    </w:p>
    <w:p>
      <w:pPr>
        <w:pStyle w:val="46"/>
        <w:rPr>
          <w:rFonts w:hAnsi="宋体" w:cs="宋体"/>
          <w:b w:val="0"/>
          <w:color w:val="auto"/>
          <w:kern w:val="0"/>
          <w:szCs w:val="21"/>
          <w:highlight w:val="none"/>
        </w:rPr>
      </w:pPr>
      <w:r>
        <w:rPr>
          <w:rFonts w:hAnsi="宋体" w:cs="宋体"/>
          <w:b w:val="0"/>
          <w:color w:val="auto"/>
          <w:kern w:val="0"/>
          <w:szCs w:val="21"/>
          <w:highlight w:val="none"/>
        </w:rPr>
        <w:t>2.采购代理机构信息</w:t>
      </w:r>
    </w:p>
    <w:p>
      <w:pPr>
        <w:pStyle w:val="46"/>
        <w:rPr>
          <w:rFonts w:hAnsi="宋体" w:cs="宋体"/>
          <w:b w:val="0"/>
          <w:color w:val="auto"/>
          <w:kern w:val="0"/>
          <w:szCs w:val="21"/>
          <w:highlight w:val="none"/>
        </w:rPr>
      </w:pPr>
      <w:r>
        <w:rPr>
          <w:rFonts w:hAnsi="宋体" w:cs="宋体"/>
          <w:b w:val="0"/>
          <w:color w:val="auto"/>
          <w:kern w:val="0"/>
          <w:szCs w:val="21"/>
          <w:highlight w:val="none"/>
        </w:rPr>
        <w:t xml:space="preserve"> 名   </w:t>
      </w:r>
      <w:r>
        <w:rPr>
          <w:rFonts w:hint="eastAsia" w:hAnsi="宋体" w:cs="宋体"/>
          <w:b w:val="0"/>
          <w:color w:val="auto"/>
          <w:kern w:val="0"/>
          <w:szCs w:val="21"/>
          <w:highlight w:val="none"/>
        </w:rPr>
        <w:t xml:space="preserve"> </w:t>
      </w:r>
      <w:r>
        <w:rPr>
          <w:rFonts w:hAnsi="宋体" w:cs="宋体"/>
          <w:b w:val="0"/>
          <w:color w:val="auto"/>
          <w:kern w:val="0"/>
          <w:szCs w:val="21"/>
          <w:highlight w:val="none"/>
        </w:rPr>
        <w:t>称：广西壮族自治区政府采购中心</w:t>
      </w:r>
    </w:p>
    <w:p>
      <w:pPr>
        <w:pStyle w:val="46"/>
        <w:rPr>
          <w:rFonts w:hAnsi="宋体" w:cs="宋体"/>
          <w:b w:val="0"/>
          <w:color w:val="auto"/>
          <w:kern w:val="0"/>
          <w:szCs w:val="21"/>
          <w:highlight w:val="none"/>
        </w:rPr>
      </w:pPr>
      <w:r>
        <w:rPr>
          <w:rFonts w:hAnsi="宋体" w:cs="宋体"/>
          <w:b w:val="0"/>
          <w:color w:val="auto"/>
          <w:kern w:val="0"/>
          <w:szCs w:val="21"/>
          <w:highlight w:val="none"/>
        </w:rPr>
        <w:t> 地   址：广西南宁市</w:t>
      </w:r>
      <w:r>
        <w:rPr>
          <w:rFonts w:hint="eastAsia" w:hAnsi="宋体" w:cs="宋体"/>
          <w:b w:val="0"/>
          <w:color w:val="auto"/>
          <w:kern w:val="0"/>
          <w:szCs w:val="21"/>
          <w:highlight w:val="none"/>
        </w:rPr>
        <w:t>星湖</w:t>
      </w:r>
      <w:r>
        <w:rPr>
          <w:rFonts w:hAnsi="宋体" w:cs="宋体"/>
          <w:b w:val="0"/>
          <w:color w:val="auto"/>
          <w:kern w:val="0"/>
          <w:szCs w:val="21"/>
          <w:highlight w:val="none"/>
        </w:rPr>
        <w:t>路</w:t>
      </w:r>
      <w:r>
        <w:rPr>
          <w:rFonts w:hint="eastAsia" w:hAnsi="宋体" w:cs="宋体"/>
          <w:b w:val="0"/>
          <w:color w:val="auto"/>
          <w:kern w:val="0"/>
          <w:szCs w:val="21"/>
          <w:highlight w:val="none"/>
        </w:rPr>
        <w:t>22</w:t>
      </w:r>
      <w:r>
        <w:rPr>
          <w:rFonts w:hAnsi="宋体" w:cs="宋体"/>
          <w:b w:val="0"/>
          <w:color w:val="auto"/>
          <w:kern w:val="0"/>
          <w:szCs w:val="21"/>
          <w:highlight w:val="none"/>
        </w:rPr>
        <w:t>号</w:t>
      </w:r>
    </w:p>
    <w:p>
      <w:pPr>
        <w:pStyle w:val="46"/>
        <w:rPr>
          <w:rFonts w:hAnsi="宋体" w:cs="宋体"/>
          <w:b w:val="0"/>
          <w:color w:val="auto"/>
          <w:kern w:val="0"/>
          <w:szCs w:val="21"/>
          <w:highlight w:val="none"/>
        </w:rPr>
      </w:pPr>
      <w:r>
        <w:rPr>
          <w:rFonts w:hAnsi="宋体" w:cs="宋体"/>
          <w:b w:val="0"/>
          <w:color w:val="auto"/>
          <w:kern w:val="0"/>
          <w:szCs w:val="21"/>
          <w:highlight w:val="none"/>
        </w:rPr>
        <w:t> 项目联系人：</w:t>
      </w:r>
      <w:r>
        <w:rPr>
          <w:rFonts w:hint="eastAsia" w:hAnsi="宋体" w:cs="宋体"/>
          <w:b w:val="0"/>
          <w:color w:val="auto"/>
          <w:kern w:val="0"/>
          <w:szCs w:val="21"/>
          <w:highlight w:val="none"/>
        </w:rPr>
        <w:t>张国铨</w:t>
      </w:r>
    </w:p>
    <w:p>
      <w:pPr>
        <w:pStyle w:val="46"/>
        <w:rPr>
          <w:rFonts w:hAnsi="宋体" w:cs="宋体"/>
          <w:b w:val="0"/>
          <w:color w:val="auto"/>
          <w:kern w:val="0"/>
          <w:szCs w:val="21"/>
          <w:highlight w:val="none"/>
        </w:rPr>
      </w:pPr>
      <w:r>
        <w:rPr>
          <w:rFonts w:hAnsi="宋体" w:cs="宋体"/>
          <w:b w:val="0"/>
          <w:color w:val="auto"/>
          <w:kern w:val="0"/>
          <w:szCs w:val="21"/>
          <w:highlight w:val="none"/>
        </w:rPr>
        <w:t> 项目联系方式：0771-</w:t>
      </w:r>
      <w:r>
        <w:rPr>
          <w:rFonts w:hint="eastAsia" w:hAnsi="宋体" w:cs="宋体"/>
          <w:b w:val="0"/>
          <w:color w:val="auto"/>
          <w:kern w:val="0"/>
          <w:szCs w:val="21"/>
          <w:highlight w:val="none"/>
        </w:rPr>
        <w:t>8600343</w:t>
      </w:r>
      <w:r>
        <w:rPr>
          <w:rFonts w:hAnsi="宋体" w:cs="宋体"/>
          <w:b w:val="0"/>
          <w:color w:val="auto"/>
          <w:kern w:val="0"/>
          <w:szCs w:val="21"/>
          <w:highlight w:val="none"/>
        </w:rPr>
        <w:t> </w:t>
      </w:r>
    </w:p>
    <w:p>
      <w:pPr>
        <w:widowControl/>
        <w:adjustRightInd w:val="0"/>
        <w:snapToGrid w:val="0"/>
        <w:spacing w:line="400" w:lineRule="exact"/>
        <w:ind w:right="384" w:rightChars="183"/>
        <w:jc w:val="right"/>
        <w:rPr>
          <w:rFonts w:hint="eastAsia" w:ascii="仿宋" w:hAnsi="仿宋" w:eastAsia="仿宋"/>
          <w:color w:val="auto"/>
          <w:sz w:val="28"/>
          <w:szCs w:val="28"/>
          <w:highlight w:val="none"/>
        </w:rPr>
      </w:pPr>
    </w:p>
    <w:p>
      <w:pPr>
        <w:snapToGrid w:val="0"/>
        <w:spacing w:line="340" w:lineRule="exact"/>
        <w:ind w:left="238"/>
        <w:jc w:val="right"/>
        <w:rPr>
          <w:rFonts w:hint="eastAsia" w:ascii="宋体" w:hAnsi="宋体"/>
          <w:color w:val="auto"/>
          <w:szCs w:val="21"/>
          <w:highlight w:val="none"/>
        </w:rPr>
      </w:pPr>
      <w:r>
        <w:rPr>
          <w:rFonts w:hint="eastAsia" w:ascii="宋体" w:hAnsi="宋体"/>
          <w:color w:val="auto"/>
          <w:szCs w:val="21"/>
          <w:highlight w:val="none"/>
        </w:rPr>
        <w:t xml:space="preserve">  广西壮族自治区政府采购中心</w:t>
      </w:r>
    </w:p>
    <w:p>
      <w:pPr>
        <w:wordWrap w:val="0"/>
        <w:snapToGrid w:val="0"/>
        <w:spacing w:line="340" w:lineRule="exact"/>
        <w:ind w:left="238" w:right="565" w:rightChars="269"/>
        <w:jc w:val="right"/>
        <w:rPr>
          <w:color w:val="auto"/>
          <w:szCs w:val="21"/>
          <w:highlight w:val="none"/>
        </w:rPr>
      </w:pPr>
      <w:r>
        <w:rPr>
          <w:color w:val="auto"/>
          <w:highlight w:val="none"/>
          <w:lang w:val="en"/>
        </w:rPr>
        <w:t>2025</w:t>
      </w:r>
      <w:r>
        <w:rPr>
          <w:rFonts w:hint="eastAsia"/>
          <w:color w:val="auto"/>
          <w:highlight w:val="none"/>
        </w:rPr>
        <w:t>年</w:t>
      </w:r>
      <w:r>
        <w:rPr>
          <w:rFonts w:hint="default"/>
          <w:color w:val="auto"/>
          <w:highlight w:val="none"/>
          <w:lang w:val="en" w:eastAsia="zh-CN"/>
        </w:rPr>
        <w:t>10</w:t>
      </w:r>
      <w:r>
        <w:rPr>
          <w:rFonts w:hint="eastAsia"/>
          <w:color w:val="auto"/>
          <w:highlight w:val="none"/>
        </w:rPr>
        <w:t>月</w:t>
      </w:r>
      <w:r>
        <w:rPr>
          <w:rFonts w:hint="default"/>
          <w:color w:val="auto"/>
          <w:highlight w:val="none"/>
          <w:lang w:val="en" w:eastAsia="zh-CN"/>
        </w:rPr>
        <w:t>9</w:t>
      </w:r>
      <w:r>
        <w:rPr>
          <w:rFonts w:hint="eastAsia"/>
          <w:color w:val="auto"/>
          <w:highlight w:val="none"/>
        </w:rPr>
        <w:t>日</w:t>
      </w:r>
    </w:p>
    <w:p>
      <w:pPr>
        <w:jc w:val="center"/>
        <w:rPr>
          <w:rFonts w:hint="eastAsia" w:ascii="仿宋_GB2312" w:hAnsi="宋体" w:eastAsia="仿宋_GB2312"/>
          <w:b/>
          <w:color w:val="auto"/>
          <w:sz w:val="44"/>
          <w:szCs w:val="44"/>
          <w:highlight w:val="none"/>
        </w:rPr>
      </w:pPr>
    </w:p>
    <w:p>
      <w:pPr>
        <w:snapToGrid w:val="0"/>
        <w:spacing w:before="156" w:beforeLines="50" w:after="156" w:afterLines="50"/>
        <w:ind w:left="238"/>
        <w:jc w:val="center"/>
        <w:rPr>
          <w:rFonts w:hint="eastAsia" w:ascii="仿宋_GB2312" w:hAnsi="宋体" w:eastAsia="仿宋_GB2312"/>
          <w:b/>
          <w:color w:val="auto"/>
          <w:sz w:val="44"/>
          <w:szCs w:val="44"/>
          <w:highlight w:val="none"/>
        </w:rPr>
      </w:pPr>
    </w:p>
    <w:p>
      <w:pPr>
        <w:snapToGrid w:val="0"/>
        <w:spacing w:before="156" w:beforeLines="50" w:after="156" w:afterLines="50"/>
        <w:ind w:left="238"/>
        <w:jc w:val="center"/>
        <w:rPr>
          <w:rFonts w:hint="eastAsia" w:ascii="仿宋_GB2312" w:hAnsi="宋体" w:eastAsia="仿宋_GB2312"/>
          <w:b/>
          <w:color w:val="auto"/>
          <w:sz w:val="44"/>
          <w:szCs w:val="44"/>
          <w:highlight w:val="none"/>
        </w:rPr>
      </w:pPr>
    </w:p>
    <w:p>
      <w:pPr>
        <w:snapToGrid w:val="0"/>
        <w:spacing w:before="156" w:beforeLines="50" w:after="156" w:afterLines="50"/>
        <w:ind w:left="238"/>
        <w:jc w:val="center"/>
        <w:rPr>
          <w:rFonts w:hint="eastAsia" w:ascii="仿宋_GB2312" w:hAnsi="宋体" w:eastAsia="仿宋_GB2312"/>
          <w:b/>
          <w:color w:val="auto"/>
          <w:sz w:val="44"/>
          <w:szCs w:val="44"/>
          <w:highlight w:val="none"/>
        </w:rPr>
      </w:pPr>
    </w:p>
    <w:p>
      <w:pPr>
        <w:snapToGrid w:val="0"/>
        <w:spacing w:before="156" w:beforeLines="50" w:after="156" w:afterLines="50"/>
        <w:ind w:left="238"/>
        <w:jc w:val="center"/>
        <w:rPr>
          <w:rFonts w:hint="eastAsia" w:ascii="仿宋_GB2312" w:hAnsi="宋体" w:eastAsia="仿宋_GB2312"/>
          <w:b/>
          <w:color w:val="auto"/>
          <w:sz w:val="44"/>
          <w:szCs w:val="44"/>
          <w:highlight w:val="none"/>
        </w:rPr>
      </w:pPr>
    </w:p>
    <w:p>
      <w:pPr>
        <w:snapToGrid w:val="0"/>
        <w:spacing w:before="156" w:beforeLines="50" w:after="156" w:afterLines="50"/>
        <w:ind w:left="238"/>
        <w:jc w:val="center"/>
        <w:rPr>
          <w:rFonts w:hint="eastAsia" w:ascii="仿宋_GB2312" w:hAnsi="宋体" w:eastAsia="仿宋_GB2312"/>
          <w:b/>
          <w:color w:val="auto"/>
          <w:sz w:val="44"/>
          <w:szCs w:val="44"/>
          <w:highlight w:val="none"/>
        </w:rPr>
      </w:pPr>
    </w:p>
    <w:p>
      <w:pPr>
        <w:pStyle w:val="2"/>
        <w:jc w:val="center"/>
        <w:rPr>
          <w:rFonts w:hint="eastAsia"/>
          <w:color w:val="auto"/>
          <w:highlight w:val="none"/>
        </w:rPr>
      </w:pPr>
      <w:bookmarkStart w:id="3" w:name="_Toc40865016"/>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ind w:firstLine="2208" w:firstLineChars="500"/>
        <w:rPr>
          <w:rFonts w:hint="eastAsia"/>
          <w:color w:val="auto"/>
          <w:highlight w:val="none"/>
        </w:rPr>
      </w:pPr>
      <w:r>
        <w:rPr>
          <w:rFonts w:hint="eastAsia"/>
          <w:color w:val="auto"/>
          <w:highlight w:val="none"/>
        </w:rPr>
        <w:t>第二章  招标项目采购需求</w:t>
      </w:r>
      <w:bookmarkEnd w:id="3"/>
    </w:p>
    <w:p>
      <w:pPr>
        <w:spacing w:line="360" w:lineRule="exact"/>
        <w:ind w:left="6" w:leftChars="1" w:hanging="4" w:hangingChars="2"/>
        <w:jc w:val="center"/>
        <w:rPr>
          <w:rFonts w:hint="eastAsia" w:ascii="宋体" w:hAnsi="宋体"/>
          <w:b/>
          <w:dstrike/>
          <w:color w:val="auto"/>
          <w:sz w:val="36"/>
          <w:szCs w:val="36"/>
          <w:highlight w:val="none"/>
        </w:rPr>
      </w:pPr>
      <w:r>
        <w:rPr>
          <w:rFonts w:ascii="宋体" w:hAnsi="宋体"/>
          <w:b/>
          <w:dstrike/>
          <w:color w:val="auto"/>
          <w:szCs w:val="21"/>
          <w:highlight w:val="none"/>
        </w:rPr>
        <w:br w:type="page"/>
      </w:r>
      <w:r>
        <w:rPr>
          <w:rFonts w:hint="eastAsia" w:ascii="仿宋_GB2312" w:hAnsi="宋体" w:eastAsia="仿宋_GB2312"/>
          <w:b/>
          <w:bCs/>
          <w:color w:val="auto"/>
          <w:sz w:val="36"/>
          <w:szCs w:val="36"/>
          <w:highlight w:val="none"/>
        </w:rPr>
        <w:t>招</w:t>
      </w:r>
      <w:r>
        <w:rPr>
          <w:rFonts w:hint="eastAsia" w:ascii="仿宋_GB2312" w:hAnsi="宋体" w:eastAsia="仿宋_GB2312"/>
          <w:b/>
          <w:color w:val="auto"/>
          <w:sz w:val="36"/>
          <w:szCs w:val="36"/>
          <w:highlight w:val="none"/>
        </w:rPr>
        <w:t>标项目采购需求</w:t>
      </w:r>
    </w:p>
    <w:p>
      <w:pPr>
        <w:spacing w:line="360" w:lineRule="exact"/>
        <w:ind w:left="6" w:firstLine="431"/>
        <w:rPr>
          <w:rFonts w:hint="eastAsia" w:ascii="宋体" w:hAnsi="宋体"/>
          <w:b/>
          <w:bCs/>
          <w:color w:val="auto"/>
          <w:szCs w:val="21"/>
          <w:highlight w:val="none"/>
        </w:rPr>
      </w:pPr>
    </w:p>
    <w:p>
      <w:pPr>
        <w:spacing w:line="360" w:lineRule="exact"/>
        <w:ind w:left="6" w:firstLine="431"/>
        <w:rPr>
          <w:rFonts w:ascii="宋体" w:hAnsi="宋体"/>
          <w:b/>
          <w:bCs/>
          <w:color w:val="auto"/>
          <w:szCs w:val="21"/>
          <w:highlight w:val="none"/>
        </w:rPr>
      </w:pPr>
      <w:r>
        <w:rPr>
          <w:rFonts w:hint="eastAsia" w:ascii="宋体" w:hAnsi="宋体"/>
          <w:b/>
          <w:bCs/>
          <w:color w:val="auto"/>
          <w:szCs w:val="21"/>
          <w:highlight w:val="none"/>
        </w:rPr>
        <w:t>1、本需求的货物品牌型号、技术参数及其性能（配置）仅起参考作用，投标人可选用其他品牌型号替代，但这些替代的产品要实质上相当于或优于参考品牌型号及其技术参数性能（配置）要求。</w:t>
      </w:r>
    </w:p>
    <w:p>
      <w:pPr>
        <w:spacing w:line="360" w:lineRule="exact"/>
        <w:ind w:left="6" w:firstLine="431"/>
        <w:rPr>
          <w:rFonts w:hint="eastAsia" w:ascii="宋体" w:hAnsi="宋体"/>
          <w:b/>
          <w:bCs/>
          <w:color w:val="auto"/>
          <w:szCs w:val="21"/>
          <w:highlight w:val="none"/>
        </w:rPr>
      </w:pPr>
      <w:r>
        <w:rPr>
          <w:rFonts w:hint="eastAsia" w:ascii="宋体" w:hAnsi="宋体"/>
          <w:b/>
          <w:bCs/>
          <w:color w:val="auto"/>
          <w:szCs w:val="21"/>
          <w:highlight w:val="none"/>
        </w:rPr>
        <w:t>2、本需求中参考品牌型号规格及技术参数不明确或有误的，或投标人选用其他品牌型号替代的，请以详细、正确的品牌型号、技术参数（配置）同时填写投标报价明细表和商务、技术响应偏离表。技术响应偏离表须按技术参数及配置要求一一对应响应。</w:t>
      </w:r>
    </w:p>
    <w:p>
      <w:pPr>
        <w:spacing w:line="360" w:lineRule="exact"/>
        <w:ind w:left="6" w:firstLine="431"/>
        <w:rPr>
          <w:rFonts w:hint="eastAsia" w:ascii="宋体" w:hAnsi="宋体"/>
          <w:b/>
          <w:bCs/>
          <w:color w:val="auto"/>
          <w:szCs w:val="21"/>
          <w:highlight w:val="none"/>
        </w:rPr>
      </w:pPr>
      <w:r>
        <w:rPr>
          <w:rFonts w:hint="eastAsia" w:ascii="宋体" w:hAnsi="宋体"/>
          <w:b/>
          <w:bCs/>
          <w:color w:val="auto"/>
          <w:szCs w:val="21"/>
          <w:highlight w:val="none"/>
        </w:rPr>
        <w:t>3、凡在“技术参数及性能（配置）要求”中表述为“标配”或“标准配置”的设备，投标人应在投标报价明细表中将其标配参数详细列明。</w:t>
      </w:r>
    </w:p>
    <w:p>
      <w:pPr>
        <w:snapToGrid w:val="0"/>
        <w:spacing w:line="400" w:lineRule="exact"/>
        <w:ind w:firstLine="421" w:firstLineChars="200"/>
        <w:rPr>
          <w:rFonts w:hint="eastAsia" w:ascii="宋体" w:hAnsi="宋体"/>
          <w:b/>
          <w:bCs/>
          <w:color w:val="auto"/>
          <w:szCs w:val="21"/>
          <w:highlight w:val="none"/>
        </w:rPr>
      </w:pPr>
      <w:r>
        <w:rPr>
          <w:rFonts w:hint="eastAsia" w:ascii="宋体" w:hAnsi="宋体"/>
          <w:b/>
          <w:bCs/>
          <w:color w:val="auto"/>
          <w:szCs w:val="21"/>
          <w:highlight w:val="none"/>
        </w:rPr>
        <w:t>4、招标文件中</w:t>
      </w:r>
      <w:r>
        <w:rPr>
          <w:rFonts w:hint="eastAsia" w:ascii="宋体" w:hAnsi="宋体" w:cs="宋体"/>
          <w:b/>
          <w:bCs/>
          <w:color w:val="auto"/>
          <w:szCs w:val="21"/>
          <w:highlight w:val="none"/>
        </w:rPr>
        <w:t>标记</w:t>
      </w:r>
      <w:r>
        <w:rPr>
          <w:rFonts w:hint="eastAsia" w:ascii="宋体" w:hAnsi="宋体"/>
          <w:b/>
          <w:bCs/>
          <w:color w:val="auto"/>
          <w:szCs w:val="21"/>
          <w:highlight w:val="none"/>
        </w:rPr>
        <w:t>“▲”的条款为本次采购的实质性(关键性)的商务、技术或服务要求，投标人须满足或优于，否则，将会被认定为无效投标。</w:t>
      </w:r>
      <w:r>
        <w:rPr>
          <w:rFonts w:hint="eastAsia" w:ascii="宋体" w:hAnsi="宋体" w:cs="宋体"/>
          <w:b/>
          <w:bCs/>
          <w:color w:val="auto"/>
          <w:szCs w:val="21"/>
          <w:highlight w:val="none"/>
        </w:rPr>
        <w:t>标记“★”的技术参数正偏离作为加分项。</w:t>
      </w:r>
    </w:p>
    <w:p>
      <w:pPr>
        <w:snapToGrid w:val="0"/>
        <w:spacing w:line="400" w:lineRule="exact"/>
        <w:ind w:firstLine="421" w:firstLineChars="200"/>
        <w:rPr>
          <w:rFonts w:hint="eastAsia" w:ascii="宋体" w:hAnsi="宋体"/>
          <w:b/>
          <w:bCs/>
          <w:color w:val="auto"/>
          <w:szCs w:val="21"/>
          <w:highlight w:val="none"/>
        </w:rPr>
      </w:pPr>
      <w:r>
        <w:rPr>
          <w:rFonts w:hint="eastAsia" w:ascii="宋体" w:hAnsi="宋体"/>
          <w:b/>
          <w:bCs/>
          <w:color w:val="auto"/>
          <w:szCs w:val="21"/>
          <w:highlight w:val="none"/>
        </w:rPr>
        <w:t>5、本项目标的所属行业均为：</w:t>
      </w:r>
      <w:r>
        <w:rPr>
          <w:rFonts w:hint="eastAsia" w:ascii="宋体" w:hAnsi="宋体"/>
          <w:b/>
          <w:bCs/>
          <w:color w:val="auto"/>
          <w:szCs w:val="21"/>
          <w:highlight w:val="none"/>
          <w:u w:val="single"/>
        </w:rPr>
        <w:t xml:space="preserve">   工业    </w:t>
      </w:r>
      <w:r>
        <w:rPr>
          <w:rFonts w:hint="eastAsia" w:ascii="宋体" w:hAnsi="宋体"/>
          <w:b/>
          <w:bCs/>
          <w:color w:val="auto"/>
          <w:szCs w:val="21"/>
          <w:highlight w:val="none"/>
        </w:rPr>
        <w:t>；划分依据：《关于印发中小企业划型标准规定的通知》（工信部联企业[2011]300号）</w:t>
      </w:r>
    </w:p>
    <w:p>
      <w:pPr>
        <w:snapToGrid w:val="0"/>
        <w:spacing w:line="400" w:lineRule="exact"/>
        <w:ind w:firstLine="421" w:firstLineChars="200"/>
        <w:rPr>
          <w:rFonts w:hint="eastAsia" w:hAnsi="宋体" w:cs="Arial"/>
          <w:b/>
          <w:bCs/>
          <w:color w:val="auto"/>
          <w:szCs w:val="21"/>
          <w:highlight w:val="none"/>
        </w:rPr>
      </w:pPr>
      <w:r>
        <w:rPr>
          <w:rFonts w:hint="eastAsia" w:ascii="宋体" w:hAnsi="宋体"/>
          <w:b/>
          <w:bCs/>
          <w:color w:val="auto"/>
          <w:kern w:val="0"/>
          <w:szCs w:val="21"/>
          <w:highlight w:val="none"/>
        </w:rPr>
        <w:t>6、本项目采购预算：</w:t>
      </w:r>
      <w:r>
        <w:rPr>
          <w:rFonts w:hint="eastAsia" w:ascii="宋体" w:hAnsi="宋体"/>
          <w:b/>
          <w:bCs/>
          <w:color w:val="auto"/>
          <w:kern w:val="0"/>
          <w:szCs w:val="21"/>
          <w:highlight w:val="none"/>
          <w:u w:val="single"/>
        </w:rPr>
        <w:t xml:space="preserve"> 6545300.00 </w:t>
      </w:r>
      <w:r>
        <w:rPr>
          <w:rFonts w:hint="eastAsia" w:ascii="宋体" w:hAnsi="宋体"/>
          <w:b/>
          <w:bCs/>
          <w:color w:val="auto"/>
          <w:kern w:val="0"/>
          <w:szCs w:val="21"/>
          <w:highlight w:val="none"/>
        </w:rPr>
        <w:t>元。</w:t>
      </w:r>
    </w:p>
    <w:p>
      <w:pPr>
        <w:spacing w:line="360" w:lineRule="exact"/>
        <w:ind w:left="6" w:firstLine="431"/>
        <w:rPr>
          <w:rFonts w:hint="eastAsia" w:ascii="宋体" w:hAnsi="宋体"/>
          <w:b/>
          <w:bCs/>
          <w:color w:val="auto"/>
          <w:szCs w:val="21"/>
          <w:highlight w:val="none"/>
        </w:rPr>
      </w:pPr>
    </w:p>
    <w:tbl>
      <w:tblPr>
        <w:tblStyle w:val="50"/>
        <w:tblW w:w="0" w:type="auto"/>
        <w:tblInd w:w="-17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10"/>
        <w:gridCol w:w="1136"/>
        <w:gridCol w:w="623"/>
        <w:gridCol w:w="554"/>
        <w:gridCol w:w="687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71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bCs/>
                <w:color w:val="auto"/>
                <w:szCs w:val="21"/>
                <w:highlight w:val="none"/>
              </w:rPr>
            </w:pPr>
            <w:r>
              <w:rPr>
                <w:rFonts w:hint="eastAsia" w:ascii="宋体" w:hAnsi="宋体"/>
                <w:b/>
                <w:bCs/>
                <w:color w:val="auto"/>
                <w:szCs w:val="21"/>
                <w:highlight w:val="none"/>
              </w:rPr>
              <w:t>项号</w:t>
            </w:r>
          </w:p>
        </w:tc>
        <w:tc>
          <w:tcPr>
            <w:tcW w:w="113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bCs/>
                <w:color w:val="auto"/>
                <w:szCs w:val="21"/>
                <w:highlight w:val="none"/>
              </w:rPr>
            </w:pPr>
            <w:r>
              <w:rPr>
                <w:rFonts w:hint="eastAsia" w:ascii="宋体" w:hAnsi="宋体"/>
                <w:b/>
                <w:bCs/>
                <w:color w:val="auto"/>
                <w:szCs w:val="21"/>
                <w:highlight w:val="none"/>
              </w:rPr>
              <w:t>货物名称</w:t>
            </w:r>
          </w:p>
        </w:tc>
        <w:tc>
          <w:tcPr>
            <w:tcW w:w="62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bCs/>
                <w:color w:val="auto"/>
                <w:szCs w:val="21"/>
                <w:highlight w:val="none"/>
              </w:rPr>
            </w:pPr>
            <w:r>
              <w:rPr>
                <w:rFonts w:hint="eastAsia" w:ascii="宋体" w:hAnsi="宋体"/>
                <w:b/>
                <w:bCs/>
                <w:color w:val="auto"/>
                <w:szCs w:val="21"/>
                <w:highlight w:val="none"/>
              </w:rPr>
              <w:t>数 量</w:t>
            </w:r>
          </w:p>
        </w:tc>
        <w:tc>
          <w:tcPr>
            <w:tcW w:w="55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bCs/>
                <w:color w:val="auto"/>
                <w:szCs w:val="21"/>
                <w:highlight w:val="none"/>
              </w:rPr>
            </w:pPr>
            <w:r>
              <w:rPr>
                <w:rFonts w:hint="eastAsia" w:ascii="宋体" w:hAnsi="宋体"/>
                <w:b/>
                <w:bCs/>
                <w:color w:val="auto"/>
                <w:szCs w:val="21"/>
                <w:highlight w:val="none"/>
              </w:rPr>
              <w:t>单位</w:t>
            </w:r>
          </w:p>
        </w:tc>
        <w:tc>
          <w:tcPr>
            <w:tcW w:w="687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bCs/>
                <w:color w:val="auto"/>
                <w:szCs w:val="21"/>
                <w:highlight w:val="none"/>
              </w:rPr>
            </w:pPr>
            <w:r>
              <w:rPr>
                <w:rFonts w:hint="eastAsia" w:ascii="宋体" w:hAnsi="宋体"/>
                <w:b/>
                <w:bCs/>
                <w:color w:val="auto"/>
                <w:szCs w:val="21"/>
                <w:highlight w:val="none"/>
              </w:rPr>
              <w:t>技术参数及性能（配置）要求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71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113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br w:type="textWrapping"/>
            </w:r>
          </w:p>
          <w:p>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无机房</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乘客电梯</w:t>
            </w:r>
          </w:p>
          <w:p>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（造型艺术学院/美术教育学院/设计学院）</w:t>
            </w:r>
          </w:p>
          <w:p>
            <w:pPr>
              <w:widowControl/>
              <w:jc w:val="center"/>
              <w:textAlignment w:val="center"/>
              <w:rPr>
                <w:rFonts w:hint="eastAsia" w:ascii="宋体" w:hAnsi="宋体" w:cs="宋体"/>
                <w:color w:val="auto"/>
                <w:kern w:val="0"/>
                <w:szCs w:val="21"/>
                <w:highlight w:val="none"/>
                <w:lang w:bidi="ar"/>
              </w:rPr>
            </w:pPr>
          </w:p>
        </w:tc>
        <w:tc>
          <w:tcPr>
            <w:tcW w:w="623"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color w:val="auto"/>
                <w:highlight w:val="none"/>
              </w:rPr>
            </w:pPr>
            <w:r>
              <w:rPr>
                <w:rFonts w:hint="eastAsia"/>
                <w:color w:val="auto"/>
                <w:highlight w:val="none"/>
              </w:rPr>
              <w:t>3</w:t>
            </w:r>
          </w:p>
        </w:tc>
        <w:tc>
          <w:tcPr>
            <w:tcW w:w="554"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color w:val="auto"/>
                <w:highlight w:val="none"/>
              </w:rPr>
            </w:pPr>
            <w:r>
              <w:rPr>
                <w:rFonts w:hint="eastAsia"/>
                <w:color w:val="auto"/>
                <w:highlight w:val="none"/>
              </w:rPr>
              <w:t>台</w:t>
            </w:r>
          </w:p>
        </w:tc>
        <w:tc>
          <w:tcPr>
            <w:tcW w:w="6877" w:type="dxa"/>
            <w:tcBorders>
              <w:top w:val="single" w:color="auto" w:sz="4" w:space="0"/>
              <w:left w:val="single" w:color="auto" w:sz="4" w:space="0"/>
              <w:bottom w:val="single" w:color="auto" w:sz="4" w:space="0"/>
              <w:right w:val="single" w:color="auto" w:sz="4" w:space="0"/>
            </w:tcBorders>
            <w:noWrap w:val="0"/>
            <w:vAlign w:val="center"/>
          </w:tcPr>
          <w:p>
            <w:pPr>
              <w:ind w:left="-71"/>
              <w:rPr>
                <w:rFonts w:hint="eastAsia" w:ascii="宋体" w:hAnsi="宋体" w:cs="宋体"/>
                <w:b/>
                <w:bCs/>
                <w:color w:val="auto"/>
                <w:szCs w:val="21"/>
                <w:highlight w:val="none"/>
              </w:rPr>
            </w:pPr>
            <w:r>
              <w:rPr>
                <w:rFonts w:hint="eastAsia" w:ascii="宋体" w:hAnsi="宋体" w:cs="宋体"/>
                <w:b/>
                <w:bCs/>
                <w:color w:val="auto"/>
                <w:szCs w:val="21"/>
                <w:highlight w:val="none"/>
              </w:rPr>
              <w:t>一、基本要求</w:t>
            </w:r>
          </w:p>
          <w:p>
            <w:pPr>
              <w:rPr>
                <w:rFonts w:hint="eastAsia" w:ascii="宋体" w:hAnsi="宋体" w:cs="宋体"/>
                <w:color w:val="auto"/>
                <w:szCs w:val="21"/>
                <w:highlight w:val="none"/>
              </w:rPr>
            </w:pPr>
            <w:r>
              <w:rPr>
                <w:rFonts w:hint="eastAsia" w:ascii="宋体" w:hAnsi="宋体"/>
                <w:b/>
                <w:bCs/>
                <w:color w:val="auto"/>
                <w:szCs w:val="21"/>
                <w:highlight w:val="none"/>
              </w:rPr>
              <w:t>▲</w:t>
            </w:r>
            <w:r>
              <w:rPr>
                <w:rFonts w:hint="eastAsia" w:ascii="宋体" w:hAnsi="宋体" w:cs="宋体"/>
                <w:color w:val="auto"/>
                <w:szCs w:val="21"/>
                <w:highlight w:val="none"/>
              </w:rPr>
              <w:t>1.额定载重：≥1600Kg。</w:t>
            </w:r>
          </w:p>
          <w:p>
            <w:pPr>
              <w:rPr>
                <w:rFonts w:hint="eastAsia" w:ascii="宋体" w:hAnsi="宋体" w:cs="宋体"/>
                <w:color w:val="auto"/>
                <w:szCs w:val="21"/>
                <w:highlight w:val="none"/>
              </w:rPr>
            </w:pPr>
            <w:r>
              <w:rPr>
                <w:rFonts w:hint="eastAsia" w:ascii="宋体" w:hAnsi="宋体"/>
                <w:b/>
                <w:bCs/>
                <w:color w:val="auto"/>
                <w:szCs w:val="21"/>
                <w:highlight w:val="none"/>
              </w:rPr>
              <w:t>▲</w:t>
            </w:r>
            <w:r>
              <w:rPr>
                <w:rFonts w:hint="eastAsia" w:ascii="宋体" w:hAnsi="宋体" w:cs="宋体"/>
                <w:color w:val="auto"/>
                <w:szCs w:val="21"/>
                <w:highlight w:val="none"/>
              </w:rPr>
              <w:t>2.速度：≥1.5m/s。</w:t>
            </w:r>
          </w:p>
          <w:p>
            <w:pPr>
              <w:rPr>
                <w:rFonts w:hint="eastAsia" w:ascii="宋体" w:hAnsi="宋体" w:cs="宋体"/>
                <w:color w:val="auto"/>
                <w:szCs w:val="21"/>
                <w:highlight w:val="none"/>
              </w:rPr>
            </w:pPr>
            <w:r>
              <w:rPr>
                <w:rFonts w:hint="eastAsia" w:ascii="宋体" w:hAnsi="宋体"/>
                <w:b/>
                <w:bCs/>
                <w:color w:val="auto"/>
                <w:szCs w:val="21"/>
                <w:highlight w:val="none"/>
              </w:rPr>
              <w:t>▲</w:t>
            </w:r>
            <w:r>
              <w:rPr>
                <w:rFonts w:hint="eastAsia" w:ascii="宋体" w:hAnsi="宋体" w:cs="宋体"/>
                <w:color w:val="auto"/>
                <w:szCs w:val="21"/>
                <w:highlight w:val="none"/>
              </w:rPr>
              <w:t>3.层站：6层/6站/6门，1~6F。</w:t>
            </w:r>
          </w:p>
          <w:p>
            <w:pPr>
              <w:rPr>
                <w:rFonts w:hint="eastAsia" w:ascii="宋体" w:hAnsi="宋体" w:cs="宋体"/>
                <w:color w:val="auto"/>
                <w:szCs w:val="21"/>
                <w:highlight w:val="none"/>
              </w:rPr>
            </w:pPr>
            <w:r>
              <w:rPr>
                <w:rFonts w:hint="eastAsia" w:ascii="宋体" w:hAnsi="宋体" w:cs="宋体"/>
                <w:color w:val="auto"/>
                <w:szCs w:val="21"/>
                <w:highlight w:val="none"/>
              </w:rPr>
              <w:t>4.机房类型：无机房。</w:t>
            </w:r>
          </w:p>
          <w:p>
            <w:pPr>
              <w:rPr>
                <w:rFonts w:hint="eastAsia" w:ascii="宋体" w:hAnsi="宋体" w:cs="宋体"/>
                <w:color w:val="auto"/>
                <w:szCs w:val="21"/>
                <w:highlight w:val="none"/>
              </w:rPr>
            </w:pPr>
            <w:r>
              <w:rPr>
                <w:rFonts w:hint="eastAsia" w:ascii="宋体" w:hAnsi="宋体" w:cs="宋体"/>
                <w:color w:val="auto"/>
                <w:szCs w:val="21"/>
                <w:highlight w:val="none"/>
              </w:rPr>
              <w:t>5.开门方式：中分门。</w:t>
            </w:r>
          </w:p>
          <w:p>
            <w:pPr>
              <w:rPr>
                <w:rFonts w:hint="eastAsia" w:ascii="宋体" w:hAnsi="宋体" w:cs="宋体"/>
                <w:color w:val="auto"/>
                <w:szCs w:val="21"/>
                <w:highlight w:val="none"/>
              </w:rPr>
            </w:pPr>
            <w:r>
              <w:rPr>
                <w:rFonts w:hint="eastAsia" w:ascii="宋体" w:hAnsi="宋体" w:cs="宋体"/>
                <w:color w:val="auto"/>
                <w:szCs w:val="21"/>
                <w:highlight w:val="none"/>
              </w:rPr>
              <w:t>6.开门净尺寸（宽×高）： 宽1100mm×高2100mm。</w:t>
            </w:r>
          </w:p>
          <w:p>
            <w:pPr>
              <w:rPr>
                <w:rFonts w:hint="eastAsia" w:ascii="宋体" w:hAnsi="宋体" w:cs="宋体"/>
                <w:color w:val="auto"/>
                <w:szCs w:val="21"/>
                <w:highlight w:val="none"/>
              </w:rPr>
            </w:pPr>
            <w:r>
              <w:rPr>
                <w:rFonts w:hint="eastAsia" w:ascii="宋体" w:hAnsi="宋体" w:cs="宋体"/>
                <w:color w:val="auto"/>
                <w:szCs w:val="21"/>
                <w:highlight w:val="none"/>
              </w:rPr>
              <w:t>7.井道尺寸（宽×深）：2800 mm×2150mm 。</w:t>
            </w:r>
          </w:p>
          <w:p>
            <w:pPr>
              <w:rPr>
                <w:rFonts w:hint="eastAsia" w:ascii="宋体" w:hAnsi="宋体" w:cs="宋体"/>
                <w:color w:val="auto"/>
                <w:szCs w:val="21"/>
                <w:highlight w:val="none"/>
              </w:rPr>
            </w:pPr>
            <w:r>
              <w:rPr>
                <w:rFonts w:hint="eastAsia" w:ascii="宋体" w:hAnsi="宋体" w:cs="宋体"/>
                <w:color w:val="auto"/>
                <w:szCs w:val="21"/>
                <w:highlight w:val="none"/>
              </w:rPr>
              <w:t>8.轿厢净尺寸（宽×深×高）：2000 mm</w:t>
            </w:r>
            <w:r>
              <w:rPr>
                <w:rFonts w:hint="eastAsia" w:ascii="宋体" w:hAnsi="宋体" w:cs="宋体"/>
                <w:color w:val="auto"/>
                <w:szCs w:val="21"/>
                <w:highlight w:val="none"/>
                <w:lang w:val="zh-CN"/>
              </w:rPr>
              <w:t>×</w:t>
            </w:r>
            <w:r>
              <w:rPr>
                <w:rFonts w:hint="eastAsia" w:ascii="宋体" w:hAnsi="宋体" w:cs="宋体"/>
                <w:color w:val="auto"/>
                <w:szCs w:val="21"/>
                <w:highlight w:val="none"/>
              </w:rPr>
              <w:t>1750mm</w:t>
            </w:r>
            <w:r>
              <w:rPr>
                <w:rFonts w:hint="eastAsia" w:ascii="宋体" w:hAnsi="宋体" w:cs="宋体"/>
                <w:color w:val="auto"/>
                <w:szCs w:val="21"/>
                <w:highlight w:val="none"/>
                <w:lang w:val="zh-CN"/>
              </w:rPr>
              <w:t>×</w:t>
            </w:r>
            <w:r>
              <w:rPr>
                <w:rFonts w:hint="eastAsia" w:ascii="宋体" w:hAnsi="宋体" w:cs="宋体"/>
                <w:color w:val="auto"/>
                <w:szCs w:val="21"/>
                <w:highlight w:val="none"/>
              </w:rPr>
              <w:t>2300 mm。</w:t>
            </w:r>
          </w:p>
          <w:p>
            <w:pPr>
              <w:pStyle w:val="49"/>
              <w:ind w:firstLine="0" w:firstLineChars="0"/>
              <w:rPr>
                <w:rFonts w:hint="eastAsia" w:ascii="宋体" w:hAnsi="宋体" w:cs="宋体"/>
                <w:color w:val="auto"/>
                <w:szCs w:val="21"/>
                <w:highlight w:val="none"/>
              </w:rPr>
            </w:pPr>
            <w:r>
              <w:rPr>
                <w:rFonts w:hint="eastAsia" w:ascii="宋体" w:hAnsi="宋体" w:cs="宋体"/>
                <w:color w:val="auto"/>
                <w:szCs w:val="21"/>
                <w:highlight w:val="none"/>
              </w:rPr>
              <w:t>9.顶层高度：4600mm。</w:t>
            </w:r>
          </w:p>
          <w:p>
            <w:pPr>
              <w:pStyle w:val="49"/>
              <w:ind w:firstLine="0" w:firstLineChars="0"/>
              <w:rPr>
                <w:rFonts w:hint="eastAsia" w:ascii="宋体" w:hAnsi="宋体" w:cs="宋体"/>
                <w:color w:val="auto"/>
                <w:szCs w:val="21"/>
                <w:highlight w:val="none"/>
              </w:rPr>
            </w:pPr>
            <w:r>
              <w:rPr>
                <w:rFonts w:hint="eastAsia" w:ascii="宋体" w:hAnsi="宋体" w:cs="宋体"/>
                <w:color w:val="auto"/>
                <w:szCs w:val="21"/>
                <w:highlight w:val="none"/>
              </w:rPr>
              <w:t>10.底坑深度：1600mm。</w:t>
            </w:r>
          </w:p>
          <w:p>
            <w:pPr>
              <w:pStyle w:val="49"/>
              <w:ind w:firstLine="0" w:firstLineChars="0"/>
              <w:rPr>
                <w:rFonts w:hint="eastAsia" w:ascii="宋体" w:hAnsi="宋体" w:cs="宋体"/>
                <w:color w:val="auto"/>
                <w:szCs w:val="21"/>
                <w:highlight w:val="none"/>
              </w:rPr>
            </w:pPr>
            <w:r>
              <w:rPr>
                <w:rFonts w:hint="eastAsia" w:ascii="宋体" w:hAnsi="宋体" w:cs="宋体"/>
                <w:color w:val="auto"/>
                <w:szCs w:val="21"/>
                <w:highlight w:val="none"/>
              </w:rPr>
              <w:t>11.提升高度：</w:t>
            </w:r>
            <w:r>
              <w:rPr>
                <w:rFonts w:hint="eastAsia" w:ascii="宋体" w:hAnsi="宋体" w:cs="宋体"/>
                <w:bCs/>
                <w:color w:val="auto"/>
                <w:szCs w:val="21"/>
                <w:highlight w:val="none"/>
              </w:rPr>
              <w:t>20.1m</w:t>
            </w:r>
            <w:r>
              <w:rPr>
                <w:rFonts w:hint="eastAsia" w:ascii="宋体" w:hAnsi="宋体" w:cs="宋体"/>
                <w:color w:val="auto"/>
                <w:szCs w:val="21"/>
                <w:highlight w:val="none"/>
              </w:rPr>
              <w:t>。</w:t>
            </w:r>
          </w:p>
          <w:p>
            <w:pPr>
              <w:rPr>
                <w:rFonts w:hint="eastAsia" w:ascii="宋体" w:hAnsi="宋体" w:cs="宋体"/>
                <w:color w:val="auto"/>
                <w:szCs w:val="21"/>
                <w:highlight w:val="none"/>
              </w:rPr>
            </w:pPr>
            <w:r>
              <w:rPr>
                <w:rFonts w:hint="eastAsia" w:ascii="宋体" w:hAnsi="宋体" w:cs="宋体"/>
                <w:color w:val="auto"/>
                <w:szCs w:val="21"/>
                <w:highlight w:val="none"/>
              </w:rPr>
              <w:t>12.控制方式： 单控。</w:t>
            </w:r>
          </w:p>
          <w:p>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13.以上所有数据和尺寸最终以现场测量后厂家设计图纸为准。</w:t>
            </w:r>
          </w:p>
          <w:p>
            <w:pPr>
              <w:spacing w:line="360" w:lineRule="exact"/>
              <w:rPr>
                <w:rFonts w:hint="eastAsia" w:ascii="宋体" w:hAnsi="宋体" w:cs="宋体"/>
                <w:color w:val="auto"/>
                <w:szCs w:val="21"/>
                <w:highlight w:val="none"/>
              </w:rPr>
            </w:pPr>
            <w:r>
              <w:rPr>
                <w:rFonts w:hint="eastAsia" w:ascii="宋体" w:hAnsi="宋体" w:cs="宋体"/>
                <w:b/>
                <w:bCs/>
                <w:color w:val="auto"/>
                <w:szCs w:val="21"/>
                <w:highlight w:val="none"/>
              </w:rPr>
              <w:t>二、技术要求</w:t>
            </w:r>
          </w:p>
          <w:p>
            <w:pPr>
              <w:spacing w:line="340" w:lineRule="exact"/>
              <w:rPr>
                <w:rFonts w:hint="eastAsia" w:ascii="宋体" w:hAnsi="宋体"/>
                <w:color w:val="auto"/>
                <w:szCs w:val="21"/>
                <w:highlight w:val="none"/>
              </w:rPr>
            </w:pPr>
            <w:r>
              <w:rPr>
                <w:rFonts w:hint="eastAsia" w:ascii="宋体" w:hAnsi="宋体" w:cs="宋体"/>
                <w:color w:val="auto"/>
                <w:highlight w:val="none"/>
                <w:lang w:val="en"/>
              </w:rPr>
              <w:t>★</w:t>
            </w:r>
            <w:r>
              <w:rPr>
                <w:rFonts w:hint="eastAsia" w:ascii="宋体" w:hAnsi="宋体"/>
                <w:color w:val="auto"/>
                <w:szCs w:val="21"/>
                <w:highlight w:val="none"/>
              </w:rPr>
              <w:t>1.控制系统：采用双32位先进交流变频调压调速系统，采用全数字智能化、模块化微机控制系统。</w:t>
            </w:r>
          </w:p>
          <w:p>
            <w:pPr>
              <w:spacing w:line="340" w:lineRule="exact"/>
              <w:rPr>
                <w:rFonts w:hint="eastAsia" w:ascii="宋体" w:hAnsi="宋体"/>
                <w:color w:val="auto"/>
                <w:szCs w:val="21"/>
                <w:highlight w:val="none"/>
              </w:rPr>
            </w:pPr>
            <w:r>
              <w:rPr>
                <w:rFonts w:hint="eastAsia" w:ascii="宋体" w:hAnsi="宋体" w:cs="宋体"/>
                <w:color w:val="auto"/>
                <w:highlight w:val="none"/>
                <w:lang w:val="en"/>
              </w:rPr>
              <w:t>★</w:t>
            </w:r>
            <w:r>
              <w:rPr>
                <w:rFonts w:hint="eastAsia" w:ascii="宋体" w:hAnsi="宋体"/>
                <w:color w:val="auto"/>
                <w:szCs w:val="21"/>
                <w:highlight w:val="none"/>
              </w:rPr>
              <w:t>2.变频系统：交流变频调压调速（VVVF）系统。</w:t>
            </w:r>
          </w:p>
          <w:p>
            <w:pPr>
              <w:spacing w:line="340" w:lineRule="exact"/>
              <w:rPr>
                <w:rFonts w:hint="eastAsia" w:ascii="宋体" w:hAnsi="宋体"/>
                <w:color w:val="auto"/>
                <w:szCs w:val="21"/>
                <w:highlight w:val="none"/>
              </w:rPr>
            </w:pPr>
            <w:r>
              <w:rPr>
                <w:rFonts w:hint="eastAsia" w:ascii="宋体" w:hAnsi="宋体" w:cs="宋体"/>
                <w:color w:val="auto"/>
                <w:highlight w:val="none"/>
                <w:lang w:val="en"/>
              </w:rPr>
              <w:t>★</w:t>
            </w:r>
            <w:r>
              <w:rPr>
                <w:rFonts w:hint="eastAsia" w:ascii="宋体" w:hAnsi="宋体"/>
                <w:color w:val="auto"/>
                <w:szCs w:val="21"/>
                <w:highlight w:val="none"/>
              </w:rPr>
              <w:t>3.曳引系统：采用先进节能永磁同步无齿轮曳引机，能实现降低噪音与振动，并消除减速环节失效，曳引机制动器安全可靠，可应对高频使用情况，耐久性好。</w:t>
            </w:r>
          </w:p>
          <w:p>
            <w:pPr>
              <w:spacing w:line="340" w:lineRule="exact"/>
              <w:rPr>
                <w:rFonts w:hint="eastAsia" w:ascii="宋体" w:hAnsi="宋体"/>
                <w:color w:val="auto"/>
                <w:szCs w:val="21"/>
                <w:highlight w:val="none"/>
              </w:rPr>
            </w:pPr>
            <w:r>
              <w:rPr>
                <w:rFonts w:hint="eastAsia" w:ascii="宋体" w:hAnsi="宋体" w:cs="宋体"/>
                <w:color w:val="auto"/>
                <w:highlight w:val="none"/>
                <w:lang w:val="en"/>
              </w:rPr>
              <w:t>★</w:t>
            </w:r>
            <w:r>
              <w:rPr>
                <w:rFonts w:hint="eastAsia" w:ascii="宋体" w:hAnsi="宋体"/>
                <w:color w:val="auto"/>
                <w:szCs w:val="21"/>
                <w:highlight w:val="none"/>
              </w:rPr>
              <w:t>4.门机系统：全系列采用超薄PM永磁同步门机驱动技术，通过采用先进的变频变压无连杆设计，32位高速数字信号处理器、速度电流双闭环反馈控制，变压变频(VVVF)调速系统三位一体，电梯永磁同步门机系统的动作寿命达到1350万次，技术先进、安全可靠，技术性能优，使用寿命高。</w:t>
            </w:r>
          </w:p>
          <w:p>
            <w:pPr>
              <w:spacing w:line="340" w:lineRule="exact"/>
              <w:rPr>
                <w:rFonts w:hint="eastAsia" w:ascii="宋体" w:hAnsi="宋体"/>
                <w:color w:val="auto"/>
                <w:szCs w:val="21"/>
                <w:highlight w:val="none"/>
              </w:rPr>
            </w:pPr>
            <w:r>
              <w:rPr>
                <w:rFonts w:hint="eastAsia" w:ascii="宋体" w:hAnsi="宋体"/>
                <w:color w:val="auto"/>
                <w:szCs w:val="21"/>
                <w:highlight w:val="none"/>
              </w:rPr>
              <w:t>5.通讯方式：采用CANBUS（现场总线）数据网络控制技术，并且电梯轿厢指令控制器、轿厢内层楼指示器、门机控制器、每一层站按钮与层楼指示器等子系统都应用独立的微处理器。</w:t>
            </w:r>
          </w:p>
          <w:p>
            <w:pPr>
              <w:spacing w:line="340" w:lineRule="exact"/>
              <w:rPr>
                <w:rFonts w:hint="eastAsia" w:ascii="宋体" w:hAnsi="宋体"/>
                <w:color w:val="auto"/>
                <w:szCs w:val="21"/>
                <w:highlight w:val="none"/>
              </w:rPr>
            </w:pPr>
            <w:r>
              <w:rPr>
                <w:rFonts w:hint="eastAsia" w:ascii="宋体" w:hAnsi="宋体"/>
                <w:color w:val="auto"/>
                <w:szCs w:val="21"/>
                <w:highlight w:val="none"/>
              </w:rPr>
              <w:t>6.电源系统：使用全数字控制智能化DC-DC电源技术。</w:t>
            </w:r>
          </w:p>
          <w:p>
            <w:pPr>
              <w:spacing w:line="340" w:lineRule="exact"/>
              <w:rPr>
                <w:rFonts w:hint="eastAsia" w:ascii="宋体" w:hAnsi="宋体"/>
                <w:color w:val="auto"/>
                <w:szCs w:val="21"/>
                <w:highlight w:val="none"/>
              </w:rPr>
            </w:pPr>
            <w:r>
              <w:rPr>
                <w:rFonts w:hint="eastAsia" w:ascii="宋体" w:hAnsi="宋体" w:cs="宋体"/>
                <w:color w:val="auto"/>
                <w:highlight w:val="none"/>
                <w:lang w:val="en"/>
              </w:rPr>
              <w:t>★</w:t>
            </w:r>
            <w:r>
              <w:rPr>
                <w:rFonts w:hint="eastAsia" w:ascii="宋体" w:hAnsi="宋体"/>
                <w:color w:val="auto"/>
                <w:szCs w:val="21"/>
                <w:highlight w:val="none"/>
              </w:rPr>
              <w:t>7.安全门保护：红外线光幕及触板保护，采用的2D红外线感应光幕，交叉式，且扫描光束达到170束或以上。</w:t>
            </w:r>
          </w:p>
          <w:p>
            <w:pPr>
              <w:spacing w:line="340" w:lineRule="exact"/>
              <w:rPr>
                <w:rFonts w:hint="eastAsia" w:ascii="宋体" w:hAnsi="宋体"/>
                <w:color w:val="auto"/>
                <w:szCs w:val="21"/>
                <w:highlight w:val="none"/>
              </w:rPr>
            </w:pPr>
            <w:r>
              <w:rPr>
                <w:rFonts w:hint="eastAsia" w:ascii="宋体" w:hAnsi="宋体"/>
                <w:color w:val="auto"/>
                <w:szCs w:val="21"/>
                <w:highlight w:val="none"/>
              </w:rPr>
              <w:t>8.电梯主体结构采用全方位抗震保护设计，确保电梯安全。</w:t>
            </w:r>
          </w:p>
          <w:p>
            <w:pPr>
              <w:spacing w:line="340" w:lineRule="exact"/>
              <w:rPr>
                <w:rFonts w:hint="eastAsia" w:ascii="宋体" w:hAnsi="宋体"/>
                <w:color w:val="auto"/>
                <w:szCs w:val="21"/>
                <w:highlight w:val="none"/>
              </w:rPr>
            </w:pPr>
            <w:r>
              <w:rPr>
                <w:rFonts w:hint="eastAsia" w:ascii="宋体" w:hAnsi="宋体"/>
                <w:color w:val="auto"/>
                <w:szCs w:val="21"/>
                <w:highlight w:val="none"/>
              </w:rPr>
              <w:t>9.在轿厢架和轿顶轮之间增加弹性结构（采用橡胶或者弹簧隔振），从而减小结构振动传递的振动和噪声，提高乘坐电梯的舒适度。</w:t>
            </w:r>
          </w:p>
          <w:p>
            <w:pPr>
              <w:spacing w:line="340" w:lineRule="exact"/>
              <w:rPr>
                <w:rFonts w:hint="eastAsia" w:ascii="宋体" w:hAnsi="宋体"/>
                <w:color w:val="auto"/>
                <w:szCs w:val="21"/>
                <w:highlight w:val="none"/>
              </w:rPr>
            </w:pPr>
            <w:r>
              <w:rPr>
                <w:rFonts w:hint="eastAsia" w:ascii="宋体" w:hAnsi="宋体" w:cs="宋体"/>
                <w:color w:val="auto"/>
                <w:highlight w:val="none"/>
                <w:lang w:val="en"/>
              </w:rPr>
              <w:t>★</w:t>
            </w:r>
            <w:r>
              <w:rPr>
                <w:rFonts w:hint="eastAsia" w:ascii="宋体" w:hAnsi="宋体"/>
                <w:color w:val="auto"/>
                <w:szCs w:val="21"/>
                <w:highlight w:val="none"/>
              </w:rPr>
              <w:t>10.电梯主机制动器采用为轿厢内加载至200%的额定载荷并保持 20min后，各部件完好。</w:t>
            </w:r>
          </w:p>
          <w:p>
            <w:pPr>
              <w:spacing w:line="340" w:lineRule="exact"/>
              <w:rPr>
                <w:rFonts w:hint="eastAsia" w:ascii="宋体" w:hAnsi="宋体"/>
                <w:color w:val="auto"/>
                <w:szCs w:val="21"/>
                <w:highlight w:val="none"/>
              </w:rPr>
            </w:pPr>
            <w:r>
              <w:rPr>
                <w:rFonts w:hint="eastAsia" w:ascii="宋体" w:hAnsi="宋体"/>
                <w:color w:val="auto"/>
                <w:szCs w:val="21"/>
                <w:highlight w:val="none"/>
              </w:rPr>
              <w:t>11.整机绝缘等级为F级。</w:t>
            </w:r>
          </w:p>
          <w:p>
            <w:pPr>
              <w:spacing w:line="340" w:lineRule="exact"/>
              <w:rPr>
                <w:rFonts w:hint="eastAsia" w:ascii="宋体" w:hAnsi="宋体"/>
                <w:color w:val="auto"/>
                <w:szCs w:val="21"/>
                <w:highlight w:val="none"/>
              </w:rPr>
            </w:pPr>
            <w:r>
              <w:rPr>
                <w:rFonts w:hint="eastAsia" w:ascii="宋体" w:hAnsi="宋体"/>
                <w:color w:val="auto"/>
                <w:szCs w:val="21"/>
                <w:highlight w:val="none"/>
              </w:rPr>
              <w:t>12.称量系统：采用线性连续式高精度称量传感器的称量系统</w:t>
            </w:r>
          </w:p>
          <w:p>
            <w:pPr>
              <w:spacing w:line="340" w:lineRule="exact"/>
              <w:rPr>
                <w:rFonts w:hint="eastAsia" w:ascii="宋体" w:hAnsi="宋体"/>
                <w:color w:val="auto"/>
                <w:szCs w:val="21"/>
                <w:highlight w:val="none"/>
              </w:rPr>
            </w:pPr>
            <w:r>
              <w:rPr>
                <w:rFonts w:hint="eastAsia" w:ascii="宋体" w:hAnsi="宋体" w:cs="宋体"/>
                <w:color w:val="auto"/>
                <w:highlight w:val="none"/>
                <w:lang w:val="en"/>
              </w:rPr>
              <w:t>★</w:t>
            </w:r>
            <w:r>
              <w:rPr>
                <w:rFonts w:hint="eastAsia" w:ascii="宋体" w:hAnsi="宋体"/>
                <w:color w:val="auto"/>
                <w:szCs w:val="21"/>
                <w:highlight w:val="none"/>
              </w:rPr>
              <w:t>13.供电条件:DC-DC电源，动力电源：三相交流380V，50Hz照明电源：单相交流220V，50Hz</w:t>
            </w:r>
          </w:p>
          <w:p>
            <w:pPr>
              <w:spacing w:line="340" w:lineRule="exact"/>
              <w:rPr>
                <w:rFonts w:hint="eastAsia" w:ascii="宋体" w:hAnsi="宋体"/>
                <w:color w:val="auto"/>
                <w:szCs w:val="21"/>
                <w:highlight w:val="none"/>
              </w:rPr>
            </w:pPr>
            <w:r>
              <w:rPr>
                <w:rFonts w:hint="eastAsia" w:ascii="宋体" w:hAnsi="宋体" w:cs="宋体"/>
                <w:color w:val="auto"/>
                <w:highlight w:val="none"/>
                <w:lang w:val="en"/>
              </w:rPr>
              <w:t>★</w:t>
            </w:r>
            <w:r>
              <w:rPr>
                <w:rFonts w:hint="eastAsia" w:ascii="宋体" w:hAnsi="宋体"/>
                <w:color w:val="auto"/>
                <w:szCs w:val="21"/>
                <w:highlight w:val="none"/>
              </w:rPr>
              <w:t>14.电梯控制柜三相动力电源线与地之间施加±18000V雷击浪涌干扰≥50次，部件无损坏。</w:t>
            </w:r>
          </w:p>
          <w:p>
            <w:pPr>
              <w:spacing w:after="120" w:line="276" w:lineRule="auto"/>
              <w:ind w:left="-71"/>
              <w:rPr>
                <w:rFonts w:ascii="宋体" w:hAnsi="宋体" w:cs="宋体"/>
                <w:color w:val="auto"/>
                <w:szCs w:val="21"/>
                <w:highlight w:val="none"/>
              </w:rPr>
            </w:pPr>
            <w:r>
              <w:rPr>
                <w:rFonts w:hint="eastAsia" w:ascii="宋体" w:hAnsi="宋体" w:cs="宋体"/>
                <w:b/>
                <w:bCs/>
                <w:color w:val="auto"/>
                <w:szCs w:val="21"/>
                <w:highlight w:val="none"/>
              </w:rPr>
              <w:t xml:space="preserve">三、主要部件及技术要求 </w:t>
            </w:r>
          </w:p>
          <w:p>
            <w:pPr>
              <w:widowControl/>
              <w:snapToGrid w:val="0"/>
              <w:spacing w:line="276" w:lineRule="auto"/>
              <w:ind w:left="-71"/>
              <w:jc w:val="left"/>
              <w:outlineLvl w:val="0"/>
              <w:rPr>
                <w:rFonts w:ascii="宋体" w:hAnsi="宋体" w:cs="宋体"/>
                <w:color w:val="auto"/>
                <w:szCs w:val="21"/>
                <w:highlight w:val="none"/>
              </w:rPr>
            </w:pPr>
            <w:r>
              <w:rPr>
                <w:rFonts w:hint="eastAsia" w:ascii="宋体" w:hAnsi="宋体"/>
                <w:b/>
                <w:bCs/>
                <w:color w:val="auto"/>
                <w:szCs w:val="21"/>
                <w:highlight w:val="none"/>
              </w:rPr>
              <w:t>▲</w:t>
            </w:r>
            <w:r>
              <w:rPr>
                <w:rFonts w:hint="eastAsia" w:ascii="宋体" w:hAnsi="宋体" w:cs="宋体"/>
                <w:color w:val="auto"/>
                <w:szCs w:val="21"/>
                <w:highlight w:val="none"/>
              </w:rPr>
              <w:t>1.主要部件要求：</w:t>
            </w:r>
          </w:p>
          <w:p>
            <w:pPr>
              <w:widowControl/>
              <w:snapToGrid w:val="0"/>
              <w:spacing w:line="340" w:lineRule="exact"/>
              <w:jc w:val="left"/>
              <w:outlineLvl w:val="0"/>
              <w:rPr>
                <w:rFonts w:ascii="宋体" w:hAnsi="宋体" w:cs="宋体"/>
                <w:color w:val="auto"/>
                <w:highlight w:val="none"/>
                <w:lang w:val="en"/>
              </w:rPr>
            </w:pPr>
            <w:r>
              <w:rPr>
                <w:rFonts w:hint="eastAsia" w:ascii="宋体" w:hAnsi="宋体" w:cs="宋体"/>
                <w:color w:val="auto"/>
                <w:szCs w:val="21"/>
                <w:highlight w:val="none"/>
              </w:rPr>
              <w:t>驱动主机(曳引机)、控制柜、可编程电子安全相关系统、层门门锁、轿门门锁、限速器、安全钳、缓冲器、上行超速保护装置、轿厢意外移动保护装置必须为竞标产品同品牌、同制造商设计和制造，</w:t>
            </w:r>
            <w:r>
              <w:rPr>
                <w:rFonts w:hint="eastAsia" w:ascii="宋体" w:hAnsi="宋体" w:cs="宋体"/>
                <w:b/>
                <w:bCs/>
                <w:color w:val="auto"/>
                <w:szCs w:val="21"/>
                <w:highlight w:val="none"/>
              </w:rPr>
              <w:t>需提供电梯整梯型式试验证书及报告复印件</w:t>
            </w:r>
            <w:r>
              <w:rPr>
                <w:rFonts w:hint="eastAsia" w:ascii="宋体" w:hAnsi="宋体" w:cs="宋体"/>
                <w:color w:val="auto"/>
                <w:szCs w:val="21"/>
                <w:highlight w:val="none"/>
              </w:rPr>
              <w:t>。</w:t>
            </w:r>
          </w:p>
          <w:p>
            <w:pPr>
              <w:widowControl/>
              <w:snapToGrid w:val="0"/>
              <w:spacing w:line="340" w:lineRule="exact"/>
              <w:jc w:val="left"/>
              <w:outlineLvl w:val="0"/>
              <w:rPr>
                <w:rFonts w:hint="eastAsia" w:ascii="宋体" w:hAnsi="宋体" w:cs="宋体"/>
                <w:color w:val="auto"/>
                <w:szCs w:val="21"/>
                <w:highlight w:val="none"/>
              </w:rPr>
            </w:pPr>
            <w:r>
              <w:rPr>
                <w:rFonts w:hint="eastAsia" w:ascii="宋体" w:hAnsi="宋体" w:cs="宋体"/>
                <w:color w:val="auto"/>
                <w:szCs w:val="21"/>
                <w:highlight w:val="none"/>
              </w:rPr>
              <w:t>2.曳引机钢丝绳数量≥5条、悬挂比2：1。</w:t>
            </w:r>
          </w:p>
          <w:p>
            <w:pPr>
              <w:spacing w:line="276" w:lineRule="auto"/>
              <w:ind w:left="-71"/>
              <w:rPr>
                <w:rFonts w:hint="eastAsia" w:ascii="宋体" w:hAnsi="宋体" w:cs="宋体"/>
                <w:b/>
                <w:bCs/>
                <w:color w:val="auto"/>
                <w:szCs w:val="21"/>
                <w:highlight w:val="none"/>
              </w:rPr>
            </w:pPr>
            <w:r>
              <w:rPr>
                <w:rFonts w:hint="eastAsia" w:ascii="宋体" w:hAnsi="宋体" w:cs="宋体"/>
                <w:b/>
                <w:bCs/>
                <w:color w:val="auto"/>
                <w:szCs w:val="21"/>
                <w:highlight w:val="none"/>
              </w:rPr>
              <w:t>四、轿厢装潢</w:t>
            </w:r>
          </w:p>
          <w:p>
            <w:pPr>
              <w:widowControl/>
              <w:snapToGrid w:val="0"/>
              <w:spacing w:line="340" w:lineRule="exact"/>
              <w:jc w:val="left"/>
              <w:outlineLvl w:val="0"/>
              <w:rPr>
                <w:rFonts w:hint="eastAsia" w:ascii="宋体" w:hAnsi="宋体" w:cs="宋体"/>
                <w:color w:val="auto"/>
                <w:szCs w:val="21"/>
                <w:highlight w:val="none"/>
              </w:rPr>
            </w:pPr>
            <w:r>
              <w:rPr>
                <w:rFonts w:hint="eastAsia" w:ascii="宋体" w:hAnsi="宋体"/>
                <w:b/>
                <w:bCs/>
                <w:color w:val="auto"/>
                <w:szCs w:val="21"/>
                <w:highlight w:val="none"/>
              </w:rPr>
              <w:t>▲</w:t>
            </w:r>
            <w:r>
              <w:rPr>
                <w:rFonts w:hint="eastAsia" w:ascii="宋体" w:hAnsi="宋体" w:cs="宋体"/>
                <w:color w:val="auto"/>
                <w:szCs w:val="21"/>
                <w:highlight w:val="none"/>
              </w:rPr>
              <w:t xml:space="preserve">1.轿厢装饰要求：轿厢轿壁、轿门 304发纹不锈钢。  </w:t>
            </w:r>
          </w:p>
          <w:p>
            <w:pPr>
              <w:widowControl/>
              <w:snapToGrid w:val="0"/>
              <w:spacing w:line="340" w:lineRule="exact"/>
              <w:jc w:val="left"/>
              <w:outlineLvl w:val="0"/>
              <w:rPr>
                <w:rFonts w:hint="eastAsia" w:ascii="宋体" w:hAnsi="宋体" w:cs="宋体"/>
                <w:color w:val="auto"/>
                <w:szCs w:val="21"/>
                <w:highlight w:val="none"/>
              </w:rPr>
            </w:pPr>
            <w:r>
              <w:rPr>
                <w:rFonts w:hint="eastAsia" w:ascii="宋体" w:hAnsi="宋体"/>
                <w:b/>
                <w:bCs/>
                <w:color w:val="auto"/>
                <w:szCs w:val="21"/>
                <w:highlight w:val="none"/>
              </w:rPr>
              <w:t>▲</w:t>
            </w:r>
            <w:r>
              <w:rPr>
                <w:rFonts w:hint="eastAsia" w:ascii="宋体" w:hAnsi="宋体" w:cs="宋体"/>
                <w:color w:val="auto"/>
                <w:szCs w:val="21"/>
                <w:highlight w:val="none"/>
              </w:rPr>
              <w:t xml:space="preserve">2.轿门地坎：硬质铝合金型材。 </w:t>
            </w:r>
          </w:p>
          <w:p>
            <w:pPr>
              <w:widowControl/>
              <w:snapToGrid w:val="0"/>
              <w:spacing w:line="340" w:lineRule="exact"/>
              <w:jc w:val="left"/>
              <w:outlineLvl w:val="0"/>
              <w:rPr>
                <w:rFonts w:hint="eastAsia" w:ascii="宋体" w:hAnsi="宋体" w:cs="宋体"/>
                <w:color w:val="auto"/>
                <w:szCs w:val="21"/>
                <w:highlight w:val="none"/>
              </w:rPr>
            </w:pPr>
            <w:r>
              <w:rPr>
                <w:rFonts w:hint="eastAsia" w:ascii="宋体" w:hAnsi="宋体"/>
                <w:b/>
                <w:bCs/>
                <w:color w:val="auto"/>
                <w:szCs w:val="21"/>
                <w:highlight w:val="none"/>
              </w:rPr>
              <w:t>▲</w:t>
            </w:r>
            <w:r>
              <w:rPr>
                <w:rFonts w:hint="eastAsia" w:ascii="宋体" w:hAnsi="宋体" w:cs="宋体"/>
                <w:color w:val="auto"/>
                <w:szCs w:val="21"/>
                <w:highlight w:val="none"/>
              </w:rPr>
              <w:t xml:space="preserve">3.袖壁板：发纹不锈钢。 </w:t>
            </w:r>
          </w:p>
          <w:p>
            <w:pPr>
              <w:widowControl/>
              <w:snapToGrid w:val="0"/>
              <w:spacing w:line="340" w:lineRule="exact"/>
              <w:jc w:val="left"/>
              <w:outlineLvl w:val="0"/>
              <w:rPr>
                <w:rFonts w:hint="eastAsia" w:ascii="宋体" w:hAnsi="宋体" w:cs="宋体"/>
                <w:color w:val="auto"/>
                <w:szCs w:val="21"/>
                <w:highlight w:val="none"/>
              </w:rPr>
            </w:pPr>
            <w:r>
              <w:rPr>
                <w:rFonts w:hint="eastAsia" w:ascii="宋体" w:hAnsi="宋体"/>
                <w:b/>
                <w:bCs/>
                <w:color w:val="auto"/>
                <w:szCs w:val="21"/>
                <w:highlight w:val="none"/>
              </w:rPr>
              <w:t>▲</w:t>
            </w:r>
            <w:r>
              <w:rPr>
                <w:rFonts w:hint="eastAsia" w:ascii="宋体" w:hAnsi="宋体" w:cs="宋体"/>
                <w:color w:val="auto"/>
                <w:szCs w:val="21"/>
                <w:highlight w:val="none"/>
              </w:rPr>
              <w:t xml:space="preserve">4.轿厢门楣：发纹不锈钢。 </w:t>
            </w:r>
          </w:p>
          <w:p>
            <w:pPr>
              <w:widowControl/>
              <w:snapToGrid w:val="0"/>
              <w:spacing w:line="340" w:lineRule="exact"/>
              <w:jc w:val="left"/>
              <w:outlineLvl w:val="0"/>
              <w:rPr>
                <w:rFonts w:hint="eastAsia" w:ascii="宋体" w:hAnsi="宋体" w:cs="宋体"/>
                <w:color w:val="auto"/>
                <w:szCs w:val="21"/>
                <w:highlight w:val="none"/>
              </w:rPr>
            </w:pPr>
            <w:r>
              <w:rPr>
                <w:rFonts w:hint="eastAsia" w:ascii="宋体" w:hAnsi="宋体"/>
                <w:b/>
                <w:bCs/>
                <w:color w:val="auto"/>
                <w:szCs w:val="21"/>
                <w:highlight w:val="none"/>
              </w:rPr>
              <w:t>▲</w:t>
            </w:r>
            <w:r>
              <w:rPr>
                <w:rFonts w:hint="eastAsia" w:ascii="宋体" w:hAnsi="宋体" w:cs="宋体"/>
                <w:color w:val="auto"/>
                <w:szCs w:val="21"/>
                <w:highlight w:val="none"/>
              </w:rPr>
              <w:t xml:space="preserve">5.层门、门套：发纹不锈钢，大门套。 </w:t>
            </w:r>
          </w:p>
          <w:p>
            <w:pPr>
              <w:widowControl/>
              <w:snapToGrid w:val="0"/>
              <w:spacing w:line="340" w:lineRule="exact"/>
              <w:jc w:val="left"/>
              <w:outlineLvl w:val="0"/>
              <w:rPr>
                <w:rFonts w:hint="eastAsia" w:ascii="宋体" w:hAnsi="宋体" w:cs="宋体"/>
                <w:color w:val="auto"/>
                <w:szCs w:val="21"/>
                <w:highlight w:val="none"/>
              </w:rPr>
            </w:pPr>
            <w:r>
              <w:rPr>
                <w:rFonts w:hint="eastAsia" w:ascii="宋体" w:hAnsi="宋体" w:cs="宋体"/>
                <w:color w:val="auto"/>
                <w:szCs w:val="21"/>
                <w:highlight w:val="none"/>
              </w:rPr>
              <w:t>6.轿厢地面：</w:t>
            </w:r>
            <w:r>
              <w:rPr>
                <w:rFonts w:hint="eastAsia" w:ascii="宋体" w:hAnsi="宋体" w:cs="宋体"/>
                <w:color w:val="auto"/>
                <w:szCs w:val="21"/>
                <w:highlight w:val="none"/>
                <w:lang w:val="zh-CN"/>
              </w:rPr>
              <w:t>塑料地板胶</w:t>
            </w:r>
            <w:r>
              <w:rPr>
                <w:rFonts w:hint="eastAsia" w:ascii="宋体" w:hAnsi="宋体" w:cs="宋体"/>
                <w:color w:val="auto"/>
                <w:szCs w:val="21"/>
                <w:highlight w:val="none"/>
              </w:rPr>
              <w:t xml:space="preserve">。  </w:t>
            </w:r>
          </w:p>
          <w:p>
            <w:pPr>
              <w:widowControl/>
              <w:snapToGrid w:val="0"/>
              <w:spacing w:line="340" w:lineRule="exact"/>
              <w:jc w:val="left"/>
              <w:outlineLvl w:val="0"/>
              <w:rPr>
                <w:rFonts w:hint="eastAsia" w:ascii="宋体" w:hAnsi="宋体" w:cs="宋体"/>
                <w:color w:val="auto"/>
                <w:szCs w:val="21"/>
                <w:highlight w:val="none"/>
              </w:rPr>
            </w:pPr>
            <w:r>
              <w:rPr>
                <w:rFonts w:hint="eastAsia" w:ascii="宋体" w:hAnsi="宋体" w:cs="宋体"/>
                <w:color w:val="auto"/>
                <w:szCs w:val="21"/>
                <w:highlight w:val="none"/>
              </w:rPr>
              <w:t xml:space="preserve">7.轿厢操纵箱：发纹不锈钢面板，微动式圆形不锈钢按钮，轿厢显示层站和运行方向。               </w:t>
            </w:r>
          </w:p>
          <w:p>
            <w:pPr>
              <w:widowControl/>
              <w:snapToGrid w:val="0"/>
              <w:spacing w:line="340" w:lineRule="exact"/>
              <w:jc w:val="left"/>
              <w:outlineLvl w:val="0"/>
              <w:rPr>
                <w:rFonts w:hint="eastAsia" w:ascii="宋体" w:hAnsi="宋体" w:cs="宋体"/>
                <w:color w:val="auto"/>
                <w:szCs w:val="21"/>
                <w:highlight w:val="none"/>
              </w:rPr>
            </w:pPr>
            <w:r>
              <w:rPr>
                <w:rFonts w:hint="eastAsia" w:ascii="宋体" w:hAnsi="宋体" w:cs="宋体"/>
                <w:color w:val="auto"/>
                <w:szCs w:val="21"/>
                <w:highlight w:val="none"/>
              </w:rPr>
              <w:t xml:space="preserve">8.厅门召唤箱：带指示层的召唤箱发纹不锈钢面板，显示层站和运行方向，圆形不锈钢微动按钮。 </w:t>
            </w:r>
          </w:p>
          <w:p>
            <w:pPr>
              <w:widowControl/>
              <w:snapToGrid w:val="0"/>
              <w:spacing w:line="340" w:lineRule="exact"/>
              <w:jc w:val="left"/>
              <w:outlineLvl w:val="0"/>
              <w:rPr>
                <w:rFonts w:hint="eastAsia" w:ascii="宋体" w:hAnsi="宋体" w:cs="宋体"/>
                <w:color w:val="auto"/>
                <w:szCs w:val="21"/>
                <w:highlight w:val="none"/>
              </w:rPr>
            </w:pPr>
            <w:r>
              <w:rPr>
                <w:rFonts w:hint="eastAsia" w:ascii="宋体" w:hAnsi="宋体" w:cs="宋体"/>
                <w:color w:val="auto"/>
                <w:szCs w:val="21"/>
                <w:highlight w:val="none"/>
              </w:rPr>
              <w:t>9.轿厢吊顶：LED灯照明，经过防尘、无静电处理。</w:t>
            </w:r>
          </w:p>
          <w:p>
            <w:pPr>
              <w:widowControl/>
              <w:snapToGrid w:val="0"/>
              <w:spacing w:line="340" w:lineRule="exact"/>
              <w:jc w:val="left"/>
              <w:outlineLvl w:val="0"/>
              <w:rPr>
                <w:rFonts w:hint="eastAsia" w:ascii="宋体" w:hAnsi="宋体" w:cs="宋体"/>
                <w:color w:val="auto"/>
                <w:szCs w:val="21"/>
                <w:highlight w:val="none"/>
              </w:rPr>
            </w:pPr>
            <w:r>
              <w:rPr>
                <w:rFonts w:hint="eastAsia" w:ascii="宋体" w:hAnsi="宋体" w:cs="宋体"/>
                <w:color w:val="auto"/>
                <w:szCs w:val="21"/>
                <w:highlight w:val="none"/>
              </w:rPr>
              <w:t xml:space="preserve">10.轿厢通风系统：轿顶风口送风。 </w:t>
            </w:r>
          </w:p>
          <w:p>
            <w:pPr>
              <w:spacing w:line="276" w:lineRule="auto"/>
              <w:ind w:left="-71"/>
              <w:jc w:val="left"/>
              <w:rPr>
                <w:rFonts w:hint="eastAsia" w:ascii="宋体" w:hAnsi="宋体" w:cs="宋体"/>
                <w:b/>
                <w:bCs/>
                <w:color w:val="auto"/>
                <w:szCs w:val="21"/>
                <w:highlight w:val="none"/>
              </w:rPr>
            </w:pPr>
            <w:r>
              <w:rPr>
                <w:rFonts w:hint="eastAsia" w:ascii="宋体" w:hAnsi="宋体" w:cs="宋体"/>
                <w:b/>
                <w:bCs/>
                <w:color w:val="auto"/>
                <w:szCs w:val="21"/>
                <w:highlight w:val="none"/>
              </w:rPr>
              <w:t>五、电梯功能</w:t>
            </w:r>
          </w:p>
          <w:p>
            <w:pPr>
              <w:jc w:val="left"/>
              <w:rPr>
                <w:rFonts w:hint="eastAsia" w:ascii="宋体" w:hAnsi="宋体" w:cs="宋体"/>
                <w:color w:val="auto"/>
                <w:szCs w:val="21"/>
                <w:highlight w:val="none"/>
              </w:rPr>
            </w:pPr>
            <w:r>
              <w:rPr>
                <w:rFonts w:hint="eastAsia" w:ascii="宋体" w:hAnsi="宋体" w:cs="宋体"/>
                <w:color w:val="auto"/>
                <w:szCs w:val="21"/>
                <w:highlight w:val="none"/>
              </w:rPr>
              <w:t>1.全集选控制运行功能</w:t>
            </w:r>
          </w:p>
          <w:p>
            <w:pPr>
              <w:jc w:val="left"/>
              <w:rPr>
                <w:rFonts w:hint="eastAsia" w:ascii="宋体" w:hAnsi="宋体" w:cs="宋体"/>
                <w:color w:val="auto"/>
                <w:szCs w:val="21"/>
                <w:highlight w:val="none"/>
              </w:rPr>
            </w:pPr>
            <w:r>
              <w:rPr>
                <w:rFonts w:hint="eastAsia" w:ascii="宋体" w:hAnsi="宋体" w:cs="宋体"/>
                <w:color w:val="auto"/>
                <w:szCs w:val="21"/>
                <w:highlight w:val="none"/>
              </w:rPr>
              <w:t>2.超载保护功能</w:t>
            </w:r>
          </w:p>
          <w:p>
            <w:pPr>
              <w:jc w:val="left"/>
              <w:rPr>
                <w:rFonts w:hint="eastAsia" w:ascii="宋体" w:hAnsi="宋体" w:cs="宋体"/>
                <w:color w:val="auto"/>
                <w:szCs w:val="21"/>
                <w:highlight w:val="none"/>
              </w:rPr>
            </w:pPr>
            <w:r>
              <w:rPr>
                <w:rFonts w:hint="eastAsia" w:ascii="宋体" w:hAnsi="宋体" w:cs="宋体"/>
                <w:color w:val="auto"/>
                <w:szCs w:val="21"/>
                <w:highlight w:val="none"/>
              </w:rPr>
              <w:t>3.超载报警功能</w:t>
            </w:r>
          </w:p>
          <w:p>
            <w:pPr>
              <w:jc w:val="left"/>
              <w:rPr>
                <w:rFonts w:hint="eastAsia" w:ascii="宋体" w:hAnsi="宋体" w:cs="宋体"/>
                <w:color w:val="auto"/>
                <w:szCs w:val="21"/>
                <w:highlight w:val="none"/>
              </w:rPr>
            </w:pPr>
            <w:r>
              <w:rPr>
                <w:rFonts w:hint="eastAsia" w:ascii="宋体" w:hAnsi="宋体" w:cs="宋体"/>
                <w:color w:val="auto"/>
                <w:szCs w:val="21"/>
                <w:highlight w:val="none"/>
              </w:rPr>
              <w:t>4.超速电气保护功能</w:t>
            </w:r>
          </w:p>
          <w:p>
            <w:pPr>
              <w:jc w:val="left"/>
              <w:rPr>
                <w:rFonts w:hint="eastAsia" w:ascii="宋体" w:hAnsi="宋体" w:cs="宋体"/>
                <w:color w:val="auto"/>
                <w:szCs w:val="21"/>
                <w:highlight w:val="none"/>
              </w:rPr>
            </w:pPr>
            <w:r>
              <w:rPr>
                <w:rFonts w:hint="eastAsia" w:ascii="宋体" w:hAnsi="宋体" w:cs="宋体"/>
                <w:color w:val="auto"/>
                <w:szCs w:val="21"/>
                <w:highlight w:val="none"/>
              </w:rPr>
              <w:t>5.超速机械保护功能</w:t>
            </w:r>
          </w:p>
          <w:p>
            <w:pPr>
              <w:jc w:val="left"/>
              <w:rPr>
                <w:rFonts w:hint="eastAsia" w:ascii="宋体" w:hAnsi="宋体" w:cs="宋体"/>
                <w:color w:val="auto"/>
                <w:szCs w:val="21"/>
                <w:highlight w:val="none"/>
              </w:rPr>
            </w:pPr>
            <w:r>
              <w:rPr>
                <w:rFonts w:hint="eastAsia" w:ascii="宋体" w:hAnsi="宋体" w:cs="宋体"/>
                <w:color w:val="auto"/>
                <w:szCs w:val="21"/>
                <w:highlight w:val="none"/>
              </w:rPr>
              <w:t>6.智能光幕保护功能</w:t>
            </w:r>
          </w:p>
          <w:p>
            <w:pPr>
              <w:jc w:val="left"/>
              <w:rPr>
                <w:rFonts w:hint="eastAsia" w:ascii="宋体" w:hAnsi="宋体" w:cs="宋体"/>
                <w:color w:val="auto"/>
                <w:szCs w:val="21"/>
                <w:highlight w:val="none"/>
              </w:rPr>
            </w:pPr>
            <w:r>
              <w:rPr>
                <w:rFonts w:hint="eastAsia" w:ascii="宋体" w:hAnsi="宋体" w:cs="宋体"/>
                <w:color w:val="auto"/>
                <w:szCs w:val="21"/>
                <w:highlight w:val="none"/>
              </w:rPr>
              <w:t>7.门过载保护功能</w:t>
            </w:r>
          </w:p>
          <w:p>
            <w:pPr>
              <w:jc w:val="left"/>
              <w:rPr>
                <w:rFonts w:hint="eastAsia" w:ascii="宋体" w:hAnsi="宋体" w:cs="宋体"/>
                <w:color w:val="auto"/>
                <w:szCs w:val="21"/>
                <w:highlight w:val="none"/>
              </w:rPr>
            </w:pPr>
            <w:r>
              <w:rPr>
                <w:rFonts w:hint="eastAsia" w:ascii="宋体" w:hAnsi="宋体" w:cs="宋体"/>
                <w:color w:val="auto"/>
                <w:szCs w:val="21"/>
                <w:highlight w:val="none"/>
              </w:rPr>
              <w:t>8.开关门时间超常保护功能</w:t>
            </w:r>
          </w:p>
          <w:p>
            <w:pPr>
              <w:jc w:val="left"/>
              <w:rPr>
                <w:rFonts w:hint="eastAsia" w:ascii="宋体" w:hAnsi="宋体" w:cs="宋体"/>
                <w:color w:val="auto"/>
                <w:szCs w:val="21"/>
                <w:highlight w:val="none"/>
              </w:rPr>
            </w:pPr>
            <w:r>
              <w:rPr>
                <w:rFonts w:hint="eastAsia" w:ascii="宋体" w:hAnsi="宋体" w:cs="宋体"/>
                <w:color w:val="auto"/>
                <w:szCs w:val="21"/>
                <w:highlight w:val="none"/>
              </w:rPr>
              <w:t>9.开门异常自动选层功能</w:t>
            </w:r>
          </w:p>
          <w:p>
            <w:pPr>
              <w:jc w:val="left"/>
              <w:rPr>
                <w:rFonts w:hint="eastAsia" w:ascii="宋体" w:hAnsi="宋体" w:cs="宋体"/>
                <w:color w:val="auto"/>
                <w:szCs w:val="21"/>
                <w:highlight w:val="none"/>
              </w:rPr>
            </w:pPr>
            <w:r>
              <w:rPr>
                <w:rFonts w:hint="eastAsia" w:ascii="宋体" w:hAnsi="宋体" w:cs="宋体"/>
                <w:color w:val="auto"/>
                <w:szCs w:val="21"/>
                <w:highlight w:val="none"/>
              </w:rPr>
              <w:t>10.电动机空转保护功能</w:t>
            </w:r>
          </w:p>
          <w:p>
            <w:pPr>
              <w:jc w:val="left"/>
              <w:rPr>
                <w:rFonts w:hint="eastAsia" w:ascii="宋体" w:hAnsi="宋体" w:cs="宋体"/>
                <w:color w:val="auto"/>
                <w:szCs w:val="21"/>
                <w:highlight w:val="none"/>
              </w:rPr>
            </w:pPr>
            <w:r>
              <w:rPr>
                <w:rFonts w:hint="eastAsia" w:ascii="宋体" w:hAnsi="宋体" w:cs="宋体"/>
                <w:color w:val="auto"/>
                <w:szCs w:val="21"/>
                <w:highlight w:val="none"/>
              </w:rPr>
              <w:t>11.电动机过载保护功能</w:t>
            </w:r>
          </w:p>
          <w:p>
            <w:pPr>
              <w:jc w:val="left"/>
              <w:rPr>
                <w:rFonts w:hint="eastAsia" w:ascii="宋体" w:hAnsi="宋体" w:cs="宋体"/>
                <w:color w:val="auto"/>
                <w:szCs w:val="21"/>
                <w:highlight w:val="none"/>
              </w:rPr>
            </w:pPr>
            <w:r>
              <w:rPr>
                <w:rFonts w:hint="eastAsia" w:ascii="宋体" w:hAnsi="宋体" w:cs="宋体"/>
                <w:color w:val="auto"/>
                <w:szCs w:val="21"/>
                <w:highlight w:val="none"/>
              </w:rPr>
              <w:t>12.对讲机通讯功能</w:t>
            </w:r>
          </w:p>
          <w:p>
            <w:pPr>
              <w:jc w:val="left"/>
              <w:rPr>
                <w:rFonts w:hint="eastAsia" w:ascii="宋体" w:hAnsi="宋体" w:cs="宋体"/>
                <w:color w:val="auto"/>
                <w:szCs w:val="21"/>
                <w:highlight w:val="none"/>
              </w:rPr>
            </w:pPr>
            <w:r>
              <w:rPr>
                <w:rFonts w:hint="eastAsia" w:ascii="宋体" w:hAnsi="宋体" w:cs="宋体"/>
                <w:color w:val="auto"/>
                <w:szCs w:val="21"/>
                <w:highlight w:val="none"/>
              </w:rPr>
              <w:t>13.警铃报警功能</w:t>
            </w:r>
          </w:p>
          <w:p>
            <w:pPr>
              <w:jc w:val="left"/>
              <w:rPr>
                <w:rFonts w:hint="eastAsia" w:ascii="宋体" w:hAnsi="宋体" w:cs="宋体"/>
                <w:color w:val="auto"/>
                <w:szCs w:val="21"/>
                <w:highlight w:val="none"/>
              </w:rPr>
            </w:pPr>
            <w:r>
              <w:rPr>
                <w:rFonts w:hint="eastAsia" w:ascii="宋体" w:hAnsi="宋体" w:cs="宋体"/>
                <w:color w:val="auto"/>
                <w:szCs w:val="21"/>
                <w:highlight w:val="none"/>
              </w:rPr>
              <w:t>14.故障低速自救运行功能</w:t>
            </w:r>
          </w:p>
          <w:p>
            <w:pPr>
              <w:jc w:val="left"/>
              <w:rPr>
                <w:rFonts w:hint="eastAsia" w:ascii="宋体" w:hAnsi="宋体" w:cs="宋体"/>
                <w:color w:val="auto"/>
                <w:szCs w:val="21"/>
                <w:highlight w:val="none"/>
              </w:rPr>
            </w:pPr>
            <w:r>
              <w:rPr>
                <w:rFonts w:hint="eastAsia" w:ascii="宋体" w:hAnsi="宋体" w:cs="宋体"/>
                <w:color w:val="auto"/>
                <w:szCs w:val="21"/>
                <w:highlight w:val="none"/>
              </w:rPr>
              <w:t>15.停车在非门区报警功能</w:t>
            </w:r>
          </w:p>
          <w:p>
            <w:pPr>
              <w:jc w:val="left"/>
              <w:rPr>
                <w:rFonts w:hint="eastAsia" w:ascii="宋体" w:hAnsi="宋体" w:cs="宋体"/>
                <w:color w:val="auto"/>
                <w:szCs w:val="21"/>
                <w:highlight w:val="none"/>
              </w:rPr>
            </w:pPr>
            <w:r>
              <w:rPr>
                <w:rFonts w:hint="eastAsia" w:ascii="宋体" w:hAnsi="宋体" w:cs="宋体"/>
                <w:color w:val="auto"/>
                <w:szCs w:val="21"/>
                <w:highlight w:val="none"/>
              </w:rPr>
              <w:t>16.位置异常自动校正功能</w:t>
            </w:r>
          </w:p>
          <w:p>
            <w:pPr>
              <w:jc w:val="left"/>
              <w:rPr>
                <w:rFonts w:hint="eastAsia" w:ascii="宋体" w:hAnsi="宋体" w:cs="宋体"/>
                <w:color w:val="auto"/>
                <w:szCs w:val="21"/>
                <w:highlight w:val="none"/>
              </w:rPr>
            </w:pPr>
            <w:r>
              <w:rPr>
                <w:rFonts w:hint="eastAsia" w:ascii="宋体" w:hAnsi="宋体" w:cs="宋体"/>
                <w:color w:val="auto"/>
                <w:szCs w:val="21"/>
                <w:highlight w:val="none"/>
              </w:rPr>
              <w:t>17.停电应急照明功能</w:t>
            </w:r>
          </w:p>
          <w:p>
            <w:pPr>
              <w:jc w:val="left"/>
              <w:rPr>
                <w:rFonts w:hint="eastAsia" w:ascii="宋体" w:hAnsi="宋体" w:cs="宋体"/>
                <w:color w:val="auto"/>
                <w:szCs w:val="21"/>
                <w:highlight w:val="none"/>
              </w:rPr>
            </w:pPr>
            <w:r>
              <w:rPr>
                <w:rFonts w:hint="eastAsia" w:ascii="宋体" w:hAnsi="宋体" w:cs="宋体"/>
                <w:color w:val="auto"/>
                <w:szCs w:val="21"/>
                <w:highlight w:val="none"/>
              </w:rPr>
              <w:t>18.轿顶检修操作功能</w:t>
            </w:r>
          </w:p>
          <w:p>
            <w:pPr>
              <w:jc w:val="left"/>
              <w:rPr>
                <w:rFonts w:hint="eastAsia" w:ascii="宋体" w:hAnsi="宋体" w:cs="宋体"/>
                <w:color w:val="auto"/>
                <w:szCs w:val="21"/>
                <w:highlight w:val="none"/>
              </w:rPr>
            </w:pPr>
            <w:r>
              <w:rPr>
                <w:rFonts w:hint="eastAsia" w:ascii="宋体" w:hAnsi="宋体" w:cs="宋体"/>
                <w:color w:val="auto"/>
                <w:szCs w:val="21"/>
                <w:highlight w:val="none"/>
              </w:rPr>
              <w:t>19.轿內慢速运行功能</w:t>
            </w:r>
          </w:p>
          <w:p>
            <w:pPr>
              <w:jc w:val="left"/>
              <w:rPr>
                <w:rFonts w:hint="eastAsia" w:ascii="宋体" w:hAnsi="宋体" w:cs="宋体"/>
                <w:color w:val="auto"/>
                <w:szCs w:val="21"/>
                <w:highlight w:val="none"/>
              </w:rPr>
            </w:pPr>
            <w:r>
              <w:rPr>
                <w:rFonts w:hint="eastAsia" w:ascii="宋体" w:hAnsi="宋体" w:cs="宋体"/>
                <w:color w:val="auto"/>
                <w:szCs w:val="21"/>
                <w:highlight w:val="none"/>
              </w:rPr>
              <w:t>20.机房调试操作功能</w:t>
            </w:r>
          </w:p>
          <w:p>
            <w:pPr>
              <w:jc w:val="left"/>
              <w:rPr>
                <w:rFonts w:hint="eastAsia" w:ascii="宋体" w:hAnsi="宋体" w:cs="宋体"/>
                <w:color w:val="auto"/>
                <w:szCs w:val="21"/>
                <w:highlight w:val="none"/>
              </w:rPr>
            </w:pPr>
            <w:r>
              <w:rPr>
                <w:rFonts w:hint="eastAsia" w:ascii="宋体" w:hAnsi="宋体" w:cs="宋体"/>
                <w:color w:val="auto"/>
                <w:szCs w:val="21"/>
                <w:highlight w:val="none"/>
              </w:rPr>
              <w:t>21.满载直驶运行功能</w:t>
            </w:r>
          </w:p>
          <w:p>
            <w:pPr>
              <w:jc w:val="left"/>
              <w:rPr>
                <w:rFonts w:hint="eastAsia" w:ascii="宋体" w:hAnsi="宋体" w:cs="宋体"/>
                <w:color w:val="auto"/>
                <w:szCs w:val="21"/>
                <w:highlight w:val="none"/>
              </w:rPr>
            </w:pPr>
            <w:r>
              <w:rPr>
                <w:rFonts w:hint="eastAsia" w:ascii="宋体" w:hAnsi="宋体" w:cs="宋体"/>
                <w:color w:val="auto"/>
                <w:szCs w:val="21"/>
                <w:highlight w:val="none"/>
              </w:rPr>
              <w:t>22.无效内指令自动消除功能</w:t>
            </w:r>
          </w:p>
          <w:p>
            <w:pPr>
              <w:jc w:val="left"/>
              <w:rPr>
                <w:rFonts w:hint="eastAsia" w:ascii="宋体" w:hAnsi="宋体" w:cs="宋体"/>
                <w:color w:val="auto"/>
                <w:szCs w:val="21"/>
                <w:highlight w:val="none"/>
              </w:rPr>
            </w:pPr>
            <w:r>
              <w:rPr>
                <w:rFonts w:hint="eastAsia" w:ascii="宋体" w:hAnsi="宋体" w:cs="宋体"/>
                <w:color w:val="auto"/>
                <w:szCs w:val="21"/>
                <w:highlight w:val="none"/>
              </w:rPr>
              <w:t>23.反向内指令自动消除功能</w:t>
            </w:r>
          </w:p>
          <w:p>
            <w:pPr>
              <w:jc w:val="left"/>
              <w:rPr>
                <w:rFonts w:hint="eastAsia" w:ascii="宋体" w:hAnsi="宋体" w:cs="宋体"/>
                <w:color w:val="auto"/>
                <w:szCs w:val="21"/>
                <w:highlight w:val="none"/>
              </w:rPr>
            </w:pPr>
            <w:r>
              <w:rPr>
                <w:rFonts w:hint="eastAsia" w:ascii="宋体" w:hAnsi="宋体" w:cs="宋体"/>
                <w:color w:val="auto"/>
                <w:szCs w:val="21"/>
                <w:highlight w:val="none"/>
              </w:rPr>
              <w:t>24.起动补偿功能</w:t>
            </w:r>
          </w:p>
          <w:p>
            <w:pPr>
              <w:jc w:val="left"/>
              <w:rPr>
                <w:rFonts w:hint="eastAsia" w:ascii="宋体" w:hAnsi="宋体" w:cs="宋体"/>
                <w:color w:val="auto"/>
                <w:szCs w:val="21"/>
                <w:highlight w:val="none"/>
              </w:rPr>
            </w:pPr>
            <w:r>
              <w:rPr>
                <w:rFonts w:hint="eastAsia" w:ascii="宋体" w:hAnsi="宋体" w:cs="宋体"/>
                <w:color w:val="auto"/>
                <w:szCs w:val="21"/>
                <w:highlight w:val="none"/>
              </w:rPr>
              <w:t>25.开门时间自动调整功能</w:t>
            </w:r>
          </w:p>
          <w:p>
            <w:pPr>
              <w:jc w:val="left"/>
              <w:rPr>
                <w:rFonts w:hint="eastAsia" w:ascii="宋体" w:hAnsi="宋体" w:cs="宋体"/>
                <w:color w:val="auto"/>
                <w:szCs w:val="21"/>
                <w:highlight w:val="none"/>
              </w:rPr>
            </w:pPr>
            <w:r>
              <w:rPr>
                <w:rFonts w:hint="eastAsia" w:ascii="宋体" w:hAnsi="宋体" w:cs="宋体"/>
                <w:color w:val="auto"/>
                <w:szCs w:val="21"/>
                <w:highlight w:val="none"/>
              </w:rPr>
              <w:t>26.开门时间自动控制功能</w:t>
            </w:r>
          </w:p>
          <w:p>
            <w:pPr>
              <w:jc w:val="left"/>
              <w:rPr>
                <w:rFonts w:hint="eastAsia" w:ascii="宋体" w:hAnsi="宋体" w:cs="宋体"/>
                <w:color w:val="auto"/>
                <w:szCs w:val="21"/>
                <w:highlight w:val="none"/>
              </w:rPr>
            </w:pPr>
            <w:r>
              <w:rPr>
                <w:rFonts w:hint="eastAsia" w:ascii="宋体" w:hAnsi="宋体" w:cs="宋体"/>
                <w:color w:val="auto"/>
                <w:szCs w:val="21"/>
                <w:highlight w:val="none"/>
              </w:rPr>
              <w:t>27.运行次数显示功能</w:t>
            </w:r>
          </w:p>
          <w:p>
            <w:pPr>
              <w:jc w:val="left"/>
              <w:rPr>
                <w:rFonts w:hint="eastAsia" w:ascii="宋体" w:hAnsi="宋体" w:cs="宋体"/>
                <w:color w:val="auto"/>
                <w:szCs w:val="21"/>
                <w:highlight w:val="none"/>
              </w:rPr>
            </w:pPr>
            <w:r>
              <w:rPr>
                <w:rFonts w:hint="eastAsia" w:ascii="宋体" w:hAnsi="宋体" w:cs="宋体"/>
                <w:color w:val="auto"/>
                <w:szCs w:val="21"/>
                <w:highlight w:val="none"/>
              </w:rPr>
              <w:t>28.轿內照明自动控制功能</w:t>
            </w:r>
          </w:p>
          <w:p>
            <w:pPr>
              <w:jc w:val="left"/>
              <w:rPr>
                <w:rFonts w:hint="eastAsia" w:ascii="宋体" w:hAnsi="宋体" w:cs="宋体"/>
                <w:color w:val="auto"/>
                <w:szCs w:val="21"/>
                <w:highlight w:val="none"/>
              </w:rPr>
            </w:pPr>
            <w:r>
              <w:rPr>
                <w:rFonts w:hint="eastAsia" w:ascii="宋体" w:hAnsi="宋体" w:cs="宋体"/>
                <w:color w:val="auto"/>
                <w:szCs w:val="21"/>
                <w:highlight w:val="none"/>
              </w:rPr>
              <w:t>29.轿內通风自动控制功能</w:t>
            </w:r>
          </w:p>
          <w:p>
            <w:pPr>
              <w:jc w:val="left"/>
              <w:rPr>
                <w:rFonts w:hint="eastAsia" w:ascii="宋体" w:hAnsi="宋体" w:cs="宋体"/>
                <w:color w:val="auto"/>
                <w:szCs w:val="21"/>
                <w:highlight w:val="none"/>
              </w:rPr>
            </w:pPr>
            <w:r>
              <w:rPr>
                <w:rFonts w:hint="eastAsia" w:ascii="宋体" w:hAnsi="宋体" w:cs="宋体"/>
                <w:color w:val="auto"/>
                <w:szCs w:val="21"/>
                <w:highlight w:val="none"/>
              </w:rPr>
              <w:t>30.故障自动检测功能</w:t>
            </w:r>
          </w:p>
          <w:p>
            <w:pPr>
              <w:jc w:val="left"/>
              <w:rPr>
                <w:rFonts w:hint="eastAsia" w:ascii="宋体" w:hAnsi="宋体" w:cs="宋体"/>
                <w:color w:val="auto"/>
                <w:szCs w:val="21"/>
                <w:highlight w:val="none"/>
              </w:rPr>
            </w:pPr>
            <w:r>
              <w:rPr>
                <w:rFonts w:hint="eastAsia" w:ascii="宋体" w:hAnsi="宋体" w:cs="宋体"/>
                <w:color w:val="auto"/>
                <w:szCs w:val="21"/>
                <w:highlight w:val="none"/>
              </w:rPr>
              <w:t>31.故障自动存储功能</w:t>
            </w:r>
          </w:p>
          <w:p>
            <w:pPr>
              <w:jc w:val="left"/>
              <w:rPr>
                <w:rFonts w:hint="eastAsia" w:ascii="宋体" w:hAnsi="宋体" w:cs="宋体"/>
                <w:color w:val="auto"/>
                <w:szCs w:val="21"/>
                <w:highlight w:val="none"/>
              </w:rPr>
            </w:pPr>
            <w:r>
              <w:rPr>
                <w:rFonts w:hint="eastAsia" w:ascii="宋体" w:hAnsi="宋体" w:cs="宋体"/>
                <w:color w:val="auto"/>
                <w:szCs w:val="21"/>
                <w:highlight w:val="none"/>
              </w:rPr>
              <w:t>32.待机定期自检功能</w:t>
            </w:r>
          </w:p>
          <w:p>
            <w:pPr>
              <w:jc w:val="left"/>
              <w:rPr>
                <w:rFonts w:hint="eastAsia" w:ascii="宋体" w:hAnsi="宋体" w:cs="宋体"/>
                <w:color w:val="auto"/>
                <w:szCs w:val="21"/>
                <w:highlight w:val="none"/>
              </w:rPr>
            </w:pPr>
            <w:r>
              <w:rPr>
                <w:rFonts w:hint="eastAsia" w:ascii="宋体" w:hAnsi="宋体" w:cs="宋体"/>
                <w:color w:val="auto"/>
                <w:szCs w:val="21"/>
                <w:highlight w:val="none"/>
              </w:rPr>
              <w:t>33.泊梯功能</w:t>
            </w:r>
          </w:p>
          <w:p>
            <w:pPr>
              <w:jc w:val="left"/>
              <w:rPr>
                <w:rFonts w:hint="eastAsia" w:ascii="宋体" w:hAnsi="宋体" w:cs="宋体"/>
                <w:color w:val="auto"/>
                <w:szCs w:val="21"/>
                <w:highlight w:val="none"/>
              </w:rPr>
            </w:pPr>
            <w:r>
              <w:rPr>
                <w:rFonts w:hint="eastAsia" w:ascii="宋体" w:hAnsi="宋体" w:cs="宋体"/>
                <w:color w:val="auto"/>
                <w:szCs w:val="21"/>
                <w:highlight w:val="none"/>
              </w:rPr>
              <w:t>34.层高自测定功能</w:t>
            </w:r>
          </w:p>
          <w:p>
            <w:pPr>
              <w:jc w:val="left"/>
              <w:rPr>
                <w:rFonts w:hint="eastAsia" w:ascii="宋体" w:hAnsi="宋体" w:cs="宋体"/>
                <w:color w:val="auto"/>
                <w:szCs w:val="21"/>
                <w:highlight w:val="none"/>
              </w:rPr>
            </w:pPr>
            <w:r>
              <w:rPr>
                <w:rFonts w:hint="eastAsia" w:ascii="宋体" w:hAnsi="宋体" w:cs="宋体"/>
                <w:color w:val="auto"/>
                <w:szCs w:val="21"/>
                <w:highlight w:val="none"/>
              </w:rPr>
              <w:t>35.消防迫降功能</w:t>
            </w:r>
          </w:p>
          <w:p>
            <w:pPr>
              <w:jc w:val="left"/>
              <w:rPr>
                <w:rFonts w:hint="eastAsia" w:ascii="宋体" w:hAnsi="宋体" w:cs="宋体"/>
                <w:color w:val="auto"/>
                <w:szCs w:val="21"/>
                <w:highlight w:val="none"/>
              </w:rPr>
            </w:pPr>
            <w:r>
              <w:rPr>
                <w:rFonts w:hint="eastAsia" w:ascii="宋体" w:hAnsi="宋体" w:cs="宋体"/>
                <w:color w:val="auto"/>
                <w:szCs w:val="21"/>
                <w:highlight w:val="none"/>
              </w:rPr>
              <w:t>36.抱闸动作的双安全检测功能</w:t>
            </w:r>
          </w:p>
          <w:p>
            <w:pPr>
              <w:jc w:val="left"/>
              <w:rPr>
                <w:rFonts w:hint="eastAsia" w:ascii="宋体" w:hAnsi="宋体" w:cs="宋体"/>
                <w:color w:val="auto"/>
                <w:szCs w:val="21"/>
                <w:highlight w:val="none"/>
              </w:rPr>
            </w:pPr>
            <w:r>
              <w:rPr>
                <w:rFonts w:hint="eastAsia" w:ascii="宋体" w:hAnsi="宋体" w:cs="宋体"/>
                <w:color w:val="auto"/>
                <w:szCs w:val="21"/>
                <w:highlight w:val="none"/>
              </w:rPr>
              <w:t>37.门停止运行功能</w:t>
            </w:r>
          </w:p>
          <w:p>
            <w:pPr>
              <w:jc w:val="left"/>
              <w:rPr>
                <w:rFonts w:hint="eastAsia" w:ascii="宋体" w:hAnsi="宋体" w:cs="宋体"/>
                <w:color w:val="auto"/>
                <w:szCs w:val="21"/>
                <w:highlight w:val="none"/>
              </w:rPr>
            </w:pPr>
            <w:r>
              <w:rPr>
                <w:rFonts w:hint="eastAsia" w:ascii="宋体" w:hAnsi="宋体" w:cs="宋体"/>
                <w:color w:val="auto"/>
                <w:szCs w:val="21"/>
                <w:highlight w:val="none"/>
              </w:rPr>
              <w:t>38.底坑对讲机通讯功能</w:t>
            </w:r>
          </w:p>
          <w:p>
            <w:pPr>
              <w:jc w:val="left"/>
              <w:rPr>
                <w:rFonts w:hint="eastAsia" w:ascii="宋体" w:hAnsi="宋体" w:cs="宋体"/>
                <w:color w:val="auto"/>
                <w:szCs w:val="21"/>
                <w:highlight w:val="none"/>
              </w:rPr>
            </w:pPr>
            <w:r>
              <w:rPr>
                <w:rFonts w:hint="eastAsia" w:ascii="宋体" w:hAnsi="宋体" w:cs="宋体"/>
                <w:color w:val="auto"/>
                <w:szCs w:val="21"/>
                <w:highlight w:val="none"/>
              </w:rPr>
              <w:t>39.同步电机磁极码静态测试功能</w:t>
            </w:r>
          </w:p>
          <w:p>
            <w:pPr>
              <w:jc w:val="left"/>
              <w:rPr>
                <w:rFonts w:hint="eastAsia" w:ascii="宋体" w:hAnsi="宋体" w:cs="宋体"/>
                <w:color w:val="auto"/>
                <w:szCs w:val="21"/>
                <w:highlight w:val="none"/>
              </w:rPr>
            </w:pPr>
            <w:r>
              <w:rPr>
                <w:rFonts w:hint="eastAsia" w:ascii="宋体" w:hAnsi="宋体" w:cs="宋体"/>
                <w:color w:val="auto"/>
                <w:szCs w:val="21"/>
                <w:highlight w:val="none"/>
              </w:rPr>
              <w:t>40.厅外检修显示功能</w:t>
            </w:r>
          </w:p>
          <w:p>
            <w:pPr>
              <w:jc w:val="left"/>
              <w:rPr>
                <w:rFonts w:hint="eastAsia" w:ascii="宋体" w:hAnsi="宋体" w:cs="宋体"/>
                <w:color w:val="auto"/>
                <w:szCs w:val="21"/>
                <w:highlight w:val="none"/>
              </w:rPr>
            </w:pPr>
            <w:r>
              <w:rPr>
                <w:rFonts w:hint="eastAsia" w:ascii="宋体" w:hAnsi="宋体" w:cs="宋体"/>
                <w:color w:val="auto"/>
                <w:szCs w:val="21"/>
                <w:highlight w:val="none"/>
              </w:rPr>
              <w:t>41.抗电磁干扰功能</w:t>
            </w:r>
          </w:p>
          <w:p>
            <w:pPr>
              <w:jc w:val="left"/>
              <w:rPr>
                <w:rFonts w:hint="eastAsia" w:ascii="宋体" w:hAnsi="宋体" w:cs="宋体"/>
                <w:color w:val="auto"/>
                <w:szCs w:val="21"/>
                <w:highlight w:val="none"/>
              </w:rPr>
            </w:pPr>
            <w:r>
              <w:rPr>
                <w:rFonts w:hint="eastAsia" w:ascii="宋体" w:hAnsi="宋体" w:cs="宋体"/>
                <w:color w:val="auto"/>
                <w:szCs w:val="21"/>
                <w:highlight w:val="none"/>
              </w:rPr>
              <w:t>42.电梯服务支援系统</w:t>
            </w:r>
          </w:p>
          <w:p>
            <w:pPr>
              <w:jc w:val="left"/>
              <w:rPr>
                <w:color w:val="auto"/>
                <w:highlight w:val="none"/>
              </w:rPr>
            </w:pPr>
            <w:r>
              <w:rPr>
                <w:rFonts w:hint="eastAsia" w:ascii="宋体" w:hAnsi="宋体" w:cs="宋体"/>
                <w:color w:val="auto"/>
                <w:szCs w:val="21"/>
                <w:highlight w:val="none"/>
              </w:rPr>
              <w:t>43.五方通话功能</w:t>
            </w:r>
            <w:r>
              <w:rPr>
                <w:rFonts w:hint="eastAsia"/>
                <w:color w:val="auto"/>
                <w:highlight w:val="none"/>
                <w:lang w:eastAsia="zh-CN"/>
              </w:rPr>
              <w:t>（主机安装于相思湖校区图书馆监控室）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71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113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无机房乘客电梯（学生公寓</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A栋/B栋/C栋/D栋/E栋/F栋）</w:t>
            </w:r>
          </w:p>
          <w:p>
            <w:pPr>
              <w:widowControl/>
              <w:jc w:val="center"/>
              <w:textAlignment w:val="center"/>
              <w:rPr>
                <w:rFonts w:hint="eastAsia" w:ascii="宋体" w:hAnsi="宋体" w:cs="宋体"/>
                <w:color w:val="auto"/>
                <w:kern w:val="0"/>
                <w:szCs w:val="21"/>
                <w:highlight w:val="none"/>
                <w:lang w:bidi="ar"/>
              </w:rPr>
            </w:pPr>
          </w:p>
        </w:tc>
        <w:tc>
          <w:tcPr>
            <w:tcW w:w="623"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color w:val="auto"/>
                <w:highlight w:val="none"/>
              </w:rPr>
            </w:pPr>
            <w:r>
              <w:rPr>
                <w:rFonts w:hint="eastAsia"/>
                <w:color w:val="auto"/>
                <w:highlight w:val="none"/>
              </w:rPr>
              <w:t>11</w:t>
            </w:r>
          </w:p>
        </w:tc>
        <w:tc>
          <w:tcPr>
            <w:tcW w:w="554"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color w:val="auto"/>
                <w:highlight w:val="none"/>
              </w:rPr>
            </w:pPr>
            <w:r>
              <w:rPr>
                <w:rFonts w:hint="eastAsia"/>
                <w:color w:val="auto"/>
                <w:highlight w:val="none"/>
              </w:rPr>
              <w:t>台</w:t>
            </w:r>
          </w:p>
        </w:tc>
        <w:tc>
          <w:tcPr>
            <w:tcW w:w="6877" w:type="dxa"/>
            <w:tcBorders>
              <w:top w:val="single" w:color="auto" w:sz="4" w:space="0"/>
              <w:left w:val="single" w:color="auto" w:sz="4" w:space="0"/>
              <w:bottom w:val="single" w:color="auto" w:sz="4" w:space="0"/>
              <w:right w:val="single" w:color="auto" w:sz="4" w:space="0"/>
            </w:tcBorders>
            <w:noWrap w:val="0"/>
            <w:vAlign w:val="center"/>
          </w:tcPr>
          <w:p>
            <w:pPr>
              <w:ind w:left="-71"/>
              <w:rPr>
                <w:rFonts w:hint="eastAsia" w:ascii="宋体" w:hAnsi="宋体" w:cs="宋体"/>
                <w:b/>
                <w:bCs/>
                <w:color w:val="auto"/>
                <w:szCs w:val="21"/>
                <w:highlight w:val="none"/>
              </w:rPr>
            </w:pPr>
            <w:r>
              <w:rPr>
                <w:rFonts w:hint="eastAsia" w:ascii="宋体" w:hAnsi="宋体" w:cs="宋体"/>
                <w:b/>
                <w:bCs/>
                <w:color w:val="auto"/>
                <w:szCs w:val="21"/>
                <w:highlight w:val="none"/>
              </w:rPr>
              <w:t>一、基本要求</w:t>
            </w:r>
          </w:p>
          <w:p>
            <w:pPr>
              <w:rPr>
                <w:rFonts w:hint="eastAsia" w:ascii="宋体" w:hAnsi="宋体" w:cs="宋体"/>
                <w:color w:val="auto"/>
                <w:szCs w:val="21"/>
                <w:highlight w:val="none"/>
              </w:rPr>
            </w:pPr>
            <w:r>
              <w:rPr>
                <w:rFonts w:hint="eastAsia" w:ascii="宋体" w:hAnsi="宋体"/>
                <w:b/>
                <w:bCs/>
                <w:color w:val="auto"/>
                <w:szCs w:val="21"/>
                <w:highlight w:val="none"/>
              </w:rPr>
              <w:t>▲</w:t>
            </w:r>
            <w:r>
              <w:rPr>
                <w:rFonts w:hint="eastAsia" w:ascii="宋体" w:hAnsi="宋体" w:cs="宋体"/>
                <w:color w:val="auto"/>
                <w:szCs w:val="21"/>
                <w:highlight w:val="none"/>
              </w:rPr>
              <w:t>1.额定载重：≥1600Kg。</w:t>
            </w:r>
          </w:p>
          <w:p>
            <w:pPr>
              <w:rPr>
                <w:rFonts w:hint="eastAsia" w:ascii="宋体" w:hAnsi="宋体" w:cs="宋体"/>
                <w:color w:val="auto"/>
                <w:szCs w:val="21"/>
                <w:highlight w:val="none"/>
              </w:rPr>
            </w:pPr>
            <w:r>
              <w:rPr>
                <w:rFonts w:hint="eastAsia" w:ascii="宋体" w:hAnsi="宋体"/>
                <w:b/>
                <w:bCs/>
                <w:color w:val="auto"/>
                <w:szCs w:val="21"/>
                <w:highlight w:val="none"/>
              </w:rPr>
              <w:t>▲</w:t>
            </w:r>
            <w:r>
              <w:rPr>
                <w:rFonts w:hint="eastAsia" w:ascii="宋体" w:hAnsi="宋体" w:cs="宋体"/>
                <w:color w:val="auto"/>
                <w:szCs w:val="21"/>
                <w:highlight w:val="none"/>
              </w:rPr>
              <w:t>2.速度：≥1.5m/s。</w:t>
            </w:r>
          </w:p>
          <w:p>
            <w:pPr>
              <w:rPr>
                <w:rFonts w:hint="eastAsia" w:ascii="宋体" w:hAnsi="宋体" w:cs="宋体"/>
                <w:color w:val="auto"/>
                <w:szCs w:val="21"/>
                <w:highlight w:val="none"/>
              </w:rPr>
            </w:pPr>
            <w:r>
              <w:rPr>
                <w:rFonts w:hint="eastAsia" w:ascii="宋体" w:hAnsi="宋体"/>
                <w:b/>
                <w:bCs/>
                <w:color w:val="auto"/>
                <w:szCs w:val="21"/>
                <w:highlight w:val="none"/>
              </w:rPr>
              <w:t>▲</w:t>
            </w:r>
            <w:r>
              <w:rPr>
                <w:rFonts w:hint="eastAsia" w:ascii="宋体" w:hAnsi="宋体" w:cs="宋体"/>
                <w:color w:val="auto"/>
                <w:szCs w:val="21"/>
                <w:highlight w:val="none"/>
              </w:rPr>
              <w:t>3.层站：7层/7站/7门，1~7F（1楼一侧开门，2-7对侧开门）。</w:t>
            </w:r>
          </w:p>
          <w:p>
            <w:pPr>
              <w:rPr>
                <w:rFonts w:hint="eastAsia" w:ascii="宋体" w:hAnsi="宋体" w:cs="宋体"/>
                <w:color w:val="auto"/>
                <w:szCs w:val="21"/>
                <w:highlight w:val="none"/>
              </w:rPr>
            </w:pPr>
            <w:r>
              <w:rPr>
                <w:rFonts w:hint="eastAsia" w:ascii="宋体" w:hAnsi="宋体" w:cs="宋体"/>
                <w:color w:val="auto"/>
                <w:szCs w:val="21"/>
                <w:highlight w:val="none"/>
              </w:rPr>
              <w:t>4.机房类型：无机房。</w:t>
            </w:r>
          </w:p>
          <w:p>
            <w:pPr>
              <w:rPr>
                <w:rFonts w:hint="eastAsia" w:ascii="宋体" w:hAnsi="宋体" w:cs="宋体"/>
                <w:color w:val="auto"/>
                <w:szCs w:val="21"/>
                <w:highlight w:val="none"/>
              </w:rPr>
            </w:pPr>
            <w:r>
              <w:rPr>
                <w:rFonts w:hint="eastAsia" w:ascii="宋体" w:hAnsi="宋体" w:cs="宋体"/>
                <w:color w:val="auto"/>
                <w:szCs w:val="21"/>
                <w:highlight w:val="none"/>
              </w:rPr>
              <w:t>5.开门方式：中分门。</w:t>
            </w:r>
          </w:p>
          <w:p>
            <w:pPr>
              <w:rPr>
                <w:rFonts w:hint="eastAsia" w:ascii="宋体" w:hAnsi="宋体" w:cs="宋体"/>
                <w:color w:val="auto"/>
                <w:szCs w:val="21"/>
                <w:highlight w:val="none"/>
              </w:rPr>
            </w:pPr>
            <w:r>
              <w:rPr>
                <w:rFonts w:hint="eastAsia" w:ascii="宋体" w:hAnsi="宋体" w:cs="宋体"/>
                <w:color w:val="auto"/>
                <w:szCs w:val="21"/>
                <w:highlight w:val="none"/>
              </w:rPr>
              <w:t>6.开门净尺寸（宽×高）：宽1100mm×高2100mm。</w:t>
            </w:r>
          </w:p>
          <w:p>
            <w:pPr>
              <w:rPr>
                <w:rFonts w:hint="eastAsia" w:ascii="宋体" w:hAnsi="宋体" w:cs="宋体"/>
                <w:color w:val="auto"/>
                <w:szCs w:val="21"/>
                <w:highlight w:val="none"/>
              </w:rPr>
            </w:pPr>
            <w:r>
              <w:rPr>
                <w:rFonts w:hint="eastAsia" w:ascii="宋体" w:hAnsi="宋体" w:cs="宋体"/>
                <w:color w:val="auto"/>
                <w:szCs w:val="21"/>
                <w:highlight w:val="none"/>
              </w:rPr>
              <w:t>7.井道尺寸（宽×深）：2800 mm×2250mm 。</w:t>
            </w:r>
          </w:p>
          <w:p>
            <w:pPr>
              <w:rPr>
                <w:rFonts w:hint="eastAsia" w:ascii="宋体" w:hAnsi="宋体" w:cs="宋体"/>
                <w:color w:val="auto"/>
                <w:szCs w:val="21"/>
                <w:highlight w:val="none"/>
              </w:rPr>
            </w:pPr>
            <w:r>
              <w:rPr>
                <w:rFonts w:hint="eastAsia" w:ascii="宋体" w:hAnsi="宋体" w:cs="宋体"/>
                <w:color w:val="auto"/>
                <w:szCs w:val="21"/>
                <w:highlight w:val="none"/>
              </w:rPr>
              <w:t>8.轿厢净尺寸（宽×深×高）：2000 mm</w:t>
            </w:r>
            <w:r>
              <w:rPr>
                <w:rFonts w:hint="eastAsia" w:ascii="宋体" w:hAnsi="宋体" w:cs="宋体"/>
                <w:color w:val="auto"/>
                <w:szCs w:val="21"/>
                <w:highlight w:val="none"/>
                <w:lang w:val="zh-CN"/>
              </w:rPr>
              <w:t>×</w:t>
            </w:r>
            <w:r>
              <w:rPr>
                <w:rFonts w:hint="eastAsia" w:ascii="宋体" w:hAnsi="宋体" w:cs="宋体"/>
                <w:color w:val="auto"/>
                <w:szCs w:val="21"/>
                <w:highlight w:val="none"/>
              </w:rPr>
              <w:t>1750mm</w:t>
            </w:r>
            <w:r>
              <w:rPr>
                <w:rFonts w:hint="eastAsia" w:ascii="宋体" w:hAnsi="宋体" w:cs="宋体"/>
                <w:color w:val="auto"/>
                <w:szCs w:val="21"/>
                <w:highlight w:val="none"/>
                <w:lang w:val="zh-CN"/>
              </w:rPr>
              <w:t>×</w:t>
            </w:r>
            <w:r>
              <w:rPr>
                <w:rFonts w:hint="eastAsia" w:ascii="宋体" w:hAnsi="宋体" w:cs="宋体"/>
                <w:color w:val="auto"/>
                <w:szCs w:val="21"/>
                <w:highlight w:val="none"/>
              </w:rPr>
              <w:t>2300 mm。</w:t>
            </w:r>
          </w:p>
          <w:p>
            <w:pPr>
              <w:pStyle w:val="49"/>
              <w:ind w:firstLine="0" w:firstLineChars="0"/>
              <w:rPr>
                <w:rFonts w:hint="eastAsia" w:ascii="宋体" w:hAnsi="宋体" w:cs="宋体"/>
                <w:color w:val="auto"/>
                <w:szCs w:val="21"/>
                <w:highlight w:val="none"/>
              </w:rPr>
            </w:pPr>
            <w:r>
              <w:rPr>
                <w:rFonts w:hint="eastAsia" w:ascii="宋体" w:hAnsi="宋体" w:cs="宋体"/>
                <w:color w:val="auto"/>
                <w:szCs w:val="21"/>
                <w:highlight w:val="none"/>
              </w:rPr>
              <w:t>9.顶层高度：4600mm。</w:t>
            </w:r>
          </w:p>
          <w:p>
            <w:pPr>
              <w:pStyle w:val="49"/>
              <w:ind w:firstLine="0" w:firstLineChars="0"/>
              <w:rPr>
                <w:rFonts w:hint="eastAsia" w:ascii="宋体" w:hAnsi="宋体" w:cs="宋体"/>
                <w:color w:val="auto"/>
                <w:szCs w:val="21"/>
                <w:highlight w:val="none"/>
              </w:rPr>
            </w:pPr>
            <w:r>
              <w:rPr>
                <w:rFonts w:hint="eastAsia" w:ascii="宋体" w:hAnsi="宋体" w:cs="宋体"/>
                <w:color w:val="auto"/>
                <w:szCs w:val="21"/>
                <w:highlight w:val="none"/>
              </w:rPr>
              <w:t>10.底坑深度：1700mm。</w:t>
            </w:r>
          </w:p>
          <w:p>
            <w:pPr>
              <w:pStyle w:val="49"/>
              <w:ind w:firstLine="0" w:firstLineChars="0"/>
              <w:rPr>
                <w:rFonts w:hint="eastAsia" w:ascii="宋体" w:hAnsi="宋体" w:cs="宋体"/>
                <w:color w:val="auto"/>
                <w:szCs w:val="21"/>
                <w:highlight w:val="none"/>
              </w:rPr>
            </w:pPr>
            <w:r>
              <w:rPr>
                <w:rFonts w:hint="eastAsia" w:ascii="宋体" w:hAnsi="宋体" w:cs="宋体"/>
                <w:color w:val="auto"/>
                <w:szCs w:val="21"/>
                <w:highlight w:val="none"/>
              </w:rPr>
              <w:t>11.提升高度：21.1</w:t>
            </w:r>
            <w:r>
              <w:rPr>
                <w:rFonts w:hint="eastAsia" w:ascii="宋体" w:hAnsi="宋体" w:cs="宋体"/>
                <w:bCs/>
                <w:color w:val="auto"/>
                <w:szCs w:val="21"/>
                <w:highlight w:val="none"/>
              </w:rPr>
              <w:t>m</w:t>
            </w:r>
            <w:r>
              <w:rPr>
                <w:rFonts w:hint="eastAsia" w:ascii="宋体" w:hAnsi="宋体" w:cs="宋体"/>
                <w:color w:val="auto"/>
                <w:szCs w:val="21"/>
                <w:highlight w:val="none"/>
              </w:rPr>
              <w:t>。</w:t>
            </w:r>
          </w:p>
          <w:p>
            <w:pPr>
              <w:rPr>
                <w:rFonts w:hint="eastAsia" w:ascii="宋体" w:hAnsi="宋体" w:cs="宋体"/>
                <w:color w:val="auto"/>
                <w:szCs w:val="21"/>
                <w:highlight w:val="none"/>
              </w:rPr>
            </w:pPr>
            <w:r>
              <w:rPr>
                <w:rFonts w:hint="eastAsia" w:ascii="宋体" w:hAnsi="宋体" w:cs="宋体"/>
                <w:color w:val="auto"/>
                <w:szCs w:val="21"/>
                <w:highlight w:val="none"/>
              </w:rPr>
              <w:t>12.控制方式： 单控。</w:t>
            </w:r>
          </w:p>
          <w:p>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13.以上所有数据和尺寸最终以现场测量后厂家设计图纸为准。</w:t>
            </w:r>
          </w:p>
          <w:p>
            <w:pPr>
              <w:spacing w:line="360" w:lineRule="exact"/>
              <w:rPr>
                <w:rFonts w:hint="eastAsia" w:ascii="宋体" w:hAnsi="宋体" w:cs="宋体"/>
                <w:color w:val="auto"/>
                <w:szCs w:val="21"/>
                <w:highlight w:val="none"/>
              </w:rPr>
            </w:pPr>
            <w:r>
              <w:rPr>
                <w:rFonts w:hint="eastAsia" w:ascii="宋体" w:hAnsi="宋体" w:cs="宋体"/>
                <w:b/>
                <w:bCs/>
                <w:color w:val="auto"/>
                <w:szCs w:val="21"/>
                <w:highlight w:val="none"/>
              </w:rPr>
              <w:t>二、技术要求</w:t>
            </w:r>
          </w:p>
          <w:p>
            <w:pPr>
              <w:spacing w:line="340" w:lineRule="exact"/>
              <w:rPr>
                <w:rFonts w:hint="eastAsia" w:ascii="宋体" w:hAnsi="宋体"/>
                <w:color w:val="auto"/>
                <w:szCs w:val="21"/>
                <w:highlight w:val="none"/>
              </w:rPr>
            </w:pPr>
            <w:r>
              <w:rPr>
                <w:rFonts w:hint="eastAsia" w:ascii="宋体" w:hAnsi="宋体" w:cs="宋体"/>
                <w:color w:val="auto"/>
                <w:highlight w:val="none"/>
                <w:lang w:val="en"/>
              </w:rPr>
              <w:t>★</w:t>
            </w:r>
            <w:r>
              <w:rPr>
                <w:rFonts w:hint="eastAsia" w:ascii="宋体" w:hAnsi="宋体"/>
                <w:color w:val="auto"/>
                <w:szCs w:val="21"/>
                <w:highlight w:val="none"/>
              </w:rPr>
              <w:t>1.控制系统：采用双32位先进交流变频调压调速系统，采用全数字智能化、模块化微机控制系统。</w:t>
            </w:r>
          </w:p>
          <w:p>
            <w:pPr>
              <w:spacing w:line="340" w:lineRule="exact"/>
              <w:rPr>
                <w:rFonts w:hint="eastAsia" w:ascii="宋体" w:hAnsi="宋体"/>
                <w:color w:val="auto"/>
                <w:szCs w:val="21"/>
                <w:highlight w:val="none"/>
              </w:rPr>
            </w:pPr>
            <w:r>
              <w:rPr>
                <w:rFonts w:hint="eastAsia" w:ascii="宋体" w:hAnsi="宋体" w:cs="宋体"/>
                <w:color w:val="auto"/>
                <w:highlight w:val="none"/>
                <w:lang w:val="en"/>
              </w:rPr>
              <w:t>★</w:t>
            </w:r>
            <w:r>
              <w:rPr>
                <w:rFonts w:hint="eastAsia" w:ascii="宋体" w:hAnsi="宋体"/>
                <w:color w:val="auto"/>
                <w:szCs w:val="21"/>
                <w:highlight w:val="none"/>
              </w:rPr>
              <w:t>2.变频系统：交流变频调压调速（VVVF）系统。</w:t>
            </w:r>
          </w:p>
          <w:p>
            <w:pPr>
              <w:spacing w:line="340" w:lineRule="exact"/>
              <w:rPr>
                <w:rFonts w:hint="eastAsia" w:ascii="宋体" w:hAnsi="宋体"/>
                <w:color w:val="auto"/>
                <w:szCs w:val="21"/>
                <w:highlight w:val="none"/>
              </w:rPr>
            </w:pPr>
            <w:r>
              <w:rPr>
                <w:rFonts w:hint="eastAsia" w:ascii="宋体" w:hAnsi="宋体" w:cs="宋体"/>
                <w:color w:val="auto"/>
                <w:highlight w:val="none"/>
                <w:lang w:val="en"/>
              </w:rPr>
              <w:t>★</w:t>
            </w:r>
            <w:r>
              <w:rPr>
                <w:rFonts w:hint="eastAsia" w:ascii="宋体" w:hAnsi="宋体"/>
                <w:color w:val="auto"/>
                <w:szCs w:val="21"/>
                <w:highlight w:val="none"/>
              </w:rPr>
              <w:t>3.曳引系统：采用先进节能永磁同步无齿轮曳引机，能实现降低噪音与振动，并消除减速环节失效，曳引机制动器安全可靠，可应对高频使用情况，耐久性好。</w:t>
            </w:r>
          </w:p>
          <w:p>
            <w:pPr>
              <w:spacing w:line="340" w:lineRule="exact"/>
              <w:rPr>
                <w:rFonts w:hint="eastAsia" w:ascii="宋体" w:hAnsi="宋体"/>
                <w:color w:val="auto"/>
                <w:szCs w:val="21"/>
                <w:highlight w:val="none"/>
              </w:rPr>
            </w:pPr>
            <w:r>
              <w:rPr>
                <w:rFonts w:hint="eastAsia" w:ascii="宋体" w:hAnsi="宋体" w:cs="宋体"/>
                <w:color w:val="auto"/>
                <w:highlight w:val="none"/>
                <w:lang w:val="en"/>
              </w:rPr>
              <w:t>★</w:t>
            </w:r>
            <w:r>
              <w:rPr>
                <w:rFonts w:hint="eastAsia" w:ascii="宋体" w:hAnsi="宋体"/>
                <w:color w:val="auto"/>
                <w:szCs w:val="21"/>
                <w:highlight w:val="none"/>
              </w:rPr>
              <w:t>4.门机系统：全系列采用超薄PM永磁同步门机驱动技术，通过采用先进的变频变压无连杆设计，32位高速数字信号处理器、速度电流双闭环反馈控制，变压变频(VVVF)调速系统三位一体，电梯永磁同步门机系统的动作寿命达到1350万次，技术先进、安全可靠，技术性能优，使用寿命高。</w:t>
            </w:r>
          </w:p>
          <w:p>
            <w:pPr>
              <w:spacing w:line="340" w:lineRule="exact"/>
              <w:rPr>
                <w:rFonts w:hint="eastAsia" w:ascii="宋体" w:hAnsi="宋体"/>
                <w:color w:val="auto"/>
                <w:szCs w:val="21"/>
                <w:highlight w:val="none"/>
              </w:rPr>
            </w:pPr>
            <w:r>
              <w:rPr>
                <w:rFonts w:hint="eastAsia" w:ascii="宋体" w:hAnsi="宋体"/>
                <w:color w:val="auto"/>
                <w:szCs w:val="21"/>
                <w:highlight w:val="none"/>
              </w:rPr>
              <w:t>5.通讯方式：采用CANBUS（现场总线）数据网络控制技术，并且电梯轿厢指令控制器、轿厢内层楼指示器、门机控制器、每一层站按钮与层楼指示器等子系统都应用独立的微处理器。</w:t>
            </w:r>
          </w:p>
          <w:p>
            <w:pPr>
              <w:spacing w:line="340" w:lineRule="exact"/>
              <w:rPr>
                <w:rFonts w:hint="eastAsia" w:ascii="宋体" w:hAnsi="宋体"/>
                <w:color w:val="auto"/>
                <w:szCs w:val="21"/>
                <w:highlight w:val="none"/>
              </w:rPr>
            </w:pPr>
            <w:r>
              <w:rPr>
                <w:rFonts w:hint="eastAsia" w:ascii="宋体" w:hAnsi="宋体"/>
                <w:color w:val="auto"/>
                <w:szCs w:val="21"/>
                <w:highlight w:val="none"/>
              </w:rPr>
              <w:t>6.电源系统：使用全数字控制智能化DC-DC电源技术。</w:t>
            </w:r>
          </w:p>
          <w:p>
            <w:pPr>
              <w:spacing w:line="340" w:lineRule="exact"/>
              <w:rPr>
                <w:rFonts w:hint="eastAsia" w:ascii="宋体" w:hAnsi="宋体"/>
                <w:color w:val="auto"/>
                <w:szCs w:val="21"/>
                <w:highlight w:val="none"/>
              </w:rPr>
            </w:pPr>
            <w:r>
              <w:rPr>
                <w:rFonts w:hint="eastAsia" w:ascii="宋体" w:hAnsi="宋体" w:cs="宋体"/>
                <w:color w:val="auto"/>
                <w:highlight w:val="none"/>
                <w:lang w:val="en"/>
              </w:rPr>
              <w:t>★</w:t>
            </w:r>
            <w:r>
              <w:rPr>
                <w:rFonts w:hint="eastAsia" w:ascii="宋体" w:hAnsi="宋体"/>
                <w:color w:val="auto"/>
                <w:szCs w:val="21"/>
                <w:highlight w:val="none"/>
              </w:rPr>
              <w:t>7.安全门保护：红外线光幕及触板保护，采用的2D红外线感应光幕，交叉式，且扫描光束达到170束或以上。</w:t>
            </w:r>
          </w:p>
          <w:p>
            <w:pPr>
              <w:spacing w:line="340" w:lineRule="exact"/>
              <w:rPr>
                <w:rFonts w:hint="eastAsia" w:ascii="宋体" w:hAnsi="宋体" w:cs="宋体"/>
                <w:color w:val="auto"/>
                <w:szCs w:val="21"/>
                <w:highlight w:val="none"/>
              </w:rPr>
            </w:pPr>
            <w:r>
              <w:rPr>
                <w:rFonts w:hint="eastAsia" w:ascii="宋体" w:hAnsi="宋体"/>
                <w:color w:val="auto"/>
                <w:szCs w:val="21"/>
                <w:highlight w:val="none"/>
              </w:rPr>
              <w:t>8.电梯主体结构采用全方位抗震保护设计，确保电梯安全。</w:t>
            </w:r>
          </w:p>
          <w:p>
            <w:pPr>
              <w:spacing w:line="340" w:lineRule="exact"/>
              <w:rPr>
                <w:rFonts w:hint="eastAsia" w:ascii="宋体" w:hAnsi="宋体" w:cs="宋体"/>
                <w:color w:val="auto"/>
                <w:szCs w:val="21"/>
                <w:highlight w:val="none"/>
              </w:rPr>
            </w:pPr>
            <w:r>
              <w:rPr>
                <w:rFonts w:hint="eastAsia" w:ascii="宋体" w:hAnsi="宋体" w:cs="宋体"/>
                <w:color w:val="auto"/>
                <w:szCs w:val="21"/>
                <w:highlight w:val="none"/>
              </w:rPr>
              <w:t>9.在轿厢架和轿顶轮之间增加弹性结构（采用橡胶或者弹簧隔振），从而减小结构振动传递的振动和噪声，提高乘坐电梯的舒适度。</w:t>
            </w:r>
          </w:p>
          <w:p>
            <w:pPr>
              <w:spacing w:after="120" w:line="276" w:lineRule="auto"/>
              <w:rPr>
                <w:rFonts w:hint="eastAsia" w:ascii="宋体" w:hAnsi="宋体" w:cs="宋体"/>
                <w:color w:val="auto"/>
                <w:highlight w:val="none"/>
                <w:lang w:val="en"/>
              </w:rPr>
            </w:pPr>
            <w:r>
              <w:rPr>
                <w:rFonts w:hint="eastAsia" w:ascii="宋体" w:hAnsi="宋体" w:cs="宋体"/>
                <w:color w:val="auto"/>
                <w:highlight w:val="none"/>
                <w:lang w:val="en"/>
              </w:rPr>
              <w:t>★10.电梯主机制动器采用为轿厢内加载至200%的额定载荷并保持 20min后，各部件完好。</w:t>
            </w:r>
          </w:p>
          <w:p>
            <w:pPr>
              <w:spacing w:after="120" w:line="276" w:lineRule="auto"/>
              <w:rPr>
                <w:rFonts w:hint="eastAsia" w:ascii="宋体" w:hAnsi="宋体" w:cs="宋体"/>
                <w:color w:val="auto"/>
                <w:highlight w:val="none"/>
                <w:lang w:val="en"/>
              </w:rPr>
            </w:pPr>
            <w:r>
              <w:rPr>
                <w:rFonts w:hint="eastAsia" w:ascii="宋体" w:hAnsi="宋体" w:cs="宋体"/>
                <w:color w:val="auto"/>
                <w:highlight w:val="none"/>
                <w:lang w:val="en"/>
              </w:rPr>
              <w:t>11.整机绝缘等级为F级。</w:t>
            </w:r>
          </w:p>
          <w:p>
            <w:pPr>
              <w:spacing w:after="120" w:line="276" w:lineRule="auto"/>
              <w:rPr>
                <w:rFonts w:hint="eastAsia" w:ascii="宋体" w:hAnsi="宋体" w:cs="宋体"/>
                <w:color w:val="auto"/>
                <w:highlight w:val="none"/>
                <w:lang w:val="en"/>
              </w:rPr>
            </w:pPr>
            <w:r>
              <w:rPr>
                <w:rFonts w:hint="eastAsia" w:ascii="宋体" w:hAnsi="宋体" w:cs="宋体"/>
                <w:color w:val="auto"/>
                <w:highlight w:val="none"/>
                <w:lang w:val="en"/>
              </w:rPr>
              <w:t>12.称量系统：采用线性连续式高精度称量传感器的称量系统</w:t>
            </w:r>
          </w:p>
          <w:p>
            <w:pPr>
              <w:spacing w:after="120" w:line="276" w:lineRule="auto"/>
              <w:rPr>
                <w:rFonts w:hint="eastAsia" w:ascii="宋体" w:hAnsi="宋体" w:cs="宋体"/>
                <w:color w:val="auto"/>
                <w:highlight w:val="none"/>
                <w:lang w:val="en"/>
              </w:rPr>
            </w:pPr>
            <w:r>
              <w:rPr>
                <w:rFonts w:hint="eastAsia" w:ascii="宋体" w:hAnsi="宋体" w:cs="宋体"/>
                <w:color w:val="auto"/>
                <w:highlight w:val="none"/>
                <w:lang w:val="en"/>
              </w:rPr>
              <w:t>★13.供电条件:DC-DC电源，动力电源：三相交流380V，50Hz照明电源：单相交流220V，50Hz</w:t>
            </w:r>
          </w:p>
          <w:p>
            <w:pPr>
              <w:spacing w:after="120" w:line="276" w:lineRule="auto"/>
              <w:rPr>
                <w:rFonts w:hint="eastAsia" w:ascii="宋体" w:hAnsi="宋体"/>
                <w:bCs/>
                <w:color w:val="auto"/>
                <w:szCs w:val="21"/>
                <w:highlight w:val="none"/>
              </w:rPr>
            </w:pPr>
            <w:r>
              <w:rPr>
                <w:rFonts w:hint="eastAsia" w:ascii="宋体" w:hAnsi="宋体" w:cs="宋体"/>
                <w:color w:val="auto"/>
                <w:highlight w:val="none"/>
                <w:lang w:val="en"/>
              </w:rPr>
              <w:t>★14.电梯控制柜三相动力电源线与地之间施加±18000V雷击浪涌干扰≥50次，部件无损坏。</w:t>
            </w:r>
          </w:p>
          <w:p>
            <w:pPr>
              <w:spacing w:line="340" w:lineRule="exact"/>
              <w:rPr>
                <w:rFonts w:hint="eastAsia" w:ascii="宋体" w:hAnsi="宋体"/>
                <w:bCs/>
                <w:color w:val="auto"/>
                <w:szCs w:val="21"/>
                <w:highlight w:val="none"/>
              </w:rPr>
            </w:pPr>
          </w:p>
          <w:p>
            <w:pPr>
              <w:spacing w:after="120" w:line="276" w:lineRule="auto"/>
              <w:ind w:left="-71"/>
              <w:rPr>
                <w:rFonts w:ascii="宋体" w:hAnsi="宋体" w:cs="宋体"/>
                <w:color w:val="auto"/>
                <w:szCs w:val="21"/>
                <w:highlight w:val="none"/>
              </w:rPr>
            </w:pPr>
            <w:r>
              <w:rPr>
                <w:rFonts w:hint="eastAsia" w:ascii="宋体" w:hAnsi="宋体" w:cs="宋体"/>
                <w:b/>
                <w:bCs/>
                <w:color w:val="auto"/>
                <w:szCs w:val="21"/>
                <w:highlight w:val="none"/>
              </w:rPr>
              <w:t xml:space="preserve">三、主要部件及技术要求 </w:t>
            </w:r>
          </w:p>
          <w:p>
            <w:pPr>
              <w:widowControl/>
              <w:snapToGrid w:val="0"/>
              <w:spacing w:line="340" w:lineRule="exact"/>
              <w:jc w:val="left"/>
              <w:outlineLvl w:val="0"/>
              <w:rPr>
                <w:rFonts w:hint="eastAsia" w:ascii="宋体" w:hAnsi="宋体" w:cs="宋体"/>
                <w:color w:val="auto"/>
                <w:szCs w:val="21"/>
                <w:highlight w:val="none"/>
              </w:rPr>
            </w:pPr>
            <w:r>
              <w:rPr>
                <w:rFonts w:hint="eastAsia" w:ascii="宋体" w:hAnsi="宋体"/>
                <w:b/>
                <w:bCs/>
                <w:color w:val="auto"/>
                <w:szCs w:val="21"/>
                <w:highlight w:val="none"/>
              </w:rPr>
              <w:t>▲</w:t>
            </w:r>
            <w:r>
              <w:rPr>
                <w:rFonts w:hint="eastAsia" w:ascii="宋体" w:hAnsi="宋体" w:cs="宋体"/>
                <w:color w:val="auto"/>
                <w:szCs w:val="21"/>
                <w:highlight w:val="none"/>
              </w:rPr>
              <w:t>1.主要部件要求：</w:t>
            </w:r>
          </w:p>
          <w:p>
            <w:pPr>
              <w:widowControl/>
              <w:snapToGrid w:val="0"/>
              <w:spacing w:line="340" w:lineRule="exact"/>
              <w:jc w:val="left"/>
              <w:outlineLvl w:val="0"/>
              <w:rPr>
                <w:rFonts w:hint="eastAsia" w:ascii="宋体" w:hAnsi="宋体" w:cs="宋体"/>
                <w:color w:val="auto"/>
                <w:szCs w:val="21"/>
                <w:highlight w:val="none"/>
              </w:rPr>
            </w:pPr>
            <w:r>
              <w:rPr>
                <w:rFonts w:hint="eastAsia" w:ascii="宋体" w:hAnsi="宋体" w:cs="宋体"/>
                <w:color w:val="auto"/>
                <w:szCs w:val="21"/>
                <w:highlight w:val="none"/>
              </w:rPr>
              <w:t>驱动主机(曳引机)、控制柜、可编程电子安全相关系统、层门门锁、轿门门锁、限速器、安全钳、缓冲器、上行超速保护装置、轿厢意外移动保护装置必须为竞标产品同品牌、同制造商设计和制造，</w:t>
            </w:r>
            <w:r>
              <w:rPr>
                <w:rFonts w:hint="eastAsia" w:ascii="宋体" w:hAnsi="宋体" w:cs="宋体"/>
                <w:b/>
                <w:bCs/>
                <w:color w:val="auto"/>
                <w:szCs w:val="21"/>
                <w:highlight w:val="none"/>
              </w:rPr>
              <w:t>需提供电梯整梯型式试验证书及报告复印件</w:t>
            </w:r>
            <w:r>
              <w:rPr>
                <w:rFonts w:hint="eastAsia" w:ascii="宋体" w:hAnsi="宋体" w:cs="宋体"/>
                <w:color w:val="auto"/>
                <w:szCs w:val="21"/>
                <w:highlight w:val="none"/>
              </w:rPr>
              <w:t>。</w:t>
            </w:r>
          </w:p>
          <w:p>
            <w:pPr>
              <w:widowControl/>
              <w:snapToGrid w:val="0"/>
              <w:spacing w:line="340" w:lineRule="exact"/>
              <w:jc w:val="left"/>
              <w:outlineLvl w:val="0"/>
              <w:rPr>
                <w:rFonts w:hint="eastAsia" w:ascii="宋体" w:hAnsi="宋体" w:cs="宋体"/>
                <w:color w:val="auto"/>
                <w:szCs w:val="21"/>
                <w:highlight w:val="none"/>
              </w:rPr>
            </w:pPr>
            <w:r>
              <w:rPr>
                <w:rFonts w:hint="eastAsia" w:ascii="宋体" w:hAnsi="宋体" w:cs="宋体"/>
                <w:color w:val="auto"/>
                <w:szCs w:val="21"/>
                <w:highlight w:val="none"/>
              </w:rPr>
              <w:t>2.曳引机钢丝绳数量≥5条、悬挂比2：1。</w:t>
            </w:r>
          </w:p>
          <w:p>
            <w:pPr>
              <w:spacing w:line="276" w:lineRule="auto"/>
              <w:ind w:left="-71"/>
              <w:rPr>
                <w:rFonts w:hint="eastAsia" w:ascii="宋体" w:hAnsi="宋体" w:cs="宋体"/>
                <w:b/>
                <w:bCs/>
                <w:color w:val="auto"/>
                <w:szCs w:val="21"/>
                <w:highlight w:val="none"/>
              </w:rPr>
            </w:pPr>
            <w:r>
              <w:rPr>
                <w:rFonts w:hint="eastAsia" w:ascii="宋体" w:hAnsi="宋体" w:cs="宋体"/>
                <w:b/>
                <w:bCs/>
                <w:color w:val="auto"/>
                <w:szCs w:val="21"/>
                <w:highlight w:val="none"/>
              </w:rPr>
              <w:t>四、轿厢装潢</w:t>
            </w:r>
          </w:p>
          <w:p>
            <w:pPr>
              <w:widowControl/>
              <w:snapToGrid w:val="0"/>
              <w:spacing w:line="340" w:lineRule="exact"/>
              <w:jc w:val="left"/>
              <w:outlineLvl w:val="0"/>
              <w:rPr>
                <w:rFonts w:hint="eastAsia" w:ascii="宋体" w:hAnsi="宋体" w:cs="宋体"/>
                <w:color w:val="auto"/>
                <w:szCs w:val="21"/>
                <w:highlight w:val="none"/>
              </w:rPr>
            </w:pPr>
            <w:r>
              <w:rPr>
                <w:rFonts w:hint="eastAsia" w:ascii="宋体" w:hAnsi="宋体"/>
                <w:b/>
                <w:bCs/>
                <w:color w:val="auto"/>
                <w:szCs w:val="21"/>
                <w:highlight w:val="none"/>
              </w:rPr>
              <w:t>▲</w:t>
            </w:r>
            <w:r>
              <w:rPr>
                <w:rFonts w:hint="eastAsia" w:ascii="宋体" w:hAnsi="宋体" w:cs="宋体"/>
                <w:color w:val="auto"/>
                <w:szCs w:val="21"/>
                <w:highlight w:val="none"/>
              </w:rPr>
              <w:t xml:space="preserve">1.轿厢装饰要求：轿厢轿壁、轿门 304发纹不锈钢；  </w:t>
            </w:r>
          </w:p>
          <w:p>
            <w:pPr>
              <w:widowControl/>
              <w:snapToGrid w:val="0"/>
              <w:spacing w:line="340" w:lineRule="exact"/>
              <w:jc w:val="left"/>
              <w:outlineLvl w:val="0"/>
              <w:rPr>
                <w:rFonts w:hint="eastAsia" w:ascii="宋体" w:hAnsi="宋体" w:cs="宋体"/>
                <w:color w:val="auto"/>
                <w:szCs w:val="21"/>
                <w:highlight w:val="none"/>
              </w:rPr>
            </w:pPr>
            <w:r>
              <w:rPr>
                <w:rFonts w:hint="eastAsia" w:ascii="宋体" w:hAnsi="宋体"/>
                <w:b/>
                <w:bCs/>
                <w:color w:val="auto"/>
                <w:szCs w:val="21"/>
                <w:highlight w:val="none"/>
              </w:rPr>
              <w:t>▲</w:t>
            </w:r>
            <w:r>
              <w:rPr>
                <w:rFonts w:hint="eastAsia" w:ascii="宋体" w:hAnsi="宋体" w:cs="宋体"/>
                <w:color w:val="auto"/>
                <w:szCs w:val="21"/>
                <w:highlight w:val="none"/>
              </w:rPr>
              <w:t xml:space="preserve">2.轿门地坎：硬质铝合金型材。 </w:t>
            </w:r>
          </w:p>
          <w:p>
            <w:pPr>
              <w:widowControl/>
              <w:snapToGrid w:val="0"/>
              <w:spacing w:line="340" w:lineRule="exact"/>
              <w:jc w:val="left"/>
              <w:outlineLvl w:val="0"/>
              <w:rPr>
                <w:rFonts w:hint="eastAsia" w:ascii="宋体" w:hAnsi="宋体" w:cs="宋体"/>
                <w:color w:val="auto"/>
                <w:szCs w:val="21"/>
                <w:highlight w:val="none"/>
              </w:rPr>
            </w:pPr>
            <w:r>
              <w:rPr>
                <w:rFonts w:hint="eastAsia" w:ascii="宋体" w:hAnsi="宋体"/>
                <w:b/>
                <w:bCs/>
                <w:color w:val="auto"/>
                <w:szCs w:val="21"/>
                <w:highlight w:val="none"/>
              </w:rPr>
              <w:t>▲</w:t>
            </w:r>
            <w:r>
              <w:rPr>
                <w:rFonts w:hint="eastAsia" w:ascii="宋体" w:hAnsi="宋体" w:cs="宋体"/>
                <w:color w:val="auto"/>
                <w:szCs w:val="21"/>
                <w:highlight w:val="none"/>
              </w:rPr>
              <w:t xml:space="preserve">3.袖壁板：发纹不锈钢。 </w:t>
            </w:r>
          </w:p>
          <w:p>
            <w:pPr>
              <w:widowControl/>
              <w:snapToGrid w:val="0"/>
              <w:spacing w:line="340" w:lineRule="exact"/>
              <w:jc w:val="left"/>
              <w:outlineLvl w:val="0"/>
              <w:rPr>
                <w:rFonts w:hint="eastAsia" w:ascii="宋体" w:hAnsi="宋体" w:cs="宋体"/>
                <w:color w:val="auto"/>
                <w:szCs w:val="21"/>
                <w:highlight w:val="none"/>
              </w:rPr>
            </w:pPr>
            <w:r>
              <w:rPr>
                <w:rFonts w:hint="eastAsia" w:ascii="宋体" w:hAnsi="宋体"/>
                <w:b/>
                <w:bCs/>
                <w:color w:val="auto"/>
                <w:szCs w:val="21"/>
                <w:highlight w:val="none"/>
              </w:rPr>
              <w:t>▲</w:t>
            </w:r>
            <w:r>
              <w:rPr>
                <w:rFonts w:hint="eastAsia" w:ascii="宋体" w:hAnsi="宋体" w:cs="宋体"/>
                <w:color w:val="auto"/>
                <w:szCs w:val="21"/>
                <w:highlight w:val="none"/>
              </w:rPr>
              <w:t xml:space="preserve">4.轿厢门楣：发纹不锈钢。 </w:t>
            </w:r>
          </w:p>
          <w:p>
            <w:pPr>
              <w:widowControl/>
              <w:snapToGrid w:val="0"/>
              <w:spacing w:line="340" w:lineRule="exact"/>
              <w:jc w:val="left"/>
              <w:outlineLvl w:val="0"/>
              <w:rPr>
                <w:rFonts w:hint="eastAsia" w:ascii="宋体" w:hAnsi="宋体" w:cs="宋体"/>
                <w:color w:val="auto"/>
                <w:szCs w:val="21"/>
                <w:highlight w:val="none"/>
              </w:rPr>
            </w:pPr>
            <w:r>
              <w:rPr>
                <w:rFonts w:hint="eastAsia" w:ascii="宋体" w:hAnsi="宋体"/>
                <w:b/>
                <w:bCs/>
                <w:color w:val="auto"/>
                <w:szCs w:val="21"/>
                <w:highlight w:val="none"/>
              </w:rPr>
              <w:t>▲</w:t>
            </w:r>
            <w:r>
              <w:rPr>
                <w:rFonts w:hint="eastAsia" w:ascii="宋体" w:hAnsi="宋体" w:cs="宋体"/>
                <w:color w:val="auto"/>
                <w:szCs w:val="21"/>
                <w:highlight w:val="none"/>
              </w:rPr>
              <w:t>5.层门、门套：发纹不锈钢，大门套。</w:t>
            </w:r>
          </w:p>
          <w:p>
            <w:pPr>
              <w:widowControl/>
              <w:snapToGrid w:val="0"/>
              <w:spacing w:line="340" w:lineRule="exact"/>
              <w:jc w:val="left"/>
              <w:outlineLvl w:val="0"/>
              <w:rPr>
                <w:rFonts w:hint="eastAsia" w:ascii="宋体" w:hAnsi="宋体" w:cs="宋体"/>
                <w:color w:val="auto"/>
                <w:szCs w:val="21"/>
                <w:highlight w:val="none"/>
              </w:rPr>
            </w:pPr>
            <w:r>
              <w:rPr>
                <w:rFonts w:hint="eastAsia" w:ascii="宋体" w:hAnsi="宋体" w:cs="宋体"/>
                <w:color w:val="auto"/>
                <w:szCs w:val="21"/>
                <w:highlight w:val="none"/>
              </w:rPr>
              <w:t xml:space="preserve">6.轿厢地面：塑料地板胶。  </w:t>
            </w:r>
          </w:p>
          <w:p>
            <w:pPr>
              <w:widowControl/>
              <w:snapToGrid w:val="0"/>
              <w:spacing w:line="340" w:lineRule="exact"/>
              <w:jc w:val="left"/>
              <w:outlineLvl w:val="0"/>
              <w:rPr>
                <w:rFonts w:hint="eastAsia" w:ascii="宋体" w:hAnsi="宋体" w:cs="宋体"/>
                <w:color w:val="auto"/>
                <w:szCs w:val="21"/>
                <w:highlight w:val="none"/>
              </w:rPr>
            </w:pPr>
            <w:r>
              <w:rPr>
                <w:rFonts w:hint="eastAsia" w:ascii="宋体" w:hAnsi="宋体" w:cs="宋体"/>
                <w:color w:val="auto"/>
                <w:szCs w:val="21"/>
                <w:highlight w:val="none"/>
              </w:rPr>
              <w:t xml:space="preserve">7.轿厢操纵箱：发纹不锈钢面板，微动式圆形不锈钢按钮，轿厢显示层站和运行方向。               </w:t>
            </w:r>
          </w:p>
          <w:p>
            <w:pPr>
              <w:widowControl/>
              <w:snapToGrid w:val="0"/>
              <w:spacing w:line="340" w:lineRule="exact"/>
              <w:jc w:val="left"/>
              <w:outlineLvl w:val="0"/>
              <w:rPr>
                <w:rFonts w:hint="eastAsia" w:ascii="宋体" w:hAnsi="宋体" w:cs="宋体"/>
                <w:color w:val="auto"/>
                <w:szCs w:val="21"/>
                <w:highlight w:val="none"/>
              </w:rPr>
            </w:pPr>
            <w:r>
              <w:rPr>
                <w:rFonts w:hint="eastAsia" w:ascii="宋体" w:hAnsi="宋体" w:cs="宋体"/>
                <w:color w:val="auto"/>
                <w:szCs w:val="21"/>
                <w:highlight w:val="none"/>
              </w:rPr>
              <w:t xml:space="preserve">8.厅门召唤箱：带指示层的召唤箱发纹不锈钢面板，显示层站和运行方向，圆形不锈钢微动按钮。 </w:t>
            </w:r>
          </w:p>
          <w:p>
            <w:pPr>
              <w:widowControl/>
              <w:snapToGrid w:val="0"/>
              <w:spacing w:line="340" w:lineRule="exact"/>
              <w:jc w:val="left"/>
              <w:outlineLvl w:val="0"/>
              <w:rPr>
                <w:rFonts w:hint="eastAsia" w:ascii="宋体" w:hAnsi="宋体" w:cs="宋体"/>
                <w:color w:val="auto"/>
                <w:szCs w:val="21"/>
                <w:highlight w:val="none"/>
              </w:rPr>
            </w:pPr>
            <w:r>
              <w:rPr>
                <w:rFonts w:hint="eastAsia" w:ascii="宋体" w:hAnsi="宋体" w:cs="宋体"/>
                <w:color w:val="auto"/>
                <w:szCs w:val="21"/>
                <w:highlight w:val="none"/>
              </w:rPr>
              <w:t>9.轿厢吊顶：LED灯照明，经过防尘、无静电处理。</w:t>
            </w:r>
          </w:p>
          <w:p>
            <w:pPr>
              <w:widowControl/>
              <w:snapToGrid w:val="0"/>
              <w:spacing w:line="340" w:lineRule="exact"/>
              <w:jc w:val="left"/>
              <w:outlineLvl w:val="0"/>
              <w:rPr>
                <w:rFonts w:hint="eastAsia" w:ascii="宋体" w:hAnsi="宋体" w:cs="宋体"/>
                <w:color w:val="auto"/>
                <w:szCs w:val="21"/>
                <w:highlight w:val="none"/>
              </w:rPr>
            </w:pPr>
            <w:r>
              <w:rPr>
                <w:rFonts w:hint="eastAsia" w:ascii="宋体" w:hAnsi="宋体" w:cs="宋体"/>
                <w:color w:val="auto"/>
                <w:szCs w:val="21"/>
                <w:highlight w:val="none"/>
              </w:rPr>
              <w:t xml:space="preserve">10.轿厢通风系统：轿顶风口送风。 </w:t>
            </w:r>
          </w:p>
          <w:p>
            <w:pPr>
              <w:spacing w:line="276" w:lineRule="auto"/>
              <w:ind w:left="-71"/>
              <w:jc w:val="left"/>
              <w:rPr>
                <w:rFonts w:hint="eastAsia" w:ascii="宋体" w:hAnsi="宋体" w:cs="宋体"/>
                <w:b/>
                <w:bCs/>
                <w:color w:val="auto"/>
                <w:szCs w:val="21"/>
                <w:highlight w:val="none"/>
              </w:rPr>
            </w:pPr>
            <w:r>
              <w:rPr>
                <w:rFonts w:hint="eastAsia" w:ascii="宋体" w:hAnsi="宋体" w:cs="宋体"/>
                <w:b/>
                <w:bCs/>
                <w:color w:val="auto"/>
                <w:szCs w:val="21"/>
                <w:highlight w:val="none"/>
              </w:rPr>
              <w:t>五、电梯功能</w:t>
            </w:r>
          </w:p>
          <w:p>
            <w:pPr>
              <w:jc w:val="left"/>
              <w:rPr>
                <w:rFonts w:hint="eastAsia" w:ascii="宋体" w:hAnsi="宋体" w:cs="宋体"/>
                <w:color w:val="auto"/>
                <w:szCs w:val="21"/>
                <w:highlight w:val="none"/>
              </w:rPr>
            </w:pPr>
            <w:r>
              <w:rPr>
                <w:rFonts w:hint="eastAsia" w:ascii="宋体" w:hAnsi="宋体" w:cs="宋体"/>
                <w:color w:val="auto"/>
                <w:szCs w:val="21"/>
                <w:highlight w:val="none"/>
              </w:rPr>
              <w:t>1.全集选控制运行功能</w:t>
            </w:r>
          </w:p>
          <w:p>
            <w:pPr>
              <w:jc w:val="left"/>
              <w:rPr>
                <w:rFonts w:hint="eastAsia" w:ascii="宋体" w:hAnsi="宋体" w:cs="宋体"/>
                <w:color w:val="auto"/>
                <w:szCs w:val="21"/>
                <w:highlight w:val="none"/>
              </w:rPr>
            </w:pPr>
            <w:r>
              <w:rPr>
                <w:rFonts w:hint="eastAsia" w:ascii="宋体" w:hAnsi="宋体" w:cs="宋体"/>
                <w:color w:val="auto"/>
                <w:szCs w:val="21"/>
                <w:highlight w:val="none"/>
              </w:rPr>
              <w:t>2.超载保护功能</w:t>
            </w:r>
          </w:p>
          <w:p>
            <w:pPr>
              <w:jc w:val="left"/>
              <w:rPr>
                <w:rFonts w:hint="eastAsia" w:ascii="宋体" w:hAnsi="宋体" w:cs="宋体"/>
                <w:color w:val="auto"/>
                <w:szCs w:val="21"/>
                <w:highlight w:val="none"/>
              </w:rPr>
            </w:pPr>
            <w:r>
              <w:rPr>
                <w:rFonts w:hint="eastAsia" w:ascii="宋体" w:hAnsi="宋体" w:cs="宋体"/>
                <w:color w:val="auto"/>
                <w:szCs w:val="21"/>
                <w:highlight w:val="none"/>
              </w:rPr>
              <w:t>3.超载报警功能</w:t>
            </w:r>
          </w:p>
          <w:p>
            <w:pPr>
              <w:jc w:val="left"/>
              <w:rPr>
                <w:rFonts w:hint="eastAsia" w:ascii="宋体" w:hAnsi="宋体" w:cs="宋体"/>
                <w:color w:val="auto"/>
                <w:szCs w:val="21"/>
                <w:highlight w:val="none"/>
              </w:rPr>
            </w:pPr>
            <w:r>
              <w:rPr>
                <w:rFonts w:hint="eastAsia" w:ascii="宋体" w:hAnsi="宋体" w:cs="宋体"/>
                <w:color w:val="auto"/>
                <w:szCs w:val="21"/>
                <w:highlight w:val="none"/>
              </w:rPr>
              <w:t>4.超速电气保护功能</w:t>
            </w:r>
          </w:p>
          <w:p>
            <w:pPr>
              <w:jc w:val="left"/>
              <w:rPr>
                <w:rFonts w:hint="eastAsia" w:ascii="宋体" w:hAnsi="宋体" w:cs="宋体"/>
                <w:color w:val="auto"/>
                <w:szCs w:val="21"/>
                <w:highlight w:val="none"/>
              </w:rPr>
            </w:pPr>
            <w:r>
              <w:rPr>
                <w:rFonts w:hint="eastAsia" w:ascii="宋体" w:hAnsi="宋体" w:cs="宋体"/>
                <w:color w:val="auto"/>
                <w:szCs w:val="21"/>
                <w:highlight w:val="none"/>
              </w:rPr>
              <w:t>5.超速机械保护功能</w:t>
            </w:r>
          </w:p>
          <w:p>
            <w:pPr>
              <w:jc w:val="left"/>
              <w:rPr>
                <w:rFonts w:hint="eastAsia" w:ascii="宋体" w:hAnsi="宋体" w:cs="宋体"/>
                <w:color w:val="auto"/>
                <w:szCs w:val="21"/>
                <w:highlight w:val="none"/>
              </w:rPr>
            </w:pPr>
            <w:r>
              <w:rPr>
                <w:rFonts w:hint="eastAsia" w:ascii="宋体" w:hAnsi="宋体" w:cs="宋体"/>
                <w:color w:val="auto"/>
                <w:szCs w:val="21"/>
                <w:highlight w:val="none"/>
              </w:rPr>
              <w:t>6.智能光幕保护功能</w:t>
            </w:r>
          </w:p>
          <w:p>
            <w:pPr>
              <w:jc w:val="left"/>
              <w:rPr>
                <w:rFonts w:hint="eastAsia" w:ascii="宋体" w:hAnsi="宋体" w:cs="宋体"/>
                <w:color w:val="auto"/>
                <w:szCs w:val="21"/>
                <w:highlight w:val="none"/>
              </w:rPr>
            </w:pPr>
            <w:r>
              <w:rPr>
                <w:rFonts w:hint="eastAsia" w:ascii="宋体" w:hAnsi="宋体" w:cs="宋体"/>
                <w:color w:val="auto"/>
                <w:szCs w:val="21"/>
                <w:highlight w:val="none"/>
              </w:rPr>
              <w:t>7.门过载保护功能</w:t>
            </w:r>
          </w:p>
          <w:p>
            <w:pPr>
              <w:jc w:val="left"/>
              <w:rPr>
                <w:rFonts w:hint="eastAsia" w:ascii="宋体" w:hAnsi="宋体" w:cs="宋体"/>
                <w:color w:val="auto"/>
                <w:szCs w:val="21"/>
                <w:highlight w:val="none"/>
              </w:rPr>
            </w:pPr>
            <w:r>
              <w:rPr>
                <w:rFonts w:hint="eastAsia" w:ascii="宋体" w:hAnsi="宋体" w:cs="宋体"/>
                <w:color w:val="auto"/>
                <w:szCs w:val="21"/>
                <w:highlight w:val="none"/>
              </w:rPr>
              <w:t>8.开关门时间超常保护功能</w:t>
            </w:r>
          </w:p>
          <w:p>
            <w:pPr>
              <w:jc w:val="left"/>
              <w:rPr>
                <w:rFonts w:hint="eastAsia" w:ascii="宋体" w:hAnsi="宋体" w:cs="宋体"/>
                <w:color w:val="auto"/>
                <w:szCs w:val="21"/>
                <w:highlight w:val="none"/>
              </w:rPr>
            </w:pPr>
            <w:r>
              <w:rPr>
                <w:rFonts w:hint="eastAsia" w:ascii="宋体" w:hAnsi="宋体" w:cs="宋体"/>
                <w:color w:val="auto"/>
                <w:szCs w:val="21"/>
                <w:highlight w:val="none"/>
              </w:rPr>
              <w:t>9.开门异常自动选层功能</w:t>
            </w:r>
          </w:p>
          <w:p>
            <w:pPr>
              <w:jc w:val="left"/>
              <w:rPr>
                <w:rFonts w:hint="eastAsia" w:ascii="宋体" w:hAnsi="宋体" w:cs="宋体"/>
                <w:color w:val="auto"/>
                <w:szCs w:val="21"/>
                <w:highlight w:val="none"/>
              </w:rPr>
            </w:pPr>
            <w:r>
              <w:rPr>
                <w:rFonts w:hint="eastAsia" w:ascii="宋体" w:hAnsi="宋体" w:cs="宋体"/>
                <w:color w:val="auto"/>
                <w:szCs w:val="21"/>
                <w:highlight w:val="none"/>
              </w:rPr>
              <w:t>10.电动机空转保护功能</w:t>
            </w:r>
          </w:p>
          <w:p>
            <w:pPr>
              <w:jc w:val="left"/>
              <w:rPr>
                <w:rFonts w:hint="eastAsia" w:ascii="宋体" w:hAnsi="宋体" w:cs="宋体"/>
                <w:color w:val="auto"/>
                <w:szCs w:val="21"/>
                <w:highlight w:val="none"/>
              </w:rPr>
            </w:pPr>
            <w:r>
              <w:rPr>
                <w:rFonts w:hint="eastAsia" w:ascii="宋体" w:hAnsi="宋体" w:cs="宋体"/>
                <w:color w:val="auto"/>
                <w:szCs w:val="21"/>
                <w:highlight w:val="none"/>
              </w:rPr>
              <w:t>11.电动机过载保护功能</w:t>
            </w:r>
          </w:p>
          <w:p>
            <w:pPr>
              <w:jc w:val="left"/>
              <w:rPr>
                <w:rFonts w:hint="eastAsia" w:ascii="宋体" w:hAnsi="宋体" w:cs="宋体"/>
                <w:color w:val="auto"/>
                <w:szCs w:val="21"/>
                <w:highlight w:val="none"/>
              </w:rPr>
            </w:pPr>
            <w:r>
              <w:rPr>
                <w:rFonts w:hint="eastAsia" w:ascii="宋体" w:hAnsi="宋体" w:cs="宋体"/>
                <w:color w:val="auto"/>
                <w:szCs w:val="21"/>
                <w:highlight w:val="none"/>
              </w:rPr>
              <w:t>12.对讲机通讯功能</w:t>
            </w:r>
          </w:p>
          <w:p>
            <w:pPr>
              <w:jc w:val="left"/>
              <w:rPr>
                <w:rFonts w:hint="eastAsia" w:ascii="宋体" w:hAnsi="宋体" w:cs="宋体"/>
                <w:color w:val="auto"/>
                <w:szCs w:val="21"/>
                <w:highlight w:val="none"/>
              </w:rPr>
            </w:pPr>
            <w:r>
              <w:rPr>
                <w:rFonts w:hint="eastAsia" w:ascii="宋体" w:hAnsi="宋体" w:cs="宋体"/>
                <w:color w:val="auto"/>
                <w:szCs w:val="21"/>
                <w:highlight w:val="none"/>
              </w:rPr>
              <w:t>13.警铃报警功能</w:t>
            </w:r>
          </w:p>
          <w:p>
            <w:pPr>
              <w:jc w:val="left"/>
              <w:rPr>
                <w:rFonts w:hint="eastAsia" w:ascii="宋体" w:hAnsi="宋体" w:cs="宋体"/>
                <w:color w:val="auto"/>
                <w:szCs w:val="21"/>
                <w:highlight w:val="none"/>
              </w:rPr>
            </w:pPr>
            <w:r>
              <w:rPr>
                <w:rFonts w:hint="eastAsia" w:ascii="宋体" w:hAnsi="宋体" w:cs="宋体"/>
                <w:color w:val="auto"/>
                <w:szCs w:val="21"/>
                <w:highlight w:val="none"/>
              </w:rPr>
              <w:t>14.故障低速自救运行功能</w:t>
            </w:r>
          </w:p>
          <w:p>
            <w:pPr>
              <w:jc w:val="left"/>
              <w:rPr>
                <w:rFonts w:hint="eastAsia" w:ascii="宋体" w:hAnsi="宋体" w:cs="宋体"/>
                <w:color w:val="auto"/>
                <w:szCs w:val="21"/>
                <w:highlight w:val="none"/>
              </w:rPr>
            </w:pPr>
            <w:r>
              <w:rPr>
                <w:rFonts w:hint="eastAsia" w:ascii="宋体" w:hAnsi="宋体" w:cs="宋体"/>
                <w:color w:val="auto"/>
                <w:szCs w:val="21"/>
                <w:highlight w:val="none"/>
              </w:rPr>
              <w:t>15.停车在非门区报警功能</w:t>
            </w:r>
          </w:p>
          <w:p>
            <w:pPr>
              <w:jc w:val="left"/>
              <w:rPr>
                <w:rFonts w:hint="eastAsia" w:ascii="宋体" w:hAnsi="宋体" w:cs="宋体"/>
                <w:color w:val="auto"/>
                <w:szCs w:val="21"/>
                <w:highlight w:val="none"/>
              </w:rPr>
            </w:pPr>
            <w:r>
              <w:rPr>
                <w:rFonts w:hint="eastAsia" w:ascii="宋体" w:hAnsi="宋体" w:cs="宋体"/>
                <w:color w:val="auto"/>
                <w:szCs w:val="21"/>
                <w:highlight w:val="none"/>
              </w:rPr>
              <w:t>16.位置异常自动校正功能</w:t>
            </w:r>
          </w:p>
          <w:p>
            <w:pPr>
              <w:jc w:val="left"/>
              <w:rPr>
                <w:rFonts w:hint="eastAsia" w:ascii="宋体" w:hAnsi="宋体" w:cs="宋体"/>
                <w:color w:val="auto"/>
                <w:szCs w:val="21"/>
                <w:highlight w:val="none"/>
              </w:rPr>
            </w:pPr>
            <w:r>
              <w:rPr>
                <w:rFonts w:hint="eastAsia" w:ascii="宋体" w:hAnsi="宋体" w:cs="宋体"/>
                <w:color w:val="auto"/>
                <w:szCs w:val="21"/>
                <w:highlight w:val="none"/>
              </w:rPr>
              <w:t>17.停电应急照明功能</w:t>
            </w:r>
          </w:p>
          <w:p>
            <w:pPr>
              <w:jc w:val="left"/>
              <w:rPr>
                <w:rFonts w:hint="eastAsia" w:ascii="宋体" w:hAnsi="宋体" w:cs="宋体"/>
                <w:color w:val="auto"/>
                <w:szCs w:val="21"/>
                <w:highlight w:val="none"/>
              </w:rPr>
            </w:pPr>
            <w:r>
              <w:rPr>
                <w:rFonts w:hint="eastAsia" w:ascii="宋体" w:hAnsi="宋体" w:cs="宋体"/>
                <w:color w:val="auto"/>
                <w:szCs w:val="21"/>
                <w:highlight w:val="none"/>
              </w:rPr>
              <w:t>18.轿顶检修操作功能</w:t>
            </w:r>
          </w:p>
          <w:p>
            <w:pPr>
              <w:jc w:val="left"/>
              <w:rPr>
                <w:rFonts w:hint="eastAsia" w:ascii="宋体" w:hAnsi="宋体" w:cs="宋体"/>
                <w:color w:val="auto"/>
                <w:szCs w:val="21"/>
                <w:highlight w:val="none"/>
              </w:rPr>
            </w:pPr>
            <w:r>
              <w:rPr>
                <w:rFonts w:hint="eastAsia" w:ascii="宋体" w:hAnsi="宋体" w:cs="宋体"/>
                <w:color w:val="auto"/>
                <w:szCs w:val="21"/>
                <w:highlight w:val="none"/>
              </w:rPr>
              <w:t>19.轿內慢速运行功能</w:t>
            </w:r>
          </w:p>
          <w:p>
            <w:pPr>
              <w:jc w:val="left"/>
              <w:rPr>
                <w:rFonts w:hint="eastAsia" w:ascii="宋体" w:hAnsi="宋体" w:cs="宋体"/>
                <w:color w:val="auto"/>
                <w:szCs w:val="21"/>
                <w:highlight w:val="none"/>
              </w:rPr>
            </w:pPr>
            <w:r>
              <w:rPr>
                <w:rFonts w:hint="eastAsia" w:ascii="宋体" w:hAnsi="宋体" w:cs="宋体"/>
                <w:color w:val="auto"/>
                <w:szCs w:val="21"/>
                <w:highlight w:val="none"/>
              </w:rPr>
              <w:t>20.机房调试操作功能</w:t>
            </w:r>
          </w:p>
          <w:p>
            <w:pPr>
              <w:jc w:val="left"/>
              <w:rPr>
                <w:rFonts w:hint="eastAsia" w:ascii="宋体" w:hAnsi="宋体" w:cs="宋体"/>
                <w:color w:val="auto"/>
                <w:szCs w:val="21"/>
                <w:highlight w:val="none"/>
              </w:rPr>
            </w:pPr>
            <w:r>
              <w:rPr>
                <w:rFonts w:hint="eastAsia" w:ascii="宋体" w:hAnsi="宋体" w:cs="宋体"/>
                <w:color w:val="auto"/>
                <w:szCs w:val="21"/>
                <w:highlight w:val="none"/>
              </w:rPr>
              <w:t>21.满载直驶运行功能</w:t>
            </w:r>
          </w:p>
          <w:p>
            <w:pPr>
              <w:jc w:val="left"/>
              <w:rPr>
                <w:rFonts w:hint="eastAsia" w:ascii="宋体" w:hAnsi="宋体" w:cs="宋体"/>
                <w:color w:val="auto"/>
                <w:szCs w:val="21"/>
                <w:highlight w:val="none"/>
              </w:rPr>
            </w:pPr>
            <w:r>
              <w:rPr>
                <w:rFonts w:hint="eastAsia" w:ascii="宋体" w:hAnsi="宋体" w:cs="宋体"/>
                <w:color w:val="auto"/>
                <w:szCs w:val="21"/>
                <w:highlight w:val="none"/>
              </w:rPr>
              <w:t>22.无效内指令自动消除功能</w:t>
            </w:r>
          </w:p>
          <w:p>
            <w:pPr>
              <w:jc w:val="left"/>
              <w:rPr>
                <w:rFonts w:hint="eastAsia" w:ascii="宋体" w:hAnsi="宋体" w:cs="宋体"/>
                <w:color w:val="auto"/>
                <w:szCs w:val="21"/>
                <w:highlight w:val="none"/>
              </w:rPr>
            </w:pPr>
            <w:r>
              <w:rPr>
                <w:rFonts w:hint="eastAsia" w:ascii="宋体" w:hAnsi="宋体" w:cs="宋体"/>
                <w:color w:val="auto"/>
                <w:szCs w:val="21"/>
                <w:highlight w:val="none"/>
              </w:rPr>
              <w:t>23.反向内指令自动消除功能</w:t>
            </w:r>
          </w:p>
          <w:p>
            <w:pPr>
              <w:jc w:val="left"/>
              <w:rPr>
                <w:rFonts w:hint="eastAsia" w:ascii="宋体" w:hAnsi="宋体" w:cs="宋体"/>
                <w:color w:val="auto"/>
                <w:szCs w:val="21"/>
                <w:highlight w:val="none"/>
              </w:rPr>
            </w:pPr>
            <w:r>
              <w:rPr>
                <w:rFonts w:hint="eastAsia" w:ascii="宋体" w:hAnsi="宋体" w:cs="宋体"/>
                <w:color w:val="auto"/>
                <w:szCs w:val="21"/>
                <w:highlight w:val="none"/>
              </w:rPr>
              <w:t>24.起动补偿功能</w:t>
            </w:r>
          </w:p>
          <w:p>
            <w:pPr>
              <w:jc w:val="left"/>
              <w:rPr>
                <w:rFonts w:hint="eastAsia" w:ascii="宋体" w:hAnsi="宋体" w:cs="宋体"/>
                <w:color w:val="auto"/>
                <w:szCs w:val="21"/>
                <w:highlight w:val="none"/>
              </w:rPr>
            </w:pPr>
            <w:r>
              <w:rPr>
                <w:rFonts w:hint="eastAsia" w:ascii="宋体" w:hAnsi="宋体" w:cs="宋体"/>
                <w:color w:val="auto"/>
                <w:szCs w:val="21"/>
                <w:highlight w:val="none"/>
              </w:rPr>
              <w:t>25.开门时间自动调整功能</w:t>
            </w:r>
          </w:p>
          <w:p>
            <w:pPr>
              <w:jc w:val="left"/>
              <w:rPr>
                <w:rFonts w:hint="eastAsia" w:ascii="宋体" w:hAnsi="宋体" w:cs="宋体"/>
                <w:color w:val="auto"/>
                <w:szCs w:val="21"/>
                <w:highlight w:val="none"/>
              </w:rPr>
            </w:pPr>
            <w:r>
              <w:rPr>
                <w:rFonts w:hint="eastAsia" w:ascii="宋体" w:hAnsi="宋体" w:cs="宋体"/>
                <w:color w:val="auto"/>
                <w:szCs w:val="21"/>
                <w:highlight w:val="none"/>
              </w:rPr>
              <w:t>26.开门时间自动控制功能</w:t>
            </w:r>
          </w:p>
          <w:p>
            <w:pPr>
              <w:jc w:val="left"/>
              <w:rPr>
                <w:rFonts w:hint="eastAsia" w:ascii="宋体" w:hAnsi="宋体" w:cs="宋体"/>
                <w:color w:val="auto"/>
                <w:szCs w:val="21"/>
                <w:highlight w:val="none"/>
              </w:rPr>
            </w:pPr>
            <w:r>
              <w:rPr>
                <w:rFonts w:hint="eastAsia" w:ascii="宋体" w:hAnsi="宋体" w:cs="宋体"/>
                <w:color w:val="auto"/>
                <w:szCs w:val="21"/>
                <w:highlight w:val="none"/>
              </w:rPr>
              <w:t>27.运行次数显示功能</w:t>
            </w:r>
          </w:p>
          <w:p>
            <w:pPr>
              <w:jc w:val="left"/>
              <w:rPr>
                <w:rFonts w:hint="eastAsia" w:ascii="宋体" w:hAnsi="宋体" w:cs="宋体"/>
                <w:color w:val="auto"/>
                <w:szCs w:val="21"/>
                <w:highlight w:val="none"/>
              </w:rPr>
            </w:pPr>
            <w:r>
              <w:rPr>
                <w:rFonts w:hint="eastAsia" w:ascii="宋体" w:hAnsi="宋体" w:cs="宋体"/>
                <w:color w:val="auto"/>
                <w:szCs w:val="21"/>
                <w:highlight w:val="none"/>
              </w:rPr>
              <w:t>28.轿內照明自动控制功能</w:t>
            </w:r>
          </w:p>
          <w:p>
            <w:pPr>
              <w:jc w:val="left"/>
              <w:rPr>
                <w:rFonts w:hint="eastAsia" w:ascii="宋体" w:hAnsi="宋体" w:cs="宋体"/>
                <w:color w:val="auto"/>
                <w:szCs w:val="21"/>
                <w:highlight w:val="none"/>
              </w:rPr>
            </w:pPr>
            <w:r>
              <w:rPr>
                <w:rFonts w:hint="eastAsia" w:ascii="宋体" w:hAnsi="宋体" w:cs="宋体"/>
                <w:color w:val="auto"/>
                <w:szCs w:val="21"/>
                <w:highlight w:val="none"/>
              </w:rPr>
              <w:t>29.轿內通风自动控制功能</w:t>
            </w:r>
          </w:p>
          <w:p>
            <w:pPr>
              <w:jc w:val="left"/>
              <w:rPr>
                <w:rFonts w:hint="eastAsia" w:ascii="宋体" w:hAnsi="宋体" w:cs="宋体"/>
                <w:color w:val="auto"/>
                <w:szCs w:val="21"/>
                <w:highlight w:val="none"/>
              </w:rPr>
            </w:pPr>
            <w:r>
              <w:rPr>
                <w:rFonts w:hint="eastAsia" w:ascii="宋体" w:hAnsi="宋体" w:cs="宋体"/>
                <w:color w:val="auto"/>
                <w:szCs w:val="21"/>
                <w:highlight w:val="none"/>
              </w:rPr>
              <w:t>30.故障自动检测功能</w:t>
            </w:r>
          </w:p>
          <w:p>
            <w:pPr>
              <w:jc w:val="left"/>
              <w:rPr>
                <w:rFonts w:hint="eastAsia" w:ascii="宋体" w:hAnsi="宋体" w:cs="宋体"/>
                <w:color w:val="auto"/>
                <w:szCs w:val="21"/>
                <w:highlight w:val="none"/>
              </w:rPr>
            </w:pPr>
            <w:r>
              <w:rPr>
                <w:rFonts w:hint="eastAsia" w:ascii="宋体" w:hAnsi="宋体" w:cs="宋体"/>
                <w:color w:val="auto"/>
                <w:szCs w:val="21"/>
                <w:highlight w:val="none"/>
              </w:rPr>
              <w:t>31.故障自动存储功能</w:t>
            </w:r>
          </w:p>
          <w:p>
            <w:pPr>
              <w:jc w:val="left"/>
              <w:rPr>
                <w:rFonts w:hint="eastAsia" w:ascii="宋体" w:hAnsi="宋体" w:cs="宋体"/>
                <w:color w:val="auto"/>
                <w:szCs w:val="21"/>
                <w:highlight w:val="none"/>
              </w:rPr>
            </w:pPr>
            <w:r>
              <w:rPr>
                <w:rFonts w:hint="eastAsia" w:ascii="宋体" w:hAnsi="宋体" w:cs="宋体"/>
                <w:color w:val="auto"/>
                <w:szCs w:val="21"/>
                <w:highlight w:val="none"/>
              </w:rPr>
              <w:t>32.待机定期自检功能</w:t>
            </w:r>
          </w:p>
          <w:p>
            <w:pPr>
              <w:jc w:val="left"/>
              <w:rPr>
                <w:rFonts w:hint="eastAsia" w:ascii="宋体" w:hAnsi="宋体" w:cs="宋体"/>
                <w:color w:val="auto"/>
                <w:szCs w:val="21"/>
                <w:highlight w:val="none"/>
              </w:rPr>
            </w:pPr>
            <w:r>
              <w:rPr>
                <w:rFonts w:hint="eastAsia" w:ascii="宋体" w:hAnsi="宋体" w:cs="宋体"/>
                <w:color w:val="auto"/>
                <w:szCs w:val="21"/>
                <w:highlight w:val="none"/>
              </w:rPr>
              <w:t>33.泊梯功能</w:t>
            </w:r>
          </w:p>
          <w:p>
            <w:pPr>
              <w:jc w:val="left"/>
              <w:rPr>
                <w:rFonts w:hint="eastAsia" w:ascii="宋体" w:hAnsi="宋体" w:cs="宋体"/>
                <w:color w:val="auto"/>
                <w:szCs w:val="21"/>
                <w:highlight w:val="none"/>
              </w:rPr>
            </w:pPr>
            <w:r>
              <w:rPr>
                <w:rFonts w:hint="eastAsia" w:ascii="宋体" w:hAnsi="宋体" w:cs="宋体"/>
                <w:color w:val="auto"/>
                <w:szCs w:val="21"/>
                <w:highlight w:val="none"/>
              </w:rPr>
              <w:t>34.层高自测定功能</w:t>
            </w:r>
          </w:p>
          <w:p>
            <w:pPr>
              <w:jc w:val="left"/>
              <w:rPr>
                <w:rFonts w:hint="eastAsia" w:ascii="宋体" w:hAnsi="宋体" w:cs="宋体"/>
                <w:color w:val="auto"/>
                <w:szCs w:val="21"/>
                <w:highlight w:val="none"/>
              </w:rPr>
            </w:pPr>
            <w:r>
              <w:rPr>
                <w:rFonts w:hint="eastAsia" w:ascii="宋体" w:hAnsi="宋体" w:cs="宋体"/>
                <w:color w:val="auto"/>
                <w:szCs w:val="21"/>
                <w:highlight w:val="none"/>
              </w:rPr>
              <w:t>35.消防迫降功能</w:t>
            </w:r>
          </w:p>
          <w:p>
            <w:pPr>
              <w:jc w:val="left"/>
              <w:rPr>
                <w:rFonts w:hint="eastAsia" w:ascii="宋体" w:hAnsi="宋体" w:cs="宋体"/>
                <w:color w:val="auto"/>
                <w:szCs w:val="21"/>
                <w:highlight w:val="none"/>
              </w:rPr>
            </w:pPr>
            <w:r>
              <w:rPr>
                <w:rFonts w:hint="eastAsia" w:ascii="宋体" w:hAnsi="宋体" w:cs="宋体"/>
                <w:color w:val="auto"/>
                <w:szCs w:val="21"/>
                <w:highlight w:val="none"/>
              </w:rPr>
              <w:t>36.抱闸动作的双安全检测功能</w:t>
            </w:r>
          </w:p>
          <w:p>
            <w:pPr>
              <w:jc w:val="left"/>
              <w:rPr>
                <w:rFonts w:hint="eastAsia" w:ascii="宋体" w:hAnsi="宋体" w:cs="宋体"/>
                <w:color w:val="auto"/>
                <w:szCs w:val="21"/>
                <w:highlight w:val="none"/>
              </w:rPr>
            </w:pPr>
            <w:r>
              <w:rPr>
                <w:rFonts w:hint="eastAsia" w:ascii="宋体" w:hAnsi="宋体" w:cs="宋体"/>
                <w:color w:val="auto"/>
                <w:szCs w:val="21"/>
                <w:highlight w:val="none"/>
              </w:rPr>
              <w:t>37.门停止运行功能</w:t>
            </w:r>
          </w:p>
          <w:p>
            <w:pPr>
              <w:jc w:val="left"/>
              <w:rPr>
                <w:rFonts w:hint="eastAsia" w:ascii="宋体" w:hAnsi="宋体" w:cs="宋体"/>
                <w:color w:val="auto"/>
                <w:szCs w:val="21"/>
                <w:highlight w:val="none"/>
              </w:rPr>
            </w:pPr>
            <w:r>
              <w:rPr>
                <w:rFonts w:hint="eastAsia" w:ascii="宋体" w:hAnsi="宋体" w:cs="宋体"/>
                <w:color w:val="auto"/>
                <w:szCs w:val="21"/>
                <w:highlight w:val="none"/>
              </w:rPr>
              <w:t>38.底坑对讲机通讯功能</w:t>
            </w:r>
          </w:p>
          <w:p>
            <w:pPr>
              <w:jc w:val="left"/>
              <w:rPr>
                <w:rFonts w:hint="eastAsia" w:ascii="宋体" w:hAnsi="宋体" w:cs="宋体"/>
                <w:color w:val="auto"/>
                <w:szCs w:val="21"/>
                <w:highlight w:val="none"/>
              </w:rPr>
            </w:pPr>
            <w:r>
              <w:rPr>
                <w:rFonts w:hint="eastAsia" w:ascii="宋体" w:hAnsi="宋体" w:cs="宋体"/>
                <w:color w:val="auto"/>
                <w:szCs w:val="21"/>
                <w:highlight w:val="none"/>
              </w:rPr>
              <w:t>39.同步电机磁极码静态测试功能</w:t>
            </w:r>
          </w:p>
          <w:p>
            <w:pPr>
              <w:jc w:val="left"/>
              <w:rPr>
                <w:rFonts w:hint="eastAsia" w:ascii="宋体" w:hAnsi="宋体" w:cs="宋体"/>
                <w:color w:val="auto"/>
                <w:szCs w:val="21"/>
                <w:highlight w:val="none"/>
              </w:rPr>
            </w:pPr>
            <w:r>
              <w:rPr>
                <w:rFonts w:hint="eastAsia" w:ascii="宋体" w:hAnsi="宋体" w:cs="宋体"/>
                <w:color w:val="auto"/>
                <w:szCs w:val="21"/>
                <w:highlight w:val="none"/>
              </w:rPr>
              <w:t>40.厅外检修显示功能</w:t>
            </w:r>
          </w:p>
          <w:p>
            <w:pPr>
              <w:jc w:val="left"/>
              <w:rPr>
                <w:rFonts w:hint="eastAsia" w:ascii="宋体" w:hAnsi="宋体" w:cs="宋体"/>
                <w:color w:val="auto"/>
                <w:szCs w:val="21"/>
                <w:highlight w:val="none"/>
              </w:rPr>
            </w:pPr>
            <w:r>
              <w:rPr>
                <w:rFonts w:hint="eastAsia" w:ascii="宋体" w:hAnsi="宋体" w:cs="宋体"/>
                <w:color w:val="auto"/>
                <w:szCs w:val="21"/>
                <w:highlight w:val="none"/>
              </w:rPr>
              <w:t>41.抗电磁干扰功能</w:t>
            </w:r>
          </w:p>
          <w:p>
            <w:pPr>
              <w:jc w:val="left"/>
              <w:rPr>
                <w:rFonts w:hint="eastAsia" w:ascii="宋体" w:hAnsi="宋体" w:cs="宋体"/>
                <w:color w:val="auto"/>
                <w:szCs w:val="21"/>
                <w:highlight w:val="none"/>
              </w:rPr>
            </w:pPr>
            <w:r>
              <w:rPr>
                <w:rFonts w:hint="eastAsia" w:ascii="宋体" w:hAnsi="宋体" w:cs="宋体"/>
                <w:color w:val="auto"/>
                <w:szCs w:val="21"/>
                <w:highlight w:val="none"/>
              </w:rPr>
              <w:t>42.电梯服务支援系统</w:t>
            </w:r>
          </w:p>
          <w:p>
            <w:pPr>
              <w:jc w:val="left"/>
              <w:rPr>
                <w:color w:val="auto"/>
                <w:highlight w:val="none"/>
              </w:rPr>
            </w:pPr>
            <w:r>
              <w:rPr>
                <w:rFonts w:hint="eastAsia" w:ascii="宋体" w:hAnsi="宋体" w:cs="宋体"/>
                <w:color w:val="auto"/>
                <w:szCs w:val="21"/>
                <w:highlight w:val="none"/>
              </w:rPr>
              <w:t>43.五方通话功能</w:t>
            </w:r>
            <w:r>
              <w:rPr>
                <w:rFonts w:hint="eastAsia"/>
                <w:color w:val="auto"/>
                <w:highlight w:val="none"/>
                <w:lang w:eastAsia="zh-CN"/>
              </w:rPr>
              <w:t>（主机安装于相思湖校区图书馆监控室）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71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113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电梯井道土建（造型艺术学院/美术教育学院/设计学院）</w:t>
            </w:r>
          </w:p>
        </w:tc>
        <w:tc>
          <w:tcPr>
            <w:tcW w:w="623"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eastAsia="宋体"/>
                <w:color w:val="auto"/>
                <w:highlight w:val="none"/>
                <w:lang w:eastAsia="zh-CN"/>
              </w:rPr>
            </w:pPr>
            <w:r>
              <w:rPr>
                <w:rFonts w:hint="eastAsia"/>
                <w:color w:val="auto"/>
                <w:highlight w:val="none"/>
                <w:lang w:val="en-US" w:eastAsia="zh-CN"/>
              </w:rPr>
              <w:t>3</w:t>
            </w:r>
          </w:p>
        </w:tc>
        <w:tc>
          <w:tcPr>
            <w:tcW w:w="554"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eastAsia="宋体"/>
                <w:color w:val="auto"/>
                <w:highlight w:val="none"/>
                <w:lang w:val="en-US" w:eastAsia="zh-CN"/>
              </w:rPr>
            </w:pPr>
            <w:r>
              <w:rPr>
                <w:rFonts w:hint="eastAsia"/>
                <w:color w:val="auto"/>
                <w:highlight w:val="none"/>
                <w:lang w:val="en-US" w:eastAsia="zh-CN"/>
              </w:rPr>
              <w:t>个</w:t>
            </w:r>
          </w:p>
        </w:tc>
        <w:tc>
          <w:tcPr>
            <w:tcW w:w="6877"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宋体"/>
                <w:color w:val="auto"/>
                <w:kern w:val="0"/>
                <w:szCs w:val="21"/>
                <w:highlight w:val="none"/>
                <w:lang w:bidi="ar"/>
              </w:rPr>
            </w:pPr>
            <w:r>
              <w:rPr>
                <w:rFonts w:hint="eastAsia" w:ascii="宋体" w:hAnsi="宋体"/>
                <w:color w:val="auto"/>
                <w:spacing w:val="-4"/>
                <w:szCs w:val="21"/>
                <w:highlight w:val="none"/>
              </w:rPr>
              <w:t>▲</w:t>
            </w:r>
            <w:r>
              <w:rPr>
                <w:rFonts w:hint="eastAsia" w:ascii="宋体" w:hAnsi="宋体" w:cs="宋体"/>
                <w:color w:val="auto"/>
                <w:kern w:val="0"/>
                <w:szCs w:val="21"/>
                <w:highlight w:val="none"/>
                <w:lang w:bidi="ar"/>
              </w:rPr>
              <w:t>一、钢结构井道（应选用装配式井道）</w:t>
            </w:r>
          </w:p>
          <w:p>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 xml:space="preserve">1.井道尺寸：（宽×深）：2800 mm×2150mm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2.层站：6层</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3.井道底坑：-1600mm,四周混凝土，防水</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4.井道外封：玻璃幕墙，爪件连接。</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5.立柱：200*200*8</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6.横梁：200*100*6</w:t>
            </w:r>
          </w:p>
          <w:p>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7.斜拉杆：120*50*4</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8.井道高度 ：1F：4100,2F-5F:4000,6F:4600mm</w:t>
            </w:r>
          </w:p>
          <w:p>
            <w:pPr>
              <w:widowControl/>
              <w:jc w:val="left"/>
              <w:textAlignment w:val="center"/>
              <w:rPr>
                <w:rFonts w:hint="eastAsia"/>
                <w:color w:val="auto"/>
                <w:highlight w:val="none"/>
              </w:rPr>
            </w:pPr>
            <w:r>
              <w:rPr>
                <w:rFonts w:hint="eastAsia" w:ascii="宋体" w:hAnsi="宋体" w:cs="宋体"/>
                <w:color w:val="auto"/>
                <w:kern w:val="0"/>
                <w:szCs w:val="21"/>
                <w:highlight w:val="none"/>
                <w:lang w:bidi="ar"/>
              </w:rPr>
              <w:t>9、钢结构产品采用高强度螺栓连接，钢结构不需要现场焊接；钢结构环氧防锈漆及防腐漆处理。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71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4</w:t>
            </w:r>
          </w:p>
        </w:tc>
        <w:tc>
          <w:tcPr>
            <w:tcW w:w="113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电梯井道土建（学生公寓</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A栋/B栋/C栋/D栋/E栋/F栋）</w:t>
            </w:r>
          </w:p>
        </w:tc>
        <w:tc>
          <w:tcPr>
            <w:tcW w:w="623"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default" w:eastAsia="宋体"/>
                <w:color w:val="auto"/>
                <w:highlight w:val="none"/>
                <w:lang w:val="en-US" w:eastAsia="zh-CN"/>
              </w:rPr>
            </w:pPr>
            <w:r>
              <w:rPr>
                <w:rFonts w:hint="eastAsia"/>
                <w:color w:val="auto"/>
                <w:highlight w:val="none"/>
                <w:lang w:val="en-US" w:eastAsia="zh-CN"/>
              </w:rPr>
              <w:t>11</w:t>
            </w:r>
          </w:p>
        </w:tc>
        <w:tc>
          <w:tcPr>
            <w:tcW w:w="554"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eastAsia="宋体"/>
                <w:color w:val="auto"/>
                <w:highlight w:val="none"/>
                <w:lang w:eastAsia="zh-CN"/>
              </w:rPr>
            </w:pPr>
            <w:r>
              <w:rPr>
                <w:rFonts w:hint="eastAsia"/>
                <w:color w:val="auto"/>
                <w:highlight w:val="none"/>
                <w:lang w:eastAsia="zh-CN"/>
              </w:rPr>
              <w:t>个</w:t>
            </w:r>
          </w:p>
        </w:tc>
        <w:tc>
          <w:tcPr>
            <w:tcW w:w="6877"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宋体"/>
                <w:color w:val="auto"/>
                <w:kern w:val="0"/>
                <w:szCs w:val="21"/>
                <w:highlight w:val="none"/>
                <w:lang w:bidi="ar"/>
              </w:rPr>
            </w:pPr>
            <w:r>
              <w:rPr>
                <w:rFonts w:hint="eastAsia" w:ascii="宋体" w:hAnsi="宋体"/>
                <w:color w:val="auto"/>
                <w:spacing w:val="-4"/>
                <w:szCs w:val="21"/>
                <w:highlight w:val="none"/>
              </w:rPr>
              <w:t>▲</w:t>
            </w:r>
            <w:r>
              <w:rPr>
                <w:rFonts w:hint="eastAsia" w:ascii="宋体" w:hAnsi="宋体" w:cs="宋体"/>
                <w:color w:val="auto"/>
                <w:kern w:val="0"/>
                <w:szCs w:val="21"/>
                <w:highlight w:val="none"/>
                <w:lang w:bidi="ar"/>
              </w:rPr>
              <w:t>一、钢结构井道（应选用装配式井道）</w:t>
            </w:r>
          </w:p>
          <w:p>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 xml:space="preserve">1.井道尺寸：（宽×深）：2800mm×2150mm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2.层站：7层（</w:t>
            </w:r>
            <w:r>
              <w:rPr>
                <w:rFonts w:hint="eastAsia" w:ascii="宋体" w:hAnsi="宋体" w:cs="宋体"/>
                <w:color w:val="auto"/>
                <w:szCs w:val="21"/>
                <w:highlight w:val="none"/>
              </w:rPr>
              <w:t>1楼一侧开门，2-7楼对侧开门）</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3.井道底坑：-1600mm,四周混凝土，防水</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4.井道外封：玻璃幕墙，爪件连接。</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5.立柱：200*200*8</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6.横梁：200*100*6</w:t>
            </w:r>
          </w:p>
          <w:p>
            <w:pPr>
              <w:widowControl/>
              <w:numPr>
                <w:ilvl w:val="0"/>
                <w:numId w:val="1"/>
              </w:numPr>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斜拉杆：120*50*4</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8.井道高度 ：1F：3100mm,2F-6F:3600mm,7F:4600mm</w:t>
            </w:r>
          </w:p>
          <w:p>
            <w:pPr>
              <w:widowControl/>
              <w:jc w:val="left"/>
              <w:textAlignment w:val="center"/>
              <w:rPr>
                <w:color w:val="auto"/>
                <w:highlight w:val="none"/>
              </w:rPr>
            </w:pPr>
            <w:r>
              <w:rPr>
                <w:rFonts w:hint="eastAsia" w:ascii="宋体" w:hAnsi="宋体" w:cs="宋体"/>
                <w:color w:val="auto"/>
                <w:kern w:val="0"/>
                <w:szCs w:val="21"/>
                <w:highlight w:val="none"/>
                <w:lang w:bidi="ar"/>
              </w:rPr>
              <w:t>9、钢结构产品采用高强度螺栓连接，钢结构不需要现场焊接；钢结构环氧防锈漆及防腐漆处理。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9900" w:type="dxa"/>
            <w:gridSpan w:val="5"/>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kern w:val="0"/>
                <w:szCs w:val="21"/>
                <w:highlight w:val="none"/>
                <w:lang w:bidi="ar"/>
              </w:rPr>
            </w:pPr>
            <w:r>
              <w:rPr>
                <w:rFonts w:hint="eastAsia" w:ascii="宋体" w:hAnsi="宋体"/>
                <w:b/>
                <w:bCs/>
                <w:color w:val="auto"/>
                <w:szCs w:val="21"/>
                <w:highlight w:val="none"/>
              </w:rPr>
              <w:t>▲</w:t>
            </w:r>
            <w:r>
              <w:rPr>
                <w:rFonts w:hint="eastAsia" w:ascii="宋体" w:hAnsi="宋体"/>
                <w:b/>
                <w:color w:val="auto"/>
                <w:szCs w:val="21"/>
                <w:highlight w:val="none"/>
              </w:rPr>
              <w:t>售后服务及其他要求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84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kern w:val="0"/>
                <w:szCs w:val="21"/>
                <w:highlight w:val="none"/>
                <w:lang w:bidi="ar"/>
              </w:rPr>
            </w:pPr>
            <w:r>
              <w:rPr>
                <w:rFonts w:hint="eastAsia" w:ascii="宋体" w:hAnsi="宋体"/>
                <w:b/>
                <w:bCs/>
                <w:color w:val="auto"/>
                <w:szCs w:val="21"/>
                <w:highlight w:val="none"/>
              </w:rPr>
              <w:t>▲</w:t>
            </w:r>
            <w:r>
              <w:rPr>
                <w:rFonts w:hint="eastAsia" w:ascii="宋体" w:hAnsi="宋体"/>
                <w:b/>
                <w:color w:val="auto"/>
                <w:szCs w:val="21"/>
                <w:highlight w:val="none"/>
              </w:rPr>
              <w:t>售后服务及其他要求</w:t>
            </w:r>
          </w:p>
        </w:tc>
        <w:tc>
          <w:tcPr>
            <w:tcW w:w="8054"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eastAsia"/>
                <w:color w:val="auto"/>
                <w:highlight w:val="none"/>
              </w:rPr>
            </w:pPr>
            <w:r>
              <w:rPr>
                <w:rFonts w:hint="eastAsia"/>
                <w:color w:val="auto"/>
                <w:highlight w:val="none"/>
              </w:rPr>
              <w:t>1、</w:t>
            </w:r>
            <w:r>
              <w:rPr>
                <w:rFonts w:hint="eastAsia" w:ascii="宋体" w:hAnsi="宋体"/>
                <w:color w:val="auto"/>
                <w:szCs w:val="21"/>
                <w:highlight w:val="none"/>
              </w:rPr>
              <w:t>合同签订期：自中标通知书发出之日起</w:t>
            </w:r>
            <w:r>
              <w:rPr>
                <w:rFonts w:hint="eastAsia" w:ascii="宋体" w:hAnsi="宋体"/>
                <w:color w:val="auto"/>
                <w:szCs w:val="21"/>
                <w:highlight w:val="none"/>
                <w:u w:val="single"/>
              </w:rPr>
              <w:t xml:space="preserve">   15   </w:t>
            </w:r>
            <w:r>
              <w:rPr>
                <w:rFonts w:hint="eastAsia" w:ascii="宋体" w:hAnsi="宋体"/>
                <w:color w:val="auto"/>
                <w:szCs w:val="21"/>
                <w:highlight w:val="none"/>
              </w:rPr>
              <w:t>日历日内；</w:t>
            </w:r>
          </w:p>
          <w:p>
            <w:pPr>
              <w:rPr>
                <w:rFonts w:hint="eastAsia"/>
                <w:color w:val="auto"/>
                <w:highlight w:val="none"/>
              </w:rPr>
            </w:pPr>
            <w:r>
              <w:rPr>
                <w:rFonts w:hint="eastAsia"/>
                <w:color w:val="auto"/>
                <w:highlight w:val="none"/>
              </w:rPr>
              <w:t>2、工期：2025年11月30日前</w:t>
            </w:r>
            <w:r>
              <w:rPr>
                <w:rFonts w:hint="eastAsia" w:ascii="宋体" w:hAnsi="宋体" w:cs="宋体"/>
                <w:color w:val="auto"/>
                <w:kern w:val="0"/>
                <w:szCs w:val="21"/>
                <w:highlight w:val="none"/>
              </w:rPr>
              <w:t>完成土建项目以及电梯供货到采购人指定地点。交付使用时间</w:t>
            </w:r>
            <w:r>
              <w:rPr>
                <w:rFonts w:hint="eastAsia" w:ascii="宋体" w:hAnsi="宋体"/>
                <w:color w:val="auto"/>
                <w:szCs w:val="21"/>
                <w:highlight w:val="none"/>
              </w:rPr>
              <w:t>自合同签订之日起</w:t>
            </w:r>
            <w:r>
              <w:rPr>
                <w:rFonts w:hint="eastAsia" w:ascii="宋体" w:hAnsi="宋体"/>
                <w:color w:val="auto"/>
                <w:szCs w:val="21"/>
                <w:highlight w:val="none"/>
                <w:u w:val="single"/>
              </w:rPr>
              <w:t xml:space="preserve">    </w:t>
            </w:r>
            <w:r>
              <w:rPr>
                <w:rFonts w:hint="eastAsia" w:ascii="宋体" w:hAnsi="宋体" w:cs="宋体"/>
                <w:color w:val="auto"/>
                <w:szCs w:val="21"/>
                <w:highlight w:val="none"/>
                <w:u w:val="single"/>
              </w:rPr>
              <w:t xml:space="preserve"> 1</w:t>
            </w:r>
            <w:r>
              <w:rPr>
                <w:rFonts w:hint="eastAsia" w:ascii="宋体" w:hAnsi="宋体" w:cs="宋体"/>
                <w:color w:val="auto"/>
                <w:szCs w:val="21"/>
                <w:highlight w:val="none"/>
                <w:u w:val="single"/>
                <w:lang w:val="en-US" w:eastAsia="zh-CN"/>
              </w:rPr>
              <w:t>2</w:t>
            </w:r>
            <w:r>
              <w:rPr>
                <w:rFonts w:hint="eastAsia" w:ascii="宋体" w:hAnsi="宋体" w:cs="宋体"/>
                <w:color w:val="auto"/>
                <w:szCs w:val="21"/>
                <w:highlight w:val="none"/>
                <w:u w:val="single"/>
              </w:rPr>
              <w:t xml:space="preserve">0  </w:t>
            </w:r>
            <w:r>
              <w:rPr>
                <w:rFonts w:hint="eastAsia" w:ascii="宋体" w:hAnsi="宋体"/>
                <w:color w:val="auto"/>
                <w:szCs w:val="21"/>
                <w:highlight w:val="none"/>
                <w:u w:val="single"/>
              </w:rPr>
              <w:t xml:space="preserve">  </w:t>
            </w:r>
            <w:r>
              <w:rPr>
                <w:rFonts w:hint="eastAsia" w:ascii="宋体" w:hAnsi="宋体"/>
                <w:color w:val="auto"/>
                <w:szCs w:val="21"/>
                <w:highlight w:val="none"/>
              </w:rPr>
              <w:t>日内交付并安装验收完毕</w:t>
            </w:r>
            <w:r>
              <w:rPr>
                <w:rFonts w:hint="eastAsia" w:ascii="宋体" w:hAnsi="宋体" w:cs="宋体"/>
                <w:color w:val="auto"/>
                <w:kern w:val="0"/>
                <w:szCs w:val="21"/>
                <w:highlight w:val="none"/>
              </w:rPr>
              <w:t>（</w:t>
            </w:r>
            <w:r>
              <w:rPr>
                <w:rFonts w:hint="eastAsia"/>
                <w:color w:val="auto"/>
                <w:highlight w:val="none"/>
                <w:lang w:eastAsia="zh-CN"/>
              </w:rPr>
              <w:t>取得验收合格证</w:t>
            </w:r>
            <w:r>
              <w:rPr>
                <w:rFonts w:hint="eastAsia" w:ascii="宋体" w:hAnsi="宋体" w:cs="宋体"/>
                <w:color w:val="auto"/>
                <w:kern w:val="0"/>
                <w:szCs w:val="21"/>
                <w:highlight w:val="none"/>
              </w:rPr>
              <w:t>）</w:t>
            </w:r>
            <w:r>
              <w:rPr>
                <w:rFonts w:hint="eastAsia"/>
                <w:color w:val="auto"/>
                <w:highlight w:val="none"/>
              </w:rPr>
              <w:t>；</w:t>
            </w:r>
            <w:r>
              <w:rPr>
                <w:color w:val="auto"/>
                <w:highlight w:val="none"/>
              </w:rPr>
              <w:t xml:space="preserve"> </w:t>
            </w:r>
          </w:p>
          <w:p>
            <w:pPr>
              <w:numPr>
                <w:ilvl w:val="0"/>
                <w:numId w:val="2"/>
              </w:numPr>
              <w:jc w:val="left"/>
              <w:rPr>
                <w:rFonts w:hint="eastAsia"/>
                <w:color w:val="auto"/>
                <w:highlight w:val="none"/>
              </w:rPr>
            </w:pPr>
            <w:r>
              <w:rPr>
                <w:rFonts w:hint="eastAsia"/>
                <w:color w:val="auto"/>
                <w:highlight w:val="none"/>
              </w:rPr>
              <w:t>交货地点：</w:t>
            </w:r>
            <w:r>
              <w:rPr>
                <w:rFonts w:hint="eastAsia" w:ascii="宋体" w:hAnsi="宋体" w:cs="宋体"/>
                <w:color w:val="auto"/>
                <w:szCs w:val="21"/>
                <w:highlight w:val="none"/>
                <w:u w:val="single"/>
              </w:rPr>
              <w:t>广西壮族自治区南宁市罗文大道8号</w:t>
            </w:r>
            <w:r>
              <w:rPr>
                <w:rFonts w:hint="eastAsia"/>
                <w:color w:val="auto"/>
                <w:highlight w:val="none"/>
                <w:u w:val="single"/>
              </w:rPr>
              <w:t>（</w:t>
            </w:r>
            <w:r>
              <w:rPr>
                <w:rFonts w:hint="eastAsia"/>
                <w:color w:val="auto"/>
                <w:highlight w:val="none"/>
              </w:rPr>
              <w:t>采购人指定地点）。</w:t>
            </w:r>
          </w:p>
          <w:p>
            <w:pPr>
              <w:spacing w:line="440" w:lineRule="exact"/>
              <w:rPr>
                <w:rFonts w:hint="eastAsia" w:ascii="宋体" w:hAnsi="宋体" w:cs="宋体"/>
                <w:color w:val="auto"/>
                <w:szCs w:val="21"/>
                <w:highlight w:val="none"/>
              </w:rPr>
            </w:pPr>
            <w:r>
              <w:rPr>
                <w:rFonts w:hint="eastAsia" w:ascii="宋体" w:hAnsi="宋体"/>
                <w:bCs/>
                <w:color w:val="auto"/>
                <w:szCs w:val="21"/>
                <w:highlight w:val="none"/>
              </w:rPr>
              <w:t>4、交货方式：现场交货。（按业主指定方式分期验收，</w:t>
            </w:r>
            <w:r>
              <w:rPr>
                <w:rFonts w:hint="eastAsia" w:ascii="宋体" w:hAnsi="宋体"/>
                <w:bCs/>
                <w:color w:val="auto"/>
                <w:szCs w:val="21"/>
                <w:highlight w:val="none"/>
                <w:lang w:val="en-US" w:eastAsia="zh-CN"/>
              </w:rPr>
              <w:t>即</w:t>
            </w:r>
            <w:r>
              <w:rPr>
                <w:rFonts w:hint="eastAsia" w:ascii="宋体" w:hAnsi="宋体"/>
                <w:bCs/>
                <w:color w:val="auto"/>
                <w:szCs w:val="21"/>
                <w:highlight w:val="none"/>
              </w:rPr>
              <w:t>按业主要求拆装）。</w:t>
            </w:r>
          </w:p>
          <w:p>
            <w:pPr>
              <w:spacing w:line="440" w:lineRule="exact"/>
              <w:ind w:left="1"/>
              <w:rPr>
                <w:rFonts w:hint="eastAsia" w:ascii="宋体" w:hAnsi="宋体" w:cs="宋体"/>
                <w:b/>
                <w:bCs/>
                <w:color w:val="auto"/>
                <w:szCs w:val="21"/>
                <w:highlight w:val="none"/>
              </w:rPr>
            </w:pPr>
            <w:r>
              <w:rPr>
                <w:rFonts w:hint="eastAsia" w:ascii="宋体" w:hAnsi="宋体" w:cs="宋体"/>
                <w:b/>
                <w:bCs/>
                <w:color w:val="auto"/>
                <w:szCs w:val="21"/>
                <w:highlight w:val="none"/>
              </w:rPr>
              <w:t>5、为了保证是正规合法渠道的产品，供货前中标人必须提供生产厂家/代理商出具该项目中标产品的供货证明原件。</w:t>
            </w:r>
          </w:p>
          <w:p>
            <w:pPr>
              <w:widowControl/>
              <w:snapToGrid w:val="0"/>
              <w:spacing w:line="360" w:lineRule="exact"/>
              <w:jc w:val="left"/>
              <w:rPr>
                <w:rFonts w:hAnsi="宋体"/>
                <w:color w:val="auto"/>
                <w:kern w:val="0"/>
                <w:highlight w:val="none"/>
              </w:rPr>
            </w:pPr>
            <w:r>
              <w:rPr>
                <w:rFonts w:hint="eastAsia" w:hAnsi="宋体"/>
                <w:color w:val="auto"/>
                <w:kern w:val="0"/>
                <w:highlight w:val="none"/>
              </w:rPr>
              <w:t>6、售后技术服务要求：</w:t>
            </w:r>
          </w:p>
          <w:p>
            <w:pPr>
              <w:widowControl/>
              <w:spacing w:line="360" w:lineRule="exact"/>
              <w:rPr>
                <w:rFonts w:hAnsi="宋体"/>
                <w:color w:val="auto"/>
                <w:kern w:val="0"/>
                <w:highlight w:val="none"/>
              </w:rPr>
            </w:pPr>
            <w:r>
              <w:rPr>
                <w:rFonts w:hint="eastAsia" w:hAnsi="宋体"/>
                <w:color w:val="auto"/>
                <w:kern w:val="0"/>
                <w:highlight w:val="none"/>
              </w:rPr>
              <w:t>（1）质保期：自安装、调试验收合格并交付使用之日起不少于</w:t>
            </w:r>
            <w:r>
              <w:rPr>
                <w:rFonts w:hAnsi="宋体"/>
                <w:color w:val="auto"/>
                <w:kern w:val="0"/>
                <w:highlight w:val="none"/>
              </w:rPr>
              <w:t>1</w:t>
            </w:r>
            <w:r>
              <w:rPr>
                <w:rFonts w:hint="eastAsia" w:hAnsi="宋体"/>
                <w:color w:val="auto"/>
                <w:kern w:val="0"/>
                <w:highlight w:val="none"/>
              </w:rPr>
              <w:t>年免费保修。</w:t>
            </w:r>
          </w:p>
          <w:p>
            <w:pPr>
              <w:widowControl/>
              <w:snapToGrid w:val="0"/>
              <w:spacing w:line="360" w:lineRule="exact"/>
              <w:jc w:val="left"/>
              <w:outlineLvl w:val="0"/>
              <w:rPr>
                <w:rFonts w:hint="eastAsia" w:ascii="宋体" w:hAnsi="宋体" w:cs="Courier New"/>
                <w:color w:val="auto"/>
                <w:kern w:val="0"/>
                <w:highlight w:val="none"/>
              </w:rPr>
            </w:pPr>
            <w:bookmarkStart w:id="4" w:name="_Toc40864901"/>
            <w:bookmarkStart w:id="5" w:name="_Toc40864626"/>
            <w:bookmarkStart w:id="6" w:name="_Toc40865017"/>
            <w:r>
              <w:rPr>
                <w:rFonts w:hint="eastAsia" w:ascii="宋体" w:hAnsi="宋体" w:cs="Courier New"/>
                <w:color w:val="auto"/>
                <w:kern w:val="0"/>
                <w:highlight w:val="none"/>
              </w:rPr>
              <w:t>（2）质保期最少1年，质保期内每季度进行一次全面的检修，每月两次免费保养服务（检测、清洁、加油、调整、校正），提供24小时的急修服务，一旦电梯出现故障，接到报修电话后30分钟内有维修人员到达现场排除故障；一般故障修复时间不超过2小时，重大故障修复时间不超过24小时；质保期内发生故障需更换零配件的，必须保证零配件为原厂配件；质保期满后，需提供终身有偿维护保养服务，并承诺以优于市场价格收取维保费。</w:t>
            </w:r>
            <w:bookmarkEnd w:id="4"/>
            <w:bookmarkEnd w:id="5"/>
            <w:bookmarkEnd w:id="6"/>
          </w:p>
          <w:p>
            <w:pPr>
              <w:pStyle w:val="27"/>
              <w:widowControl/>
              <w:snapToGrid w:val="0"/>
              <w:spacing w:line="360" w:lineRule="exact"/>
              <w:jc w:val="left"/>
              <w:outlineLvl w:val="0"/>
              <w:rPr>
                <w:rFonts w:hint="eastAsia" w:hAnsi="宋体"/>
                <w:color w:val="auto"/>
                <w:kern w:val="0"/>
                <w:highlight w:val="none"/>
              </w:rPr>
            </w:pPr>
            <w:bookmarkStart w:id="7" w:name="_Toc474596506"/>
            <w:bookmarkEnd w:id="7"/>
            <w:bookmarkStart w:id="8" w:name="_Toc7259"/>
            <w:bookmarkStart w:id="9" w:name="_Toc40865018"/>
            <w:bookmarkStart w:id="10" w:name="_Toc40864902"/>
            <w:bookmarkStart w:id="11" w:name="_Toc40864627"/>
            <w:r>
              <w:rPr>
                <w:rFonts w:hint="eastAsia" w:hAnsi="宋体"/>
                <w:color w:val="auto"/>
                <w:kern w:val="0"/>
                <w:highlight w:val="none"/>
              </w:rPr>
              <w:t>（3）负责为招标人免费培训电梯技术人员（2-3名）；</w:t>
            </w:r>
            <w:bookmarkEnd w:id="8"/>
            <w:bookmarkEnd w:id="9"/>
            <w:bookmarkEnd w:id="10"/>
            <w:bookmarkEnd w:id="11"/>
          </w:p>
          <w:p>
            <w:pPr>
              <w:pStyle w:val="27"/>
              <w:widowControl/>
              <w:snapToGrid w:val="0"/>
              <w:spacing w:line="360" w:lineRule="exact"/>
              <w:jc w:val="left"/>
              <w:outlineLvl w:val="0"/>
              <w:rPr>
                <w:rFonts w:hint="eastAsia" w:hAnsi="宋体"/>
                <w:color w:val="auto"/>
                <w:kern w:val="0"/>
                <w:highlight w:val="none"/>
              </w:rPr>
            </w:pPr>
            <w:bookmarkStart w:id="12" w:name="_Toc40864903"/>
            <w:bookmarkStart w:id="13" w:name="_Toc40865019"/>
            <w:bookmarkStart w:id="14" w:name="_Toc40864628"/>
            <w:bookmarkStart w:id="15" w:name="_Toc10627"/>
            <w:r>
              <w:rPr>
                <w:rFonts w:hint="eastAsia" w:hAnsi="宋体"/>
                <w:color w:val="auto"/>
                <w:kern w:val="0"/>
                <w:highlight w:val="none"/>
              </w:rPr>
              <w:t>（4）免费为用户建立电梯设备管理档案。</w:t>
            </w:r>
            <w:bookmarkEnd w:id="12"/>
            <w:bookmarkEnd w:id="13"/>
            <w:bookmarkEnd w:id="14"/>
            <w:bookmarkEnd w:id="15"/>
          </w:p>
          <w:p>
            <w:pPr>
              <w:pStyle w:val="27"/>
              <w:widowControl/>
              <w:snapToGrid w:val="0"/>
              <w:spacing w:line="360" w:lineRule="exact"/>
              <w:jc w:val="left"/>
              <w:outlineLvl w:val="0"/>
              <w:rPr>
                <w:rFonts w:hint="eastAsia" w:hAnsi="宋体"/>
                <w:color w:val="auto"/>
                <w:kern w:val="0"/>
                <w:highlight w:val="none"/>
              </w:rPr>
            </w:pPr>
            <w:bookmarkStart w:id="16" w:name="_Toc40865020"/>
            <w:bookmarkStart w:id="17" w:name="_Toc40864904"/>
            <w:bookmarkStart w:id="18" w:name="_Toc26276"/>
            <w:bookmarkStart w:id="19" w:name="_Toc40864629"/>
            <w:r>
              <w:rPr>
                <w:rFonts w:hint="eastAsia" w:hAnsi="宋体"/>
                <w:color w:val="auto"/>
                <w:kern w:val="0"/>
                <w:highlight w:val="none"/>
              </w:rPr>
              <w:t>（5）零部件、配件及安装材料必须是未经使用的全新的并符合国家有关质量安全标准的合格产品。</w:t>
            </w:r>
            <w:bookmarkEnd w:id="16"/>
            <w:bookmarkEnd w:id="17"/>
            <w:bookmarkEnd w:id="18"/>
            <w:bookmarkEnd w:id="19"/>
          </w:p>
          <w:p>
            <w:pPr>
              <w:pStyle w:val="27"/>
              <w:widowControl/>
              <w:snapToGrid w:val="0"/>
              <w:spacing w:line="360" w:lineRule="exact"/>
              <w:jc w:val="left"/>
              <w:outlineLvl w:val="0"/>
              <w:rPr>
                <w:rFonts w:hint="eastAsia" w:hAnsi="宋体"/>
                <w:color w:val="auto"/>
                <w:kern w:val="0"/>
                <w:highlight w:val="none"/>
              </w:rPr>
            </w:pPr>
            <w:bookmarkStart w:id="20" w:name="_Toc40864905"/>
            <w:bookmarkStart w:id="21" w:name="_Toc40864630"/>
            <w:bookmarkStart w:id="22" w:name="_Toc40865021"/>
            <w:r>
              <w:rPr>
                <w:rFonts w:hint="eastAsia" w:hAnsi="宋体"/>
                <w:color w:val="auto"/>
                <w:kern w:val="0"/>
                <w:highlight w:val="none"/>
              </w:rPr>
              <w:t>7、</w:t>
            </w:r>
            <w:r>
              <w:rPr>
                <w:rFonts w:hint="eastAsia" w:hAnsi="宋体" w:cs="宋体"/>
                <w:color w:val="auto"/>
                <w:highlight w:val="none"/>
              </w:rPr>
              <w:t>在供货前，投标人</w:t>
            </w:r>
            <w:r>
              <w:rPr>
                <w:rFonts w:hAnsi="宋体" w:cs="宋体"/>
                <w:color w:val="auto"/>
                <w:highlight w:val="none"/>
              </w:rPr>
              <w:t>或</w:t>
            </w:r>
            <w:r>
              <w:rPr>
                <w:rFonts w:hint="eastAsia" w:hAnsi="宋体" w:cs="宋体"/>
                <w:color w:val="auto"/>
                <w:highlight w:val="none"/>
              </w:rPr>
              <w:t>所投电梯品牌制造商须提供能满足本项目的售后服务能力的证明（提供有效的售后服务证明材料及安装维修资质扫描件或其他电子文件），否则，不予验收。投标人投标时须作出响应（承诺），否则投标无效。</w:t>
            </w:r>
            <w:bookmarkEnd w:id="20"/>
            <w:bookmarkEnd w:id="21"/>
            <w:bookmarkEnd w:id="22"/>
          </w:p>
          <w:p>
            <w:pPr>
              <w:rPr>
                <w:rFonts w:hint="eastAsia" w:hAnsi="宋体"/>
                <w:color w:val="auto"/>
                <w:kern w:val="0"/>
                <w:highlight w:val="none"/>
              </w:rPr>
            </w:pPr>
            <w:r>
              <w:rPr>
                <w:rFonts w:hint="eastAsia" w:hAnsi="宋体"/>
                <w:color w:val="auto"/>
                <w:kern w:val="0"/>
                <w:highlight w:val="none"/>
              </w:rPr>
              <w:t>8、</w:t>
            </w:r>
            <w:r>
              <w:rPr>
                <w:rFonts w:hint="eastAsia" w:hAnsi="宋体"/>
                <w:color w:val="auto"/>
                <w:szCs w:val="21"/>
                <w:highlight w:val="none"/>
              </w:rPr>
              <w:t>安装</w:t>
            </w:r>
            <w:r>
              <w:rPr>
                <w:rFonts w:hint="eastAsia"/>
                <w:color w:val="auto"/>
                <w:highlight w:val="none"/>
              </w:rPr>
              <w:t>、调试</w:t>
            </w:r>
            <w:r>
              <w:rPr>
                <w:rFonts w:hint="eastAsia" w:hAnsi="宋体"/>
                <w:color w:val="auto"/>
                <w:szCs w:val="21"/>
                <w:highlight w:val="none"/>
              </w:rPr>
              <w:t>、验收及其它要求：</w:t>
            </w:r>
          </w:p>
          <w:p>
            <w:pPr>
              <w:spacing w:line="440" w:lineRule="exact"/>
              <w:ind w:firstLine="105" w:firstLineChars="50"/>
              <w:jc w:val="left"/>
              <w:rPr>
                <w:color w:val="auto"/>
                <w:highlight w:val="none"/>
              </w:rPr>
            </w:pPr>
            <w:r>
              <w:rPr>
                <w:color w:val="auto"/>
                <w:highlight w:val="none"/>
              </w:rPr>
              <w:t>（</w:t>
            </w:r>
            <w:r>
              <w:rPr>
                <w:rFonts w:hint="eastAsia"/>
                <w:color w:val="auto"/>
                <w:highlight w:val="none"/>
              </w:rPr>
              <w:t>1</w:t>
            </w:r>
            <w:r>
              <w:rPr>
                <w:color w:val="auto"/>
                <w:highlight w:val="none"/>
              </w:rPr>
              <w:t>）</w:t>
            </w:r>
            <w:r>
              <w:rPr>
                <w:rFonts w:hint="eastAsia"/>
                <w:color w:val="auto"/>
                <w:highlight w:val="none"/>
              </w:rPr>
              <w:t>工程安装施工要求：</w:t>
            </w:r>
          </w:p>
          <w:p>
            <w:pPr>
              <w:spacing w:line="440" w:lineRule="exact"/>
              <w:ind w:firstLine="420" w:firstLineChars="200"/>
              <w:jc w:val="left"/>
              <w:rPr>
                <w:color w:val="auto"/>
                <w:highlight w:val="none"/>
              </w:rPr>
            </w:pPr>
            <w:r>
              <w:rPr>
                <w:rFonts w:hint="eastAsia"/>
                <w:color w:val="auto"/>
                <w:highlight w:val="none"/>
              </w:rPr>
              <w:t>①中标人负责全套机组的安装调试。</w:t>
            </w:r>
          </w:p>
          <w:p>
            <w:pPr>
              <w:spacing w:line="440" w:lineRule="exact"/>
              <w:ind w:firstLine="420" w:firstLineChars="200"/>
              <w:jc w:val="left"/>
              <w:rPr>
                <w:color w:val="auto"/>
                <w:highlight w:val="none"/>
              </w:rPr>
            </w:pPr>
            <w:r>
              <w:rPr>
                <w:rFonts w:hint="eastAsia"/>
                <w:color w:val="auto"/>
                <w:highlight w:val="none"/>
              </w:rPr>
              <w:t>②中标人必须提供技术方案包含安装施工，安装施工进度，有安全、质量、技术的保证措施，人员配备及须提供服务方案及图纸给采购人。</w:t>
            </w:r>
          </w:p>
          <w:p>
            <w:pPr>
              <w:spacing w:line="440" w:lineRule="exact"/>
              <w:ind w:firstLine="420" w:firstLineChars="200"/>
              <w:jc w:val="left"/>
              <w:rPr>
                <w:color w:val="auto"/>
                <w:highlight w:val="none"/>
              </w:rPr>
            </w:pPr>
            <w:r>
              <w:rPr>
                <w:rFonts w:hint="eastAsia"/>
                <w:color w:val="auto"/>
                <w:highlight w:val="none"/>
              </w:rPr>
              <w:t>③设备安装调试必须严格执行国家有关技术标准，中标人自负责施工人员人身、设备安全责任。</w:t>
            </w:r>
          </w:p>
          <w:p>
            <w:pPr>
              <w:spacing w:line="440" w:lineRule="exact"/>
              <w:ind w:firstLine="420" w:firstLineChars="200"/>
              <w:jc w:val="left"/>
              <w:rPr>
                <w:color w:val="auto"/>
                <w:highlight w:val="none"/>
              </w:rPr>
            </w:pPr>
            <w:r>
              <w:rPr>
                <w:rFonts w:hint="eastAsia"/>
                <w:color w:val="auto"/>
                <w:highlight w:val="none"/>
              </w:rPr>
              <w:t>④中标人负责办理有关电梯设备安装的开工报装和竣工验收手续且承担负责相关费用。</w:t>
            </w:r>
          </w:p>
          <w:p>
            <w:pPr>
              <w:spacing w:line="440" w:lineRule="exact"/>
              <w:ind w:firstLine="420" w:firstLineChars="200"/>
              <w:jc w:val="left"/>
              <w:rPr>
                <w:color w:val="auto"/>
                <w:highlight w:val="none"/>
              </w:rPr>
            </w:pPr>
            <w:r>
              <w:rPr>
                <w:rFonts w:hint="eastAsia"/>
                <w:color w:val="auto"/>
                <w:highlight w:val="none"/>
              </w:rPr>
              <w:t>⑤中标人向当地质检部门提出验收申请，并协助当地质检部门检验验收，中标人并负责办理特种设备使用登记证，费用由中标人负责。</w:t>
            </w:r>
          </w:p>
          <w:p>
            <w:pPr>
              <w:spacing w:line="440" w:lineRule="exact"/>
              <w:ind w:firstLine="420" w:firstLineChars="200"/>
              <w:jc w:val="left"/>
              <w:rPr>
                <w:color w:val="auto"/>
                <w:highlight w:val="none"/>
              </w:rPr>
            </w:pPr>
            <w:r>
              <w:rPr>
                <w:rFonts w:hint="eastAsia"/>
                <w:color w:val="auto"/>
                <w:highlight w:val="none"/>
              </w:rPr>
              <w:t>⑥安装验收标准必须符合如下标准要求：</w:t>
            </w:r>
          </w:p>
          <w:p>
            <w:pPr>
              <w:spacing w:line="440" w:lineRule="exact"/>
              <w:ind w:firstLine="315" w:firstLineChars="150"/>
              <w:jc w:val="left"/>
              <w:rPr>
                <w:rFonts w:hint="eastAsia"/>
                <w:color w:val="auto"/>
                <w:highlight w:val="none"/>
              </w:rPr>
            </w:pPr>
            <w:r>
              <w:rPr>
                <w:rFonts w:hint="eastAsia"/>
                <w:color w:val="auto"/>
                <w:highlight w:val="none"/>
              </w:rPr>
              <w:t>《电梯安装验收规范》（GB/T 10060-2023）</w:t>
            </w:r>
          </w:p>
          <w:p>
            <w:pPr>
              <w:spacing w:line="440" w:lineRule="exact"/>
              <w:ind w:firstLine="315" w:firstLineChars="150"/>
              <w:jc w:val="left"/>
              <w:rPr>
                <w:rFonts w:hint="eastAsia"/>
                <w:color w:val="auto"/>
                <w:highlight w:val="none"/>
              </w:rPr>
            </w:pPr>
            <w:r>
              <w:rPr>
                <w:rFonts w:hint="eastAsia"/>
                <w:color w:val="auto"/>
                <w:highlight w:val="none"/>
              </w:rPr>
              <w:t>《电梯工程施工质量验收规范》（GB 50310-2002）</w:t>
            </w:r>
          </w:p>
          <w:p>
            <w:pPr>
              <w:spacing w:line="440" w:lineRule="exact"/>
              <w:ind w:firstLine="420" w:firstLineChars="200"/>
              <w:jc w:val="left"/>
              <w:rPr>
                <w:color w:val="auto"/>
                <w:highlight w:val="none"/>
              </w:rPr>
            </w:pPr>
            <w:r>
              <w:rPr>
                <w:rFonts w:hint="eastAsia"/>
                <w:color w:val="auto"/>
                <w:highlight w:val="none"/>
              </w:rPr>
              <w:t>电力、消防、安监部门的有关规定等。</w:t>
            </w:r>
          </w:p>
          <w:p>
            <w:pPr>
              <w:spacing w:line="440" w:lineRule="exact"/>
              <w:ind w:firstLine="315" w:firstLineChars="150"/>
              <w:jc w:val="left"/>
              <w:rPr>
                <w:color w:val="auto"/>
                <w:highlight w:val="none"/>
              </w:rPr>
            </w:pPr>
            <w:r>
              <w:rPr>
                <w:color w:val="auto"/>
                <w:highlight w:val="none"/>
              </w:rPr>
              <w:t>（</w:t>
            </w:r>
            <w:r>
              <w:rPr>
                <w:rFonts w:hint="eastAsia"/>
                <w:color w:val="auto"/>
                <w:highlight w:val="none"/>
              </w:rPr>
              <w:t>2</w:t>
            </w:r>
            <w:r>
              <w:rPr>
                <w:color w:val="auto"/>
                <w:highlight w:val="none"/>
              </w:rPr>
              <w:t>）</w:t>
            </w:r>
            <w:r>
              <w:rPr>
                <w:rFonts w:hint="eastAsia"/>
                <w:color w:val="auto"/>
                <w:highlight w:val="none"/>
              </w:rPr>
              <w:t>设备应包含必备的易损易耗备件和专用工具。</w:t>
            </w:r>
          </w:p>
          <w:p>
            <w:pPr>
              <w:spacing w:line="440" w:lineRule="exact"/>
              <w:ind w:firstLine="315" w:firstLineChars="150"/>
              <w:jc w:val="left"/>
              <w:rPr>
                <w:color w:val="auto"/>
                <w:highlight w:val="none"/>
              </w:rPr>
            </w:pPr>
            <w:r>
              <w:rPr>
                <w:color w:val="auto"/>
                <w:highlight w:val="none"/>
              </w:rPr>
              <w:t>（</w:t>
            </w:r>
            <w:r>
              <w:rPr>
                <w:rFonts w:hint="eastAsia"/>
                <w:color w:val="auto"/>
                <w:highlight w:val="none"/>
              </w:rPr>
              <w:t>3</w:t>
            </w:r>
            <w:r>
              <w:rPr>
                <w:color w:val="auto"/>
                <w:highlight w:val="none"/>
              </w:rPr>
              <w:t>）</w:t>
            </w:r>
            <w:r>
              <w:rPr>
                <w:rFonts w:hint="eastAsia"/>
                <w:color w:val="auto"/>
                <w:highlight w:val="none"/>
              </w:rPr>
              <w:t>本项目的电梯安装负责人必须具有电梯安装上岗证或职称证并提供证书扫描件或其他电子文件。</w:t>
            </w:r>
          </w:p>
          <w:p>
            <w:pPr>
              <w:spacing w:line="440" w:lineRule="exact"/>
              <w:ind w:firstLine="315" w:firstLineChars="150"/>
              <w:jc w:val="left"/>
              <w:rPr>
                <w:color w:val="auto"/>
                <w:highlight w:val="none"/>
              </w:rPr>
            </w:pPr>
            <w:r>
              <w:rPr>
                <w:color w:val="auto"/>
                <w:highlight w:val="none"/>
              </w:rPr>
              <w:t>（</w:t>
            </w:r>
            <w:r>
              <w:rPr>
                <w:rFonts w:hint="eastAsia"/>
                <w:color w:val="auto"/>
                <w:highlight w:val="none"/>
              </w:rPr>
              <w:t>4</w:t>
            </w:r>
            <w:r>
              <w:rPr>
                <w:color w:val="auto"/>
                <w:highlight w:val="none"/>
              </w:rPr>
              <w:t>）</w:t>
            </w:r>
            <w:r>
              <w:rPr>
                <w:rFonts w:hint="eastAsia"/>
                <w:color w:val="auto"/>
                <w:highlight w:val="none"/>
              </w:rPr>
              <w:t>验收方式：</w:t>
            </w:r>
          </w:p>
          <w:p>
            <w:pPr>
              <w:spacing w:line="440" w:lineRule="exact"/>
              <w:ind w:firstLine="315" w:firstLineChars="150"/>
              <w:jc w:val="left"/>
              <w:rPr>
                <w:color w:val="auto"/>
                <w:highlight w:val="none"/>
              </w:rPr>
            </w:pPr>
            <w:r>
              <w:rPr>
                <w:rFonts w:hint="eastAsia"/>
                <w:color w:val="auto"/>
                <w:highlight w:val="none"/>
              </w:rPr>
              <w:t>①出厂检验：交货时，中标人应随同货物提供出厂检验报告，电梯产品合格相关资料。</w:t>
            </w:r>
          </w:p>
          <w:p>
            <w:pPr>
              <w:spacing w:line="440" w:lineRule="exact"/>
              <w:ind w:left="103" w:leftChars="49" w:firstLine="212" w:firstLineChars="101"/>
              <w:rPr>
                <w:color w:val="auto"/>
                <w:highlight w:val="none"/>
              </w:rPr>
            </w:pPr>
            <w:r>
              <w:rPr>
                <w:rFonts w:hint="eastAsia"/>
                <w:color w:val="auto"/>
                <w:highlight w:val="none"/>
              </w:rPr>
              <w:t>②安装调试检验：货物到达后，由采购人会同有关部门进行基本质量和数量的验收（但不作为最终合格的保证），电梯安装调试（包括整机性能测试）过程，中标人应作详细检验记录。安装调试检验结果应符合电梯制造厂产品标准和采购文件规定的技术要求。检验记录应提交给采购人。</w:t>
            </w:r>
          </w:p>
          <w:p>
            <w:pPr>
              <w:widowControl/>
              <w:jc w:val="left"/>
              <w:textAlignment w:val="center"/>
              <w:rPr>
                <w:rFonts w:hint="eastAsia"/>
                <w:color w:val="auto"/>
                <w:highlight w:val="none"/>
              </w:rPr>
            </w:pPr>
            <w:r>
              <w:rPr>
                <w:rFonts w:hint="eastAsia"/>
                <w:color w:val="auto"/>
                <w:highlight w:val="none"/>
              </w:rPr>
              <w:t>③项目验收：电梯安装调试结束后，由中标人负责联系质量技术监督局等部门，进行联合验收并办理准用许可证，验收费用由中标人承担。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846"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auto"/>
                <w:kern w:val="0"/>
                <w:szCs w:val="21"/>
                <w:highlight w:val="none"/>
                <w:lang w:bidi="ar"/>
              </w:rPr>
            </w:pPr>
            <w:r>
              <w:rPr>
                <w:rFonts w:hint="eastAsia" w:ascii="宋体" w:hAnsi="宋体"/>
                <w:b/>
                <w:bCs/>
                <w:color w:val="auto"/>
                <w:szCs w:val="21"/>
                <w:highlight w:val="none"/>
              </w:rPr>
              <w:t>▲</w:t>
            </w:r>
            <w:r>
              <w:rPr>
                <w:rFonts w:hint="eastAsia" w:ascii="宋体" w:hAnsi="宋体"/>
                <w:b/>
                <w:color w:val="auto"/>
                <w:szCs w:val="21"/>
                <w:highlight w:val="none"/>
              </w:rPr>
              <w:t>投标报价</w:t>
            </w:r>
          </w:p>
        </w:tc>
        <w:tc>
          <w:tcPr>
            <w:tcW w:w="8054"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eastAsia="宋体" w:cs="宋体"/>
                <w:color w:val="auto"/>
                <w:kern w:val="0"/>
                <w:szCs w:val="21"/>
                <w:highlight w:val="none"/>
                <w:lang w:eastAsia="zh-CN" w:bidi="ar"/>
              </w:rPr>
            </w:pPr>
            <w:r>
              <w:rPr>
                <w:rFonts w:hint="eastAsia" w:ascii="宋体" w:hAnsi="宋体" w:cs="宋体"/>
                <w:color w:val="auto"/>
                <w:szCs w:val="21"/>
                <w:highlight w:val="none"/>
              </w:rPr>
              <w:t>本项目实行交钥匙工程，竞标报价为采购人指定地点的现场交货价，包括：（1）货物的价格；（2）货物的标准附件、备品备件、专用工具的价格；（3）运输、装卸、调试、培训、技术支持、售后服务等费用；（4）必要的保险费用和各项税费；（5）包括安装费用（含施工用的脚手架搭拆、设备吊运、检测费等）；</w:t>
            </w:r>
            <w:r>
              <w:rPr>
                <w:rFonts w:hint="eastAsia" w:ascii="宋体" w:hAnsi="宋体" w:cs="宋体"/>
                <w:b/>
                <w:bCs/>
                <w:color w:val="auto"/>
                <w:szCs w:val="21"/>
                <w:highlight w:val="none"/>
              </w:rPr>
              <w:t>（6）安装的开工报装和竣工报检手续费用；（7）室外加装钢结构井道及土建整改费用</w:t>
            </w:r>
            <w:r>
              <w:rPr>
                <w:rFonts w:hint="eastAsia" w:ascii="宋体" w:hAnsi="宋体" w:cs="宋体"/>
                <w:b/>
                <w:bCs/>
                <w:color w:val="auto"/>
                <w:szCs w:val="21"/>
                <w:highlight w:val="none"/>
                <w:lang w:eastAsia="zh-CN"/>
              </w:rPr>
              <w:t>（包括现有走廊栏杆等的拆除费用）</w:t>
            </w:r>
            <w:r>
              <w:rPr>
                <w:rFonts w:hint="eastAsia" w:ascii="宋体" w:hAnsi="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846"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auto"/>
                <w:kern w:val="0"/>
                <w:szCs w:val="21"/>
                <w:highlight w:val="none"/>
                <w:lang w:bidi="ar"/>
              </w:rPr>
            </w:pPr>
            <w:r>
              <w:rPr>
                <w:rFonts w:hint="eastAsia" w:ascii="宋体" w:hAnsi="宋体"/>
                <w:b/>
                <w:bCs/>
                <w:color w:val="auto"/>
                <w:szCs w:val="21"/>
                <w:highlight w:val="none"/>
              </w:rPr>
              <w:t>▲</w:t>
            </w:r>
            <w:r>
              <w:rPr>
                <w:rFonts w:hint="eastAsia" w:ascii="宋体" w:hAnsi="宋体"/>
                <w:b/>
                <w:color w:val="auto"/>
                <w:szCs w:val="21"/>
                <w:highlight w:val="none"/>
              </w:rPr>
              <w:t>付款方式</w:t>
            </w:r>
          </w:p>
        </w:tc>
        <w:tc>
          <w:tcPr>
            <w:tcW w:w="8054"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rPr>
              <w:t>签订合同后，</w:t>
            </w:r>
            <w:r>
              <w:rPr>
                <w:rFonts w:hint="eastAsia" w:ascii="宋体" w:hAnsi="宋体" w:cs="宋体"/>
                <w:color w:val="auto"/>
                <w:kern w:val="0"/>
                <w:szCs w:val="21"/>
                <w:highlight w:val="none"/>
                <w:lang w:eastAsia="zh-CN"/>
              </w:rPr>
              <w:t>中标供应商</w:t>
            </w:r>
            <w:r>
              <w:rPr>
                <w:rFonts w:hint="eastAsia" w:ascii="宋体" w:hAnsi="宋体" w:cs="宋体"/>
                <w:color w:val="auto"/>
                <w:kern w:val="0"/>
                <w:szCs w:val="21"/>
                <w:highlight w:val="none"/>
              </w:rPr>
              <w:t>须向采购人提供合同总金额30%的预付款保函</w:t>
            </w:r>
            <w:r>
              <w:rPr>
                <w:rFonts w:hint="eastAsia" w:ascii="宋体" w:hAnsi="宋体" w:cs="宋体"/>
                <w:color w:val="auto"/>
                <w:kern w:val="0"/>
                <w:szCs w:val="21"/>
                <w:highlight w:val="none"/>
                <w:lang w:eastAsia="zh-CN"/>
              </w:rPr>
              <w:t>（</w:t>
            </w:r>
            <w:r>
              <w:rPr>
                <w:rFonts w:hint="eastAsia"/>
                <w:color w:val="auto"/>
                <w:highlight w:val="none"/>
                <w:lang w:eastAsia="zh-CN"/>
              </w:rPr>
              <w:t>保函有效期至项目验收合格并交付甲方使用止</w:t>
            </w:r>
            <w:r>
              <w:rPr>
                <w:rFonts w:hint="eastAsia" w:ascii="宋体" w:hAnsi="宋体" w:cs="宋体"/>
                <w:color w:val="auto"/>
                <w:kern w:val="0"/>
                <w:szCs w:val="21"/>
                <w:highlight w:val="none"/>
              </w:rPr>
              <w:t>）及开具增值税专用发票，采购人收到预付款保函及发票后</w:t>
            </w:r>
            <w:r>
              <w:rPr>
                <w:rFonts w:hint="eastAsia" w:ascii="宋体" w:hAnsi="宋体" w:cs="宋体"/>
                <w:color w:val="auto"/>
                <w:kern w:val="0"/>
                <w:szCs w:val="21"/>
                <w:highlight w:val="none"/>
                <w:lang w:eastAsia="zh-CN"/>
              </w:rPr>
              <w:t>10个工作日</w:t>
            </w:r>
            <w:r>
              <w:rPr>
                <w:rFonts w:hint="eastAsia" w:ascii="宋体" w:hAnsi="宋体" w:cs="宋体"/>
                <w:color w:val="auto"/>
                <w:kern w:val="0"/>
                <w:szCs w:val="21"/>
                <w:highlight w:val="none"/>
              </w:rPr>
              <w:t>内向</w:t>
            </w:r>
            <w:r>
              <w:rPr>
                <w:rFonts w:hint="eastAsia" w:ascii="宋体" w:hAnsi="宋体" w:cs="宋体"/>
                <w:color w:val="auto"/>
                <w:kern w:val="0"/>
                <w:szCs w:val="21"/>
                <w:highlight w:val="none"/>
                <w:lang w:eastAsia="zh-CN"/>
              </w:rPr>
              <w:t>中标供应商</w:t>
            </w:r>
            <w:r>
              <w:rPr>
                <w:rFonts w:hint="eastAsia" w:ascii="宋体" w:hAnsi="宋体" w:cs="宋体"/>
                <w:color w:val="auto"/>
                <w:kern w:val="0"/>
                <w:szCs w:val="21"/>
                <w:highlight w:val="none"/>
              </w:rPr>
              <w:t>一次性支付合同总金额30%的预付款；供货到采购人指定地点后，</w:t>
            </w:r>
            <w:r>
              <w:rPr>
                <w:rFonts w:hint="eastAsia" w:ascii="宋体" w:hAnsi="宋体" w:cs="宋体"/>
                <w:color w:val="auto"/>
                <w:kern w:val="0"/>
                <w:szCs w:val="21"/>
                <w:highlight w:val="none"/>
                <w:lang w:eastAsia="zh-CN"/>
              </w:rPr>
              <w:t>中标供应商</w:t>
            </w:r>
            <w:r>
              <w:rPr>
                <w:rFonts w:hint="eastAsia" w:ascii="宋体" w:hAnsi="宋体" w:cs="宋体"/>
                <w:color w:val="auto"/>
                <w:kern w:val="0"/>
                <w:szCs w:val="21"/>
                <w:highlight w:val="none"/>
              </w:rPr>
              <w:t>开具增值税专用发票，采购人收到发票之日起</w:t>
            </w:r>
            <w:r>
              <w:rPr>
                <w:rFonts w:hint="eastAsia" w:ascii="宋体" w:hAnsi="宋体" w:cs="宋体"/>
                <w:color w:val="auto"/>
                <w:kern w:val="0"/>
                <w:szCs w:val="21"/>
                <w:highlight w:val="none"/>
                <w:lang w:eastAsia="zh-CN"/>
              </w:rPr>
              <w:t>10个工作日</w:t>
            </w:r>
            <w:r>
              <w:rPr>
                <w:rFonts w:hint="eastAsia" w:ascii="宋体" w:hAnsi="宋体" w:cs="宋体"/>
                <w:color w:val="auto"/>
                <w:kern w:val="0"/>
                <w:szCs w:val="21"/>
                <w:highlight w:val="none"/>
              </w:rPr>
              <w:t>内支付合同款的</w:t>
            </w:r>
            <w:r>
              <w:rPr>
                <w:rFonts w:hint="eastAsia" w:ascii="宋体" w:hAnsi="宋体" w:cs="宋体"/>
                <w:color w:val="auto"/>
                <w:kern w:val="0"/>
                <w:szCs w:val="21"/>
                <w:highlight w:val="none"/>
                <w:lang w:val="en-US" w:eastAsia="zh-CN"/>
              </w:rPr>
              <w:t>30</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完成</w:t>
            </w:r>
            <w:r>
              <w:rPr>
                <w:rFonts w:hint="eastAsia" w:ascii="宋体" w:hAnsi="宋体" w:cs="宋体"/>
                <w:color w:val="auto"/>
                <w:kern w:val="0"/>
                <w:szCs w:val="21"/>
                <w:highlight w:val="none"/>
                <w:lang w:val="en-US" w:eastAsia="zh-CN"/>
              </w:rPr>
              <w:t>全部井道建设</w:t>
            </w:r>
            <w:r>
              <w:rPr>
                <w:rFonts w:hint="eastAsia" w:ascii="宋体" w:hAnsi="宋体" w:cs="宋体"/>
                <w:color w:val="auto"/>
                <w:kern w:val="0"/>
                <w:szCs w:val="21"/>
                <w:highlight w:val="none"/>
              </w:rPr>
              <w:t>后，</w:t>
            </w:r>
            <w:r>
              <w:rPr>
                <w:rFonts w:hint="eastAsia" w:ascii="宋体" w:hAnsi="宋体" w:cs="宋体"/>
                <w:color w:val="auto"/>
                <w:kern w:val="0"/>
                <w:szCs w:val="21"/>
                <w:highlight w:val="none"/>
                <w:lang w:eastAsia="zh-CN"/>
              </w:rPr>
              <w:t>中标供应商</w:t>
            </w:r>
            <w:r>
              <w:rPr>
                <w:rFonts w:hint="eastAsia" w:ascii="宋体" w:hAnsi="宋体" w:cs="宋体"/>
                <w:color w:val="auto"/>
                <w:kern w:val="0"/>
                <w:szCs w:val="21"/>
                <w:highlight w:val="none"/>
              </w:rPr>
              <w:t>开具增值税专用发票，采购人收到发票之日起</w:t>
            </w:r>
            <w:r>
              <w:rPr>
                <w:rFonts w:hint="eastAsia" w:ascii="宋体" w:hAnsi="宋体" w:cs="宋体"/>
                <w:color w:val="auto"/>
                <w:kern w:val="0"/>
                <w:szCs w:val="21"/>
                <w:highlight w:val="none"/>
                <w:lang w:eastAsia="zh-CN"/>
              </w:rPr>
              <w:t>10个工作日</w:t>
            </w:r>
            <w:r>
              <w:rPr>
                <w:rFonts w:hint="eastAsia" w:ascii="宋体" w:hAnsi="宋体" w:cs="宋体"/>
                <w:color w:val="auto"/>
                <w:kern w:val="0"/>
                <w:szCs w:val="21"/>
                <w:highlight w:val="none"/>
              </w:rPr>
              <w:t>内支付合同款的</w:t>
            </w:r>
            <w:r>
              <w:rPr>
                <w:rFonts w:hint="eastAsia" w:ascii="宋体" w:hAnsi="宋体" w:cs="宋体"/>
                <w:color w:val="auto"/>
                <w:kern w:val="0"/>
                <w:szCs w:val="21"/>
                <w:highlight w:val="none"/>
                <w:lang w:val="en-US" w:eastAsia="zh-CN"/>
              </w:rPr>
              <w:t>30</w:t>
            </w:r>
            <w:r>
              <w:rPr>
                <w:rFonts w:hint="eastAsia" w:ascii="宋体" w:hAnsi="宋体" w:cs="宋体"/>
                <w:color w:val="auto"/>
                <w:kern w:val="0"/>
                <w:szCs w:val="21"/>
                <w:highlight w:val="none"/>
              </w:rPr>
              <w:t>%；安装及调试运转正常，经采购人最终验收合格后，</w:t>
            </w:r>
            <w:r>
              <w:rPr>
                <w:rFonts w:hint="eastAsia" w:ascii="宋体" w:hAnsi="宋体" w:cs="宋体"/>
                <w:color w:val="auto"/>
                <w:kern w:val="0"/>
                <w:szCs w:val="21"/>
                <w:highlight w:val="none"/>
                <w:lang w:eastAsia="zh-CN"/>
              </w:rPr>
              <w:t>中标供应商</w:t>
            </w:r>
            <w:r>
              <w:rPr>
                <w:rFonts w:hint="eastAsia" w:ascii="宋体" w:hAnsi="宋体" w:cs="宋体"/>
                <w:color w:val="auto"/>
                <w:kern w:val="0"/>
                <w:szCs w:val="21"/>
                <w:highlight w:val="none"/>
              </w:rPr>
              <w:t>开具增值税专用发票，采购人收到发票之日起</w:t>
            </w:r>
            <w:r>
              <w:rPr>
                <w:rFonts w:hint="eastAsia" w:ascii="宋体" w:hAnsi="宋体" w:cs="宋体"/>
                <w:color w:val="auto"/>
                <w:kern w:val="0"/>
                <w:szCs w:val="21"/>
                <w:highlight w:val="none"/>
                <w:lang w:eastAsia="zh-CN"/>
              </w:rPr>
              <w:t>10个工作日</w:t>
            </w:r>
            <w:r>
              <w:rPr>
                <w:rFonts w:hint="eastAsia" w:ascii="宋体" w:hAnsi="宋体" w:cs="宋体"/>
                <w:color w:val="auto"/>
                <w:kern w:val="0"/>
                <w:szCs w:val="21"/>
                <w:highlight w:val="none"/>
              </w:rPr>
              <w:t>内支付合同款的1</w:t>
            </w:r>
            <w:r>
              <w:rPr>
                <w:rFonts w:hint="eastAsia" w:ascii="宋体" w:hAnsi="宋体" w:cs="宋体"/>
                <w:color w:val="auto"/>
                <w:kern w:val="0"/>
                <w:szCs w:val="21"/>
                <w:highlight w:val="none"/>
                <w:lang w:val="en-US" w:eastAsia="zh-CN"/>
              </w:rPr>
              <w:t>0</w:t>
            </w:r>
            <w:r>
              <w:rPr>
                <w:rFonts w:hint="eastAsia" w:ascii="宋体" w:hAnsi="宋体" w:cs="宋体"/>
                <w:color w:val="auto"/>
                <w:kern w:val="0"/>
                <w:szCs w:val="21"/>
                <w:highlight w:val="none"/>
              </w:rPr>
              <w:t>%。本合同使用货币币制如未作特别说明均为人民币。</w:t>
            </w:r>
            <w:r>
              <w:rPr>
                <w:rFonts w:hint="eastAsia" w:ascii="宋体" w:hAnsi="宋体" w:cs="宋体"/>
                <w:color w:val="auto"/>
                <w:szCs w:val="21"/>
                <w:highlight w:val="non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846"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auto"/>
                <w:kern w:val="0"/>
                <w:szCs w:val="21"/>
                <w:highlight w:val="none"/>
                <w:lang w:bidi="ar"/>
              </w:rPr>
            </w:pPr>
            <w:r>
              <w:rPr>
                <w:rFonts w:hint="eastAsia" w:ascii="宋体" w:hAnsi="宋体"/>
                <w:b/>
                <w:bCs/>
                <w:color w:val="auto"/>
                <w:szCs w:val="21"/>
                <w:highlight w:val="none"/>
              </w:rPr>
              <w:t>▲</w:t>
            </w:r>
            <w:r>
              <w:rPr>
                <w:rFonts w:hint="eastAsia" w:ascii="宋体" w:hAnsi="宋体"/>
                <w:b/>
                <w:color w:val="auto"/>
                <w:szCs w:val="21"/>
                <w:highlight w:val="none"/>
              </w:rPr>
              <w:t>履约保证金</w:t>
            </w:r>
          </w:p>
        </w:tc>
        <w:tc>
          <w:tcPr>
            <w:tcW w:w="8054"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exact"/>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按本项目中标总金额的5%（如中标供应商为中小企业的，按本项目中标总金额2%）收取；中标供应商在签订合同前交至制定账户。</w:t>
            </w:r>
          </w:p>
          <w:p>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履约保证金递交方式：支票、汇票、本票、网上银行或者银行、担保机构出具的保函等非现金形式。</w:t>
            </w:r>
          </w:p>
          <w:p>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履约保证金制定账户：</w:t>
            </w:r>
          </w:p>
          <w:p>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开户名称：广西艺术学院</w:t>
            </w:r>
          </w:p>
          <w:p>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开户银行：建行南宁市桃源支行</w:t>
            </w:r>
          </w:p>
          <w:p>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开户账号：45001604559050500909</w:t>
            </w:r>
          </w:p>
          <w:p>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szCs w:val="21"/>
                <w:highlight w:val="none"/>
              </w:rPr>
              <w:t>履约保证金退付方式、时间及条件：中标供应商若不能完全履行合同，履约保证金不返还；中标供应商若完全履行合同，货物验收合格后，中标供应商向采购人递交退保申请函及凭履约保证金财务凭证，采购人按规定办理无息退还手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846" w:type="dxa"/>
            <w:gridSpan w:val="2"/>
            <w:tcBorders>
              <w:top w:val="single" w:color="auto" w:sz="4" w:space="0"/>
              <w:left w:val="single" w:color="auto" w:sz="4" w:space="0"/>
              <w:bottom w:val="single" w:color="auto" w:sz="4" w:space="0"/>
              <w:right w:val="single" w:color="auto" w:sz="4" w:space="0"/>
            </w:tcBorders>
            <w:noWrap w:val="0"/>
            <w:vAlign w:val="center"/>
          </w:tcPr>
          <w:p>
            <w:pPr>
              <w:ind w:firstLine="210" w:firstLineChars="100"/>
              <w:jc w:val="center"/>
              <w:rPr>
                <w:rFonts w:hint="eastAsia" w:ascii="宋体" w:hAnsi="宋体"/>
                <w:b/>
                <w:color w:val="auto"/>
                <w:szCs w:val="21"/>
                <w:highlight w:val="none"/>
              </w:rPr>
            </w:pPr>
            <w:r>
              <w:rPr>
                <w:rFonts w:hint="eastAsia" w:ascii="宋体" w:hAnsi="宋体"/>
                <w:b/>
                <w:bCs/>
                <w:color w:val="auto"/>
                <w:szCs w:val="21"/>
                <w:highlight w:val="none"/>
              </w:rPr>
              <w:t>▲</w:t>
            </w:r>
            <w:r>
              <w:rPr>
                <w:rFonts w:hint="eastAsia" w:ascii="宋体" w:hAnsi="宋体"/>
                <w:b/>
                <w:color w:val="auto"/>
                <w:szCs w:val="21"/>
                <w:highlight w:val="none"/>
              </w:rPr>
              <w:t>本项目核心</w:t>
            </w:r>
          </w:p>
          <w:p>
            <w:pPr>
              <w:widowControl/>
              <w:jc w:val="center"/>
              <w:textAlignment w:val="center"/>
              <w:rPr>
                <w:rFonts w:hint="eastAsia" w:ascii="宋体" w:hAnsi="宋体" w:cs="宋体"/>
                <w:color w:val="auto"/>
                <w:kern w:val="0"/>
                <w:szCs w:val="21"/>
                <w:highlight w:val="none"/>
                <w:lang w:bidi="ar"/>
              </w:rPr>
            </w:pPr>
            <w:r>
              <w:rPr>
                <w:rFonts w:hint="eastAsia" w:ascii="宋体" w:hAnsi="宋体"/>
                <w:b/>
                <w:color w:val="auto"/>
                <w:szCs w:val="21"/>
                <w:highlight w:val="none"/>
              </w:rPr>
              <w:t>产品</w:t>
            </w:r>
          </w:p>
        </w:tc>
        <w:tc>
          <w:tcPr>
            <w:tcW w:w="8054" w:type="dxa"/>
            <w:gridSpan w:val="3"/>
            <w:tcBorders>
              <w:top w:val="single" w:color="auto" w:sz="4" w:space="0"/>
              <w:left w:val="single" w:color="auto" w:sz="4" w:space="0"/>
              <w:bottom w:val="single" w:color="auto" w:sz="4" w:space="0"/>
              <w:right w:val="single" w:color="auto" w:sz="4" w:space="0"/>
            </w:tcBorders>
            <w:noWrap w:val="0"/>
            <w:vAlign w:val="center"/>
          </w:tcPr>
          <w:p>
            <w:pPr>
              <w:widowControl/>
              <w:textAlignment w:val="center"/>
              <w:rPr>
                <w:rFonts w:hint="eastAsia" w:ascii="宋体" w:hAnsi="宋体"/>
                <w:b/>
                <w:color w:val="auto"/>
                <w:szCs w:val="21"/>
                <w:highlight w:val="none"/>
              </w:rPr>
            </w:pPr>
            <w:r>
              <w:rPr>
                <w:rFonts w:hint="eastAsia" w:ascii="宋体" w:hAnsi="宋体" w:cs="宋体"/>
                <w:b/>
                <w:color w:val="auto"/>
                <w:kern w:val="0"/>
                <w:szCs w:val="21"/>
                <w:highlight w:val="none"/>
                <w:u w:val="single"/>
                <w:lang w:bidi="ar"/>
              </w:rPr>
              <w:t>项号2“无机房乘客电梯”</w:t>
            </w:r>
            <w:r>
              <w:rPr>
                <w:rFonts w:hint="eastAsia" w:ascii="宋体" w:hAnsi="宋体"/>
                <w:b/>
                <w:color w:val="auto"/>
                <w:szCs w:val="21"/>
                <w:highlight w:val="none"/>
              </w:rPr>
              <w:t>。</w:t>
            </w:r>
          </w:p>
          <w:p>
            <w:pPr>
              <w:widowControl/>
              <w:textAlignment w:val="center"/>
              <w:rPr>
                <w:rFonts w:ascii="宋体" w:hAnsi="宋体"/>
                <w:color w:val="auto"/>
                <w:szCs w:val="21"/>
                <w:highlight w:val="none"/>
              </w:rPr>
            </w:pPr>
            <w:r>
              <w:rPr>
                <w:rFonts w:hint="eastAsia" w:ascii="宋体" w:hAnsi="宋体"/>
                <w:color w:val="auto"/>
                <w:szCs w:val="21"/>
                <w:highlight w:val="none"/>
              </w:rPr>
              <w:t>（核心产品品牌相同的，视为提供同品牌产品）</w:t>
            </w:r>
          </w:p>
          <w:p>
            <w:pPr>
              <w:widowControl/>
              <w:jc w:val="left"/>
              <w:textAlignment w:val="center"/>
              <w:rPr>
                <w:rFonts w:hint="eastAsia" w:ascii="宋体" w:hAnsi="宋体" w:cs="宋体"/>
                <w:color w:val="auto"/>
                <w:kern w:val="0"/>
                <w:szCs w:val="21"/>
                <w:highlight w:val="none"/>
                <w:lang w:bidi="ar"/>
              </w:rPr>
            </w:pPr>
            <w:r>
              <w:rPr>
                <w:rFonts w:hint="eastAsia" w:ascii="宋体" w:hAnsi="宋体"/>
                <w:color w:val="auto"/>
                <w:szCs w:val="21"/>
                <w:highlight w:val="none"/>
              </w:rPr>
              <w:t>注：使用综合评分法的采购项目，</w:t>
            </w:r>
            <w:r>
              <w:rPr>
                <w:rFonts w:hint="eastAsia"/>
                <w:color w:val="auto"/>
                <w:highlight w:val="none"/>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w:t>
            </w:r>
            <w:r>
              <w:rPr>
                <w:rFonts w:hint="eastAsia"/>
                <w:color w:val="auto"/>
                <w:highlight w:val="none"/>
                <w:lang w:eastAsia="zh-CN"/>
              </w:rPr>
              <w:t>评标方法及评分标准</w:t>
            </w:r>
            <w:r>
              <w:rPr>
                <w:rFonts w:hint="eastAsia"/>
                <w:color w:val="auto"/>
                <w:highlight w:val="none"/>
              </w:rPr>
              <w:t>》中的推荐原则确定一个投标人获得中标人推荐资格，其他同品牌投标人不作为中标候选人。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846"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auto"/>
                <w:kern w:val="0"/>
                <w:szCs w:val="21"/>
                <w:highlight w:val="none"/>
                <w:lang w:bidi="ar"/>
              </w:rPr>
            </w:pPr>
            <w:r>
              <w:rPr>
                <w:rFonts w:hint="eastAsia" w:ascii="宋体" w:hAnsi="宋体"/>
                <w:b/>
                <w:color w:val="auto"/>
                <w:szCs w:val="21"/>
                <w:highlight w:val="none"/>
              </w:rPr>
              <w:t>其他要求及说明</w:t>
            </w:r>
          </w:p>
        </w:tc>
        <w:tc>
          <w:tcPr>
            <w:tcW w:w="8054"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after="156" w:afterLines="50" w:line="360" w:lineRule="exact"/>
              <w:ind w:left="316" w:hanging="316" w:hangingChars="150"/>
              <w:rPr>
                <w:rFonts w:hint="eastAsia" w:ascii="仿宋" w:hAnsi="仿宋" w:eastAsia="仿宋"/>
                <w:color w:val="auto"/>
                <w:szCs w:val="21"/>
                <w:highlight w:val="none"/>
              </w:rPr>
            </w:pPr>
            <w:r>
              <w:rPr>
                <w:rFonts w:hint="eastAsia" w:ascii="宋体" w:hAnsi="宋体"/>
                <w:b/>
                <w:bCs/>
                <w:color w:val="auto"/>
                <w:szCs w:val="21"/>
                <w:highlight w:val="none"/>
              </w:rPr>
              <w:t>▲</w:t>
            </w:r>
            <w:r>
              <w:rPr>
                <w:rFonts w:hint="eastAsia" w:ascii="仿宋" w:hAnsi="仿宋" w:eastAsia="仿宋"/>
                <w:color w:val="auto"/>
                <w:szCs w:val="21"/>
                <w:highlight w:val="none"/>
              </w:rPr>
              <w:t>1</w:t>
            </w:r>
            <w:r>
              <w:rPr>
                <w:rFonts w:hint="eastAsia" w:ascii="宋体" w:hAnsi="宋体" w:cs="仿宋_GB2312"/>
                <w:b/>
                <w:color w:val="auto"/>
                <w:szCs w:val="21"/>
                <w:highlight w:val="none"/>
              </w:rPr>
              <w:t>、本项目的采购电梯产品要求为同一品牌产品</w:t>
            </w:r>
            <w:r>
              <w:rPr>
                <w:rFonts w:hint="eastAsia" w:ascii="仿宋" w:hAnsi="仿宋" w:eastAsia="仿宋"/>
                <w:color w:val="auto"/>
                <w:szCs w:val="21"/>
                <w:highlight w:val="none"/>
              </w:rPr>
              <w:t xml:space="preserve">。  </w:t>
            </w:r>
          </w:p>
          <w:p>
            <w:pPr>
              <w:snapToGrid w:val="0"/>
              <w:spacing w:before="156" w:beforeLines="50" w:after="156" w:afterLines="50" w:line="360" w:lineRule="exact"/>
              <w:ind w:left="315" w:hanging="315" w:hangingChars="150"/>
              <w:rPr>
                <w:rFonts w:hint="eastAsia" w:ascii="宋体" w:hAnsi="宋体" w:cs="仿宋_GB2312"/>
                <w:color w:val="auto"/>
                <w:szCs w:val="21"/>
                <w:highlight w:val="none"/>
              </w:rPr>
            </w:pPr>
            <w:r>
              <w:rPr>
                <w:rFonts w:hint="eastAsia" w:ascii="宋体" w:hAnsi="宋体" w:cs="仿宋_GB2312"/>
                <w:color w:val="auto"/>
                <w:szCs w:val="21"/>
                <w:highlight w:val="none"/>
              </w:rPr>
              <w:t>2、所投电梯产品必须是原厂生产的全新的、未使用过的、检验合格的优质产品，电梯产品质量符合国家相关规定。</w:t>
            </w:r>
          </w:p>
          <w:p>
            <w:pPr>
              <w:snapToGrid w:val="0"/>
              <w:spacing w:before="156" w:beforeLines="50" w:after="156" w:afterLines="50" w:line="360" w:lineRule="exact"/>
              <w:ind w:left="315" w:hanging="315" w:hangingChars="150"/>
              <w:rPr>
                <w:rFonts w:hint="eastAsia" w:ascii="宋体" w:hAnsi="宋体" w:cs="仿宋_GB2312"/>
                <w:b/>
                <w:color w:val="auto"/>
                <w:szCs w:val="21"/>
                <w:highlight w:val="none"/>
              </w:rPr>
            </w:pPr>
            <w:r>
              <w:rPr>
                <w:rFonts w:hint="eastAsia" w:ascii="宋体" w:hAnsi="宋体" w:cs="仿宋_GB2312"/>
                <w:color w:val="auto"/>
                <w:szCs w:val="21"/>
                <w:highlight w:val="none"/>
              </w:rPr>
              <w:t>3、</w:t>
            </w:r>
            <w:r>
              <w:rPr>
                <w:rFonts w:hint="eastAsia" w:ascii="宋体" w:hAnsi="宋体"/>
                <w:color w:val="auto"/>
                <w:szCs w:val="21"/>
                <w:highlight w:val="none"/>
              </w:rPr>
              <w:t>投标前，投标人可根据自身的情况决定是否参加采购人统一组织的现场考察。现场考察须携带的资料：持投标人授权委托书、个人身份证原件。现场考察统一时间</w:t>
            </w:r>
            <w:r>
              <w:rPr>
                <w:rFonts w:hint="eastAsia" w:ascii="宋体" w:hAnsi="宋体" w:cs="仿宋_GB2312"/>
                <w:color w:val="auto"/>
                <w:szCs w:val="21"/>
                <w:highlight w:val="none"/>
              </w:rPr>
              <w:t>。</w:t>
            </w:r>
            <w:r>
              <w:rPr>
                <w:rFonts w:hint="eastAsia" w:ascii="宋体" w:hAnsi="宋体"/>
                <w:color w:val="auto"/>
                <w:szCs w:val="21"/>
                <w:highlight w:val="none"/>
              </w:rPr>
              <w:t>现场考察</w:t>
            </w:r>
            <w:r>
              <w:rPr>
                <w:rFonts w:hint="eastAsia" w:ascii="宋体" w:hAnsi="宋体" w:cs="仿宋_GB2312"/>
                <w:color w:val="auto"/>
                <w:szCs w:val="21"/>
                <w:highlight w:val="none"/>
              </w:rPr>
              <w:t>集中时间：</w:t>
            </w:r>
            <w:r>
              <w:rPr>
                <w:rFonts w:ascii="宋体" w:hAnsi="宋体" w:cs="仿宋_GB2312"/>
                <w:color w:val="auto"/>
                <w:szCs w:val="21"/>
                <w:highlight w:val="none"/>
                <w:lang w:val="en"/>
              </w:rPr>
              <w:t>202</w:t>
            </w:r>
            <w:r>
              <w:rPr>
                <w:rFonts w:hint="eastAsia" w:ascii="宋体" w:hAnsi="宋体" w:cs="仿宋_GB2312"/>
                <w:color w:val="auto"/>
                <w:szCs w:val="21"/>
                <w:highlight w:val="none"/>
              </w:rPr>
              <w:t>5年</w:t>
            </w:r>
            <w:r>
              <w:rPr>
                <w:rFonts w:hint="eastAsia" w:ascii="宋体" w:hAnsi="宋体" w:cs="仿宋_GB2312"/>
                <w:color w:val="auto"/>
                <w:szCs w:val="21"/>
                <w:highlight w:val="none"/>
                <w:lang w:val="en-US" w:eastAsia="zh-CN"/>
              </w:rPr>
              <w:t>10</w:t>
            </w:r>
            <w:r>
              <w:rPr>
                <w:rFonts w:hint="eastAsia" w:ascii="宋体" w:hAnsi="宋体" w:cs="仿宋_GB2312"/>
                <w:color w:val="auto"/>
                <w:szCs w:val="21"/>
                <w:highlight w:val="none"/>
              </w:rPr>
              <w:t>月</w:t>
            </w:r>
            <w:r>
              <w:rPr>
                <w:rFonts w:hint="eastAsia" w:ascii="宋体" w:hAnsi="宋体" w:cs="仿宋_GB2312"/>
                <w:color w:val="auto"/>
                <w:szCs w:val="21"/>
                <w:highlight w:val="none"/>
                <w:lang w:val="en-US" w:eastAsia="zh-CN"/>
              </w:rPr>
              <w:t>1</w:t>
            </w:r>
            <w:r>
              <w:rPr>
                <w:rFonts w:hint="default" w:ascii="宋体" w:hAnsi="宋体" w:cs="仿宋_GB2312"/>
                <w:color w:val="auto"/>
                <w:szCs w:val="21"/>
                <w:highlight w:val="none"/>
                <w:lang w:val="en" w:eastAsia="zh-CN"/>
              </w:rPr>
              <w:t>6</w:t>
            </w:r>
            <w:r>
              <w:rPr>
                <w:rFonts w:hint="eastAsia" w:ascii="宋体" w:hAnsi="宋体" w:cs="仿宋_GB2312"/>
                <w:color w:val="auto"/>
                <w:szCs w:val="21"/>
                <w:highlight w:val="none"/>
              </w:rPr>
              <w:t>日上午10时，过期不候。集中地点：</w:t>
            </w:r>
            <w:r>
              <w:rPr>
                <w:rFonts w:hint="eastAsia" w:ascii="宋体" w:hAnsi="宋体" w:cs="仿宋_GB2312"/>
                <w:color w:val="auto"/>
                <w:szCs w:val="21"/>
                <w:highlight w:val="none"/>
                <w:u w:val="single"/>
              </w:rPr>
              <w:t xml:space="preserve">  广西南宁市罗文大道8号广西艺术学院相思湖校区</w:t>
            </w:r>
            <w:r>
              <w:rPr>
                <w:rFonts w:hint="eastAsia" w:ascii="宋体" w:hAnsi="宋体" w:cs="仿宋_GB2312"/>
                <w:color w:val="auto"/>
                <w:szCs w:val="21"/>
                <w:highlight w:val="none"/>
              </w:rPr>
              <w:t>；联系人：</w:t>
            </w:r>
            <w:r>
              <w:rPr>
                <w:rFonts w:hint="eastAsia" w:ascii="宋体" w:hAnsi="宋体" w:cs="仿宋_GB2312"/>
                <w:color w:val="auto"/>
                <w:szCs w:val="21"/>
                <w:highlight w:val="none"/>
                <w:u w:val="single"/>
              </w:rPr>
              <w:t>鲁工</w:t>
            </w:r>
            <w:r>
              <w:rPr>
                <w:rFonts w:hint="eastAsia" w:ascii="宋体" w:hAnsi="宋体" w:cs="仿宋_GB2312"/>
                <w:color w:val="auto"/>
                <w:szCs w:val="21"/>
                <w:highlight w:val="none"/>
              </w:rPr>
              <w:t>；联系电话：</w:t>
            </w:r>
            <w:r>
              <w:rPr>
                <w:rFonts w:hint="eastAsia" w:ascii="宋体" w:hAnsi="宋体" w:cs="仿宋_GB2312"/>
                <w:color w:val="auto"/>
                <w:szCs w:val="21"/>
                <w:highlight w:val="none"/>
                <w:u w:val="single"/>
              </w:rPr>
              <w:t xml:space="preserve">   19378864757  </w:t>
            </w:r>
            <w:r>
              <w:rPr>
                <w:rFonts w:hint="eastAsia" w:ascii="宋体" w:hAnsi="宋体" w:cs="仿宋_GB2312"/>
                <w:color w:val="auto"/>
                <w:szCs w:val="21"/>
                <w:highlight w:val="none"/>
              </w:rPr>
              <w:t>。</w:t>
            </w:r>
          </w:p>
          <w:p>
            <w:pPr>
              <w:snapToGrid w:val="0"/>
              <w:spacing w:before="156" w:beforeLines="50" w:after="156" w:afterLines="50" w:line="360" w:lineRule="exact"/>
              <w:ind w:left="316" w:hanging="316" w:hangingChars="150"/>
              <w:rPr>
                <w:rFonts w:hint="eastAsia"/>
                <w:color w:val="auto"/>
                <w:szCs w:val="21"/>
                <w:highlight w:val="none"/>
              </w:rPr>
            </w:pPr>
            <w:r>
              <w:rPr>
                <w:rFonts w:hint="eastAsia" w:ascii="宋体" w:hAnsi="宋体"/>
                <w:b/>
                <w:bCs/>
                <w:color w:val="auto"/>
                <w:szCs w:val="21"/>
                <w:highlight w:val="none"/>
              </w:rPr>
              <w:t>▲</w:t>
            </w:r>
            <w:r>
              <w:rPr>
                <w:rFonts w:hint="eastAsia"/>
                <w:color w:val="auto"/>
                <w:szCs w:val="21"/>
                <w:highlight w:val="none"/>
              </w:rPr>
              <w:t>4、投标文件须提供</w:t>
            </w:r>
            <w:r>
              <w:rPr>
                <w:rFonts w:hint="eastAsia"/>
                <w:b/>
                <w:color w:val="auto"/>
                <w:szCs w:val="21"/>
                <w:highlight w:val="none"/>
              </w:rPr>
              <w:t>施工方案</w:t>
            </w:r>
            <w:r>
              <w:rPr>
                <w:rFonts w:hint="eastAsia"/>
                <w:color w:val="auto"/>
                <w:szCs w:val="21"/>
                <w:highlight w:val="none"/>
              </w:rPr>
              <w:t>（内容包含有：施工组织机构、人员配备、施工机械、检测设备、施工进度计划及保证工期</w:t>
            </w:r>
            <w:r>
              <w:rPr>
                <w:rFonts w:hint="eastAsia" w:hAnsi="宋体"/>
                <w:color w:val="auto"/>
                <w:szCs w:val="21"/>
                <w:highlight w:val="none"/>
              </w:rPr>
              <w:t>、质量的技术措施，</w:t>
            </w:r>
            <w:r>
              <w:rPr>
                <w:rFonts w:hint="eastAsia"/>
                <w:color w:val="auto"/>
                <w:szCs w:val="21"/>
                <w:highlight w:val="none"/>
              </w:rPr>
              <w:t>安全、文明施工措施、</w:t>
            </w:r>
            <w:r>
              <w:rPr>
                <w:rFonts w:hint="eastAsia" w:hAnsi="宋体"/>
                <w:color w:val="auto"/>
                <w:szCs w:val="21"/>
                <w:highlight w:val="none"/>
              </w:rPr>
              <w:t>设备的安装调试等方面。</w:t>
            </w:r>
            <w:r>
              <w:rPr>
                <w:rFonts w:hint="eastAsia"/>
                <w:color w:val="auto"/>
                <w:szCs w:val="21"/>
                <w:highlight w:val="none"/>
              </w:rPr>
              <w:t>）；</w:t>
            </w:r>
          </w:p>
          <w:p>
            <w:pPr>
              <w:snapToGrid w:val="0"/>
              <w:spacing w:before="156" w:beforeLines="50" w:after="156" w:afterLines="50" w:line="360" w:lineRule="exact"/>
              <w:ind w:left="316" w:hanging="316" w:hangingChars="150"/>
              <w:rPr>
                <w:rFonts w:hint="eastAsia" w:ascii="宋体" w:hAnsi="宋体" w:cs="仿宋_GB2312"/>
                <w:b/>
                <w:color w:val="auto"/>
                <w:szCs w:val="21"/>
                <w:highlight w:val="none"/>
              </w:rPr>
            </w:pPr>
            <w:r>
              <w:rPr>
                <w:rFonts w:hint="eastAsia" w:ascii="宋体" w:hAnsi="宋体"/>
                <w:b/>
                <w:bCs/>
                <w:color w:val="auto"/>
                <w:szCs w:val="21"/>
                <w:highlight w:val="none"/>
              </w:rPr>
              <w:t>▲</w:t>
            </w:r>
            <w:r>
              <w:rPr>
                <w:rFonts w:hint="eastAsia"/>
                <w:color w:val="auto"/>
                <w:szCs w:val="21"/>
                <w:highlight w:val="none"/>
              </w:rPr>
              <w:t>5、投标文件须提供电梯土建设计方案。</w:t>
            </w:r>
          </w:p>
          <w:p>
            <w:pPr>
              <w:widowControl/>
              <w:spacing w:line="360" w:lineRule="exact"/>
              <w:ind w:left="142" w:leftChars="-227" w:hanging="619" w:hangingChars="294"/>
              <w:jc w:val="left"/>
              <w:rPr>
                <w:rFonts w:hint="default" w:ascii="宋体" w:hAnsi="宋体" w:eastAsia="宋体" w:cs="仿宋_GB2312"/>
                <w:color w:val="auto"/>
                <w:szCs w:val="21"/>
                <w:highlight w:val="none"/>
                <w:lang w:val="en-US" w:eastAsia="zh-CN"/>
              </w:rPr>
            </w:pPr>
            <w:r>
              <w:rPr>
                <w:rFonts w:hint="eastAsia" w:ascii="仿宋" w:hAnsi="仿宋" w:eastAsia="仿宋"/>
                <w:b/>
                <w:color w:val="auto"/>
                <w:szCs w:val="21"/>
                <w:highlight w:val="none"/>
              </w:rPr>
              <w:t xml:space="preserve">     </w:t>
            </w:r>
          </w:p>
          <w:p>
            <w:pPr>
              <w:widowControl/>
              <w:spacing w:line="360" w:lineRule="exact"/>
              <w:ind w:left="140" w:leftChars="-227" w:hanging="617" w:hangingChars="294"/>
              <w:jc w:val="left"/>
              <w:rPr>
                <w:rFonts w:hint="eastAsia" w:ascii="宋体" w:hAnsi="宋体" w:cs="仿宋_GB2312"/>
                <w:color w:val="auto"/>
                <w:szCs w:val="21"/>
                <w:highlight w:val="none"/>
              </w:rPr>
            </w:pPr>
            <w:r>
              <w:rPr>
                <w:rFonts w:hint="eastAsia" w:ascii="宋体" w:hAnsi="宋体" w:cs="仿宋_GB2312"/>
                <w:color w:val="auto"/>
                <w:szCs w:val="21"/>
                <w:highlight w:val="none"/>
                <w:lang w:val="en-US" w:eastAsia="zh-CN"/>
              </w:rPr>
              <w:t>7、   6、</w:t>
            </w:r>
            <w:r>
              <w:rPr>
                <w:rFonts w:hint="eastAsia" w:ascii="宋体" w:hAnsi="宋体" w:cs="仿宋_GB2312"/>
                <w:color w:val="auto"/>
                <w:szCs w:val="21"/>
                <w:highlight w:val="none"/>
              </w:rPr>
              <w:t>政策功能：</w:t>
            </w:r>
          </w:p>
          <w:p>
            <w:pPr>
              <w:widowControl/>
              <w:spacing w:line="360" w:lineRule="exact"/>
              <w:ind w:left="140" w:leftChars="23" w:hanging="92" w:hangingChars="44"/>
              <w:jc w:val="left"/>
              <w:rPr>
                <w:rFonts w:hint="eastAsia" w:ascii="仿宋" w:hAnsi="仿宋" w:eastAsia="仿宋"/>
                <w:b/>
                <w:color w:val="auto"/>
                <w:szCs w:val="21"/>
                <w:highlight w:val="none"/>
              </w:rPr>
            </w:pPr>
            <w:r>
              <w:rPr>
                <w:rFonts w:hint="eastAsia" w:ascii="宋体" w:hAnsi="宋体" w:cs="仿宋_GB2312"/>
                <w:color w:val="auto"/>
                <w:szCs w:val="21"/>
                <w:highlight w:val="none"/>
              </w:rPr>
              <w:t>（1）</w:t>
            </w:r>
            <w:r>
              <w:rPr>
                <w:rFonts w:hint="eastAsia" w:ascii="宋体" w:cs="宋体"/>
                <w:color w:val="auto"/>
                <w:szCs w:val="21"/>
                <w:highlight w:val="none"/>
                <w:lang w:val="zh-CN"/>
              </w:rPr>
              <w:t>严格执行（财库〔2019〕9号）及（财库〔2019〕19号），本次投标产品类别属于政府强制采购产品类别的，须按照《市场监管总局关于发布参与实施政府采购节能产品、环境标志产品认证机构名录的公告》（2019年第16号）要求提供依据国家确定的认证机构出具的、处于有效期之内的节能产品认证证书扫描件或其他电子文件并加盖投标人公章，否则投标无效</w:t>
            </w:r>
            <w:r>
              <w:rPr>
                <w:rFonts w:hint="eastAsia" w:ascii="仿宋" w:hAnsi="仿宋" w:eastAsia="仿宋"/>
                <w:b/>
                <w:color w:val="auto"/>
                <w:szCs w:val="21"/>
                <w:highlight w:val="none"/>
              </w:rPr>
              <w:t>。</w:t>
            </w:r>
          </w:p>
          <w:p>
            <w:pPr>
              <w:widowControl/>
              <w:spacing w:line="360" w:lineRule="exact"/>
              <w:ind w:left="140" w:leftChars="23" w:hanging="92" w:hangingChars="44"/>
              <w:jc w:val="left"/>
              <w:rPr>
                <w:rFonts w:hAnsi="宋体" w:cs="宋体"/>
                <w:color w:val="auto"/>
                <w:kern w:val="0"/>
                <w:szCs w:val="21"/>
                <w:highlight w:val="none"/>
              </w:rPr>
            </w:pPr>
            <w:r>
              <w:rPr>
                <w:rFonts w:hint="eastAsia" w:ascii="仿宋" w:hAnsi="仿宋" w:eastAsia="仿宋"/>
                <w:b/>
                <w:color w:val="auto"/>
                <w:szCs w:val="21"/>
                <w:highlight w:val="none"/>
              </w:rPr>
              <w:t>（2）</w:t>
            </w:r>
            <w:r>
              <w:rPr>
                <w:rFonts w:hint="eastAsia" w:ascii="宋体" w:cs="宋体"/>
                <w:color w:val="auto"/>
                <w:szCs w:val="21"/>
                <w:highlight w:val="none"/>
                <w:lang w:val="zh-CN"/>
              </w:rPr>
              <w:t>执行《财政部 发展改革委 生态环境部 市场监管总局关于调整优化节能产品、环境标志产品政府采购执行机制的通知》（财库〔2019〕9号）、《关于印发节能产品政府采购品目清单的通知》（财库〔2019〕19号）及《关于印发环境标志产品政府采购品目清单的通知》（财库〔2019〕18号），属于政府优先采购产品类别的，磋商供应商按照《市场监管总局关于发布参与实施政府采购节能产品、环境标志产品认证机构名录的公告》（2019年第16号）要求提供依据国家确定的认证机构出具的、处于有效期之内的节能产品或环境标志产品认证证书扫描件或其他电子文件并加盖磋商供应商公章，否则不予认定。</w:t>
            </w:r>
          </w:p>
          <w:p>
            <w:pPr>
              <w:widowControl/>
              <w:jc w:val="left"/>
              <w:textAlignment w:val="center"/>
              <w:rPr>
                <w:rFonts w:hint="eastAsia" w:ascii="宋体" w:hAnsi="宋体" w:cs="宋体"/>
                <w:color w:val="auto"/>
                <w:kern w:val="0"/>
                <w:szCs w:val="21"/>
                <w:highlight w:val="none"/>
                <w:lang w:bidi="ar"/>
              </w:rPr>
            </w:pPr>
            <w:r>
              <w:rPr>
                <w:rFonts w:hint="eastAsia" w:ascii="宋体" w:hAnsi="宋体"/>
                <w:b/>
                <w:bCs/>
                <w:color w:val="auto"/>
                <w:szCs w:val="21"/>
                <w:highlight w:val="none"/>
              </w:rPr>
              <w:t>▲</w:t>
            </w:r>
            <w:r>
              <w:rPr>
                <w:rFonts w:hint="eastAsia" w:ascii="仿宋" w:hAnsi="仿宋" w:eastAsia="仿宋"/>
                <w:b/>
                <w:color w:val="auto"/>
                <w:szCs w:val="21"/>
                <w:highlight w:val="none"/>
                <w:lang w:val="en-US" w:eastAsia="zh-CN"/>
              </w:rPr>
              <w:t>7</w:t>
            </w:r>
            <w:r>
              <w:rPr>
                <w:rFonts w:hint="eastAsia" w:ascii="仿宋" w:hAnsi="仿宋" w:eastAsia="仿宋"/>
                <w:b/>
                <w:color w:val="auto"/>
                <w:szCs w:val="21"/>
                <w:highlight w:val="none"/>
              </w:rPr>
              <w:t>、</w:t>
            </w:r>
            <w:r>
              <w:rPr>
                <w:rFonts w:hint="eastAsia" w:ascii="宋体" w:hAnsi="宋体" w:cs="仿宋_GB2312"/>
                <w:b/>
                <w:color w:val="auto"/>
                <w:szCs w:val="21"/>
                <w:highlight w:val="none"/>
              </w:rPr>
              <w:t>本项目不接受整套进口电梯产品投标</w:t>
            </w:r>
            <w:r>
              <w:rPr>
                <w:rFonts w:hint="eastAsia" w:ascii="仿宋" w:hAnsi="仿宋" w:eastAsia="仿宋"/>
                <w:b/>
                <w:color w:val="auto"/>
                <w:szCs w:val="21"/>
                <w:highlight w:val="none"/>
              </w:rPr>
              <w:t>。</w:t>
            </w:r>
          </w:p>
        </w:tc>
      </w:tr>
    </w:tbl>
    <w:p>
      <w:pPr>
        <w:spacing w:line="440" w:lineRule="exact"/>
        <w:jc w:val="left"/>
        <w:rPr>
          <w:rFonts w:ascii="宋体"/>
          <w:b/>
          <w:color w:val="auto"/>
          <w:szCs w:val="21"/>
          <w:highlight w:val="none"/>
        </w:rPr>
      </w:pPr>
    </w:p>
    <w:p>
      <w:pPr>
        <w:rPr>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pStyle w:val="2"/>
        <w:jc w:val="center"/>
        <w:rPr>
          <w:rFonts w:hint="eastAsia" w:ascii="黑体" w:eastAsia="黑体"/>
          <w:color w:val="auto"/>
          <w:sz w:val="32"/>
          <w:szCs w:val="32"/>
          <w:highlight w:val="none"/>
        </w:rPr>
      </w:pPr>
      <w:bookmarkStart w:id="23" w:name="_Toc40865022"/>
      <w:bookmarkStart w:id="24" w:name="_Toc40864906"/>
      <w:r>
        <w:rPr>
          <w:rFonts w:hint="eastAsia"/>
          <w:color w:val="auto"/>
          <w:highlight w:val="none"/>
        </w:rPr>
        <w:t>第三章  投标人须知</w:t>
      </w:r>
      <w:bookmarkEnd w:id="23"/>
      <w:bookmarkEnd w:id="24"/>
    </w:p>
    <w:p>
      <w:pPr>
        <w:pStyle w:val="2"/>
        <w:jc w:val="center"/>
        <w:rPr>
          <w:rFonts w:hint="eastAsia" w:ascii="黑体" w:eastAsia="黑体"/>
          <w:color w:val="auto"/>
          <w:sz w:val="32"/>
          <w:szCs w:val="32"/>
          <w:highlight w:val="none"/>
        </w:rPr>
      </w:pPr>
    </w:p>
    <w:p>
      <w:pPr>
        <w:snapToGrid w:val="0"/>
        <w:jc w:val="center"/>
        <w:rPr>
          <w:rFonts w:hint="eastAsia" w:ascii="黑体" w:hAnsi="宋体" w:eastAsia="黑体"/>
          <w:color w:val="auto"/>
          <w:sz w:val="32"/>
          <w:szCs w:val="32"/>
          <w:highlight w:val="none"/>
        </w:rPr>
      </w:pPr>
    </w:p>
    <w:p>
      <w:pPr>
        <w:snapToGrid w:val="0"/>
        <w:jc w:val="center"/>
        <w:rPr>
          <w:rFonts w:hint="eastAsia" w:ascii="黑体" w:hAnsi="宋体" w:eastAsia="黑体"/>
          <w:color w:val="auto"/>
          <w:sz w:val="32"/>
          <w:szCs w:val="32"/>
          <w:highlight w:val="none"/>
        </w:rPr>
      </w:pPr>
    </w:p>
    <w:p>
      <w:pPr>
        <w:snapToGrid w:val="0"/>
        <w:jc w:val="center"/>
        <w:rPr>
          <w:rFonts w:hint="eastAsia" w:ascii="黑体" w:hAnsi="宋体" w:eastAsia="黑体"/>
          <w:color w:val="auto"/>
          <w:sz w:val="32"/>
          <w:szCs w:val="32"/>
          <w:highlight w:val="none"/>
        </w:rPr>
      </w:pPr>
    </w:p>
    <w:p>
      <w:pPr>
        <w:snapToGrid w:val="0"/>
        <w:jc w:val="center"/>
        <w:rPr>
          <w:rFonts w:hint="eastAsia" w:ascii="黑体" w:hAnsi="宋体" w:eastAsia="黑体"/>
          <w:color w:val="auto"/>
          <w:sz w:val="32"/>
          <w:szCs w:val="32"/>
          <w:highlight w:val="none"/>
        </w:rPr>
      </w:pPr>
    </w:p>
    <w:p>
      <w:pPr>
        <w:snapToGrid w:val="0"/>
        <w:jc w:val="center"/>
        <w:rPr>
          <w:rFonts w:hint="eastAsia" w:ascii="黑体" w:hAnsi="宋体" w:eastAsia="黑体"/>
          <w:color w:val="auto"/>
          <w:sz w:val="32"/>
          <w:szCs w:val="32"/>
          <w:highlight w:val="none"/>
        </w:rPr>
      </w:pPr>
    </w:p>
    <w:p>
      <w:pPr>
        <w:snapToGrid w:val="0"/>
        <w:jc w:val="center"/>
        <w:rPr>
          <w:rFonts w:hint="eastAsia" w:ascii="黑体" w:hAnsi="宋体" w:eastAsia="黑体"/>
          <w:color w:val="auto"/>
          <w:sz w:val="32"/>
          <w:szCs w:val="32"/>
          <w:highlight w:val="none"/>
        </w:rPr>
      </w:pPr>
    </w:p>
    <w:p>
      <w:pPr>
        <w:snapToGrid w:val="0"/>
        <w:jc w:val="center"/>
        <w:rPr>
          <w:rFonts w:hint="eastAsia" w:ascii="黑体" w:hAnsi="宋体" w:eastAsia="黑体"/>
          <w:color w:val="auto"/>
          <w:sz w:val="32"/>
          <w:szCs w:val="32"/>
          <w:highlight w:val="none"/>
        </w:rPr>
      </w:pPr>
    </w:p>
    <w:p>
      <w:pPr>
        <w:snapToGrid w:val="0"/>
        <w:jc w:val="center"/>
        <w:rPr>
          <w:rFonts w:hint="eastAsia" w:ascii="黑体" w:hAnsi="宋体" w:eastAsia="黑体"/>
          <w:color w:val="auto"/>
          <w:sz w:val="32"/>
          <w:szCs w:val="32"/>
          <w:highlight w:val="none"/>
        </w:rPr>
      </w:pPr>
    </w:p>
    <w:p>
      <w:pPr>
        <w:snapToGrid w:val="0"/>
        <w:jc w:val="center"/>
        <w:rPr>
          <w:rFonts w:hint="eastAsia" w:ascii="黑体" w:hAnsi="宋体" w:eastAsia="黑体"/>
          <w:color w:val="auto"/>
          <w:sz w:val="32"/>
          <w:szCs w:val="32"/>
          <w:highlight w:val="none"/>
        </w:rPr>
      </w:pPr>
    </w:p>
    <w:p>
      <w:pPr>
        <w:snapToGrid w:val="0"/>
        <w:jc w:val="center"/>
        <w:rPr>
          <w:rFonts w:hint="eastAsia" w:ascii="黑体" w:hAnsi="宋体" w:eastAsia="黑体"/>
          <w:color w:val="auto"/>
          <w:sz w:val="32"/>
          <w:szCs w:val="32"/>
          <w:highlight w:val="none"/>
        </w:rPr>
      </w:pPr>
    </w:p>
    <w:p>
      <w:pPr>
        <w:snapToGrid w:val="0"/>
        <w:jc w:val="center"/>
        <w:rPr>
          <w:rFonts w:hint="eastAsia" w:ascii="黑体" w:hAnsi="宋体" w:eastAsia="黑体"/>
          <w:color w:val="auto"/>
          <w:sz w:val="32"/>
          <w:szCs w:val="32"/>
          <w:highlight w:val="none"/>
        </w:rPr>
      </w:pPr>
    </w:p>
    <w:p>
      <w:pPr>
        <w:snapToGrid w:val="0"/>
        <w:jc w:val="center"/>
        <w:rPr>
          <w:rFonts w:hint="eastAsia" w:ascii="黑体" w:hAnsi="宋体" w:eastAsia="黑体"/>
          <w:color w:val="auto"/>
          <w:sz w:val="32"/>
          <w:szCs w:val="32"/>
          <w:highlight w:val="none"/>
        </w:rPr>
      </w:pPr>
    </w:p>
    <w:p>
      <w:pPr>
        <w:snapToGrid w:val="0"/>
        <w:jc w:val="center"/>
        <w:rPr>
          <w:rFonts w:hint="eastAsia" w:ascii="黑体" w:hAnsi="宋体" w:eastAsia="黑体"/>
          <w:color w:val="auto"/>
          <w:sz w:val="32"/>
          <w:szCs w:val="32"/>
          <w:highlight w:val="none"/>
        </w:rPr>
      </w:pPr>
    </w:p>
    <w:p>
      <w:pPr>
        <w:snapToGrid w:val="0"/>
        <w:jc w:val="center"/>
        <w:rPr>
          <w:rFonts w:hint="eastAsia" w:ascii="仿宋_GB2312" w:hAnsi="宋体" w:eastAsia="仿宋_GB2312"/>
          <w:b/>
          <w:color w:val="auto"/>
          <w:szCs w:val="21"/>
          <w:highlight w:val="none"/>
        </w:rPr>
      </w:pPr>
      <w:r>
        <w:rPr>
          <w:rFonts w:ascii="黑体" w:hAnsi="宋体" w:eastAsia="黑体"/>
          <w:color w:val="auto"/>
          <w:sz w:val="32"/>
          <w:szCs w:val="32"/>
          <w:highlight w:val="none"/>
        </w:rPr>
        <w:br w:type="page"/>
      </w:r>
      <w:r>
        <w:rPr>
          <w:rFonts w:hint="eastAsia" w:ascii="仿宋_GB2312" w:hAnsi="宋体" w:eastAsia="仿宋_GB2312"/>
          <w:b/>
          <w:color w:val="auto"/>
          <w:sz w:val="32"/>
          <w:szCs w:val="32"/>
          <w:highlight w:val="none"/>
        </w:rPr>
        <w:t>投标</w:t>
      </w:r>
      <w:bookmarkStart w:id="25" w:name="_Toc254970526"/>
      <w:bookmarkStart w:id="26" w:name="_Toc254970667"/>
      <w:r>
        <w:rPr>
          <w:rFonts w:hint="eastAsia" w:ascii="仿宋_GB2312" w:hAnsi="宋体" w:eastAsia="仿宋_GB2312"/>
          <w:b/>
          <w:color w:val="auto"/>
          <w:sz w:val="32"/>
          <w:szCs w:val="32"/>
          <w:highlight w:val="none"/>
        </w:rPr>
        <w:t>人须知及前附表</w:t>
      </w:r>
      <w:bookmarkEnd w:id="25"/>
      <w:bookmarkEnd w:id="26"/>
    </w:p>
    <w:tbl>
      <w:tblPr>
        <w:tblStyle w:val="50"/>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8"/>
        <w:gridCol w:w="882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color w:val="auto"/>
                <w:szCs w:val="21"/>
                <w:highlight w:val="none"/>
              </w:rPr>
            </w:pPr>
            <w:r>
              <w:rPr>
                <w:rFonts w:hint="eastAsia" w:ascii="宋体" w:hAnsi="宋体"/>
                <w:color w:val="auto"/>
                <w:szCs w:val="21"/>
                <w:highlight w:val="none"/>
              </w:rPr>
              <w:t>序号</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color w:val="auto"/>
                <w:szCs w:val="21"/>
                <w:highlight w:val="none"/>
              </w:rPr>
            </w:pPr>
            <w:r>
              <w:rPr>
                <w:rFonts w:hint="eastAsia" w:ascii="宋体" w:hAnsi="宋体"/>
                <w:color w:val="auto"/>
                <w:szCs w:val="21"/>
                <w:highlight w:val="none"/>
              </w:rPr>
              <w:t>内容、要求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b/>
                <w:color w:val="auto"/>
                <w:szCs w:val="21"/>
                <w:highlight w:val="none"/>
              </w:rPr>
            </w:pPr>
            <w:r>
              <w:rPr>
                <w:rFonts w:hint="eastAsia" w:ascii="宋体" w:hAnsi="宋体"/>
                <w:b/>
                <w:color w:val="auto"/>
                <w:szCs w:val="21"/>
                <w:highlight w:val="none"/>
              </w:rPr>
              <w:t>1</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hint="eastAsia" w:ascii="宋体" w:hAnsi="宋体"/>
                <w:color w:val="auto"/>
                <w:szCs w:val="21"/>
                <w:highlight w:val="none"/>
              </w:rPr>
            </w:pPr>
            <w:r>
              <w:rPr>
                <w:rFonts w:hint="eastAsia" w:ascii="宋体" w:hAnsi="宋体"/>
                <w:color w:val="auto"/>
                <w:szCs w:val="21"/>
                <w:highlight w:val="none"/>
              </w:rPr>
              <w:t>项目名称：</w:t>
            </w:r>
            <w:r>
              <w:rPr>
                <w:rFonts w:hint="eastAsia"/>
                <w:color w:val="auto"/>
                <w:highlight w:val="none"/>
              </w:rPr>
              <w:t>广西艺术学院相思湖校区电梯采购及安装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color w:val="auto"/>
                <w:szCs w:val="21"/>
                <w:highlight w:val="none"/>
              </w:rPr>
            </w:pPr>
            <w:r>
              <w:rPr>
                <w:rFonts w:hint="eastAsia" w:ascii="宋体" w:hAnsi="宋体"/>
                <w:color w:val="auto"/>
                <w:szCs w:val="21"/>
                <w:highlight w:val="none"/>
              </w:rPr>
              <w:t>2</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snapToGrid w:val="0"/>
              <w:spacing w:line="380" w:lineRule="exact"/>
              <w:rPr>
                <w:rFonts w:hint="eastAsia" w:ascii="宋体" w:hAnsi="宋体"/>
                <w:color w:val="auto"/>
                <w:szCs w:val="21"/>
                <w:highlight w:val="none"/>
              </w:rPr>
            </w:pPr>
            <w:r>
              <w:rPr>
                <w:rFonts w:hint="eastAsia" w:ascii="宋体" w:hAnsi="宋体"/>
                <w:color w:val="auto"/>
                <w:szCs w:val="21"/>
                <w:highlight w:val="none"/>
              </w:rPr>
              <w:t>投标报价及费用：1、本项目投标应以人民币报价；2、不论投标结果如何，投标人均应自行承担所有与投标有关的全部费用；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bCs/>
                <w:color w:val="auto"/>
                <w:highlight w:val="none"/>
              </w:rPr>
            </w:pPr>
            <w:r>
              <w:rPr>
                <w:rFonts w:hint="eastAsia"/>
                <w:bCs/>
                <w:color w:val="auto"/>
                <w:highlight w:val="none"/>
              </w:rPr>
              <w:t>3</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snapToGrid w:val="0"/>
              <w:spacing w:line="380" w:lineRule="exact"/>
              <w:rPr>
                <w:rFonts w:hint="eastAsia"/>
                <w:bCs/>
                <w:color w:val="auto"/>
                <w:highlight w:val="none"/>
                <w:u w:val="single"/>
              </w:rPr>
            </w:pPr>
            <w:r>
              <w:rPr>
                <w:rFonts w:hint="eastAsia"/>
                <w:bCs/>
                <w:color w:val="auto"/>
                <w:highlight w:val="none"/>
              </w:rPr>
              <w:t>投标保证金（人民币）</w:t>
            </w:r>
            <w:r>
              <w:rPr>
                <w:rFonts w:hint="eastAsia"/>
                <w:bCs/>
                <w:color w:val="auto"/>
                <w:highlight w:val="none"/>
                <w:u w:val="single"/>
              </w:rPr>
              <w:t xml:space="preserve">      详见“第一章公开招标公告” 。 </w:t>
            </w:r>
          </w:p>
          <w:p>
            <w:pPr>
              <w:snapToGrid w:val="0"/>
              <w:spacing w:line="380" w:lineRule="exact"/>
              <w:rPr>
                <w:rFonts w:hint="eastAsia"/>
                <w:bCs/>
                <w:color w:val="auto"/>
                <w:highlight w:val="none"/>
              </w:rPr>
            </w:pPr>
            <w:r>
              <w:rPr>
                <w:rFonts w:hint="eastAsia"/>
                <w:bCs/>
                <w:color w:val="auto"/>
                <w:highlight w:val="none"/>
              </w:rPr>
              <w:t>实际交纳的保证金按上述要求，否则视为未交纳保证金。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bCs/>
                <w:color w:val="auto"/>
                <w:highlight w:val="none"/>
              </w:rPr>
            </w:pPr>
            <w:r>
              <w:rPr>
                <w:rFonts w:hint="eastAsia"/>
                <w:bCs/>
                <w:color w:val="auto"/>
                <w:highlight w:val="none"/>
              </w:rPr>
              <w:t>4</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hint="eastAsia"/>
                <w:b/>
                <w:bCs/>
                <w:color w:val="auto"/>
                <w:highlight w:val="none"/>
              </w:rPr>
            </w:pPr>
            <w:r>
              <w:rPr>
                <w:rFonts w:hint="eastAsia" w:ascii="宋体" w:hAnsi="宋体"/>
                <w:b/>
                <w:color w:val="auto"/>
                <w:szCs w:val="21"/>
                <w:highlight w:val="none"/>
              </w:rPr>
              <w:t>现场勘查：</w:t>
            </w:r>
            <w:r>
              <w:rPr>
                <w:rFonts w:hint="eastAsia" w:ascii="宋体" w:hAnsi="宋体"/>
                <w:b/>
                <w:color w:val="auto"/>
                <w:szCs w:val="21"/>
                <w:highlight w:val="none"/>
                <w:u w:val="single"/>
              </w:rPr>
              <w:t xml:space="preserve">     详见《第二章招标项目采购需求》     </w:t>
            </w:r>
            <w:r>
              <w:rPr>
                <w:rFonts w:hint="eastAsia" w:ascii="宋体" w:hAnsi="宋体"/>
                <w:b/>
                <w:color w:val="auto"/>
                <w:szCs w:val="21"/>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2"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color w:val="auto"/>
                <w:szCs w:val="21"/>
                <w:highlight w:val="none"/>
              </w:rPr>
            </w:pPr>
            <w:r>
              <w:rPr>
                <w:rFonts w:hint="eastAsia" w:ascii="宋体" w:hAnsi="宋体"/>
                <w:color w:val="auto"/>
                <w:szCs w:val="21"/>
                <w:highlight w:val="none"/>
              </w:rPr>
              <w:t>5</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hint="eastAsia" w:ascii="宋体" w:hAnsi="宋体"/>
                <w:color w:val="auto"/>
                <w:szCs w:val="21"/>
                <w:highlight w:val="none"/>
              </w:rPr>
            </w:pPr>
            <w:r>
              <w:rPr>
                <w:rFonts w:hint="eastAsia" w:ascii="宋体" w:hAnsi="宋体"/>
                <w:color w:val="auto"/>
                <w:szCs w:val="21"/>
                <w:highlight w:val="none"/>
              </w:rPr>
              <w:t>演示时间及地点：</w:t>
            </w:r>
            <w:r>
              <w:rPr>
                <w:rFonts w:hint="eastAsia" w:ascii="宋体" w:hAnsi="宋体"/>
                <w:b/>
                <w:color w:val="auto"/>
                <w:szCs w:val="21"/>
                <w:highlight w:val="none"/>
                <w:u w:val="single"/>
              </w:rPr>
              <w:t xml:space="preserve">       无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color w:val="auto"/>
                <w:szCs w:val="21"/>
                <w:highlight w:val="none"/>
              </w:rPr>
            </w:pPr>
            <w:r>
              <w:rPr>
                <w:rFonts w:hint="eastAsia" w:ascii="宋体" w:hAnsi="宋体"/>
                <w:color w:val="auto"/>
                <w:szCs w:val="21"/>
                <w:highlight w:val="none"/>
              </w:rPr>
              <w:t>6</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snapToGrid w:val="0"/>
              <w:spacing w:line="320" w:lineRule="exact"/>
              <w:rPr>
                <w:rFonts w:hint="eastAsia" w:ascii="宋体" w:hAnsi="宋体"/>
                <w:color w:val="auto"/>
                <w:szCs w:val="21"/>
                <w:highlight w:val="none"/>
              </w:rPr>
            </w:pPr>
            <w:r>
              <w:rPr>
                <w:rFonts w:hint="eastAsia" w:ascii="宋体" w:hAnsi="宋体"/>
                <w:color w:val="auto"/>
                <w:szCs w:val="21"/>
                <w:highlight w:val="none"/>
              </w:rPr>
              <w:t>1）答疑、澄清：如投标人认为招标文件表述不清晰、有误或有不合理要求的，应当以书面形式要求采购人或者本中心作出书面答疑、澄清；</w:t>
            </w:r>
          </w:p>
          <w:p>
            <w:pPr>
              <w:snapToGrid w:val="0"/>
              <w:spacing w:line="320" w:lineRule="exact"/>
              <w:rPr>
                <w:rFonts w:hint="eastAsia" w:ascii="宋体" w:hAnsi="宋体"/>
                <w:color w:val="auto"/>
                <w:szCs w:val="21"/>
                <w:highlight w:val="none"/>
              </w:rPr>
            </w:pPr>
            <w:r>
              <w:rPr>
                <w:rFonts w:hint="eastAsia" w:ascii="宋体" w:hAnsi="宋体"/>
                <w:color w:val="auto"/>
                <w:szCs w:val="21"/>
                <w:highlight w:val="none"/>
              </w:rPr>
              <w:t>（2）询问、质疑：如投标人对政府采购活动事项有疑问或认为招标文件、采购过程和中标结果使其权益受到损害的，按投标人须知“一、总则（九）询问、质疑和投诉”中的要求向采购人或者采购代理机构提出书面询问、质疑，并提供必要的证明材料。</w:t>
            </w:r>
          </w:p>
          <w:p>
            <w:pPr>
              <w:snapToGrid w:val="0"/>
              <w:spacing w:line="320" w:lineRule="exact"/>
              <w:rPr>
                <w:rFonts w:hint="eastAsia" w:ascii="宋体" w:hAnsi="宋体"/>
                <w:color w:val="auto"/>
                <w:szCs w:val="21"/>
                <w:highlight w:val="none"/>
              </w:rPr>
            </w:pPr>
            <w:r>
              <w:rPr>
                <w:rFonts w:hint="eastAsia" w:ascii="宋体" w:hAnsi="宋体"/>
                <w:color w:val="auto"/>
                <w:szCs w:val="21"/>
                <w:highlight w:val="none"/>
              </w:rPr>
              <w:t>答疑、澄清内容是招标文件的组成部份，本中心将以书面形式送达所有已报名的投标人。本中心可以视采购具体情况，延长招标文件或者资格预审文件提供期限，并在财政部门指定的政府采购信息发布媒体及本中心网站上发布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color w:val="auto"/>
                <w:szCs w:val="21"/>
                <w:highlight w:val="none"/>
              </w:rPr>
            </w:pPr>
            <w:r>
              <w:rPr>
                <w:rFonts w:hint="eastAsia" w:ascii="宋体" w:hAnsi="宋体"/>
                <w:color w:val="auto"/>
                <w:szCs w:val="21"/>
                <w:highlight w:val="none"/>
              </w:rPr>
              <w:t>7</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宋体"/>
                <w:snapToGrid w:val="0"/>
                <w:color w:val="auto"/>
                <w:sz w:val="22"/>
                <w:highlight w:val="none"/>
              </w:rPr>
            </w:pPr>
            <w:r>
              <w:rPr>
                <w:rFonts w:hint="eastAsia" w:ascii="宋体" w:hAnsi="宋体"/>
                <w:color w:val="auto"/>
                <w:szCs w:val="21"/>
                <w:highlight w:val="none"/>
              </w:rPr>
              <w:t>投标文件形式：</w:t>
            </w:r>
            <w:r>
              <w:rPr>
                <w:rFonts w:hint="eastAsia" w:ascii="宋体"/>
                <w:snapToGrid w:val="0"/>
                <w:color w:val="auto"/>
                <w:sz w:val="22"/>
                <w:highlight w:val="none"/>
              </w:rPr>
              <w:t>投标供应商应准备电子投标文件。</w:t>
            </w:r>
          </w:p>
          <w:p>
            <w:pPr>
              <w:autoSpaceDE w:val="0"/>
              <w:autoSpaceDN w:val="0"/>
              <w:snapToGrid w:val="0"/>
              <w:spacing w:line="360" w:lineRule="exact"/>
              <w:textAlignment w:val="bottom"/>
              <w:rPr>
                <w:rFonts w:hint="eastAsia" w:ascii="宋体" w:hAnsi="宋体"/>
                <w:color w:val="auto"/>
                <w:szCs w:val="21"/>
                <w:highlight w:val="none"/>
              </w:rPr>
            </w:pPr>
            <w:r>
              <w:rPr>
                <w:rFonts w:hint="eastAsia" w:ascii="宋体"/>
                <w:snapToGrid w:val="0"/>
                <w:color w:val="auto"/>
                <w:sz w:val="22"/>
                <w:highlight w:val="none"/>
              </w:rPr>
              <w:t>电子投标文件是指通过“</w:t>
            </w:r>
            <w:r>
              <w:rPr>
                <w:rFonts w:ascii="宋体"/>
                <w:snapToGrid w:val="0"/>
                <w:color w:val="auto"/>
                <w:sz w:val="22"/>
                <w:highlight w:val="none"/>
                <w:lang w:val="en"/>
              </w:rPr>
              <w:t>广西政府采购云平台</w:t>
            </w:r>
            <w:r>
              <w:rPr>
                <w:color w:val="auto"/>
                <w:highlight w:val="none"/>
              </w:rPr>
              <w:t>电子投标</w:t>
            </w:r>
            <w:r>
              <w:rPr>
                <w:rFonts w:hint="eastAsia" w:ascii="宋体"/>
                <w:snapToGrid w:val="0"/>
                <w:color w:val="auto"/>
                <w:sz w:val="22"/>
                <w:highlight w:val="none"/>
              </w:rPr>
              <w:t>客户端”完成投标文件编制后生成并加密的数据电文形式的电子加密投标文件。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1"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color w:val="auto"/>
                <w:szCs w:val="21"/>
                <w:highlight w:val="none"/>
              </w:rPr>
            </w:pPr>
            <w:r>
              <w:rPr>
                <w:rFonts w:hint="eastAsia" w:ascii="宋体" w:hAnsi="宋体"/>
                <w:color w:val="auto"/>
                <w:szCs w:val="21"/>
                <w:highlight w:val="none"/>
              </w:rPr>
              <w:t>8</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eastAsia" w:ascii="宋体"/>
                <w:snapToGrid w:val="0"/>
                <w:color w:val="auto"/>
                <w:sz w:val="22"/>
                <w:highlight w:val="none"/>
              </w:rPr>
            </w:pPr>
            <w:r>
              <w:rPr>
                <w:rFonts w:hint="eastAsia" w:ascii="宋体"/>
                <w:snapToGrid w:val="0"/>
                <w:color w:val="auto"/>
                <w:sz w:val="22"/>
                <w:highlight w:val="none"/>
              </w:rPr>
              <w:t>投标文件的盖章：投标文件中所涉及的加盖公章均采用CA电子签章。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color w:val="auto"/>
                <w:szCs w:val="21"/>
                <w:highlight w:val="none"/>
              </w:rPr>
            </w:pPr>
            <w:r>
              <w:rPr>
                <w:rFonts w:hint="eastAsia" w:ascii="宋体" w:hAnsi="宋体"/>
                <w:color w:val="auto"/>
                <w:szCs w:val="21"/>
                <w:highlight w:val="none"/>
              </w:rPr>
              <w:t>9</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eastAsia" w:ascii="宋体"/>
                <w:snapToGrid w:val="0"/>
                <w:color w:val="auto"/>
                <w:sz w:val="22"/>
                <w:highlight w:val="none"/>
              </w:rPr>
            </w:pPr>
            <w:r>
              <w:rPr>
                <w:rFonts w:hint="eastAsia" w:ascii="宋体"/>
                <w:snapToGrid w:val="0"/>
                <w:color w:val="auto"/>
                <w:sz w:val="22"/>
                <w:highlight w:val="none"/>
              </w:rPr>
              <w:t>法定代表人或其授权代表</w:t>
            </w:r>
            <w:r>
              <w:rPr>
                <w:rFonts w:hint="default" w:ascii="宋体"/>
                <w:snapToGrid w:val="0"/>
                <w:color w:val="auto"/>
                <w:sz w:val="22"/>
                <w:highlight w:val="none"/>
                <w:lang w:val="en"/>
              </w:rPr>
              <w:t>签字或签章</w:t>
            </w:r>
            <w:r>
              <w:rPr>
                <w:rFonts w:hint="eastAsia" w:ascii="宋体"/>
                <w:snapToGrid w:val="0"/>
                <w:color w:val="auto"/>
                <w:sz w:val="22"/>
                <w:highlight w:val="none"/>
              </w:rPr>
              <w:t>：本招标文件所涉及的法定代表人或其授权代表</w:t>
            </w:r>
            <w:r>
              <w:rPr>
                <w:rFonts w:hint="default" w:ascii="宋体"/>
                <w:snapToGrid w:val="0"/>
                <w:color w:val="auto"/>
                <w:sz w:val="22"/>
                <w:highlight w:val="none"/>
                <w:lang w:val="en"/>
              </w:rPr>
              <w:t>签字或签章</w:t>
            </w:r>
            <w:r>
              <w:rPr>
                <w:rFonts w:hint="eastAsia" w:ascii="宋体"/>
                <w:snapToGrid w:val="0"/>
                <w:color w:val="auto"/>
                <w:sz w:val="22"/>
                <w:highlight w:val="none"/>
              </w:rPr>
              <w:t>的内容，如果投标单位没有法定代表人电子签章，涉及到法定代表人或其授权代表</w:t>
            </w:r>
            <w:r>
              <w:rPr>
                <w:rFonts w:hint="default" w:ascii="宋体"/>
                <w:snapToGrid w:val="0"/>
                <w:color w:val="auto"/>
                <w:sz w:val="22"/>
                <w:highlight w:val="none"/>
                <w:lang w:val="en"/>
              </w:rPr>
              <w:t>签字或签章</w:t>
            </w:r>
            <w:r>
              <w:rPr>
                <w:rFonts w:hint="eastAsia" w:ascii="宋体"/>
                <w:snapToGrid w:val="0"/>
                <w:color w:val="auto"/>
                <w:sz w:val="22"/>
                <w:highlight w:val="none"/>
              </w:rPr>
              <w:t>的内容，投标单位可以线下</w:t>
            </w:r>
            <w:r>
              <w:rPr>
                <w:rFonts w:hint="default" w:ascii="宋体"/>
                <w:snapToGrid w:val="0"/>
                <w:color w:val="auto"/>
                <w:sz w:val="22"/>
                <w:highlight w:val="none"/>
                <w:lang w:val="en"/>
              </w:rPr>
              <w:t>签字或签章</w:t>
            </w:r>
            <w:r>
              <w:rPr>
                <w:rFonts w:hint="eastAsia" w:ascii="宋体"/>
                <w:snapToGrid w:val="0"/>
                <w:color w:val="auto"/>
                <w:sz w:val="22"/>
                <w:highlight w:val="none"/>
              </w:rPr>
              <w:t>后扫描上传。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color w:val="auto"/>
                <w:szCs w:val="21"/>
                <w:highlight w:val="none"/>
              </w:rPr>
            </w:pPr>
            <w:r>
              <w:rPr>
                <w:rFonts w:hint="eastAsia" w:ascii="宋体" w:hAnsi="宋体"/>
                <w:color w:val="auto"/>
                <w:szCs w:val="21"/>
                <w:highlight w:val="none"/>
              </w:rPr>
              <w:t>10</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eastAsia" w:ascii="宋体"/>
                <w:snapToGrid w:val="0"/>
                <w:color w:val="auto"/>
                <w:sz w:val="22"/>
                <w:highlight w:val="none"/>
              </w:rPr>
            </w:pPr>
            <w:r>
              <w:rPr>
                <w:rFonts w:hint="eastAsia" w:ascii="宋体"/>
                <w:snapToGrid w:val="0"/>
                <w:color w:val="auto"/>
                <w:sz w:val="22"/>
                <w:highlight w:val="none"/>
              </w:rPr>
              <w:t>投标文件份数：电子加密投标文件在线上传提交一份。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color w:val="auto"/>
                <w:szCs w:val="21"/>
                <w:highlight w:val="none"/>
              </w:rPr>
            </w:pPr>
            <w:r>
              <w:rPr>
                <w:rFonts w:hint="eastAsia" w:ascii="宋体" w:hAnsi="宋体"/>
                <w:color w:val="auto"/>
                <w:szCs w:val="21"/>
                <w:highlight w:val="none"/>
              </w:rPr>
              <w:t>11</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宋体"/>
                <w:snapToGrid w:val="0"/>
                <w:color w:val="auto"/>
                <w:sz w:val="22"/>
                <w:highlight w:val="none"/>
              </w:rPr>
            </w:pPr>
            <w:r>
              <w:rPr>
                <w:rFonts w:hint="eastAsia" w:ascii="宋体"/>
                <w:snapToGrid w:val="0"/>
                <w:color w:val="auto"/>
                <w:sz w:val="22"/>
                <w:highlight w:val="none"/>
              </w:rPr>
              <w:t>投标文件的上传和提交：本项目通过“广西政府采购云平台（https://www.gcy.zfcg.gxzf.gov.cn</w:t>
            </w:r>
            <w:r>
              <w:rPr>
                <w:rFonts w:ascii="宋体"/>
                <w:snapToGrid w:val="0"/>
                <w:color w:val="auto"/>
                <w:sz w:val="22"/>
                <w:highlight w:val="none"/>
              </w:rPr>
              <w:t>）”实行在线投标响应（电子投标），投标供应商应当在投标截止时间前，将生成的“电子加密投标文件”上传提交至“</w:t>
            </w:r>
            <w:r>
              <w:rPr>
                <w:rFonts w:ascii="宋体"/>
                <w:snapToGrid w:val="0"/>
                <w:color w:val="auto"/>
                <w:sz w:val="22"/>
                <w:highlight w:val="none"/>
                <w:lang w:val="en"/>
              </w:rPr>
              <w:t>广西政府采购云平台</w:t>
            </w:r>
            <w:r>
              <w:rPr>
                <w:rFonts w:ascii="宋体"/>
                <w:snapToGrid w:val="0"/>
                <w:color w:val="auto"/>
                <w:sz w:val="22"/>
                <w:highlight w:val="none"/>
              </w:rPr>
              <w:t>”。</w:t>
            </w:r>
          </w:p>
          <w:p>
            <w:pPr>
              <w:spacing w:line="300" w:lineRule="exact"/>
              <w:rPr>
                <w:rFonts w:ascii="宋体"/>
                <w:snapToGrid w:val="0"/>
                <w:color w:val="auto"/>
                <w:sz w:val="22"/>
                <w:highlight w:val="none"/>
              </w:rPr>
            </w:pPr>
            <w:r>
              <w:rPr>
                <w:rFonts w:hint="eastAsia" w:ascii="宋体"/>
                <w:snapToGrid w:val="0"/>
                <w:color w:val="auto"/>
                <w:sz w:val="22"/>
                <w:highlight w:val="none"/>
              </w:rPr>
              <w:t>“电子加密投标文件”的上传、提交：</w:t>
            </w:r>
          </w:p>
          <w:p>
            <w:pPr>
              <w:spacing w:line="300" w:lineRule="exact"/>
              <w:rPr>
                <w:rFonts w:ascii="宋体"/>
                <w:snapToGrid w:val="0"/>
                <w:color w:val="auto"/>
                <w:sz w:val="22"/>
                <w:highlight w:val="none"/>
              </w:rPr>
            </w:pPr>
            <w:r>
              <w:rPr>
                <w:rFonts w:hint="eastAsia" w:ascii="宋体"/>
                <w:snapToGrid w:val="0"/>
                <w:color w:val="auto"/>
                <w:sz w:val="22"/>
                <w:highlight w:val="none"/>
              </w:rPr>
              <w:t>a.投标供应商应在投标截止时间前将“电子加密投标文件”成功上传提交至“</w:t>
            </w:r>
            <w:r>
              <w:rPr>
                <w:rFonts w:ascii="宋体"/>
                <w:snapToGrid w:val="0"/>
                <w:color w:val="auto"/>
                <w:sz w:val="22"/>
                <w:highlight w:val="none"/>
                <w:lang w:val="en"/>
              </w:rPr>
              <w:t>广西政府采购云平台</w:t>
            </w:r>
            <w:r>
              <w:rPr>
                <w:rFonts w:hint="eastAsia" w:ascii="宋体"/>
                <w:snapToGrid w:val="0"/>
                <w:color w:val="auto"/>
                <w:sz w:val="22"/>
                <w:highlight w:val="none"/>
              </w:rPr>
              <w:t>”，否则投标无效。</w:t>
            </w:r>
          </w:p>
          <w:p>
            <w:pPr>
              <w:spacing w:line="300" w:lineRule="exact"/>
              <w:rPr>
                <w:rFonts w:hint="eastAsia" w:ascii="宋体"/>
                <w:snapToGrid w:val="0"/>
                <w:color w:val="auto"/>
                <w:sz w:val="22"/>
                <w:highlight w:val="none"/>
              </w:rPr>
            </w:pPr>
            <w:r>
              <w:rPr>
                <w:rFonts w:hint="eastAsia" w:ascii="宋体"/>
                <w:snapToGrid w:val="0"/>
                <w:color w:val="auto"/>
                <w:sz w:val="22"/>
                <w:highlight w:val="none"/>
              </w:rPr>
              <w:t>b.“电子加密投标文件”成功上传提交后，供应商可自行打印投标文件接收回执。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color w:val="auto"/>
                <w:szCs w:val="21"/>
                <w:highlight w:val="none"/>
              </w:rPr>
            </w:pPr>
            <w:r>
              <w:rPr>
                <w:rFonts w:hint="eastAsia" w:ascii="宋体" w:hAnsi="宋体"/>
                <w:color w:val="auto"/>
                <w:szCs w:val="21"/>
                <w:highlight w:val="none"/>
              </w:rPr>
              <w:t>12</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eastAsia" w:ascii="宋体"/>
                <w:snapToGrid w:val="0"/>
                <w:color w:val="auto"/>
                <w:sz w:val="22"/>
                <w:highlight w:val="none"/>
              </w:rPr>
            </w:pPr>
            <w:r>
              <w:rPr>
                <w:rFonts w:hint="eastAsia" w:ascii="宋体"/>
                <w:snapToGrid w:val="0"/>
                <w:color w:val="auto"/>
                <w:sz w:val="22"/>
                <w:highlight w:val="none"/>
              </w:rPr>
              <w:t>电子加密投标文件的解密：</w:t>
            </w:r>
          </w:p>
          <w:p>
            <w:pPr>
              <w:spacing w:line="300" w:lineRule="exact"/>
              <w:rPr>
                <w:rFonts w:hint="eastAsia" w:ascii="宋体"/>
                <w:snapToGrid w:val="0"/>
                <w:color w:val="auto"/>
                <w:sz w:val="22"/>
                <w:highlight w:val="none"/>
              </w:rPr>
            </w:pPr>
            <w:r>
              <w:rPr>
                <w:rFonts w:hint="eastAsia" w:ascii="宋体"/>
                <w:snapToGrid w:val="0"/>
                <w:color w:val="auto"/>
                <w:sz w:val="22"/>
                <w:highlight w:val="none"/>
              </w:rPr>
              <w:t>开标后，采购组织机构将向各投标供应商发出“电子加密投标文件”的解密通知，各投标供应商代表应当在接到解密通知后30分钟内自行完成“电子加密投标文件”的在线解密。投标供应商未在规定时间内完成解密的，系统默认自动放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color w:val="auto"/>
                <w:szCs w:val="21"/>
                <w:highlight w:val="none"/>
              </w:rPr>
            </w:pPr>
            <w:r>
              <w:rPr>
                <w:rFonts w:hint="eastAsia" w:ascii="宋体" w:hAnsi="宋体"/>
                <w:color w:val="auto"/>
                <w:szCs w:val="21"/>
                <w:highlight w:val="none"/>
              </w:rPr>
              <w:t>13</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eastAsia" w:ascii="宋体"/>
                <w:snapToGrid w:val="0"/>
                <w:color w:val="auto"/>
                <w:sz w:val="22"/>
                <w:highlight w:val="none"/>
              </w:rPr>
            </w:pPr>
            <w:r>
              <w:rPr>
                <w:rFonts w:hint="eastAsia" w:ascii="宋体"/>
                <w:snapToGrid w:val="0"/>
                <w:color w:val="auto"/>
                <w:sz w:val="22"/>
                <w:highlight w:val="none"/>
              </w:rPr>
              <w:t>投标文件的盖章：投标文件中所涉及的加盖公章均采用CA电子签章。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color w:val="auto"/>
                <w:szCs w:val="21"/>
                <w:highlight w:val="none"/>
              </w:rPr>
            </w:pPr>
            <w:r>
              <w:rPr>
                <w:rFonts w:hint="eastAsia" w:ascii="宋体" w:hAnsi="宋体"/>
                <w:color w:val="auto"/>
                <w:szCs w:val="21"/>
                <w:highlight w:val="none"/>
              </w:rPr>
              <w:t>14</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rPr>
                <w:rFonts w:hint="eastAsia" w:ascii="宋体" w:hAnsi="宋体"/>
                <w:color w:val="auto"/>
                <w:szCs w:val="21"/>
                <w:highlight w:val="none"/>
              </w:rPr>
            </w:pPr>
            <w:r>
              <w:rPr>
                <w:rFonts w:hint="eastAsia" w:ascii="宋体" w:hAnsi="宋体"/>
                <w:color w:val="auto"/>
                <w:szCs w:val="21"/>
                <w:highlight w:val="none"/>
              </w:rPr>
              <w:t>投标截止时间及地点：</w:t>
            </w:r>
            <w:r>
              <w:rPr>
                <w:b/>
                <w:color w:val="auto"/>
                <w:highlight w:val="none"/>
                <w:u w:val="single"/>
              </w:rPr>
              <w:t xml:space="preserve"> </w:t>
            </w:r>
            <w:r>
              <w:rPr>
                <w:b/>
                <w:color w:val="auto"/>
                <w:highlight w:val="none"/>
                <w:u w:val="single"/>
                <w:lang w:val="en"/>
              </w:rPr>
              <w:t>2025</w:t>
            </w:r>
            <w:r>
              <w:rPr>
                <w:rFonts w:hint="eastAsia"/>
                <w:b/>
                <w:color w:val="auto"/>
                <w:highlight w:val="none"/>
                <w:u w:val="single"/>
              </w:rPr>
              <w:t>年</w:t>
            </w:r>
            <w:r>
              <w:rPr>
                <w:rFonts w:hint="eastAsia"/>
                <w:b/>
                <w:color w:val="auto"/>
                <w:highlight w:val="none"/>
                <w:u w:val="single"/>
                <w:lang w:val="en-US" w:eastAsia="zh-CN"/>
              </w:rPr>
              <w:t>10</w:t>
            </w:r>
            <w:r>
              <w:rPr>
                <w:rFonts w:hint="eastAsia"/>
                <w:b/>
                <w:color w:val="auto"/>
                <w:highlight w:val="none"/>
                <w:u w:val="single"/>
              </w:rPr>
              <w:t>月</w:t>
            </w:r>
            <w:r>
              <w:rPr>
                <w:rFonts w:hint="default"/>
                <w:b/>
                <w:color w:val="auto"/>
                <w:highlight w:val="none"/>
                <w:u w:val="single"/>
                <w:lang w:val="en" w:eastAsia="zh-CN"/>
              </w:rPr>
              <w:t>30</w:t>
            </w:r>
            <w:r>
              <w:rPr>
                <w:rFonts w:hint="eastAsia"/>
                <w:b/>
                <w:color w:val="auto"/>
                <w:highlight w:val="none"/>
                <w:u w:val="single"/>
              </w:rPr>
              <w:t>日</w:t>
            </w:r>
            <w:r>
              <w:rPr>
                <w:rFonts w:hint="eastAsia"/>
                <w:b/>
                <w:color w:val="auto"/>
                <w:highlight w:val="none"/>
              </w:rPr>
              <w:t>上午10时整，</w:t>
            </w:r>
            <w:r>
              <w:rPr>
                <w:rFonts w:ascii="宋体" w:hAnsi="宋体" w:cs="Arial"/>
                <w:b/>
                <w:szCs w:val="21"/>
                <w:u w:val="single"/>
                <w:lang w:val="en"/>
              </w:rPr>
              <w:t>南宁市星湖路22号</w:t>
            </w:r>
            <w:r>
              <w:rPr>
                <w:rFonts w:hint="eastAsia" w:ascii="宋体" w:hAnsi="宋体" w:cs="Arial"/>
                <w:b/>
                <w:szCs w:val="21"/>
                <w:u w:val="single"/>
              </w:rPr>
              <w:t>广西壮族自治区政府采购中心开标大厅</w:t>
            </w:r>
            <w:r>
              <w:rPr>
                <w:rFonts w:hint="eastAsia"/>
                <w:b/>
                <w:color w:val="auto"/>
                <w:highlight w:val="none"/>
                <w:u w:val="single"/>
              </w:rPr>
              <w:t>。</w:t>
            </w:r>
            <w:r>
              <w:rPr>
                <w:rFonts w:hint="eastAsia"/>
                <w:b/>
                <w:color w:val="auto"/>
                <w:highlight w:val="none"/>
              </w:rPr>
              <w:t>（</w:t>
            </w:r>
            <w:r>
              <w:rPr>
                <w:rFonts w:hint="eastAsia" w:ascii="宋体"/>
                <w:color w:val="auto"/>
                <w:sz w:val="22"/>
                <w:highlight w:val="none"/>
              </w:rPr>
              <w:t>本项目采用在线开评标方式，投标供应商无须前往开标现场</w:t>
            </w:r>
            <w:r>
              <w:rPr>
                <w:rFonts w:hint="eastAsia"/>
                <w:b/>
                <w:color w:val="auto"/>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color w:val="auto"/>
                <w:szCs w:val="21"/>
                <w:highlight w:val="none"/>
              </w:rPr>
            </w:pPr>
            <w:r>
              <w:rPr>
                <w:rFonts w:hint="eastAsia" w:ascii="宋体" w:hAnsi="宋体"/>
                <w:color w:val="auto"/>
                <w:szCs w:val="21"/>
                <w:highlight w:val="none"/>
              </w:rPr>
              <w:t>15</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rPr>
                <w:rFonts w:hint="eastAsia" w:ascii="宋体" w:hAnsi="宋体"/>
                <w:color w:val="auto"/>
                <w:szCs w:val="21"/>
                <w:highlight w:val="none"/>
              </w:rPr>
            </w:pPr>
            <w:r>
              <w:rPr>
                <w:rFonts w:hint="eastAsia" w:ascii="宋体" w:hAnsi="宋体"/>
                <w:color w:val="auto"/>
                <w:szCs w:val="21"/>
                <w:highlight w:val="none"/>
              </w:rPr>
              <w:t>开标时间及地点：</w:t>
            </w:r>
            <w:r>
              <w:rPr>
                <w:rFonts w:ascii="宋体"/>
                <w:b/>
                <w:color w:val="auto"/>
                <w:highlight w:val="none"/>
                <w:u w:val="single"/>
                <w:lang w:val="en"/>
              </w:rPr>
              <w:t>2025</w:t>
            </w:r>
            <w:r>
              <w:rPr>
                <w:rFonts w:hint="eastAsia"/>
                <w:b/>
                <w:color w:val="auto"/>
                <w:highlight w:val="none"/>
                <w:u w:val="single"/>
              </w:rPr>
              <w:t>年</w:t>
            </w:r>
            <w:r>
              <w:rPr>
                <w:rFonts w:hint="eastAsia"/>
                <w:b/>
                <w:color w:val="auto"/>
                <w:highlight w:val="none"/>
                <w:u w:val="single"/>
                <w:lang w:val="en-US" w:eastAsia="zh-CN"/>
              </w:rPr>
              <w:t>10</w:t>
            </w:r>
            <w:r>
              <w:rPr>
                <w:rFonts w:hint="eastAsia"/>
                <w:b/>
                <w:color w:val="auto"/>
                <w:highlight w:val="none"/>
                <w:u w:val="single"/>
              </w:rPr>
              <w:t>月</w:t>
            </w:r>
            <w:r>
              <w:rPr>
                <w:rFonts w:hint="default"/>
                <w:b/>
                <w:color w:val="auto"/>
                <w:highlight w:val="none"/>
                <w:u w:val="single"/>
                <w:lang w:val="en" w:eastAsia="zh-CN"/>
              </w:rPr>
              <w:t>30</w:t>
            </w:r>
            <w:r>
              <w:rPr>
                <w:rFonts w:hint="eastAsia"/>
                <w:b/>
                <w:color w:val="auto"/>
                <w:highlight w:val="none"/>
                <w:u w:val="single"/>
              </w:rPr>
              <w:t>日</w:t>
            </w:r>
            <w:r>
              <w:rPr>
                <w:rFonts w:hint="eastAsia"/>
                <w:b/>
                <w:color w:val="auto"/>
                <w:highlight w:val="none"/>
              </w:rPr>
              <w:t>上午10时整，</w:t>
            </w:r>
            <w:r>
              <w:rPr>
                <w:rFonts w:ascii="宋体" w:hAnsi="宋体" w:cs="Arial"/>
                <w:b/>
                <w:szCs w:val="21"/>
                <w:u w:val="single"/>
                <w:lang w:val="en"/>
              </w:rPr>
              <w:t>南宁市星湖路22号</w:t>
            </w:r>
            <w:r>
              <w:rPr>
                <w:rFonts w:hint="eastAsia" w:ascii="宋体" w:hAnsi="宋体" w:cs="Arial"/>
                <w:b/>
                <w:szCs w:val="21"/>
                <w:u w:val="single"/>
              </w:rPr>
              <w:t>广西壮族自治区政府采购中心开标大厅</w:t>
            </w:r>
            <w:r>
              <w:rPr>
                <w:rFonts w:hint="eastAsia"/>
                <w:b/>
                <w:color w:val="auto"/>
                <w:highlight w:val="none"/>
                <w:u w:val="single"/>
              </w:rPr>
              <w:t>。（</w:t>
            </w:r>
            <w:r>
              <w:rPr>
                <w:rFonts w:hint="eastAsia" w:ascii="宋体"/>
                <w:color w:val="auto"/>
                <w:sz w:val="22"/>
                <w:highlight w:val="none"/>
              </w:rPr>
              <w:t>本项目采用在线开评标方式，投标供应商无须前往开标现场</w:t>
            </w:r>
            <w:r>
              <w:rPr>
                <w:rFonts w:hint="eastAsia"/>
                <w:b/>
                <w:color w:val="auto"/>
                <w:highlight w:val="none"/>
                <w:u w:val="singl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color w:val="auto"/>
                <w:szCs w:val="21"/>
                <w:highlight w:val="none"/>
              </w:rPr>
            </w:pPr>
            <w:r>
              <w:rPr>
                <w:rFonts w:hint="eastAsia" w:ascii="宋体" w:hAnsi="宋体"/>
                <w:color w:val="auto"/>
                <w:szCs w:val="21"/>
                <w:highlight w:val="none"/>
              </w:rPr>
              <w:t>16</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napToGrid w:val="0"/>
              <w:spacing w:line="360" w:lineRule="exact"/>
              <w:textAlignment w:val="bottom"/>
              <w:rPr>
                <w:rFonts w:hint="eastAsia" w:ascii="宋体" w:hAnsi="宋体"/>
                <w:color w:val="auto"/>
                <w:szCs w:val="21"/>
                <w:highlight w:val="none"/>
              </w:rPr>
            </w:pPr>
            <w:r>
              <w:rPr>
                <w:rFonts w:hint="eastAsia" w:ascii="宋体" w:hAnsi="宋体"/>
                <w:color w:val="auto"/>
                <w:szCs w:val="21"/>
                <w:highlight w:val="none"/>
                <w:lang w:eastAsia="zh-CN"/>
              </w:rPr>
              <w:t>评标方法</w:t>
            </w:r>
            <w:r>
              <w:rPr>
                <w:rFonts w:hint="eastAsia" w:ascii="宋体" w:hAnsi="宋体"/>
                <w:color w:val="auto"/>
                <w:szCs w:val="21"/>
                <w:highlight w:val="none"/>
              </w:rPr>
              <w:t>：综合评分法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color w:val="auto"/>
                <w:szCs w:val="21"/>
                <w:highlight w:val="none"/>
              </w:rPr>
            </w:pPr>
            <w:r>
              <w:rPr>
                <w:rFonts w:hint="eastAsia" w:ascii="宋体" w:hAnsi="宋体"/>
                <w:color w:val="auto"/>
                <w:szCs w:val="21"/>
                <w:highlight w:val="none"/>
              </w:rPr>
              <w:t>17</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napToGrid w:val="0"/>
              <w:spacing w:line="300" w:lineRule="exact"/>
              <w:textAlignment w:val="bottom"/>
              <w:rPr>
                <w:rFonts w:hint="eastAsia" w:ascii="宋体" w:hAnsi="宋体"/>
                <w:color w:val="auto"/>
                <w:szCs w:val="21"/>
                <w:highlight w:val="none"/>
              </w:rPr>
            </w:pPr>
            <w:r>
              <w:rPr>
                <w:rFonts w:hint="eastAsia" w:ascii="宋体" w:hAnsi="宋体"/>
                <w:color w:val="auto"/>
                <w:szCs w:val="21"/>
                <w:highlight w:val="none"/>
              </w:rPr>
              <w:t>中标公告及中标通知书：本中心在采购人依法确认中标人后二个工作日内发布中标公告和中标通知书，中标公告发布于上述媒体</w:t>
            </w:r>
            <w:r>
              <w:rPr>
                <w:rFonts w:hint="eastAsia" w:ascii="宋体" w:hAnsi="宋体" w:cs="Courier New"/>
                <w:color w:val="auto"/>
                <w:szCs w:val="21"/>
                <w:highlight w:val="none"/>
              </w:rPr>
              <w:t>（详细见公告中公布的网站）</w:t>
            </w:r>
            <w:r>
              <w:rPr>
                <w:rFonts w:hint="eastAsia" w:ascii="宋体" w:hAnsi="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color w:val="auto"/>
                <w:szCs w:val="21"/>
                <w:highlight w:val="none"/>
              </w:rPr>
            </w:pPr>
            <w:r>
              <w:rPr>
                <w:rFonts w:hint="eastAsia" w:ascii="宋体" w:hAnsi="宋体"/>
                <w:color w:val="auto"/>
                <w:szCs w:val="21"/>
                <w:highlight w:val="none"/>
              </w:rPr>
              <w:t>18</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napToGrid w:val="0"/>
              <w:spacing w:line="320" w:lineRule="exact"/>
              <w:textAlignment w:val="bottom"/>
              <w:rPr>
                <w:rFonts w:ascii="宋体" w:hAnsi="宋体"/>
                <w:color w:val="auto"/>
                <w:szCs w:val="21"/>
                <w:highlight w:val="none"/>
              </w:rPr>
            </w:pPr>
            <w:r>
              <w:rPr>
                <w:rFonts w:hint="eastAsia" w:ascii="宋体" w:hAnsi="宋体"/>
                <w:color w:val="auto"/>
                <w:szCs w:val="21"/>
                <w:highlight w:val="none"/>
              </w:rPr>
              <w:t>采购资金来源：财政性资金。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color w:val="auto"/>
                <w:szCs w:val="21"/>
                <w:highlight w:val="none"/>
              </w:rPr>
            </w:pPr>
            <w:r>
              <w:rPr>
                <w:rFonts w:hint="eastAsia" w:ascii="宋体" w:hAnsi="宋体"/>
                <w:color w:val="auto"/>
                <w:szCs w:val="21"/>
                <w:highlight w:val="none"/>
              </w:rPr>
              <w:t>19</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rPr>
                <w:rFonts w:hint="eastAsia" w:ascii="宋体" w:hAnsi="宋体" w:cs="宋体"/>
                <w:color w:val="auto"/>
                <w:kern w:val="0"/>
                <w:szCs w:val="21"/>
                <w:highlight w:val="none"/>
              </w:rPr>
            </w:pPr>
            <w:r>
              <w:rPr>
                <w:rFonts w:hint="eastAsia" w:ascii="宋体" w:hAnsi="宋体"/>
                <w:color w:val="auto"/>
                <w:szCs w:val="21"/>
                <w:highlight w:val="none"/>
              </w:rPr>
              <w:t>付款方式：</w:t>
            </w:r>
            <w:r>
              <w:rPr>
                <w:rFonts w:hint="eastAsia" w:ascii="宋体" w:hAnsi="宋体" w:cs="宋体"/>
                <w:color w:val="auto"/>
                <w:kern w:val="0"/>
                <w:szCs w:val="21"/>
                <w:highlight w:val="none"/>
              </w:rPr>
              <w:t>见招标项目采购需求。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color w:val="auto"/>
                <w:szCs w:val="21"/>
                <w:highlight w:val="none"/>
              </w:rPr>
            </w:pPr>
            <w:r>
              <w:rPr>
                <w:rFonts w:hint="eastAsia" w:ascii="宋体" w:hAnsi="宋体"/>
                <w:color w:val="auto"/>
                <w:szCs w:val="21"/>
                <w:highlight w:val="none"/>
              </w:rPr>
              <w:t>20</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hint="eastAsia" w:ascii="宋体" w:hAnsi="宋体"/>
                <w:color w:val="auto"/>
                <w:szCs w:val="21"/>
                <w:highlight w:val="none"/>
              </w:rPr>
            </w:pPr>
            <w:r>
              <w:rPr>
                <w:rFonts w:hint="eastAsia" w:ascii="宋体" w:hAnsi="宋体"/>
                <w:color w:val="auto"/>
                <w:szCs w:val="21"/>
                <w:highlight w:val="none"/>
              </w:rPr>
              <w:t>投标文件有效期：</w:t>
            </w:r>
            <w:r>
              <w:rPr>
                <w:rFonts w:hint="eastAsia" w:ascii="宋体" w:hAnsi="宋体" w:cs="Arial"/>
                <w:color w:val="auto"/>
                <w:szCs w:val="21"/>
                <w:highlight w:val="none"/>
                <w:u w:val="single"/>
              </w:rPr>
              <w:t xml:space="preserve"> 六十日。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648" w:type="dxa"/>
            <w:vMerge w:val="restart"/>
            <w:tcBorders>
              <w:top w:val="single" w:color="auto" w:sz="4" w:space="0"/>
              <w:left w:val="single" w:color="auto" w:sz="4" w:space="0"/>
              <w:right w:val="single" w:color="auto" w:sz="4" w:space="0"/>
            </w:tcBorders>
            <w:noWrap w:val="0"/>
            <w:vAlign w:val="center"/>
          </w:tcPr>
          <w:p>
            <w:pPr>
              <w:snapToGrid w:val="0"/>
              <w:spacing w:line="360" w:lineRule="exact"/>
              <w:jc w:val="center"/>
              <w:rPr>
                <w:rFonts w:hint="eastAsia" w:ascii="宋体" w:hAnsi="宋体"/>
                <w:color w:val="auto"/>
                <w:szCs w:val="21"/>
                <w:highlight w:val="none"/>
              </w:rPr>
            </w:pPr>
            <w:r>
              <w:rPr>
                <w:rFonts w:hint="eastAsia" w:ascii="宋体" w:hAnsi="宋体"/>
                <w:color w:val="auto"/>
                <w:szCs w:val="21"/>
                <w:highlight w:val="none"/>
              </w:rPr>
              <w:t>21</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hint="eastAsia" w:ascii="宋体" w:hAnsi="宋体"/>
                <w:color w:val="auto"/>
                <w:szCs w:val="21"/>
                <w:highlight w:val="none"/>
              </w:rPr>
            </w:pPr>
            <w:r>
              <w:rPr>
                <w:rFonts w:hint="eastAsia" w:ascii="宋体" w:hAnsi="宋体"/>
                <w:b/>
                <w:bCs/>
                <w:color w:val="auto"/>
                <w:szCs w:val="21"/>
                <w:highlight w:val="none"/>
              </w:rPr>
              <w:t>对采购文件、采购过程或者中标结果的质疑由采购人接收或采购代理机构代为接收，由采购人负责答复。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648" w:type="dxa"/>
            <w:vMerge w:val="continue"/>
            <w:tcBorders>
              <w:left w:val="single" w:color="auto" w:sz="4" w:space="0"/>
              <w:right w:val="single" w:color="auto" w:sz="4" w:space="0"/>
            </w:tcBorders>
            <w:noWrap w:val="0"/>
            <w:vAlign w:val="center"/>
          </w:tcPr>
          <w:p>
            <w:pPr>
              <w:snapToGrid w:val="0"/>
              <w:spacing w:line="360" w:lineRule="exact"/>
              <w:jc w:val="center"/>
              <w:rPr>
                <w:rFonts w:hint="eastAsia" w:ascii="宋体" w:hAnsi="宋体"/>
                <w:color w:val="auto"/>
                <w:szCs w:val="21"/>
                <w:highlight w:val="none"/>
              </w:rPr>
            </w:pPr>
          </w:p>
        </w:tc>
        <w:tc>
          <w:tcPr>
            <w:tcW w:w="8820"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hint="eastAsia" w:hAnsi="宋体"/>
                <w:color w:val="auto"/>
                <w:highlight w:val="none"/>
              </w:rPr>
            </w:pPr>
            <w:r>
              <w:rPr>
                <w:rFonts w:hint="eastAsia" w:ascii="宋体" w:hAnsi="宋体"/>
                <w:color w:val="auto"/>
                <w:szCs w:val="21"/>
                <w:highlight w:val="none"/>
              </w:rPr>
              <w:t>接收质疑函方式：以书面形式。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648" w:type="dxa"/>
            <w:vMerge w:val="continue"/>
            <w:tcBorders>
              <w:left w:val="single" w:color="auto" w:sz="4" w:space="0"/>
              <w:right w:val="single" w:color="auto" w:sz="4" w:space="0"/>
            </w:tcBorders>
            <w:noWrap w:val="0"/>
            <w:vAlign w:val="center"/>
          </w:tcPr>
          <w:p>
            <w:pPr>
              <w:snapToGrid w:val="0"/>
              <w:spacing w:line="360" w:lineRule="exact"/>
              <w:jc w:val="center"/>
              <w:rPr>
                <w:rFonts w:hint="eastAsia" w:ascii="宋体" w:hAnsi="宋体"/>
                <w:color w:val="auto"/>
                <w:szCs w:val="21"/>
                <w:highlight w:val="none"/>
              </w:rPr>
            </w:pPr>
          </w:p>
        </w:tc>
        <w:tc>
          <w:tcPr>
            <w:tcW w:w="8820"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hint="eastAsia"/>
                <w:color w:val="auto"/>
                <w:highlight w:val="none"/>
              </w:rPr>
            </w:pPr>
            <w:r>
              <w:rPr>
                <w:rFonts w:hint="eastAsia"/>
                <w:color w:val="auto"/>
                <w:highlight w:val="none"/>
              </w:rPr>
              <w:t>质疑联系部门及联系方式：</w:t>
            </w:r>
          </w:p>
          <w:p>
            <w:pPr>
              <w:snapToGrid w:val="0"/>
              <w:spacing w:line="360" w:lineRule="exact"/>
              <w:rPr>
                <w:rFonts w:hint="eastAsia"/>
                <w:color w:val="auto"/>
                <w:highlight w:val="none"/>
              </w:rPr>
            </w:pPr>
            <w:r>
              <w:rPr>
                <w:rFonts w:hint="eastAsia"/>
                <w:color w:val="auto"/>
                <w:highlight w:val="none"/>
              </w:rPr>
              <w:t xml:space="preserve">（1）广西壮族自治区政府采购中心内审科     </w:t>
            </w:r>
          </w:p>
          <w:p>
            <w:pPr>
              <w:snapToGrid w:val="0"/>
              <w:spacing w:line="360" w:lineRule="exact"/>
              <w:ind w:firstLine="420" w:firstLineChars="200"/>
              <w:rPr>
                <w:rFonts w:hint="eastAsia"/>
                <w:color w:val="auto"/>
                <w:highlight w:val="none"/>
              </w:rPr>
            </w:pPr>
            <w:r>
              <w:rPr>
                <w:rFonts w:hint="eastAsia"/>
                <w:color w:val="auto"/>
                <w:highlight w:val="none"/>
              </w:rPr>
              <w:t>电话：0771-8600453</w:t>
            </w:r>
          </w:p>
          <w:p>
            <w:pPr>
              <w:snapToGrid w:val="0"/>
              <w:spacing w:line="360" w:lineRule="exact"/>
              <w:ind w:firstLine="420" w:firstLineChars="200"/>
              <w:rPr>
                <w:rFonts w:hint="eastAsia"/>
                <w:color w:val="auto"/>
                <w:highlight w:val="none"/>
              </w:rPr>
            </w:pPr>
            <w:r>
              <w:rPr>
                <w:rFonts w:hint="eastAsia"/>
                <w:color w:val="auto"/>
                <w:highlight w:val="none"/>
              </w:rPr>
              <w:t>地址：广西南宁市星湖路22号</w:t>
            </w:r>
          </w:p>
          <w:p>
            <w:pPr>
              <w:snapToGrid w:val="0"/>
              <w:spacing w:line="360" w:lineRule="exact"/>
              <w:rPr>
                <w:color w:val="auto"/>
                <w:highlight w:val="none"/>
                <w:lang w:val="en"/>
              </w:rPr>
            </w:pPr>
            <w:r>
              <w:rPr>
                <w:rFonts w:hint="eastAsia"/>
                <w:color w:val="auto"/>
                <w:highlight w:val="none"/>
              </w:rPr>
              <w:t>（2）</w:t>
            </w:r>
            <w:r>
              <w:rPr>
                <w:color w:val="auto"/>
                <w:highlight w:val="none"/>
                <w:lang w:val="en"/>
              </w:rPr>
              <w:t>广西</w:t>
            </w:r>
            <w:r>
              <w:rPr>
                <w:rFonts w:hint="eastAsia"/>
                <w:color w:val="auto"/>
                <w:highlight w:val="none"/>
                <w:lang w:val="en-US" w:eastAsia="zh-CN"/>
              </w:rPr>
              <w:t>艺术学院</w:t>
            </w:r>
          </w:p>
          <w:p>
            <w:pPr>
              <w:snapToGrid w:val="0"/>
              <w:spacing w:line="360" w:lineRule="exact"/>
              <w:ind w:firstLine="420" w:firstLineChars="200"/>
              <w:rPr>
                <w:rFonts w:hint="default" w:eastAsia="宋体"/>
                <w:color w:val="auto"/>
                <w:highlight w:val="none"/>
                <w:lang w:val="en-US" w:eastAsia="zh-CN"/>
              </w:rPr>
            </w:pPr>
            <w:r>
              <w:rPr>
                <w:rFonts w:hint="eastAsia"/>
                <w:color w:val="auto"/>
                <w:highlight w:val="none"/>
              </w:rPr>
              <w:t xml:space="preserve">电话：0771- </w:t>
            </w:r>
            <w:r>
              <w:rPr>
                <w:rFonts w:hint="eastAsia"/>
                <w:color w:val="auto"/>
                <w:highlight w:val="none"/>
                <w:lang w:val="en-US" w:eastAsia="zh-CN"/>
              </w:rPr>
              <w:t>5327987</w:t>
            </w:r>
          </w:p>
          <w:p>
            <w:pPr>
              <w:snapToGrid w:val="0"/>
              <w:spacing w:line="360" w:lineRule="exact"/>
              <w:ind w:firstLine="420" w:firstLineChars="200"/>
              <w:rPr>
                <w:rFonts w:hint="eastAsia"/>
                <w:color w:val="auto"/>
                <w:highlight w:val="none"/>
              </w:rPr>
            </w:pPr>
            <w:r>
              <w:rPr>
                <w:rFonts w:hint="eastAsia"/>
                <w:color w:val="auto"/>
                <w:highlight w:val="none"/>
              </w:rPr>
              <w:t>地址：广西南宁</w:t>
            </w:r>
            <w:r>
              <w:rPr>
                <w:rFonts w:hint="eastAsia"/>
                <w:color w:val="auto"/>
                <w:highlight w:val="none"/>
                <w:lang w:val="en-US" w:eastAsia="zh-CN"/>
              </w:rPr>
              <w:t>青秀区教育路7号</w:t>
            </w:r>
          </w:p>
          <w:p>
            <w:pPr>
              <w:pStyle w:val="49"/>
              <w:ind w:firstLine="210"/>
              <w:rPr>
                <w:rFonts w:hint="eastAsia" w:hAnsi="宋体"/>
                <w:color w:val="auto"/>
                <w:highlight w:val="none"/>
              </w:rPr>
            </w:pPr>
            <w:r>
              <w:rPr>
                <w:rFonts w:hint="eastAsia" w:ascii="宋体" w:hAnsi="宋体"/>
                <w:color w:val="auto"/>
                <w:szCs w:val="21"/>
                <w:highlight w:val="none"/>
              </w:rPr>
              <w:t>现场提交质疑办理业务时间：质疑期内每个工作日采购人或采购代理机构正常工作时间（其中采购代理机构为9：00到12：00，14：00到17：00）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648" w:type="dxa"/>
            <w:vMerge w:val="continue"/>
            <w:tcBorders>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color w:val="auto"/>
                <w:szCs w:val="21"/>
                <w:highlight w:val="none"/>
              </w:rPr>
            </w:pPr>
          </w:p>
        </w:tc>
        <w:tc>
          <w:tcPr>
            <w:tcW w:w="8820"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hint="eastAsia" w:hAnsi="宋体"/>
                <w:color w:val="auto"/>
                <w:highlight w:val="none"/>
              </w:rPr>
            </w:pPr>
            <w:r>
              <w:rPr>
                <w:rFonts w:hint="eastAsia" w:ascii="宋体" w:hAnsi="宋体"/>
                <w:b/>
                <w:bCs/>
                <w:color w:val="auto"/>
                <w:szCs w:val="21"/>
                <w:highlight w:val="none"/>
              </w:rPr>
              <w:t>对采购文件、采购过程或者中标结果的质疑由采购人接收或采购代理机构代为接收，由采购人负责答复。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ascii="宋体" w:hAnsi="宋体"/>
                <w:color w:val="auto"/>
                <w:szCs w:val="21"/>
                <w:highlight w:val="none"/>
                <w:lang w:val="en"/>
              </w:rPr>
            </w:pPr>
            <w:r>
              <w:rPr>
                <w:rFonts w:ascii="宋体" w:hAnsi="宋体"/>
                <w:color w:val="auto"/>
                <w:szCs w:val="21"/>
                <w:highlight w:val="none"/>
                <w:lang w:val="en"/>
              </w:rPr>
              <w:t>22</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hint="eastAsia" w:hAnsi="宋体"/>
                <w:color w:val="auto"/>
                <w:highlight w:val="none"/>
              </w:rPr>
            </w:pPr>
            <w:r>
              <w:rPr>
                <w:rFonts w:hint="eastAsia" w:hAnsi="宋体"/>
                <w:color w:val="auto"/>
                <w:highlight w:val="none"/>
              </w:rPr>
              <w:t>本招标文件解释权属广西壮族自治区政府采购中心。</w:t>
            </w:r>
          </w:p>
        </w:tc>
      </w:tr>
    </w:tbl>
    <w:p>
      <w:pPr>
        <w:pStyle w:val="27"/>
        <w:snapToGrid w:val="0"/>
        <w:spacing w:before="120" w:after="120" w:line="360" w:lineRule="exact"/>
        <w:jc w:val="center"/>
        <w:rPr>
          <w:rFonts w:hint="eastAsia" w:ascii="仿宋_GB2312" w:hAnsi="宋体" w:eastAsia="仿宋_GB2312"/>
          <w:b/>
          <w:color w:val="auto"/>
          <w:sz w:val="32"/>
          <w:szCs w:val="32"/>
          <w:highlight w:val="none"/>
        </w:rPr>
      </w:pPr>
    </w:p>
    <w:p>
      <w:pPr>
        <w:pStyle w:val="27"/>
        <w:snapToGrid w:val="0"/>
        <w:spacing w:before="120" w:after="120" w:line="360" w:lineRule="exact"/>
        <w:jc w:val="center"/>
        <w:rPr>
          <w:rFonts w:hint="eastAsia" w:ascii="仿宋_GB2312" w:hAnsi="宋体" w:eastAsia="仿宋_GB2312"/>
          <w:b/>
          <w:color w:val="auto"/>
          <w:sz w:val="32"/>
          <w:szCs w:val="32"/>
          <w:highlight w:val="none"/>
        </w:rPr>
      </w:pPr>
    </w:p>
    <w:p>
      <w:pPr>
        <w:pStyle w:val="27"/>
        <w:snapToGrid w:val="0"/>
        <w:spacing w:before="120" w:after="120" w:line="360" w:lineRule="exact"/>
        <w:jc w:val="center"/>
        <w:rPr>
          <w:rFonts w:hint="eastAsia" w:ascii="仿宋_GB2312" w:hAnsi="宋体" w:eastAsia="仿宋_GB2312"/>
          <w:b/>
          <w:color w:val="auto"/>
          <w:sz w:val="32"/>
          <w:szCs w:val="32"/>
          <w:highlight w:val="none"/>
        </w:rPr>
      </w:pPr>
    </w:p>
    <w:p>
      <w:pPr>
        <w:pStyle w:val="27"/>
        <w:snapToGrid w:val="0"/>
        <w:spacing w:before="120" w:after="120" w:line="360" w:lineRule="exact"/>
        <w:jc w:val="center"/>
        <w:rPr>
          <w:rFonts w:hint="eastAsia" w:ascii="仿宋_GB2312" w:hAnsi="宋体" w:eastAsia="仿宋_GB2312"/>
          <w:b/>
          <w:color w:val="auto"/>
          <w:sz w:val="32"/>
          <w:szCs w:val="32"/>
          <w:highlight w:val="none"/>
        </w:rPr>
      </w:pPr>
    </w:p>
    <w:p>
      <w:pPr>
        <w:pStyle w:val="27"/>
        <w:snapToGrid w:val="0"/>
        <w:spacing w:before="120" w:after="120" w:line="360" w:lineRule="exact"/>
        <w:jc w:val="center"/>
        <w:rPr>
          <w:rFonts w:hint="eastAsia" w:ascii="仿宋_GB2312" w:hAnsi="宋体" w:eastAsia="仿宋_GB2312"/>
          <w:b/>
          <w:color w:val="auto"/>
          <w:sz w:val="32"/>
          <w:szCs w:val="32"/>
          <w:highlight w:val="none"/>
        </w:rPr>
      </w:pPr>
    </w:p>
    <w:p>
      <w:pPr>
        <w:pStyle w:val="27"/>
        <w:snapToGrid w:val="0"/>
        <w:spacing w:before="120" w:after="120" w:line="360" w:lineRule="exact"/>
        <w:jc w:val="center"/>
        <w:rPr>
          <w:rFonts w:hint="eastAsia" w:ascii="仿宋_GB2312" w:hAnsi="宋体" w:eastAsia="仿宋_GB2312"/>
          <w:b/>
          <w:color w:val="auto"/>
          <w:sz w:val="32"/>
          <w:szCs w:val="32"/>
          <w:highlight w:val="none"/>
        </w:rPr>
      </w:pPr>
    </w:p>
    <w:p>
      <w:pPr>
        <w:pStyle w:val="2"/>
        <w:rPr>
          <w:rFonts w:hint="eastAsia"/>
        </w:rPr>
      </w:pPr>
    </w:p>
    <w:p>
      <w:pPr>
        <w:pStyle w:val="27"/>
        <w:snapToGrid w:val="0"/>
        <w:spacing w:before="120" w:after="120" w:line="360" w:lineRule="exact"/>
        <w:jc w:val="center"/>
        <w:rPr>
          <w:rFonts w:hint="eastAsia" w:ascii="仿宋_GB2312" w:hAnsi="宋体" w:eastAsia="仿宋_GB2312"/>
          <w:b/>
          <w:color w:val="auto"/>
          <w:sz w:val="32"/>
          <w:szCs w:val="32"/>
          <w:highlight w:val="none"/>
        </w:rPr>
      </w:pPr>
    </w:p>
    <w:p>
      <w:pPr>
        <w:pStyle w:val="27"/>
        <w:snapToGrid w:val="0"/>
        <w:spacing w:before="120" w:after="120" w:line="360" w:lineRule="exact"/>
        <w:jc w:val="center"/>
        <w:rPr>
          <w:rFonts w:hint="eastAsia" w:ascii="仿宋_GB2312" w:hAnsi="宋体" w:eastAsia="仿宋_GB2312"/>
          <w:b/>
          <w:color w:val="auto"/>
          <w:sz w:val="32"/>
          <w:szCs w:val="32"/>
          <w:highlight w:val="none"/>
        </w:rPr>
      </w:pPr>
    </w:p>
    <w:p>
      <w:pPr>
        <w:pStyle w:val="27"/>
        <w:snapToGrid w:val="0"/>
        <w:spacing w:before="120" w:after="120" w:line="360" w:lineRule="exact"/>
        <w:jc w:val="center"/>
        <w:rPr>
          <w:rFonts w:hint="eastAsia" w:hAnsi="宋体"/>
          <w:b/>
          <w:color w:val="auto"/>
          <w:highlight w:val="none"/>
        </w:rPr>
      </w:pPr>
      <w:r>
        <w:rPr>
          <w:rFonts w:hint="eastAsia" w:ascii="仿宋_GB2312" w:hAnsi="宋体" w:eastAsia="仿宋_GB2312"/>
          <w:b/>
          <w:color w:val="auto"/>
          <w:sz w:val="32"/>
          <w:szCs w:val="32"/>
          <w:highlight w:val="none"/>
        </w:rPr>
        <w:t>投标人须知</w:t>
      </w:r>
    </w:p>
    <w:p>
      <w:pPr>
        <w:pStyle w:val="27"/>
        <w:snapToGrid w:val="0"/>
        <w:spacing w:before="120" w:after="120" w:line="360" w:lineRule="exact"/>
        <w:rPr>
          <w:rFonts w:hint="eastAsia" w:hAnsi="宋体"/>
          <w:b/>
          <w:color w:val="auto"/>
          <w:highlight w:val="none"/>
        </w:rPr>
      </w:pPr>
      <w:r>
        <w:rPr>
          <w:rFonts w:hint="eastAsia" w:hAnsi="宋体"/>
          <w:b/>
          <w:color w:val="auto"/>
          <w:highlight w:val="none"/>
        </w:rPr>
        <w:t>一、总  则</w:t>
      </w:r>
    </w:p>
    <w:p>
      <w:pPr>
        <w:snapToGrid w:val="0"/>
        <w:spacing w:line="360" w:lineRule="exact"/>
        <w:ind w:firstLine="413" w:firstLineChars="196"/>
        <w:jc w:val="left"/>
        <w:outlineLvl w:val="0"/>
        <w:rPr>
          <w:rFonts w:hint="eastAsia" w:ascii="宋体" w:hAnsi="宋体"/>
          <w:b/>
          <w:color w:val="auto"/>
          <w:szCs w:val="21"/>
          <w:highlight w:val="none"/>
        </w:rPr>
      </w:pPr>
      <w:bookmarkStart w:id="27" w:name="_Toc40865023"/>
      <w:bookmarkStart w:id="28" w:name="_Toc40864907"/>
      <w:bookmarkStart w:id="29" w:name="_Toc254970668"/>
      <w:bookmarkStart w:id="30" w:name="_Toc254970527"/>
      <w:bookmarkStart w:id="31" w:name="_Toc40864631"/>
      <w:r>
        <w:rPr>
          <w:rFonts w:hint="eastAsia" w:ascii="宋体" w:hAnsi="宋体"/>
          <w:b/>
          <w:color w:val="auto"/>
          <w:szCs w:val="21"/>
          <w:highlight w:val="none"/>
        </w:rPr>
        <w:t>（一） 适用范围</w:t>
      </w:r>
      <w:bookmarkEnd w:id="27"/>
      <w:bookmarkEnd w:id="28"/>
      <w:bookmarkEnd w:id="29"/>
      <w:bookmarkEnd w:id="30"/>
      <w:bookmarkEnd w:id="31"/>
    </w:p>
    <w:p>
      <w:pPr>
        <w:snapToGrid w:val="0"/>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本招标文件适用于</w:t>
      </w:r>
      <w:r>
        <w:rPr>
          <w:rFonts w:hint="eastAsia" w:ascii="宋体" w:hAnsi="宋体" w:cs="Arial"/>
          <w:color w:val="auto"/>
          <w:szCs w:val="21"/>
          <w:highlight w:val="none"/>
        </w:rPr>
        <w:t>本</w:t>
      </w:r>
      <w:r>
        <w:rPr>
          <w:rFonts w:hint="eastAsia" w:ascii="宋体" w:hAnsi="宋体"/>
          <w:color w:val="auto"/>
          <w:szCs w:val="21"/>
          <w:highlight w:val="none"/>
        </w:rPr>
        <w:t>项目的招标、投标、评标、定标、验收、合同履约、付款等行为（法律、法规另有规定的，从其规定）。</w:t>
      </w:r>
    </w:p>
    <w:p>
      <w:pPr>
        <w:snapToGrid w:val="0"/>
        <w:spacing w:before="156" w:beforeLines="50" w:line="360" w:lineRule="exact"/>
        <w:ind w:firstLine="309" w:firstLineChars="147"/>
        <w:jc w:val="left"/>
        <w:outlineLvl w:val="0"/>
        <w:rPr>
          <w:rFonts w:hint="eastAsia"/>
          <w:b/>
          <w:color w:val="auto"/>
          <w:highlight w:val="none"/>
        </w:rPr>
      </w:pPr>
      <w:bookmarkStart w:id="32" w:name="_Toc40865024"/>
      <w:bookmarkStart w:id="33" w:name="_Toc254970528"/>
      <w:bookmarkStart w:id="34" w:name="_Toc40864908"/>
      <w:bookmarkStart w:id="35" w:name="_Toc254970669"/>
      <w:bookmarkStart w:id="36" w:name="_Toc40864632"/>
      <w:bookmarkStart w:id="37" w:name="_Toc254970689"/>
      <w:bookmarkStart w:id="38" w:name="_Toc254970548"/>
      <w:r>
        <w:rPr>
          <w:rFonts w:hint="eastAsia"/>
          <w:b/>
          <w:color w:val="auto"/>
          <w:highlight w:val="none"/>
        </w:rPr>
        <w:t>（二）定义</w:t>
      </w:r>
      <w:bookmarkEnd w:id="32"/>
      <w:bookmarkEnd w:id="33"/>
      <w:bookmarkEnd w:id="34"/>
      <w:bookmarkEnd w:id="35"/>
      <w:bookmarkEnd w:id="36"/>
    </w:p>
    <w:p>
      <w:pPr>
        <w:snapToGrid w:val="0"/>
        <w:spacing w:line="360" w:lineRule="exact"/>
        <w:ind w:firstLine="420" w:firstLineChars="200"/>
        <w:jc w:val="left"/>
        <w:rPr>
          <w:rFonts w:hint="eastAsia" w:hAnsi="宋体"/>
          <w:color w:val="auto"/>
          <w:highlight w:val="none"/>
        </w:rPr>
      </w:pPr>
      <w:r>
        <w:rPr>
          <w:rFonts w:hint="eastAsia" w:ascii="宋体" w:hAnsi="宋体"/>
          <w:color w:val="auto"/>
          <w:szCs w:val="21"/>
          <w:highlight w:val="none"/>
        </w:rPr>
        <w:t>1.</w:t>
      </w:r>
      <w:r>
        <w:rPr>
          <w:rFonts w:hint="eastAsia" w:hAnsi="宋体"/>
          <w:color w:val="auto"/>
          <w:highlight w:val="none"/>
        </w:rPr>
        <w:t xml:space="preserve"> “采购人”系指组织本次招标的采购单位。</w:t>
      </w:r>
    </w:p>
    <w:p>
      <w:pPr>
        <w:snapToGrid w:val="0"/>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2.</w:t>
      </w:r>
      <w:r>
        <w:rPr>
          <w:rFonts w:hint="eastAsia" w:hAnsi="宋体"/>
          <w:color w:val="auto"/>
          <w:highlight w:val="none"/>
        </w:rPr>
        <w:t xml:space="preserve"> “采购代理机构”系指广西壮族自治区政府采购中心（以下简称“本中心</w:t>
      </w:r>
      <w:r>
        <w:rPr>
          <w:rFonts w:hAnsi="宋体"/>
          <w:color w:val="auto"/>
          <w:highlight w:val="none"/>
        </w:rPr>
        <w:t>”</w:t>
      </w:r>
      <w:r>
        <w:rPr>
          <w:rFonts w:hint="eastAsia" w:hAnsi="宋体"/>
          <w:color w:val="auto"/>
          <w:highlight w:val="none"/>
        </w:rPr>
        <w:t>）。</w:t>
      </w:r>
    </w:p>
    <w:p>
      <w:pPr>
        <w:snapToGrid w:val="0"/>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3.</w:t>
      </w:r>
      <w:r>
        <w:rPr>
          <w:rFonts w:hint="eastAsia" w:hAnsi="宋体"/>
          <w:color w:val="auto"/>
          <w:highlight w:val="none"/>
        </w:rPr>
        <w:t xml:space="preserve"> “投标人”系指响应招标、参加投标竞争的法人、其他组织或者自然人。</w:t>
      </w:r>
    </w:p>
    <w:p>
      <w:pPr>
        <w:snapToGrid w:val="0"/>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4.“产品”系指供方按招标文件规定，须向采购人提供的一切设备、保险、税金、备品备件、工具、手册及其它有关技术资料和材料。</w:t>
      </w:r>
    </w:p>
    <w:p>
      <w:pPr>
        <w:snapToGrid w:val="0"/>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5.“服务”系指招标文件规定投标人须承担的安装、调试、技术协助、校准、培训、技术指导以及其他类似的义务。</w:t>
      </w:r>
    </w:p>
    <w:p>
      <w:pPr>
        <w:snapToGrid w:val="0"/>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6.“项目”系指投标人按招标文件规定向采购人提供的产品和服务。</w:t>
      </w:r>
    </w:p>
    <w:p>
      <w:pPr>
        <w:snapToGrid w:val="0"/>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7.“书面形式”包括信函、传真、电报等。</w:t>
      </w:r>
    </w:p>
    <w:p>
      <w:pPr>
        <w:snapToGrid w:val="0"/>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8.“▲”系指实质性要求条款。</w:t>
      </w:r>
    </w:p>
    <w:p>
      <w:pPr>
        <w:snapToGrid w:val="0"/>
        <w:spacing w:before="156" w:beforeLines="50" w:line="360" w:lineRule="exact"/>
        <w:ind w:firstLine="413" w:firstLineChars="196"/>
        <w:jc w:val="left"/>
        <w:outlineLvl w:val="1"/>
        <w:rPr>
          <w:rFonts w:hint="eastAsia" w:ascii="宋体" w:hAnsi="宋体"/>
          <w:b/>
          <w:color w:val="auto"/>
          <w:szCs w:val="21"/>
          <w:highlight w:val="none"/>
        </w:rPr>
      </w:pPr>
      <w:bookmarkStart w:id="39" w:name="_Toc40864909"/>
      <w:bookmarkStart w:id="40" w:name="_Toc254970529"/>
      <w:bookmarkStart w:id="41" w:name="_Toc40864633"/>
      <w:bookmarkStart w:id="42" w:name="_Toc40865025"/>
      <w:bookmarkStart w:id="43" w:name="_Toc254970670"/>
      <w:r>
        <w:rPr>
          <w:rFonts w:hint="eastAsia" w:ascii="宋体" w:hAnsi="宋体"/>
          <w:b/>
          <w:color w:val="auto"/>
          <w:szCs w:val="21"/>
          <w:highlight w:val="none"/>
        </w:rPr>
        <w:t>（三）招标方式</w:t>
      </w:r>
      <w:bookmarkEnd w:id="39"/>
      <w:bookmarkEnd w:id="40"/>
      <w:bookmarkEnd w:id="41"/>
      <w:bookmarkEnd w:id="42"/>
      <w:bookmarkEnd w:id="43"/>
    </w:p>
    <w:p>
      <w:pPr>
        <w:snapToGrid w:val="0"/>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公开招标方式。</w:t>
      </w:r>
    </w:p>
    <w:p>
      <w:pPr>
        <w:snapToGrid w:val="0"/>
        <w:spacing w:before="156" w:beforeLines="50" w:line="360" w:lineRule="exact"/>
        <w:ind w:firstLine="413" w:firstLineChars="196"/>
        <w:jc w:val="left"/>
        <w:outlineLvl w:val="0"/>
        <w:rPr>
          <w:rFonts w:hint="eastAsia" w:ascii="宋体" w:hAnsi="宋体"/>
          <w:b/>
          <w:color w:val="auto"/>
          <w:szCs w:val="21"/>
          <w:highlight w:val="none"/>
        </w:rPr>
      </w:pPr>
      <w:bookmarkStart w:id="44" w:name="_Toc40864634"/>
      <w:bookmarkStart w:id="45" w:name="_Toc40864910"/>
      <w:bookmarkStart w:id="46" w:name="_Toc40865026"/>
      <w:bookmarkStart w:id="47" w:name="_Toc254970530"/>
      <w:bookmarkStart w:id="48" w:name="_Toc254970671"/>
      <w:r>
        <w:rPr>
          <w:rFonts w:hint="eastAsia" w:ascii="宋体" w:hAnsi="宋体"/>
          <w:b/>
          <w:color w:val="auto"/>
          <w:szCs w:val="21"/>
          <w:highlight w:val="none"/>
        </w:rPr>
        <w:t>（四）投标委托</w:t>
      </w:r>
      <w:bookmarkEnd w:id="44"/>
      <w:bookmarkEnd w:id="45"/>
      <w:bookmarkEnd w:id="46"/>
      <w:bookmarkEnd w:id="47"/>
      <w:bookmarkEnd w:id="48"/>
    </w:p>
    <w:p>
      <w:pPr>
        <w:pStyle w:val="21"/>
        <w:snapToGrid w:val="0"/>
        <w:spacing w:line="360" w:lineRule="exact"/>
        <w:ind w:firstLine="420" w:firstLineChars="200"/>
        <w:jc w:val="left"/>
        <w:rPr>
          <w:rFonts w:hint="eastAsia" w:ascii="宋体" w:hAnsi="宋体" w:eastAsia="宋体"/>
          <w:color w:val="auto"/>
          <w:sz w:val="21"/>
          <w:szCs w:val="21"/>
          <w:highlight w:val="none"/>
        </w:rPr>
      </w:pPr>
      <w:r>
        <w:rPr>
          <w:rFonts w:hint="eastAsia" w:ascii="宋体" w:hAnsi="宋体" w:eastAsia="宋体"/>
          <w:color w:val="auto"/>
          <w:sz w:val="21"/>
          <w:szCs w:val="21"/>
          <w:highlight w:val="none"/>
        </w:rPr>
        <w:t>投标人代表须携带有效身份证件。如投标人代表不是法定代表人，须有法定代表人出具的授权委托书（格式见第六章《投标文件格式》）。</w:t>
      </w:r>
    </w:p>
    <w:p>
      <w:pPr>
        <w:snapToGrid w:val="0"/>
        <w:spacing w:before="156" w:beforeLines="50" w:line="360" w:lineRule="exact"/>
        <w:ind w:firstLine="413" w:firstLineChars="196"/>
        <w:jc w:val="left"/>
        <w:outlineLvl w:val="0"/>
        <w:rPr>
          <w:rFonts w:hint="eastAsia" w:ascii="宋体" w:hAnsi="宋体"/>
          <w:b/>
          <w:color w:val="auto"/>
          <w:szCs w:val="21"/>
          <w:highlight w:val="none"/>
        </w:rPr>
      </w:pPr>
      <w:bookmarkStart w:id="49" w:name="_Toc40865027"/>
      <w:bookmarkStart w:id="50" w:name="_Toc40864635"/>
      <w:bookmarkStart w:id="51" w:name="_Toc254970531"/>
      <w:bookmarkStart w:id="52" w:name="_Toc254970672"/>
      <w:bookmarkStart w:id="53" w:name="_Toc40864911"/>
      <w:r>
        <w:rPr>
          <w:rFonts w:hint="eastAsia" w:ascii="宋体" w:hAnsi="宋体"/>
          <w:b/>
          <w:color w:val="auto"/>
          <w:szCs w:val="21"/>
          <w:highlight w:val="none"/>
        </w:rPr>
        <w:t>（五）投标费用</w:t>
      </w:r>
      <w:bookmarkEnd w:id="49"/>
      <w:bookmarkEnd w:id="50"/>
      <w:bookmarkEnd w:id="51"/>
      <w:bookmarkEnd w:id="52"/>
      <w:bookmarkEnd w:id="53"/>
    </w:p>
    <w:p>
      <w:pPr>
        <w:snapToGrid w:val="0"/>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投标人均应自行承担所有与投标有关的全部费用（招标文件有相关的规定除外）。</w:t>
      </w:r>
    </w:p>
    <w:p>
      <w:pPr>
        <w:snapToGrid w:val="0"/>
        <w:spacing w:before="156" w:beforeLines="50" w:line="360" w:lineRule="exact"/>
        <w:ind w:firstLine="413" w:firstLineChars="196"/>
        <w:jc w:val="left"/>
        <w:outlineLvl w:val="0"/>
        <w:rPr>
          <w:rFonts w:hint="eastAsia" w:ascii="宋体" w:hAnsi="宋体"/>
          <w:b/>
          <w:color w:val="auto"/>
          <w:szCs w:val="21"/>
          <w:highlight w:val="none"/>
        </w:rPr>
      </w:pPr>
      <w:bookmarkStart w:id="54" w:name="_Toc40864636"/>
      <w:bookmarkStart w:id="55" w:name="_Toc40865028"/>
      <w:bookmarkStart w:id="56" w:name="_Toc40864912"/>
      <w:r>
        <w:rPr>
          <w:rFonts w:hint="eastAsia" w:ascii="宋体" w:hAnsi="宋体"/>
          <w:b/>
          <w:color w:val="auto"/>
          <w:szCs w:val="21"/>
          <w:highlight w:val="none"/>
        </w:rPr>
        <w:t>（六）</w:t>
      </w:r>
      <w:r>
        <w:rPr>
          <w:rFonts w:hint="eastAsia" w:ascii="宋体" w:hAnsi="宋体"/>
          <w:b/>
          <w:color w:val="auto"/>
          <w:szCs w:val="21"/>
          <w:highlight w:val="none"/>
          <w:lang w:eastAsia="zh-CN"/>
        </w:rPr>
        <w:t>本项目</w:t>
      </w:r>
      <w:r>
        <w:rPr>
          <w:rFonts w:hint="eastAsia" w:ascii="宋体" w:hAnsi="宋体"/>
          <w:b/>
          <w:color w:val="auto"/>
          <w:szCs w:val="21"/>
          <w:highlight w:val="none"/>
        </w:rPr>
        <w:t>联合体投标</w:t>
      </w:r>
      <w:bookmarkEnd w:id="54"/>
      <w:bookmarkEnd w:id="55"/>
      <w:bookmarkEnd w:id="56"/>
    </w:p>
    <w:p>
      <w:pPr>
        <w:snapToGrid w:val="0"/>
        <w:spacing w:before="156" w:beforeLines="50" w:line="360" w:lineRule="exact"/>
        <w:ind w:firstLine="413" w:firstLineChars="196"/>
        <w:outlineLvl w:val="0"/>
        <w:rPr>
          <w:rFonts w:hint="eastAsia" w:ascii="宋体" w:hAnsi="宋体" w:cs="宋体"/>
          <w:b/>
          <w:color w:val="auto"/>
          <w:kern w:val="0"/>
          <w:szCs w:val="21"/>
          <w:highlight w:val="none"/>
        </w:rPr>
      </w:pPr>
      <w:bookmarkStart w:id="57" w:name="_Toc40864637"/>
      <w:bookmarkStart w:id="58" w:name="_Toc40865029"/>
      <w:bookmarkStart w:id="59" w:name="_Toc40864913"/>
      <w:r>
        <w:rPr>
          <w:rFonts w:hint="eastAsia" w:ascii="宋体" w:hAnsi="宋体"/>
          <w:b/>
          <w:color w:val="auto"/>
          <w:szCs w:val="21"/>
          <w:highlight w:val="none"/>
        </w:rPr>
        <w:t>（七）</w:t>
      </w:r>
      <w:r>
        <w:rPr>
          <w:rFonts w:hint="eastAsia" w:ascii="宋体" w:hAnsi="宋体" w:cs="宋体"/>
          <w:b/>
          <w:color w:val="auto"/>
          <w:kern w:val="0"/>
          <w:szCs w:val="21"/>
          <w:highlight w:val="none"/>
        </w:rPr>
        <w:t>转包与分包</w:t>
      </w:r>
      <w:bookmarkEnd w:id="57"/>
      <w:bookmarkEnd w:id="58"/>
      <w:bookmarkEnd w:id="59"/>
      <w:r>
        <w:rPr>
          <w:rFonts w:hint="eastAsia" w:ascii="宋体" w:hAnsi="宋体" w:cs="宋体"/>
          <w:b/>
          <w:color w:val="auto"/>
          <w:kern w:val="0"/>
          <w:szCs w:val="21"/>
          <w:highlight w:val="none"/>
        </w:rPr>
        <w:t xml:space="preserve">             </w:t>
      </w:r>
    </w:p>
    <w:p>
      <w:pPr>
        <w:snapToGrid w:val="0"/>
        <w:spacing w:line="36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1.本项目不允许转包。</w:t>
      </w:r>
    </w:p>
    <w:p>
      <w:pPr>
        <w:snapToGrid w:val="0"/>
        <w:spacing w:line="360" w:lineRule="exact"/>
        <w:ind w:firstLine="420" w:firstLineChars="200"/>
        <w:rPr>
          <w:rFonts w:hint="eastAsia" w:ascii="宋体" w:hAnsi="宋体"/>
          <w:color w:val="auto"/>
          <w:szCs w:val="21"/>
          <w:highlight w:val="none"/>
        </w:rPr>
      </w:pPr>
      <w:r>
        <w:rPr>
          <w:rFonts w:hint="eastAsia" w:ascii="宋体" w:hAnsi="宋体" w:cs="宋体"/>
          <w:color w:val="auto"/>
          <w:kern w:val="0"/>
          <w:szCs w:val="21"/>
          <w:highlight w:val="none"/>
        </w:rPr>
        <w:t>2.本项目允许电梯以外的工程分包。</w:t>
      </w:r>
    </w:p>
    <w:p>
      <w:pPr>
        <w:snapToGrid w:val="0"/>
        <w:spacing w:before="156" w:beforeLines="50" w:line="360" w:lineRule="exact"/>
        <w:ind w:firstLine="413" w:firstLineChars="196"/>
        <w:jc w:val="left"/>
        <w:outlineLvl w:val="0"/>
        <w:rPr>
          <w:rFonts w:hint="eastAsia" w:ascii="宋体" w:hAnsi="宋体"/>
          <w:b/>
          <w:color w:val="auto"/>
          <w:szCs w:val="21"/>
          <w:highlight w:val="none"/>
        </w:rPr>
      </w:pPr>
      <w:bookmarkStart w:id="60" w:name="_Toc40864914"/>
      <w:bookmarkStart w:id="61" w:name="_Toc254970673"/>
      <w:bookmarkStart w:id="62" w:name="_Toc254970532"/>
      <w:bookmarkStart w:id="63" w:name="_Toc40865030"/>
      <w:bookmarkStart w:id="64" w:name="_Toc40864638"/>
      <w:r>
        <w:rPr>
          <w:rFonts w:hint="eastAsia" w:ascii="宋体" w:hAnsi="宋体"/>
          <w:b/>
          <w:color w:val="auto"/>
          <w:szCs w:val="21"/>
          <w:highlight w:val="none"/>
        </w:rPr>
        <w:t>（八）特别说明：</w:t>
      </w:r>
      <w:bookmarkEnd w:id="60"/>
      <w:bookmarkEnd w:id="61"/>
      <w:bookmarkEnd w:id="62"/>
      <w:bookmarkEnd w:id="63"/>
      <w:bookmarkEnd w:id="64"/>
    </w:p>
    <w:p>
      <w:pPr>
        <w:snapToGrid w:val="0"/>
        <w:spacing w:line="36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▲1.单位负责人为同一人或者存在直接控股、管理关系的不同供应商，不得参加同一合同项下的政府采购活动。</w:t>
      </w:r>
    </w:p>
    <w:p>
      <w:pPr>
        <w:snapToGrid w:val="0"/>
        <w:spacing w:line="36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olor w:val="auto"/>
          <w:szCs w:val="21"/>
          <w:highlight w:val="none"/>
        </w:rPr>
        <w:t xml:space="preserve"> 使用综合评分法的采购项目，</w:t>
      </w:r>
      <w:r>
        <w:rPr>
          <w:rFonts w:hint="eastAsia"/>
          <w:color w:val="auto"/>
          <w:highlight w:val="none"/>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w:t>
      </w:r>
      <w:r>
        <w:rPr>
          <w:rFonts w:hint="eastAsia"/>
          <w:color w:val="auto"/>
          <w:highlight w:val="none"/>
          <w:lang w:eastAsia="zh-CN"/>
        </w:rPr>
        <w:t>评标方法及评分标准</w:t>
      </w:r>
      <w:r>
        <w:rPr>
          <w:rFonts w:hint="eastAsia"/>
          <w:color w:val="auto"/>
          <w:highlight w:val="none"/>
        </w:rPr>
        <w:t>》中的推荐原则确定一个投标人获得中标人推荐资格，其他同品牌投标人不作为中标候选人。</w:t>
      </w:r>
    </w:p>
    <w:p>
      <w:pPr>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    非单一产品采购项目中，多家投标人提供的招标文件中载明的核心产品品牌相同的，视为提供相同品牌产品。</w:t>
      </w:r>
    </w:p>
    <w:p>
      <w:pPr>
        <w:snapToGrid w:val="0"/>
        <w:spacing w:line="36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lang w:val="en"/>
        </w:rPr>
        <w:t>3</w:t>
      </w:r>
      <w:r>
        <w:rPr>
          <w:rFonts w:hint="eastAsia" w:ascii="宋体" w:hAnsi="宋体" w:cs="宋体"/>
          <w:color w:val="auto"/>
          <w:kern w:val="0"/>
          <w:szCs w:val="21"/>
          <w:highlight w:val="none"/>
        </w:rPr>
        <w:t>.投标人应仔细阅读招标文件的所有内容，按照招标文件的要求提交投标文件，并对所提供的全部资料的真实性承担法律责任。</w:t>
      </w:r>
    </w:p>
    <w:p>
      <w:pPr>
        <w:snapToGrid w:val="0"/>
        <w:spacing w:line="36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lang w:val="en"/>
        </w:rPr>
        <w:t>4</w:t>
      </w:r>
      <w:r>
        <w:rPr>
          <w:rFonts w:hint="eastAsia" w:ascii="宋体" w:hAnsi="宋体" w:cs="宋体"/>
          <w:color w:val="auto"/>
          <w:kern w:val="0"/>
          <w:szCs w:val="21"/>
          <w:highlight w:val="none"/>
        </w:rPr>
        <w:t>.投标人在投标活动中提供任何虚假材料、互相串通投标，其投标无效，并报监管部门查处。</w:t>
      </w:r>
    </w:p>
    <w:p>
      <w:pPr>
        <w:snapToGrid w:val="0"/>
        <w:spacing w:line="360" w:lineRule="exact"/>
        <w:ind w:firstLine="420" w:firstLineChars="200"/>
        <w:rPr>
          <w:rFonts w:hint="eastAsia" w:hAnsi="宋体" w:cs="宋体"/>
          <w:color w:val="auto"/>
          <w:kern w:val="0"/>
          <w:highlight w:val="none"/>
        </w:rPr>
      </w:pPr>
      <w:bookmarkStart w:id="65" w:name="_Toc254970533"/>
      <w:bookmarkStart w:id="66" w:name="_Toc254970674"/>
      <w:r>
        <w:rPr>
          <w:rFonts w:hint="eastAsia" w:ascii="宋体" w:hAnsi="宋体" w:cs="宋体"/>
          <w:color w:val="auto"/>
          <w:kern w:val="0"/>
          <w:szCs w:val="21"/>
          <w:highlight w:val="none"/>
        </w:rPr>
        <w:t>▲</w:t>
      </w:r>
      <w:r>
        <w:rPr>
          <w:rFonts w:ascii="宋体" w:hAnsi="宋体" w:cs="宋体"/>
          <w:color w:val="auto"/>
          <w:kern w:val="0"/>
          <w:szCs w:val="21"/>
          <w:highlight w:val="none"/>
          <w:lang w:val="en"/>
        </w:rPr>
        <w:t>5</w:t>
      </w:r>
      <w:r>
        <w:rPr>
          <w:rFonts w:hint="eastAsia" w:ascii="宋体" w:hAnsi="宋体" w:cs="宋体"/>
          <w:color w:val="auto"/>
          <w:kern w:val="0"/>
          <w:szCs w:val="21"/>
          <w:highlight w:val="none"/>
        </w:rPr>
        <w:t>.投标截止时间前三天，报名登记的供应商不足三家的，本中心将延迟截标和开标时间不少于十</w:t>
      </w:r>
      <w:r>
        <w:rPr>
          <w:rFonts w:hint="eastAsia" w:hAnsi="宋体" w:cs="宋体"/>
          <w:color w:val="auto"/>
          <w:kern w:val="0"/>
          <w:highlight w:val="none"/>
        </w:rPr>
        <w:t>日，并书面通知已报名登记的供应商，并在财政部门指定的政府采购信息发布媒体及本中心网站上发布变更公告。</w:t>
      </w:r>
    </w:p>
    <w:bookmarkEnd w:id="65"/>
    <w:bookmarkEnd w:id="66"/>
    <w:p>
      <w:pPr>
        <w:pStyle w:val="27"/>
        <w:snapToGrid w:val="0"/>
        <w:spacing w:line="360" w:lineRule="exact"/>
        <w:ind w:firstLine="413" w:firstLineChars="196"/>
        <w:outlineLvl w:val="0"/>
        <w:rPr>
          <w:rFonts w:hAnsi="宋体"/>
          <w:b/>
          <w:bCs/>
          <w:color w:val="auto"/>
          <w:highlight w:val="none"/>
        </w:rPr>
      </w:pPr>
      <w:bookmarkStart w:id="67" w:name="_Toc40865031"/>
      <w:bookmarkStart w:id="68" w:name="_Toc40864915"/>
      <w:bookmarkStart w:id="69" w:name="_Toc40864639"/>
      <w:r>
        <w:rPr>
          <w:rFonts w:hint="eastAsia" w:hAnsi="宋体"/>
          <w:b/>
          <w:bCs/>
          <w:color w:val="auto"/>
          <w:highlight w:val="none"/>
        </w:rPr>
        <w:t>（九）</w:t>
      </w:r>
      <w:r>
        <w:rPr>
          <w:rFonts w:hint="eastAsia" w:hAnsi="宋体"/>
          <w:b/>
          <w:color w:val="auto"/>
          <w:highlight w:val="none"/>
        </w:rPr>
        <w:t>询问、质疑和投诉</w:t>
      </w:r>
      <w:bookmarkEnd w:id="67"/>
      <w:bookmarkEnd w:id="68"/>
      <w:bookmarkEnd w:id="69"/>
    </w:p>
    <w:p>
      <w:pPr>
        <w:pStyle w:val="27"/>
        <w:snapToGrid w:val="0"/>
        <w:spacing w:line="360" w:lineRule="exact"/>
        <w:ind w:firstLine="420" w:firstLineChars="200"/>
        <w:rPr>
          <w:rFonts w:hint="eastAsia"/>
          <w:color w:val="auto"/>
          <w:highlight w:val="none"/>
        </w:rPr>
      </w:pPr>
      <w:r>
        <w:rPr>
          <w:rFonts w:hint="eastAsia"/>
          <w:color w:val="auto"/>
          <w:highlight w:val="none"/>
        </w:rPr>
        <w:t>1.投标人对政府采购活动事项有疑问的，可以向采购人、采购代理机构提出询问。</w:t>
      </w:r>
    </w:p>
    <w:p>
      <w:pPr>
        <w:pStyle w:val="27"/>
        <w:snapToGrid w:val="0"/>
        <w:spacing w:line="360" w:lineRule="exact"/>
        <w:ind w:firstLine="420" w:firstLineChars="200"/>
        <w:rPr>
          <w:rFonts w:hint="eastAsia"/>
          <w:color w:val="auto"/>
          <w:highlight w:val="none"/>
        </w:rPr>
      </w:pPr>
      <w:r>
        <w:rPr>
          <w:rFonts w:hint="eastAsia"/>
          <w:color w:val="auto"/>
          <w:highlight w:val="none"/>
        </w:rPr>
        <w:t>2.投标人认为采购文件、招标过程或中标结果使自己的合法权益受到损害的，应当在知道或者应知其权益受到损害之日起七个工作日内，以书面形式向采购人提出质疑。具体计算时间如下：</w:t>
      </w:r>
    </w:p>
    <w:p>
      <w:pPr>
        <w:pStyle w:val="27"/>
        <w:snapToGrid w:val="0"/>
        <w:spacing w:line="360" w:lineRule="exact"/>
        <w:ind w:firstLine="309" w:firstLineChars="147"/>
        <w:rPr>
          <w:rFonts w:hAnsi="宋体"/>
          <w:bCs/>
          <w:color w:val="auto"/>
          <w:highlight w:val="none"/>
        </w:rPr>
      </w:pPr>
      <w:r>
        <w:rPr>
          <w:b/>
          <w:color w:val="auto"/>
          <w:highlight w:val="none"/>
        </w:rPr>
        <w:t>（一）对可以质疑的</w:t>
      </w:r>
      <w:r>
        <w:rPr>
          <w:rFonts w:hint="eastAsia"/>
          <w:b/>
          <w:color w:val="auto"/>
          <w:highlight w:val="none"/>
        </w:rPr>
        <w:t>采购</w:t>
      </w:r>
      <w:r>
        <w:rPr>
          <w:b/>
          <w:color w:val="auto"/>
          <w:highlight w:val="none"/>
        </w:rPr>
        <w:t>文件提出质疑的，为收到采购文件之日；</w:t>
      </w:r>
    </w:p>
    <w:p>
      <w:pPr>
        <w:widowControl/>
        <w:spacing w:before="100" w:beforeAutospacing="1" w:after="100" w:afterAutospacing="1" w:line="432" w:lineRule="auto"/>
        <w:jc w:val="left"/>
        <w:rPr>
          <w:rFonts w:hint="eastAsia" w:ascii="宋体" w:hAnsi="Courier New" w:cs="Courier New"/>
          <w:b/>
          <w:color w:val="auto"/>
          <w:szCs w:val="21"/>
          <w:highlight w:val="none"/>
        </w:rPr>
      </w:pPr>
      <w:r>
        <w:rPr>
          <w:rFonts w:ascii="宋体" w:cs="Courier New"/>
          <w:color w:val="auto"/>
          <w:szCs w:val="21"/>
          <w:highlight w:val="none"/>
        </w:rPr>
        <w:t>　</w:t>
      </w:r>
      <w:r>
        <w:rPr>
          <w:rFonts w:ascii="宋体" w:hAnsi="Courier New" w:cs="Courier New"/>
          <w:b/>
          <w:color w:val="auto"/>
          <w:szCs w:val="21"/>
          <w:highlight w:val="none"/>
        </w:rPr>
        <w:t>（二）对</w:t>
      </w:r>
      <w:r>
        <w:rPr>
          <w:rFonts w:hint="eastAsia" w:ascii="宋体" w:hAnsi="Courier New" w:cs="Courier New"/>
          <w:b/>
          <w:color w:val="auto"/>
          <w:szCs w:val="21"/>
          <w:highlight w:val="none"/>
        </w:rPr>
        <w:t>采购</w:t>
      </w:r>
      <w:r>
        <w:rPr>
          <w:rFonts w:ascii="宋体" w:hAnsi="Courier New" w:cs="Courier New"/>
          <w:b/>
          <w:color w:val="auto"/>
          <w:szCs w:val="21"/>
          <w:highlight w:val="none"/>
        </w:rPr>
        <w:t>过程提出质疑的，为各采购程序环节结束之日；</w:t>
      </w:r>
    </w:p>
    <w:p>
      <w:pPr>
        <w:widowControl/>
        <w:spacing w:before="100" w:beforeAutospacing="1" w:after="100" w:afterAutospacing="1" w:line="432" w:lineRule="auto"/>
        <w:ind w:firstLine="206" w:firstLineChars="98"/>
        <w:jc w:val="left"/>
        <w:rPr>
          <w:rFonts w:hint="eastAsia" w:ascii="宋体" w:hAnsi="Courier New" w:cs="Courier New"/>
          <w:b/>
          <w:color w:val="auto"/>
          <w:szCs w:val="21"/>
          <w:highlight w:val="none"/>
        </w:rPr>
      </w:pPr>
      <w:r>
        <w:rPr>
          <w:rFonts w:ascii="宋体" w:hAnsi="Courier New" w:cs="Courier New"/>
          <w:b/>
          <w:color w:val="auto"/>
          <w:szCs w:val="21"/>
          <w:highlight w:val="none"/>
        </w:rPr>
        <w:t>（三）对中标结果提出质疑的，为中标结果公告期限届满之日。</w:t>
      </w:r>
      <w:r>
        <w:rPr>
          <w:rFonts w:hint="eastAsia" w:ascii="宋体" w:hAnsi="Courier New" w:cs="Courier New"/>
          <w:b/>
          <w:color w:val="auto"/>
          <w:szCs w:val="21"/>
          <w:highlight w:val="none"/>
        </w:rPr>
        <w:t>投标人对</w:t>
      </w:r>
      <w:r>
        <w:rPr>
          <w:rFonts w:ascii="宋体" w:hAnsi="宋体"/>
          <w:color w:val="auto"/>
          <w:szCs w:val="21"/>
          <w:highlight w:val="none"/>
        </w:rPr>
        <w:t>采购人</w:t>
      </w:r>
      <w:r>
        <w:rPr>
          <w:rFonts w:hint="eastAsia" w:ascii="宋体" w:hAnsi="Courier New" w:cs="Courier New"/>
          <w:b/>
          <w:color w:val="auto"/>
          <w:szCs w:val="21"/>
          <w:highlight w:val="none"/>
        </w:rPr>
        <w:t>的质疑答复不满意或者</w:t>
      </w:r>
      <w:r>
        <w:rPr>
          <w:rFonts w:ascii="宋体" w:hAnsi="宋体"/>
          <w:color w:val="auto"/>
          <w:szCs w:val="21"/>
          <w:highlight w:val="none"/>
        </w:rPr>
        <w:t>采购人</w:t>
      </w:r>
      <w:r>
        <w:rPr>
          <w:rFonts w:hint="eastAsia" w:ascii="宋体" w:hAnsi="宋体"/>
          <w:color w:val="auto"/>
          <w:szCs w:val="21"/>
          <w:highlight w:val="none"/>
        </w:rPr>
        <w:t>、</w:t>
      </w:r>
      <w:r>
        <w:rPr>
          <w:rFonts w:ascii="宋体" w:hAnsi="宋体"/>
          <w:color w:val="auto"/>
          <w:szCs w:val="21"/>
          <w:highlight w:val="none"/>
        </w:rPr>
        <w:t>采购代理机构</w:t>
      </w:r>
      <w:r>
        <w:rPr>
          <w:rFonts w:hint="eastAsia" w:ascii="宋体" w:hAnsi="Courier New" w:cs="Courier New"/>
          <w:b/>
          <w:color w:val="auto"/>
          <w:szCs w:val="21"/>
          <w:highlight w:val="none"/>
        </w:rPr>
        <w:t>未在规定时间内作出答复的，可以在答复期满后十五个工作日内向</w:t>
      </w:r>
      <w:r>
        <w:rPr>
          <w:rFonts w:hint="eastAsia" w:cs="Courier New"/>
          <w:b/>
          <w:color w:val="auto"/>
          <w:szCs w:val="21"/>
          <w:highlight w:val="none"/>
        </w:rPr>
        <w:t>同级政府采购监督管理部门投诉</w:t>
      </w:r>
      <w:r>
        <w:rPr>
          <w:rFonts w:hint="eastAsia" w:ascii="宋体" w:hAnsi="Courier New" w:cs="Courier New"/>
          <w:b/>
          <w:color w:val="auto"/>
          <w:szCs w:val="21"/>
          <w:highlight w:val="none"/>
        </w:rPr>
        <w:t>。</w:t>
      </w:r>
    </w:p>
    <w:p>
      <w:pPr>
        <w:pStyle w:val="27"/>
        <w:snapToGrid w:val="0"/>
        <w:spacing w:line="360" w:lineRule="exact"/>
        <w:ind w:firstLine="420" w:firstLineChars="200"/>
        <w:rPr>
          <w:rFonts w:hint="eastAsia" w:hAnsi="宋体"/>
          <w:bCs/>
          <w:color w:val="auto"/>
          <w:highlight w:val="none"/>
        </w:rPr>
      </w:pPr>
      <w:r>
        <w:rPr>
          <w:rFonts w:hint="eastAsia" w:hAnsi="宋体"/>
          <w:bCs/>
          <w:color w:val="auto"/>
          <w:highlight w:val="none"/>
        </w:rPr>
        <w:t>3.质疑、投诉应当采用书面形式，质疑书、投诉书均应明确阐述采购文件、采购过程、中标结果中使自己合法权益受到损害的实质性内容，提供相关事实、明确的请求、必要的证明材料，便于有关单位调查、答复和处理。</w:t>
      </w:r>
    </w:p>
    <w:p>
      <w:pPr>
        <w:pStyle w:val="27"/>
        <w:snapToGrid w:val="0"/>
        <w:spacing w:line="360" w:lineRule="exact"/>
        <w:ind w:firstLine="420" w:firstLineChars="200"/>
        <w:rPr>
          <w:rFonts w:hint="eastAsia"/>
          <w:bCs/>
          <w:color w:val="auto"/>
          <w:highlight w:val="none"/>
        </w:rPr>
      </w:pPr>
      <w:r>
        <w:rPr>
          <w:rFonts w:hint="eastAsia"/>
          <w:bCs/>
          <w:color w:val="auto"/>
          <w:highlight w:val="none"/>
        </w:rPr>
        <w:t>4.采购人、采购代理机构接收质疑函的方式、联系部门、联系电话和地址等信息详见“投标人须知前附表”。</w:t>
      </w:r>
    </w:p>
    <w:p>
      <w:pPr>
        <w:pStyle w:val="27"/>
        <w:snapToGrid w:val="0"/>
        <w:spacing w:line="360" w:lineRule="exact"/>
        <w:ind w:firstLine="420" w:firstLineChars="200"/>
        <w:rPr>
          <w:rFonts w:hint="eastAsia" w:hAnsi="宋体"/>
          <w:bCs/>
          <w:color w:val="auto"/>
          <w:highlight w:val="none"/>
        </w:rPr>
      </w:pPr>
    </w:p>
    <w:p>
      <w:pPr>
        <w:pStyle w:val="27"/>
        <w:snapToGrid w:val="0"/>
        <w:spacing w:line="360" w:lineRule="exact"/>
        <w:ind w:firstLine="413" w:firstLineChars="196"/>
        <w:outlineLvl w:val="0"/>
        <w:rPr>
          <w:rFonts w:hint="eastAsia" w:hAnsi="宋体"/>
          <w:b/>
          <w:color w:val="auto"/>
          <w:highlight w:val="none"/>
        </w:rPr>
      </w:pPr>
      <w:bookmarkStart w:id="70" w:name="_Toc254970534"/>
      <w:bookmarkStart w:id="71" w:name="_Toc254970675"/>
      <w:bookmarkStart w:id="72" w:name="_Toc40864640"/>
      <w:bookmarkStart w:id="73" w:name="_Toc40864916"/>
      <w:bookmarkStart w:id="74" w:name="_Toc40865032"/>
      <w:r>
        <w:rPr>
          <w:rFonts w:hint="eastAsia" w:hAnsi="宋体"/>
          <w:b/>
          <w:color w:val="auto"/>
          <w:highlight w:val="none"/>
        </w:rPr>
        <w:t>二、招标文件</w:t>
      </w:r>
      <w:bookmarkEnd w:id="70"/>
      <w:bookmarkEnd w:id="71"/>
      <w:bookmarkEnd w:id="72"/>
      <w:bookmarkEnd w:id="73"/>
      <w:bookmarkEnd w:id="74"/>
    </w:p>
    <w:p>
      <w:pPr>
        <w:snapToGrid w:val="0"/>
        <w:spacing w:line="360" w:lineRule="exact"/>
        <w:ind w:firstLine="413" w:firstLineChars="196"/>
        <w:jc w:val="left"/>
        <w:outlineLvl w:val="0"/>
        <w:rPr>
          <w:rFonts w:hint="eastAsia" w:ascii="宋体" w:hAnsi="宋体"/>
          <w:b/>
          <w:color w:val="auto"/>
          <w:szCs w:val="21"/>
          <w:highlight w:val="none"/>
        </w:rPr>
      </w:pPr>
      <w:bookmarkStart w:id="75" w:name="_Toc40864641"/>
      <w:bookmarkStart w:id="76" w:name="_Toc40865033"/>
      <w:bookmarkStart w:id="77" w:name="_Toc40864917"/>
      <w:r>
        <w:rPr>
          <w:rFonts w:hint="eastAsia" w:ascii="宋体" w:hAnsi="宋体"/>
          <w:b/>
          <w:color w:val="auto"/>
          <w:szCs w:val="21"/>
          <w:highlight w:val="none"/>
        </w:rPr>
        <w:t>（一）招标文件的构成。</w:t>
      </w:r>
      <w:bookmarkEnd w:id="75"/>
      <w:bookmarkEnd w:id="76"/>
      <w:bookmarkEnd w:id="77"/>
    </w:p>
    <w:p>
      <w:pPr>
        <w:snapToGrid w:val="0"/>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1.公开招标公告；</w:t>
      </w:r>
    </w:p>
    <w:p>
      <w:pPr>
        <w:snapToGrid w:val="0"/>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2.招标项目采购需求</w:t>
      </w:r>
    </w:p>
    <w:p>
      <w:pPr>
        <w:snapToGrid w:val="0"/>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3.投标人须知；</w:t>
      </w:r>
    </w:p>
    <w:p>
      <w:pPr>
        <w:snapToGrid w:val="0"/>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4.</w:t>
      </w:r>
      <w:r>
        <w:rPr>
          <w:rFonts w:hint="eastAsia" w:ascii="宋体" w:hAnsi="宋体"/>
          <w:color w:val="auto"/>
          <w:szCs w:val="21"/>
          <w:highlight w:val="none"/>
          <w:lang w:eastAsia="zh-CN"/>
        </w:rPr>
        <w:t>评标方法及评分标准</w:t>
      </w:r>
      <w:r>
        <w:rPr>
          <w:rFonts w:hint="eastAsia" w:ascii="宋体" w:hAnsi="宋体"/>
          <w:color w:val="auto"/>
          <w:szCs w:val="21"/>
          <w:highlight w:val="none"/>
        </w:rPr>
        <w:t>；</w:t>
      </w:r>
    </w:p>
    <w:p>
      <w:pPr>
        <w:snapToGrid w:val="0"/>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5.政府采购合同主要条款；</w:t>
      </w:r>
    </w:p>
    <w:p>
      <w:pPr>
        <w:snapToGrid w:val="0"/>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6.投标文件格式。</w:t>
      </w:r>
    </w:p>
    <w:p>
      <w:pPr>
        <w:snapToGrid w:val="0"/>
        <w:spacing w:before="156" w:beforeLines="50" w:line="360" w:lineRule="exact"/>
        <w:ind w:firstLine="413" w:firstLineChars="196"/>
        <w:jc w:val="left"/>
        <w:outlineLvl w:val="0"/>
        <w:rPr>
          <w:rFonts w:hint="eastAsia" w:ascii="宋体" w:hAnsi="宋体"/>
          <w:b/>
          <w:color w:val="auto"/>
          <w:szCs w:val="21"/>
          <w:highlight w:val="none"/>
        </w:rPr>
      </w:pPr>
      <w:bookmarkStart w:id="78" w:name="_Toc40865034"/>
      <w:bookmarkStart w:id="79" w:name="_Toc40864918"/>
      <w:bookmarkStart w:id="80" w:name="_Toc40864642"/>
      <w:r>
        <w:rPr>
          <w:rFonts w:hint="eastAsia" w:ascii="宋体" w:hAnsi="宋体"/>
          <w:b/>
          <w:color w:val="auto"/>
          <w:szCs w:val="21"/>
          <w:highlight w:val="none"/>
        </w:rPr>
        <w:t>（二）投标人的风险</w:t>
      </w:r>
      <w:bookmarkEnd w:id="78"/>
      <w:bookmarkEnd w:id="79"/>
      <w:bookmarkEnd w:id="80"/>
    </w:p>
    <w:p>
      <w:pPr>
        <w:tabs>
          <w:tab w:val="left" w:pos="180"/>
          <w:tab w:val="left" w:pos="1620"/>
        </w:tabs>
        <w:spacing w:line="400" w:lineRule="exact"/>
        <w:ind w:firstLine="420" w:firstLineChars="200"/>
        <w:rPr>
          <w:rFonts w:hint="eastAsia" w:ascii="宋体" w:hAnsi="宋体" w:cs="Courier New"/>
          <w:color w:val="auto"/>
          <w:szCs w:val="21"/>
          <w:highlight w:val="none"/>
        </w:rPr>
      </w:pPr>
      <w:r>
        <w:rPr>
          <w:rFonts w:hint="eastAsia" w:ascii="宋体" w:hAnsi="宋体" w:cs="Courier New"/>
          <w:color w:val="auto"/>
          <w:szCs w:val="21"/>
          <w:highlight w:val="none"/>
        </w:rPr>
        <w:t>1.投标人应认真阅读招标文件，按照招标文件的要求编制投标文件。投标文件应对招标文件提出的要求和条件作出明确响应。投标人没有按照招标文件要求提供全部资料，或者投标人没有对招标文件在各方面作出明确响应是投标人的风险，并可能导致其投标被拒绝。</w:t>
      </w:r>
      <w:r>
        <w:rPr>
          <w:rFonts w:hint="eastAsia" w:ascii="宋体" w:hAnsi="宋体" w:cs="Courier New"/>
          <w:color w:val="auto"/>
          <w:szCs w:val="21"/>
          <w:highlight w:val="none"/>
        </w:rPr>
        <w:cr/>
      </w:r>
      <w:r>
        <w:rPr>
          <w:rFonts w:hint="eastAsia" w:ascii="宋体" w:hAnsi="宋体" w:cs="Courier New"/>
          <w:color w:val="auto"/>
          <w:szCs w:val="21"/>
          <w:highlight w:val="none"/>
        </w:rPr>
        <w:t xml:space="preserve">    2.对招标文件提出的实质性要求和条件作出明确响应是指投标人必须对招标文件中涉及招标项目的价格、采购货物的主要技术参数和性能配置、数量、交货（或竣工）时间、售后服务及其它要求、合同主要条款等内容作出明确响应。</w:t>
      </w:r>
    </w:p>
    <w:p>
      <w:pPr>
        <w:pStyle w:val="13"/>
        <w:widowControl w:val="0"/>
        <w:tabs>
          <w:tab w:val="clear" w:pos="454"/>
        </w:tabs>
        <w:snapToGrid w:val="0"/>
        <w:spacing w:before="156" w:beforeLines="50" w:after="0" w:afterLines="0" w:line="360" w:lineRule="exact"/>
        <w:ind w:left="0" w:firstLine="413" w:firstLineChars="196"/>
        <w:outlineLvl w:val="0"/>
        <w:rPr>
          <w:rFonts w:hint="eastAsia" w:ascii="宋体" w:hAnsi="宋体"/>
          <w:b/>
          <w:color w:val="auto"/>
          <w:sz w:val="21"/>
          <w:szCs w:val="21"/>
          <w:highlight w:val="none"/>
        </w:rPr>
      </w:pPr>
      <w:bookmarkStart w:id="81" w:name="_Toc40864643"/>
      <w:bookmarkStart w:id="82" w:name="_Toc40865035"/>
      <w:bookmarkStart w:id="83" w:name="_Toc40864919"/>
      <w:r>
        <w:rPr>
          <w:rFonts w:hint="eastAsia" w:ascii="宋体" w:hAnsi="宋体"/>
          <w:b/>
          <w:color w:val="auto"/>
          <w:sz w:val="21"/>
          <w:szCs w:val="21"/>
          <w:highlight w:val="none"/>
        </w:rPr>
        <w:t>（三）招标文件的澄清与修改</w:t>
      </w:r>
      <w:bookmarkEnd w:id="81"/>
      <w:bookmarkEnd w:id="82"/>
      <w:bookmarkEnd w:id="83"/>
      <w:r>
        <w:rPr>
          <w:rFonts w:hint="eastAsia" w:ascii="宋体" w:hAnsi="宋体"/>
          <w:b/>
          <w:color w:val="auto"/>
          <w:sz w:val="21"/>
          <w:szCs w:val="21"/>
          <w:highlight w:val="none"/>
        </w:rPr>
        <w:t xml:space="preserve"> </w:t>
      </w:r>
    </w:p>
    <w:p>
      <w:pPr>
        <w:pStyle w:val="27"/>
        <w:snapToGrid w:val="0"/>
        <w:spacing w:line="360" w:lineRule="exact"/>
        <w:ind w:firstLine="420" w:firstLineChars="200"/>
        <w:rPr>
          <w:rFonts w:hint="eastAsia" w:hAnsi="宋体"/>
          <w:color w:val="auto"/>
          <w:highlight w:val="none"/>
        </w:rPr>
      </w:pPr>
      <w:r>
        <w:rPr>
          <w:rFonts w:hint="eastAsia" w:hAnsi="宋体"/>
          <w:color w:val="auto"/>
          <w:highlight w:val="none"/>
        </w:rPr>
        <w:t>1.</w:t>
      </w:r>
      <w:r>
        <w:rPr>
          <w:rFonts w:hint="eastAsia" w:hAnsi="宋体"/>
          <w:bCs/>
          <w:color w:val="auto"/>
          <w:highlight w:val="none"/>
        </w:rPr>
        <w:t xml:space="preserve"> 投标人应认真阅读本招标文件，发现其中有误或有不合理要求的，投标人</w:t>
      </w:r>
      <w:r>
        <w:rPr>
          <w:rFonts w:hint="eastAsia" w:hAnsi="宋体"/>
          <w:b/>
          <w:bCs/>
          <w:color w:val="auto"/>
          <w:highlight w:val="none"/>
        </w:rPr>
        <w:t>应当</w:t>
      </w:r>
      <w:r>
        <w:rPr>
          <w:rFonts w:hint="eastAsia" w:hAnsi="宋体"/>
          <w:bCs/>
          <w:color w:val="auto"/>
          <w:highlight w:val="none"/>
        </w:rPr>
        <w:t>在</w:t>
      </w:r>
      <w:r>
        <w:rPr>
          <w:rFonts w:hint="eastAsia" w:hAnsi="宋体"/>
          <w:bCs/>
          <w:color w:val="auto"/>
          <w:highlight w:val="none"/>
          <w:u w:val="single"/>
        </w:rPr>
        <w:t>“采购文件：第三章 《投标人须知及前附表》序号6”规定的时间</w:t>
      </w:r>
      <w:r>
        <w:rPr>
          <w:rFonts w:hint="eastAsia" w:hAnsi="宋体"/>
          <w:bCs/>
          <w:color w:val="auto"/>
          <w:highlight w:val="none"/>
        </w:rPr>
        <w:t>前以书面形式要求</w:t>
      </w:r>
      <w:r>
        <w:rPr>
          <w:rFonts w:hAnsi="宋体" w:cs="Times New Roman"/>
          <w:color w:val="auto"/>
          <w:highlight w:val="none"/>
        </w:rPr>
        <w:t>采购人或者采购代理机构</w:t>
      </w:r>
      <w:r>
        <w:rPr>
          <w:rFonts w:hint="eastAsia" w:hAnsi="宋体"/>
          <w:color w:val="auto"/>
          <w:highlight w:val="none"/>
        </w:rPr>
        <w:t>答疑、澄清</w:t>
      </w:r>
      <w:r>
        <w:rPr>
          <w:rFonts w:hint="eastAsia" w:hAnsi="宋体"/>
          <w:bCs/>
          <w:color w:val="auto"/>
          <w:highlight w:val="none"/>
        </w:rPr>
        <w:t>。本中心对已发出的招标文件进行必要澄清或者修改</w:t>
      </w:r>
      <w:r>
        <w:rPr>
          <w:rFonts w:hint="eastAsia" w:hAnsi="宋体"/>
          <w:b/>
          <w:bCs/>
          <w:color w:val="auto"/>
          <w:highlight w:val="none"/>
        </w:rPr>
        <w:t>可能影响投标文件编制的</w:t>
      </w:r>
      <w:r>
        <w:rPr>
          <w:rFonts w:hint="eastAsia" w:hAnsi="宋体"/>
          <w:bCs/>
          <w:color w:val="auto"/>
          <w:highlight w:val="none"/>
        </w:rPr>
        <w:t>，应当在招标文件要求提交投标文件截止时间15日前，在财政部门指定的政府采购信息发布媒体及本中心网站上发布更正公告，并以书面形式通知所有招标文件收受人。该澄清或者修改的内容为招标文件的组成部分</w:t>
      </w:r>
      <w:r>
        <w:rPr>
          <w:rFonts w:hint="eastAsia" w:hAnsi="宋体"/>
          <w:color w:val="auto"/>
          <w:highlight w:val="none"/>
        </w:rPr>
        <w:t>。</w:t>
      </w:r>
    </w:p>
    <w:p>
      <w:pPr>
        <w:pStyle w:val="27"/>
        <w:snapToGrid w:val="0"/>
        <w:spacing w:line="360" w:lineRule="exact"/>
        <w:ind w:firstLine="420" w:firstLineChars="200"/>
        <w:rPr>
          <w:rFonts w:hint="eastAsia" w:hAnsi="宋体"/>
          <w:color w:val="auto"/>
          <w:highlight w:val="none"/>
        </w:rPr>
      </w:pPr>
      <w:r>
        <w:rPr>
          <w:rFonts w:hint="eastAsia" w:hAnsi="宋体"/>
          <w:color w:val="auto"/>
          <w:highlight w:val="none"/>
        </w:rPr>
        <w:t>2.本中心必须以书面形式答复投标人要求澄清的问题，并将不包含问题来源的答复书面通知所有报名登记的投标人；除书面答复以外的其他澄清方式及澄清内容均无效。</w:t>
      </w:r>
    </w:p>
    <w:p>
      <w:pPr>
        <w:pStyle w:val="27"/>
        <w:snapToGrid w:val="0"/>
        <w:spacing w:line="360" w:lineRule="exact"/>
        <w:ind w:firstLine="420" w:firstLineChars="200"/>
        <w:rPr>
          <w:rFonts w:hint="eastAsia" w:hAnsi="宋体"/>
          <w:color w:val="auto"/>
          <w:highlight w:val="none"/>
        </w:rPr>
      </w:pPr>
      <w:r>
        <w:rPr>
          <w:rFonts w:hint="eastAsia" w:hAnsi="宋体"/>
          <w:color w:val="auto"/>
          <w:highlight w:val="none"/>
        </w:rPr>
        <w:t>3.招标文件的答疑、澄清、修改、补充的内容为招标文件的组成部分。当招标文件与招标文件的答疑、澄清、修改、补充通知就同一内容的表述不一致时，以最后发出的书面文件为准。</w:t>
      </w:r>
    </w:p>
    <w:p>
      <w:pPr>
        <w:pStyle w:val="27"/>
        <w:snapToGrid w:val="0"/>
        <w:spacing w:line="360" w:lineRule="exact"/>
        <w:ind w:firstLine="420" w:firstLineChars="200"/>
        <w:rPr>
          <w:rFonts w:hint="eastAsia" w:hAnsi="宋体"/>
          <w:color w:val="auto"/>
          <w:highlight w:val="none"/>
        </w:rPr>
      </w:pPr>
      <w:r>
        <w:rPr>
          <w:rFonts w:hint="eastAsia" w:hAnsi="宋体"/>
          <w:color w:val="auto"/>
          <w:highlight w:val="none"/>
        </w:rPr>
        <w:t>4.招标文件的答疑、澄清、修改、补充都应该通过本中心以法定形式发布，采购人非通过本机构，不得擅自答疑、澄清、修改、补充招标文件。</w:t>
      </w:r>
    </w:p>
    <w:p>
      <w:pPr>
        <w:pStyle w:val="27"/>
        <w:snapToGrid w:val="0"/>
        <w:spacing w:line="360" w:lineRule="exact"/>
        <w:ind w:firstLine="420" w:firstLineChars="200"/>
        <w:rPr>
          <w:rFonts w:hint="eastAsia" w:hAnsi="宋体"/>
          <w:color w:val="auto"/>
          <w:highlight w:val="none"/>
        </w:rPr>
      </w:pPr>
      <w:r>
        <w:rPr>
          <w:rFonts w:hint="eastAsia" w:hAnsi="宋体"/>
          <w:color w:val="auto"/>
          <w:highlight w:val="none"/>
        </w:rPr>
        <w:t>5.本中心可以视采购具体情况，延长招标文件或者资格预审文件提供期限，并在财政部门指定的政府采购信息发布媒体及本中心网站上发布公告。</w:t>
      </w:r>
    </w:p>
    <w:p>
      <w:pPr>
        <w:pStyle w:val="27"/>
        <w:snapToGrid w:val="0"/>
        <w:spacing w:line="360" w:lineRule="exact"/>
        <w:ind w:firstLine="413" w:firstLineChars="196"/>
        <w:outlineLvl w:val="1"/>
        <w:rPr>
          <w:rFonts w:hint="eastAsia" w:hAnsi="宋体"/>
          <w:b/>
          <w:color w:val="auto"/>
          <w:highlight w:val="none"/>
        </w:rPr>
      </w:pPr>
      <w:bookmarkStart w:id="84" w:name="_Toc40865036"/>
      <w:bookmarkStart w:id="85" w:name="_Toc40864920"/>
      <w:bookmarkStart w:id="86" w:name="_Toc40864644"/>
      <w:bookmarkStart w:id="87" w:name="_Toc254970676"/>
      <w:bookmarkStart w:id="88" w:name="_Toc254970535"/>
      <w:r>
        <w:rPr>
          <w:rFonts w:hint="eastAsia" w:hAnsi="宋体"/>
          <w:b/>
          <w:color w:val="auto"/>
          <w:highlight w:val="none"/>
        </w:rPr>
        <w:t>三、投标文件的编制</w:t>
      </w:r>
      <w:bookmarkEnd w:id="84"/>
      <w:bookmarkEnd w:id="85"/>
      <w:bookmarkEnd w:id="86"/>
      <w:bookmarkEnd w:id="87"/>
      <w:bookmarkEnd w:id="88"/>
    </w:p>
    <w:p>
      <w:pPr>
        <w:snapToGrid w:val="0"/>
        <w:spacing w:line="360" w:lineRule="exact"/>
        <w:ind w:firstLine="413" w:firstLineChars="196"/>
        <w:jc w:val="left"/>
        <w:outlineLvl w:val="0"/>
        <w:rPr>
          <w:rFonts w:hint="eastAsia" w:ascii="宋体" w:hAnsi="宋体"/>
          <w:b/>
          <w:color w:val="auto"/>
          <w:szCs w:val="21"/>
          <w:highlight w:val="none"/>
        </w:rPr>
      </w:pPr>
      <w:bookmarkStart w:id="89" w:name="_Toc254970677"/>
      <w:bookmarkStart w:id="90" w:name="_Toc40864921"/>
      <w:bookmarkStart w:id="91" w:name="_Toc40864645"/>
      <w:bookmarkStart w:id="92" w:name="_Toc40865037"/>
      <w:bookmarkStart w:id="93" w:name="_Toc254970536"/>
      <w:r>
        <w:rPr>
          <w:rFonts w:hint="eastAsia" w:ascii="宋体" w:hAnsi="宋体"/>
          <w:b/>
          <w:color w:val="auto"/>
          <w:szCs w:val="21"/>
          <w:highlight w:val="none"/>
        </w:rPr>
        <w:t>（一）投标文件的组成</w:t>
      </w:r>
      <w:bookmarkEnd w:id="89"/>
      <w:bookmarkEnd w:id="90"/>
      <w:bookmarkEnd w:id="91"/>
      <w:bookmarkEnd w:id="92"/>
      <w:bookmarkEnd w:id="93"/>
    </w:p>
    <w:p>
      <w:pPr>
        <w:snapToGrid w:val="0"/>
        <w:spacing w:line="360" w:lineRule="exact"/>
        <w:ind w:firstLine="420" w:firstLineChars="200"/>
        <w:jc w:val="left"/>
        <w:rPr>
          <w:rFonts w:hint="eastAsia" w:ascii="宋体" w:hAnsi="宋体"/>
          <w:color w:val="auto"/>
          <w:szCs w:val="21"/>
          <w:highlight w:val="none"/>
        </w:rPr>
      </w:pPr>
      <w:r>
        <w:rPr>
          <w:rFonts w:hint="eastAsia" w:ascii="宋体"/>
          <w:color w:val="auto"/>
          <w:szCs w:val="21"/>
          <w:highlight w:val="none"/>
        </w:rPr>
        <w:t>投标文件由</w:t>
      </w:r>
      <w:r>
        <w:rPr>
          <w:rFonts w:hint="eastAsia" w:ascii="宋体"/>
          <w:b/>
          <w:bCs/>
          <w:color w:val="auto"/>
          <w:szCs w:val="21"/>
          <w:highlight w:val="none"/>
        </w:rPr>
        <w:t>资格文件、资信及商务文件、技术文件、投标报价文件</w:t>
      </w:r>
      <w:r>
        <w:rPr>
          <w:rFonts w:hint="eastAsia" w:ascii="宋体"/>
          <w:b/>
          <w:color w:val="auto"/>
          <w:szCs w:val="21"/>
          <w:highlight w:val="none"/>
        </w:rPr>
        <w:t>四部份</w:t>
      </w:r>
      <w:r>
        <w:rPr>
          <w:rFonts w:hint="eastAsia" w:ascii="宋体"/>
          <w:color w:val="auto"/>
          <w:szCs w:val="21"/>
          <w:highlight w:val="none"/>
        </w:rPr>
        <w:t>组成。</w:t>
      </w:r>
    </w:p>
    <w:p>
      <w:pPr>
        <w:snapToGrid w:val="0"/>
        <w:spacing w:before="156" w:beforeLines="50" w:line="360" w:lineRule="exact"/>
        <w:ind w:firstLine="413" w:firstLineChars="196"/>
        <w:jc w:val="left"/>
        <w:rPr>
          <w:rFonts w:hint="eastAsia" w:ascii="宋体" w:hAnsi="宋体"/>
          <w:b/>
          <w:color w:val="auto"/>
          <w:szCs w:val="21"/>
          <w:highlight w:val="none"/>
        </w:rPr>
      </w:pPr>
      <w:r>
        <w:rPr>
          <w:rFonts w:hint="eastAsia" w:ascii="宋体" w:hAnsi="宋体"/>
          <w:b/>
          <w:color w:val="auto"/>
          <w:szCs w:val="21"/>
          <w:highlight w:val="none"/>
        </w:rPr>
        <w:t>1.资格文件：</w:t>
      </w:r>
    </w:p>
    <w:p>
      <w:pPr>
        <w:snapToGrid w:val="0"/>
        <w:spacing w:line="360" w:lineRule="exact"/>
        <w:ind w:firstLine="413" w:firstLineChars="196"/>
        <w:jc w:val="left"/>
        <w:rPr>
          <w:rFonts w:hint="eastAsia" w:ascii="宋体" w:hAnsi="宋体"/>
          <w:color w:val="auto"/>
          <w:szCs w:val="21"/>
          <w:highlight w:val="none"/>
        </w:rPr>
      </w:pPr>
      <w:r>
        <w:rPr>
          <w:rFonts w:hint="eastAsia" w:ascii="宋体" w:hAnsi="宋体"/>
          <w:b/>
          <w:color w:val="auto"/>
          <w:szCs w:val="21"/>
          <w:highlight w:val="none"/>
        </w:rPr>
        <w:t>（1）</w:t>
      </w:r>
      <w:r>
        <w:rPr>
          <w:rFonts w:hint="eastAsia" w:ascii="宋体" w:hAnsi="宋体"/>
          <w:color w:val="auto"/>
          <w:szCs w:val="21"/>
          <w:highlight w:val="none"/>
        </w:rPr>
        <w:t>有效的营业执照等证明文件扫描件或其他电子文件；</w:t>
      </w:r>
    </w:p>
    <w:p>
      <w:pPr>
        <w:snapToGrid w:val="0"/>
        <w:spacing w:line="360" w:lineRule="exact"/>
        <w:ind w:firstLine="411" w:firstLineChars="196"/>
        <w:jc w:val="left"/>
        <w:rPr>
          <w:rFonts w:hint="eastAsia" w:hAnsi="宋体"/>
          <w:b/>
          <w:color w:val="auto"/>
          <w:highlight w:val="none"/>
        </w:rPr>
      </w:pPr>
      <w:r>
        <w:rPr>
          <w:rFonts w:hint="eastAsia" w:hAnsi="宋体"/>
          <w:color w:val="auto"/>
          <w:highlight w:val="none"/>
        </w:rPr>
        <w:t>①</w:t>
      </w:r>
      <w:r>
        <w:rPr>
          <w:rFonts w:hint="eastAsia" w:hAnsi="宋体"/>
          <w:b/>
          <w:color w:val="auto"/>
          <w:highlight w:val="none"/>
        </w:rPr>
        <w:t>投标人有效的营业执照等证明文件</w:t>
      </w:r>
      <w:r>
        <w:rPr>
          <w:rFonts w:hint="eastAsia" w:ascii="宋体" w:hAnsi="宋体"/>
          <w:color w:val="auto"/>
          <w:szCs w:val="21"/>
          <w:highlight w:val="none"/>
        </w:rPr>
        <w:t>扫描件或其他电子文件</w:t>
      </w:r>
      <w:r>
        <w:rPr>
          <w:rFonts w:hint="eastAsia" w:hAnsi="宋体"/>
          <w:b/>
          <w:color w:val="auto"/>
          <w:highlight w:val="none"/>
        </w:rPr>
        <w:t>，同时要加盖单位公章（</w:t>
      </w:r>
      <w:r>
        <w:rPr>
          <w:rFonts w:hint="eastAsia" w:hAnsi="宋体"/>
          <w:b/>
          <w:color w:val="auto"/>
          <w:highlight w:val="none"/>
          <w:u w:val="single"/>
        </w:rPr>
        <w:t>必须提供，原件备查</w:t>
      </w:r>
      <w:r>
        <w:rPr>
          <w:rFonts w:hint="eastAsia" w:hAnsi="宋体"/>
          <w:b/>
          <w:color w:val="auto"/>
          <w:highlight w:val="none"/>
        </w:rPr>
        <w:t>）</w:t>
      </w:r>
      <w:r>
        <w:rPr>
          <w:rFonts w:hint="eastAsia" w:hAnsi="宋体"/>
          <w:color w:val="auto"/>
          <w:highlight w:val="none"/>
        </w:rPr>
        <w:t>；</w:t>
      </w:r>
    </w:p>
    <w:p>
      <w:pPr>
        <w:snapToGrid w:val="0"/>
        <w:spacing w:line="360" w:lineRule="exact"/>
        <w:ind w:firstLine="411" w:firstLineChars="196"/>
        <w:jc w:val="left"/>
        <w:rPr>
          <w:rFonts w:hint="eastAsia" w:hAnsi="宋体"/>
          <w:b/>
          <w:color w:val="auto"/>
          <w:highlight w:val="none"/>
        </w:rPr>
      </w:pPr>
      <w:r>
        <w:rPr>
          <w:rFonts w:hint="eastAsia" w:hAnsi="宋体"/>
          <w:color w:val="auto"/>
          <w:highlight w:val="none"/>
        </w:rPr>
        <w:t>②</w:t>
      </w:r>
      <w:r>
        <w:rPr>
          <w:rFonts w:hint="eastAsia" w:hAnsi="宋体"/>
          <w:b/>
          <w:color w:val="auto"/>
          <w:highlight w:val="none"/>
        </w:rPr>
        <w:t>对于有经营资质要求的，投标人必须提供有效的经营资质证书副本内页</w:t>
      </w:r>
      <w:r>
        <w:rPr>
          <w:rFonts w:hint="eastAsia" w:ascii="宋体" w:hAnsi="宋体"/>
          <w:color w:val="auto"/>
          <w:szCs w:val="21"/>
          <w:highlight w:val="none"/>
        </w:rPr>
        <w:t>扫描件或其他电子文件</w:t>
      </w:r>
      <w:r>
        <w:rPr>
          <w:rFonts w:hint="eastAsia" w:hAnsi="宋体"/>
          <w:b/>
          <w:color w:val="auto"/>
          <w:highlight w:val="none"/>
        </w:rPr>
        <w:t>，同时要加盖单位公章（</w:t>
      </w:r>
      <w:r>
        <w:rPr>
          <w:rFonts w:hint="eastAsia" w:hAnsi="宋体"/>
          <w:b/>
          <w:color w:val="auto"/>
          <w:highlight w:val="none"/>
          <w:u w:val="single"/>
        </w:rPr>
        <w:t>必须提供，原件备查</w:t>
      </w:r>
      <w:r>
        <w:rPr>
          <w:rFonts w:hint="eastAsia" w:hAnsi="宋体"/>
          <w:b/>
          <w:color w:val="auto"/>
          <w:highlight w:val="none"/>
        </w:rPr>
        <w:t>）；</w:t>
      </w:r>
    </w:p>
    <w:p>
      <w:pPr>
        <w:snapToGrid w:val="0"/>
        <w:spacing w:line="360" w:lineRule="exact"/>
        <w:ind w:firstLine="413" w:firstLineChars="196"/>
        <w:jc w:val="left"/>
        <w:rPr>
          <w:rFonts w:ascii="宋体" w:hAnsi="宋体"/>
          <w:b/>
          <w:color w:val="auto"/>
          <w:szCs w:val="21"/>
          <w:highlight w:val="none"/>
        </w:rPr>
      </w:pPr>
      <w:r>
        <w:rPr>
          <w:rFonts w:hint="eastAsia" w:ascii="宋体" w:hAnsi="宋体"/>
          <w:b/>
          <w:color w:val="auto"/>
          <w:szCs w:val="21"/>
          <w:highlight w:val="none"/>
        </w:rPr>
        <w:t>（2）</w:t>
      </w:r>
      <w:r>
        <w:rPr>
          <w:rFonts w:hint="eastAsia" w:ascii="宋体" w:hAnsi="宋体" w:cs="宋体"/>
          <w:color w:val="auto"/>
          <w:kern w:val="0"/>
          <w:szCs w:val="21"/>
          <w:highlight w:val="none"/>
        </w:rPr>
        <w:t>参加政府采购活动前三年内在经营活动中没有</w:t>
      </w:r>
      <w:r>
        <w:rPr>
          <w:rFonts w:hint="eastAsia" w:ascii="宋体" w:hAnsi="宋体" w:cs="宋体"/>
          <w:b/>
          <w:color w:val="auto"/>
          <w:kern w:val="0"/>
          <w:szCs w:val="21"/>
          <w:highlight w:val="none"/>
        </w:rPr>
        <w:t>重大违法记录的书面声明</w:t>
      </w:r>
      <w:r>
        <w:rPr>
          <w:rFonts w:hint="eastAsia" w:ascii="宋体" w:hAnsi="宋体"/>
          <w:b/>
          <w:color w:val="auto"/>
          <w:szCs w:val="21"/>
          <w:highlight w:val="none"/>
        </w:rPr>
        <w:t>和信用记录查询方法；</w:t>
      </w:r>
    </w:p>
    <w:p>
      <w:pPr>
        <w:snapToGrid w:val="0"/>
        <w:spacing w:line="360" w:lineRule="exact"/>
        <w:ind w:firstLine="411" w:firstLineChars="196"/>
        <w:jc w:val="left"/>
        <w:rPr>
          <w:rFonts w:hint="eastAsia" w:ascii="宋体" w:hAnsi="宋体"/>
          <w:color w:val="auto"/>
          <w:szCs w:val="21"/>
          <w:highlight w:val="none"/>
        </w:rPr>
      </w:pPr>
      <w:r>
        <w:rPr>
          <w:rFonts w:hint="eastAsia" w:ascii="宋体" w:hAnsi="宋体"/>
          <w:color w:val="auto"/>
          <w:szCs w:val="21"/>
          <w:highlight w:val="none"/>
        </w:rPr>
        <w:t>①</w:t>
      </w:r>
      <w:r>
        <w:rPr>
          <w:rFonts w:hint="eastAsia" w:ascii="宋体" w:hAnsi="宋体" w:cs="宋体"/>
          <w:color w:val="auto"/>
          <w:kern w:val="0"/>
          <w:szCs w:val="21"/>
          <w:highlight w:val="none"/>
        </w:rPr>
        <w:t>参加政府采购活动前三年内在经营活动中没有</w:t>
      </w:r>
      <w:r>
        <w:rPr>
          <w:rFonts w:hint="eastAsia" w:ascii="宋体" w:hAnsi="宋体" w:cs="宋体"/>
          <w:b/>
          <w:color w:val="auto"/>
          <w:kern w:val="0"/>
          <w:szCs w:val="21"/>
          <w:highlight w:val="none"/>
        </w:rPr>
        <w:t>重大违法记录的书面声明</w:t>
      </w:r>
      <w:r>
        <w:rPr>
          <w:rFonts w:hint="eastAsia" w:ascii="宋体" w:hAnsi="宋体"/>
          <w:color w:val="auto"/>
          <w:szCs w:val="21"/>
          <w:highlight w:val="none"/>
        </w:rPr>
        <w:t>（格式自拟，必须提供）；</w:t>
      </w:r>
    </w:p>
    <w:p>
      <w:pPr>
        <w:snapToGrid w:val="0"/>
        <w:spacing w:line="360" w:lineRule="exact"/>
        <w:ind w:firstLine="411" w:firstLineChars="196"/>
        <w:jc w:val="left"/>
        <w:rPr>
          <w:rFonts w:hint="eastAsia" w:ascii="宋体" w:hAnsi="宋体"/>
          <w:color w:val="auto"/>
          <w:szCs w:val="21"/>
          <w:highlight w:val="none"/>
        </w:rPr>
      </w:pPr>
      <w:r>
        <w:rPr>
          <w:rFonts w:hint="eastAsia" w:ascii="宋体" w:hAnsi="宋体"/>
          <w:color w:val="auto"/>
          <w:szCs w:val="21"/>
          <w:highlight w:val="none"/>
        </w:rPr>
        <w:t>②供应商可在“信用中国”网站（www.creditchina.gov.cn）、中国政府采购网（www.ccgp.gov.cn）查询相关供应商主体信用记录。</w:t>
      </w:r>
      <w:r>
        <w:rPr>
          <w:rFonts w:hint="eastAsia" w:ascii="宋体" w:hAnsi="宋体"/>
          <w:b/>
          <w:bCs/>
          <w:color w:val="auto"/>
          <w:szCs w:val="21"/>
          <w:highlight w:val="none"/>
          <w:u w:val="single"/>
        </w:rPr>
        <w:t>（请提供，信用记录查询）</w:t>
      </w:r>
    </w:p>
    <w:p>
      <w:pPr>
        <w:snapToGrid w:val="0"/>
        <w:spacing w:line="360" w:lineRule="exact"/>
        <w:ind w:firstLine="411" w:firstLineChars="196"/>
        <w:jc w:val="left"/>
        <w:rPr>
          <w:rFonts w:hint="eastAsia" w:ascii="宋体" w:hAnsi="宋体"/>
          <w:color w:val="auto"/>
          <w:szCs w:val="21"/>
          <w:highlight w:val="none"/>
        </w:rPr>
      </w:pPr>
      <w:r>
        <w:rPr>
          <w:rFonts w:hint="eastAsia" w:ascii="宋体" w:hAnsi="宋体"/>
          <w:color w:val="auto"/>
          <w:szCs w:val="21"/>
          <w:highlight w:val="none"/>
        </w:rPr>
        <w:t>“信用中国”网站查询方法：投标人在本项目投标截止时间前10日内,进入投标人基本信息页面，点击“下载信用报告”后点击“下载”。</w:t>
      </w:r>
    </w:p>
    <w:p>
      <w:pPr>
        <w:snapToGrid w:val="0"/>
        <w:spacing w:line="360" w:lineRule="exact"/>
        <w:ind w:firstLine="411" w:firstLineChars="196"/>
        <w:jc w:val="left"/>
        <w:rPr>
          <w:rFonts w:hint="eastAsia" w:ascii="宋体" w:hAnsi="宋体"/>
          <w:color w:val="auto"/>
          <w:szCs w:val="21"/>
          <w:highlight w:val="none"/>
        </w:rPr>
      </w:pPr>
      <w:r>
        <w:rPr>
          <w:rFonts w:hint="eastAsia" w:ascii="宋体" w:hAnsi="宋体"/>
          <w:color w:val="auto"/>
          <w:szCs w:val="21"/>
          <w:highlight w:val="none"/>
        </w:rPr>
        <w:t xml:space="preserve"> “中国政府采购网”的查询方法：点击“政府采购严重违法失信行为记录名单”进行查询。页面中的处罚日期不设置起始时间，只能设置截止时间，截止时间为本项目投标截止时间前10日至投标截止时间中任意一天。</w:t>
      </w:r>
    </w:p>
    <w:p>
      <w:pPr>
        <w:snapToGrid w:val="0"/>
        <w:spacing w:line="360" w:lineRule="exact"/>
        <w:ind w:firstLine="411" w:firstLineChars="196"/>
        <w:jc w:val="left"/>
        <w:rPr>
          <w:rFonts w:hint="eastAsia" w:hAnsi="宋体"/>
          <w:color w:val="auto"/>
          <w:highlight w:val="none"/>
        </w:rPr>
      </w:pPr>
      <w:r>
        <w:rPr>
          <w:rFonts w:hint="eastAsia" w:ascii="宋体" w:hAnsi="宋体"/>
          <w:color w:val="auto"/>
          <w:szCs w:val="21"/>
          <w:highlight w:val="none"/>
        </w:rPr>
        <w:t>采购人或者本中心将对供应商信用记录进行甄别，对列入失信被执行人、重大税收违法案件当事人名单、政府采购严重违法失信行为记录名单及其他不符合《中华人民共和国政府采购法》第二十二条规定条件的供应商，将拒绝其参与政府采购活动。</w:t>
      </w:r>
    </w:p>
    <w:p>
      <w:pPr>
        <w:snapToGrid w:val="0"/>
        <w:spacing w:before="156" w:beforeLines="50" w:line="360" w:lineRule="exact"/>
        <w:ind w:firstLine="413" w:firstLineChars="196"/>
        <w:jc w:val="left"/>
        <w:rPr>
          <w:rFonts w:hint="eastAsia" w:ascii="宋体" w:hAnsi="宋体"/>
          <w:b/>
          <w:color w:val="auto"/>
          <w:szCs w:val="21"/>
          <w:highlight w:val="none"/>
        </w:rPr>
      </w:pPr>
      <w:r>
        <w:rPr>
          <w:rFonts w:hint="eastAsia" w:ascii="宋体" w:hAnsi="宋体"/>
          <w:b/>
          <w:color w:val="auto"/>
          <w:szCs w:val="21"/>
          <w:highlight w:val="none"/>
        </w:rPr>
        <w:t>2.资信及商务文件：</w:t>
      </w:r>
    </w:p>
    <w:p>
      <w:pPr>
        <w:snapToGrid w:val="0"/>
        <w:spacing w:line="360" w:lineRule="exact"/>
        <w:ind w:firstLine="413" w:firstLineChars="196"/>
        <w:jc w:val="left"/>
        <w:rPr>
          <w:rFonts w:hint="eastAsia" w:ascii="宋体" w:hAnsi="宋体"/>
          <w:color w:val="auto"/>
          <w:szCs w:val="21"/>
          <w:highlight w:val="none"/>
        </w:rPr>
      </w:pPr>
      <w:r>
        <w:rPr>
          <w:rFonts w:hint="eastAsia" w:ascii="宋体" w:hAnsi="宋体"/>
          <w:b/>
          <w:color w:val="auto"/>
          <w:szCs w:val="21"/>
          <w:highlight w:val="none"/>
        </w:rPr>
        <w:t>（1）投标保证金的相关证明</w:t>
      </w:r>
      <w:r>
        <w:rPr>
          <w:rFonts w:hint="eastAsia" w:ascii="宋体" w:hAnsi="宋体"/>
          <w:color w:val="auto"/>
          <w:szCs w:val="21"/>
          <w:highlight w:val="none"/>
        </w:rPr>
        <w:t>扫描件或其他电子文件</w:t>
      </w:r>
      <w:r>
        <w:rPr>
          <w:rFonts w:hint="eastAsia" w:ascii="宋体" w:hAnsi="宋体"/>
          <w:b/>
          <w:color w:val="auto"/>
          <w:szCs w:val="21"/>
          <w:highlight w:val="none"/>
        </w:rPr>
        <w:t>（可单独提交）（</w:t>
      </w:r>
      <w:r>
        <w:rPr>
          <w:rFonts w:hint="eastAsia" w:ascii="宋体" w:hAnsi="宋体"/>
          <w:b/>
          <w:color w:val="auto"/>
          <w:szCs w:val="21"/>
          <w:highlight w:val="none"/>
          <w:u w:val="single"/>
        </w:rPr>
        <w:t>必须提供</w:t>
      </w:r>
      <w:r>
        <w:rPr>
          <w:rFonts w:hint="eastAsia" w:ascii="宋体" w:hAnsi="宋体"/>
          <w:b/>
          <w:color w:val="auto"/>
          <w:szCs w:val="21"/>
          <w:highlight w:val="none"/>
        </w:rPr>
        <w:t>）</w:t>
      </w:r>
      <w:r>
        <w:rPr>
          <w:rFonts w:hint="eastAsia" w:ascii="宋体" w:hAnsi="宋体"/>
          <w:color w:val="auto"/>
          <w:szCs w:val="21"/>
          <w:highlight w:val="none"/>
        </w:rPr>
        <w:t>；</w:t>
      </w:r>
    </w:p>
    <w:p>
      <w:pPr>
        <w:snapToGrid w:val="0"/>
        <w:spacing w:line="360" w:lineRule="exact"/>
        <w:ind w:firstLine="413" w:firstLineChars="196"/>
        <w:jc w:val="left"/>
        <w:rPr>
          <w:rFonts w:hint="eastAsia" w:ascii="宋体" w:hAnsi="宋体"/>
          <w:color w:val="auto"/>
          <w:szCs w:val="21"/>
          <w:highlight w:val="none"/>
        </w:rPr>
      </w:pPr>
      <w:r>
        <w:rPr>
          <w:rFonts w:hint="eastAsia" w:ascii="宋体" w:hAnsi="宋体"/>
          <w:b/>
          <w:color w:val="auto"/>
          <w:szCs w:val="21"/>
          <w:highlight w:val="none"/>
        </w:rPr>
        <w:t>（2）投标声明书 (格式见第六章)（</w:t>
      </w:r>
      <w:r>
        <w:rPr>
          <w:rFonts w:hint="eastAsia" w:ascii="宋体" w:hAnsi="宋体"/>
          <w:b/>
          <w:color w:val="auto"/>
          <w:szCs w:val="21"/>
          <w:highlight w:val="none"/>
          <w:u w:val="single"/>
        </w:rPr>
        <w:t>必须提供）</w:t>
      </w:r>
      <w:r>
        <w:rPr>
          <w:rFonts w:hint="eastAsia" w:ascii="宋体" w:hAnsi="宋体"/>
          <w:color w:val="auto"/>
          <w:szCs w:val="21"/>
          <w:highlight w:val="none"/>
        </w:rPr>
        <w:t>；</w:t>
      </w:r>
    </w:p>
    <w:p>
      <w:pPr>
        <w:snapToGrid w:val="0"/>
        <w:spacing w:line="360" w:lineRule="exact"/>
        <w:ind w:firstLine="413" w:firstLineChars="196"/>
        <w:jc w:val="left"/>
        <w:rPr>
          <w:rFonts w:hint="eastAsia" w:ascii="宋体" w:hAnsi="宋体"/>
          <w:color w:val="auto"/>
          <w:szCs w:val="21"/>
          <w:highlight w:val="none"/>
        </w:rPr>
      </w:pPr>
      <w:r>
        <w:rPr>
          <w:rFonts w:hint="eastAsia" w:ascii="宋体" w:hAnsi="宋体"/>
          <w:b/>
          <w:color w:val="auto"/>
          <w:szCs w:val="21"/>
          <w:highlight w:val="none"/>
        </w:rPr>
        <w:t>（3）法定代表人授权委托书和委托代理人身份证</w:t>
      </w:r>
      <w:r>
        <w:rPr>
          <w:rFonts w:hint="eastAsia" w:ascii="宋体" w:hAnsi="宋体"/>
          <w:color w:val="auto"/>
          <w:szCs w:val="21"/>
          <w:highlight w:val="none"/>
        </w:rPr>
        <w:t>扫描件或其他电子文件</w:t>
      </w:r>
      <w:r>
        <w:rPr>
          <w:rFonts w:hint="eastAsia" w:ascii="宋体" w:hAnsi="宋体"/>
          <w:b/>
          <w:color w:val="auto"/>
          <w:szCs w:val="21"/>
          <w:highlight w:val="none"/>
        </w:rPr>
        <w:t>（格式见第六章)（必须提供）</w:t>
      </w:r>
      <w:r>
        <w:rPr>
          <w:rFonts w:hint="eastAsia" w:ascii="宋体" w:hAnsi="宋体"/>
          <w:color w:val="auto"/>
          <w:szCs w:val="21"/>
          <w:highlight w:val="none"/>
        </w:rPr>
        <w:t>；</w:t>
      </w:r>
      <w:r>
        <w:rPr>
          <w:rFonts w:hint="eastAsia" w:ascii="宋体" w:hAnsi="宋体"/>
          <w:b/>
          <w:color w:val="auto"/>
          <w:szCs w:val="21"/>
          <w:highlight w:val="none"/>
        </w:rPr>
        <w:t>当法定代表人参加投标时，必须提供法定代表人身份证</w:t>
      </w:r>
      <w:r>
        <w:rPr>
          <w:rFonts w:hint="eastAsia" w:ascii="宋体" w:hAnsi="宋体"/>
          <w:color w:val="auto"/>
          <w:szCs w:val="21"/>
          <w:highlight w:val="none"/>
        </w:rPr>
        <w:t>扫描件或其他电子文件；</w:t>
      </w:r>
    </w:p>
    <w:p>
      <w:pPr>
        <w:snapToGrid w:val="0"/>
        <w:spacing w:line="360" w:lineRule="exact"/>
        <w:ind w:firstLine="413" w:firstLineChars="196"/>
        <w:jc w:val="left"/>
        <w:rPr>
          <w:rFonts w:ascii="宋体" w:hAnsi="宋体"/>
          <w:b/>
          <w:color w:val="auto"/>
          <w:szCs w:val="21"/>
          <w:highlight w:val="none"/>
        </w:rPr>
      </w:pPr>
      <w:r>
        <w:rPr>
          <w:rFonts w:hint="eastAsia" w:ascii="宋体" w:hAnsi="宋体"/>
          <w:b/>
          <w:color w:val="auto"/>
          <w:szCs w:val="21"/>
          <w:highlight w:val="none"/>
        </w:rPr>
        <w:t>（4）投标截止之日前半年内投标人连续三个月的依法缴纳税费或依法免缴税费的证明（</w:t>
      </w:r>
      <w:r>
        <w:rPr>
          <w:rFonts w:hint="eastAsia" w:ascii="宋体" w:hAnsi="宋体"/>
          <w:color w:val="auto"/>
          <w:szCs w:val="21"/>
          <w:highlight w:val="none"/>
        </w:rPr>
        <w:t>扫描件或其他电子文件</w:t>
      </w:r>
      <w:r>
        <w:rPr>
          <w:rFonts w:hint="eastAsia" w:ascii="宋体" w:hAnsi="宋体"/>
          <w:b/>
          <w:color w:val="auto"/>
          <w:szCs w:val="21"/>
          <w:highlight w:val="none"/>
        </w:rPr>
        <w:t>，原件备查，格式自拟）（</w:t>
      </w:r>
      <w:r>
        <w:rPr>
          <w:rFonts w:hint="eastAsia" w:ascii="宋体" w:hAnsi="宋体"/>
          <w:b/>
          <w:color w:val="auto"/>
          <w:szCs w:val="21"/>
          <w:highlight w:val="none"/>
          <w:u w:val="single"/>
        </w:rPr>
        <w:t>必须提供</w:t>
      </w:r>
      <w:r>
        <w:rPr>
          <w:rFonts w:hint="eastAsia" w:ascii="宋体" w:hAnsi="宋体"/>
          <w:b/>
          <w:color w:val="auto"/>
          <w:szCs w:val="21"/>
          <w:highlight w:val="none"/>
        </w:rPr>
        <w:t>）；</w:t>
      </w:r>
      <w:r>
        <w:rPr>
          <w:rFonts w:hint="eastAsia" w:ascii="宋体" w:hAnsi="宋体"/>
          <w:color w:val="auto"/>
          <w:szCs w:val="21"/>
          <w:highlight w:val="none"/>
        </w:rPr>
        <w:t>无纳税记录的，应提供由投标人所在地主管国税或地税部门出具的《依法纳税或依法免税证明》（格式自拟，扫描件或其他电子文件，原件备查）。</w:t>
      </w:r>
    </w:p>
    <w:p>
      <w:pPr>
        <w:snapToGrid w:val="0"/>
        <w:spacing w:line="360" w:lineRule="exact"/>
        <w:ind w:firstLine="413" w:firstLineChars="196"/>
        <w:jc w:val="left"/>
        <w:rPr>
          <w:rFonts w:hint="eastAsia" w:ascii="宋体" w:hAnsi="宋体"/>
          <w:color w:val="auto"/>
          <w:szCs w:val="21"/>
          <w:highlight w:val="none"/>
        </w:rPr>
      </w:pPr>
      <w:r>
        <w:rPr>
          <w:rFonts w:hint="eastAsia" w:ascii="宋体" w:hAnsi="宋体"/>
          <w:b/>
          <w:color w:val="auto"/>
          <w:szCs w:val="21"/>
          <w:highlight w:val="none"/>
        </w:rPr>
        <w:t>（5）投标截止之日前半年内投标人连续三个月的依法缴纳社保费的缴费凭证</w:t>
      </w:r>
      <w:r>
        <w:rPr>
          <w:rFonts w:hint="eastAsia" w:ascii="宋体" w:hAnsi="宋体"/>
          <w:color w:val="auto"/>
          <w:szCs w:val="21"/>
          <w:highlight w:val="none"/>
        </w:rPr>
        <w:t>（</w:t>
      </w:r>
      <w:r>
        <w:rPr>
          <w:rFonts w:hint="eastAsia" w:ascii="宋体" w:hAnsi="宋体"/>
          <w:b/>
          <w:color w:val="auto"/>
          <w:szCs w:val="21"/>
          <w:highlight w:val="none"/>
        </w:rPr>
        <w:t>扫描件或其他电子文件，原件备查，格式自拟）（</w:t>
      </w:r>
      <w:r>
        <w:rPr>
          <w:rFonts w:hint="eastAsia" w:ascii="宋体" w:hAnsi="宋体"/>
          <w:b/>
          <w:color w:val="auto"/>
          <w:szCs w:val="21"/>
          <w:highlight w:val="none"/>
          <w:u w:val="single"/>
        </w:rPr>
        <w:t>必须提供</w:t>
      </w:r>
      <w:r>
        <w:rPr>
          <w:rFonts w:hint="eastAsia" w:ascii="宋体" w:hAnsi="宋体"/>
          <w:b/>
          <w:color w:val="auto"/>
          <w:szCs w:val="21"/>
          <w:highlight w:val="none"/>
        </w:rPr>
        <w:t>）；</w:t>
      </w:r>
      <w:r>
        <w:rPr>
          <w:rFonts w:hint="eastAsia" w:ascii="宋体" w:hAnsi="宋体"/>
          <w:color w:val="auto"/>
          <w:szCs w:val="21"/>
          <w:highlight w:val="none"/>
        </w:rPr>
        <w:t>无缴费记录的，应提供由投标人所在地社保部门出具的《依法缴纳或依法免缴社保费证明》（格式自拟，扫描件或其他电子文件，原件备查）。</w:t>
      </w:r>
    </w:p>
    <w:p>
      <w:pPr>
        <w:snapToGrid w:val="0"/>
        <w:spacing w:line="360" w:lineRule="exact"/>
        <w:jc w:val="left"/>
        <w:rPr>
          <w:rFonts w:hint="eastAsia" w:ascii="宋体" w:hAnsi="宋体"/>
          <w:b/>
          <w:color w:val="auto"/>
          <w:szCs w:val="21"/>
          <w:highlight w:val="none"/>
        </w:rPr>
      </w:pPr>
      <w:r>
        <w:rPr>
          <w:rFonts w:hint="eastAsia" w:ascii="宋体" w:hAnsi="宋体"/>
          <w:b/>
          <w:color w:val="auto"/>
          <w:szCs w:val="21"/>
          <w:highlight w:val="none"/>
        </w:rPr>
        <w:t xml:space="preserve">    （6）</w:t>
      </w:r>
      <w:r>
        <w:rPr>
          <w:rFonts w:ascii="宋体" w:hAnsi="宋体"/>
          <w:b/>
          <w:color w:val="auto"/>
          <w:szCs w:val="21"/>
          <w:highlight w:val="none"/>
        </w:rPr>
        <w:t>财务状况报告</w:t>
      </w:r>
      <w:r>
        <w:rPr>
          <w:rFonts w:hint="eastAsia" w:ascii="宋体" w:hAnsi="宋体"/>
          <w:b/>
          <w:color w:val="auto"/>
          <w:szCs w:val="21"/>
          <w:highlight w:val="none"/>
        </w:rPr>
        <w:t>（</w:t>
      </w:r>
      <w:r>
        <w:rPr>
          <w:rFonts w:hint="eastAsia" w:ascii="宋体" w:hAnsi="宋体"/>
          <w:b/>
          <w:color w:val="auto"/>
          <w:szCs w:val="21"/>
          <w:highlight w:val="none"/>
          <w:u w:val="single"/>
        </w:rPr>
        <w:t>格式自拟，必须提供</w:t>
      </w:r>
      <w:r>
        <w:rPr>
          <w:rFonts w:hint="eastAsia" w:ascii="宋体" w:hAnsi="宋体"/>
          <w:b/>
          <w:color w:val="auto"/>
          <w:szCs w:val="21"/>
          <w:highlight w:val="none"/>
        </w:rPr>
        <w:t>）；</w:t>
      </w:r>
    </w:p>
    <w:p>
      <w:pPr>
        <w:snapToGrid w:val="0"/>
        <w:spacing w:line="360" w:lineRule="exact"/>
        <w:ind w:firstLine="413" w:firstLineChars="196"/>
        <w:jc w:val="left"/>
        <w:rPr>
          <w:rFonts w:hint="eastAsia" w:ascii="宋体" w:hAnsi="宋体"/>
          <w:color w:val="auto"/>
          <w:szCs w:val="21"/>
          <w:highlight w:val="none"/>
        </w:rPr>
      </w:pPr>
      <w:r>
        <w:rPr>
          <w:rFonts w:hint="eastAsia" w:ascii="宋体" w:hAnsi="宋体" w:cs="宋体"/>
          <w:b/>
          <w:color w:val="auto"/>
          <w:kern w:val="0"/>
          <w:szCs w:val="21"/>
          <w:highlight w:val="none"/>
        </w:rPr>
        <w:t>（7）</w:t>
      </w:r>
      <w:r>
        <w:rPr>
          <w:rFonts w:ascii="宋体" w:hAnsi="宋体"/>
          <w:b/>
          <w:color w:val="auto"/>
          <w:szCs w:val="21"/>
          <w:highlight w:val="none"/>
        </w:rPr>
        <w:t>具备履行合同所必需的设备和专业技术能力的证明材料</w:t>
      </w:r>
      <w:r>
        <w:rPr>
          <w:rFonts w:hint="eastAsia" w:ascii="宋体" w:hAnsi="宋体"/>
          <w:b/>
          <w:color w:val="auto"/>
          <w:szCs w:val="21"/>
          <w:highlight w:val="none"/>
        </w:rPr>
        <w:t>（</w:t>
      </w:r>
      <w:r>
        <w:rPr>
          <w:rFonts w:hint="eastAsia" w:ascii="宋体" w:hAnsi="宋体"/>
          <w:b/>
          <w:color w:val="auto"/>
          <w:szCs w:val="21"/>
          <w:highlight w:val="none"/>
          <w:u w:val="single"/>
        </w:rPr>
        <w:t>内容、格式自拟，必须提供</w:t>
      </w:r>
      <w:r>
        <w:rPr>
          <w:rFonts w:hint="eastAsia" w:ascii="宋体" w:hAnsi="宋体"/>
          <w:b/>
          <w:color w:val="auto"/>
          <w:szCs w:val="21"/>
          <w:highlight w:val="none"/>
        </w:rPr>
        <w:t>）</w:t>
      </w:r>
      <w:r>
        <w:rPr>
          <w:rFonts w:hint="eastAsia" w:ascii="宋体" w:hAnsi="宋体" w:cs="宋体"/>
          <w:b/>
          <w:color w:val="auto"/>
          <w:kern w:val="0"/>
          <w:szCs w:val="21"/>
          <w:highlight w:val="none"/>
        </w:rPr>
        <w:t>；</w:t>
      </w:r>
    </w:p>
    <w:p>
      <w:pPr>
        <w:snapToGrid w:val="0"/>
        <w:spacing w:line="360" w:lineRule="exact"/>
        <w:ind w:firstLine="411" w:firstLineChars="196"/>
        <w:jc w:val="left"/>
        <w:rPr>
          <w:rFonts w:hint="eastAsia" w:ascii="宋体" w:hAnsi="宋体"/>
          <w:color w:val="auto"/>
          <w:szCs w:val="21"/>
          <w:highlight w:val="none"/>
        </w:rPr>
      </w:pPr>
      <w:r>
        <w:rPr>
          <w:rFonts w:ascii="宋体" w:hAnsi="宋体" w:cs="宋体"/>
          <w:color w:val="auto"/>
          <w:kern w:val="0"/>
          <w:szCs w:val="21"/>
          <w:highlight w:val="none"/>
        </w:rPr>
        <w:t>（</w:t>
      </w:r>
      <w:r>
        <w:rPr>
          <w:rFonts w:hint="eastAsia" w:ascii="宋体" w:hAnsi="宋体" w:cs="宋体"/>
          <w:color w:val="auto"/>
          <w:kern w:val="0"/>
          <w:szCs w:val="21"/>
          <w:highlight w:val="none"/>
        </w:rPr>
        <w:t>8</w:t>
      </w:r>
      <w:r>
        <w:rPr>
          <w:rFonts w:ascii="宋体" w:hAnsi="宋体" w:cs="宋体"/>
          <w:color w:val="auto"/>
          <w:kern w:val="0"/>
          <w:szCs w:val="21"/>
          <w:highlight w:val="none"/>
        </w:rPr>
        <w:t>）税务登记证</w:t>
      </w:r>
      <w:r>
        <w:rPr>
          <w:rFonts w:hint="eastAsia" w:ascii="宋体" w:hAnsi="宋体"/>
          <w:color w:val="auto"/>
          <w:szCs w:val="21"/>
          <w:highlight w:val="none"/>
        </w:rPr>
        <w:t>扫描件（如有）</w:t>
      </w:r>
      <w:r>
        <w:rPr>
          <w:rFonts w:hint="eastAsia" w:ascii="宋体" w:hAnsi="宋体" w:cs="宋体"/>
          <w:color w:val="auto"/>
          <w:kern w:val="0"/>
          <w:szCs w:val="21"/>
          <w:highlight w:val="none"/>
        </w:rPr>
        <w:t>；</w:t>
      </w:r>
    </w:p>
    <w:p>
      <w:pPr>
        <w:snapToGrid w:val="0"/>
        <w:spacing w:line="360" w:lineRule="exact"/>
        <w:ind w:firstLine="411" w:firstLineChars="196"/>
        <w:jc w:val="left"/>
        <w:rPr>
          <w:rFonts w:hint="eastAsia" w:ascii="宋体" w:hAnsi="宋体"/>
          <w:color w:val="auto"/>
          <w:szCs w:val="21"/>
          <w:highlight w:val="none"/>
        </w:rPr>
      </w:pPr>
      <w:r>
        <w:rPr>
          <w:rFonts w:hint="eastAsia" w:ascii="宋体" w:hAnsi="宋体"/>
          <w:color w:val="auto"/>
          <w:szCs w:val="21"/>
          <w:highlight w:val="none"/>
        </w:rPr>
        <w:t>（9）产品销售许可证；</w:t>
      </w:r>
    </w:p>
    <w:p>
      <w:pPr>
        <w:snapToGrid w:val="0"/>
        <w:spacing w:line="360" w:lineRule="exact"/>
        <w:ind w:firstLine="411" w:firstLineChars="196"/>
        <w:jc w:val="left"/>
        <w:rPr>
          <w:rFonts w:hint="eastAsia" w:ascii="宋体" w:hAnsi="宋体"/>
          <w:color w:val="auto"/>
          <w:szCs w:val="21"/>
          <w:highlight w:val="none"/>
        </w:rPr>
      </w:pPr>
      <w:r>
        <w:rPr>
          <w:rFonts w:hint="eastAsia" w:ascii="宋体" w:hAnsi="宋体"/>
          <w:color w:val="auto"/>
          <w:szCs w:val="21"/>
          <w:highlight w:val="none"/>
        </w:rPr>
        <w:t>（10）安全生产许可证扫描件或其他电子文件、产品代理资格证明文件扫描件或其他电子文件；</w:t>
      </w:r>
    </w:p>
    <w:p>
      <w:pPr>
        <w:snapToGrid w:val="0"/>
        <w:spacing w:line="360" w:lineRule="exact"/>
        <w:ind w:firstLine="411" w:firstLineChars="196"/>
        <w:jc w:val="left"/>
        <w:rPr>
          <w:rFonts w:hint="eastAsia" w:ascii="宋体" w:hAnsi="宋体"/>
          <w:b/>
          <w:color w:val="auto"/>
          <w:szCs w:val="21"/>
          <w:highlight w:val="none"/>
        </w:rPr>
      </w:pPr>
      <w:r>
        <w:rPr>
          <w:rFonts w:hint="eastAsia" w:ascii="宋体" w:hAnsi="宋体"/>
          <w:color w:val="auto"/>
          <w:szCs w:val="21"/>
          <w:highlight w:val="none"/>
        </w:rPr>
        <w:t>（11）</w:t>
      </w:r>
      <w:r>
        <w:rPr>
          <w:rFonts w:hint="eastAsia" w:ascii="宋体" w:hAnsi="宋体"/>
          <w:b/>
          <w:color w:val="auto"/>
          <w:szCs w:val="21"/>
          <w:highlight w:val="none"/>
        </w:rPr>
        <w:t>商务及其他要求响应表</w:t>
      </w:r>
      <w:r>
        <w:rPr>
          <w:rFonts w:hint="eastAsia" w:ascii="宋体" w:hAnsi="宋体"/>
          <w:color w:val="auto"/>
          <w:szCs w:val="21"/>
          <w:highlight w:val="none"/>
        </w:rPr>
        <w:t>（格式见第六章）</w:t>
      </w:r>
      <w:r>
        <w:rPr>
          <w:rFonts w:hint="eastAsia" w:ascii="宋体" w:hAnsi="宋体"/>
          <w:b/>
          <w:color w:val="auto"/>
          <w:szCs w:val="21"/>
          <w:highlight w:val="none"/>
        </w:rPr>
        <w:t>（</w:t>
      </w:r>
      <w:r>
        <w:rPr>
          <w:rFonts w:hint="eastAsia" w:ascii="宋体" w:hAnsi="宋体"/>
          <w:b/>
          <w:color w:val="auto"/>
          <w:szCs w:val="21"/>
          <w:highlight w:val="none"/>
          <w:u w:val="single"/>
        </w:rPr>
        <w:t>必须提供</w:t>
      </w:r>
      <w:r>
        <w:rPr>
          <w:rFonts w:hint="eastAsia" w:ascii="宋体" w:hAnsi="宋体"/>
          <w:b/>
          <w:color w:val="auto"/>
          <w:szCs w:val="21"/>
          <w:highlight w:val="none"/>
        </w:rPr>
        <w:t>）；</w:t>
      </w:r>
    </w:p>
    <w:p>
      <w:pPr>
        <w:snapToGrid w:val="0"/>
        <w:spacing w:line="360" w:lineRule="exact"/>
        <w:ind w:firstLine="210" w:firstLineChars="100"/>
        <w:jc w:val="left"/>
        <w:rPr>
          <w:rFonts w:hint="eastAsia" w:ascii="宋体" w:hAnsi="宋体"/>
          <w:b/>
          <w:color w:val="auto"/>
          <w:szCs w:val="21"/>
          <w:highlight w:val="none"/>
        </w:rPr>
      </w:pPr>
      <w:r>
        <w:rPr>
          <w:rFonts w:hint="eastAsia" w:ascii="宋体" w:hAnsi="宋体" w:cs="宋体"/>
          <w:color w:val="auto"/>
          <w:kern w:val="0"/>
          <w:szCs w:val="21"/>
          <w:highlight w:val="none"/>
        </w:rPr>
        <w:t>▲</w:t>
      </w:r>
      <w:r>
        <w:rPr>
          <w:rFonts w:hint="eastAsia" w:ascii="宋体" w:hAnsi="宋体"/>
          <w:b/>
          <w:color w:val="auto"/>
          <w:szCs w:val="21"/>
          <w:highlight w:val="none"/>
        </w:rPr>
        <w:t>（12）招标项目采购需求中要求必须提供的材料等；</w:t>
      </w:r>
    </w:p>
    <w:p>
      <w:pPr>
        <w:snapToGrid w:val="0"/>
        <w:spacing w:line="360" w:lineRule="exact"/>
        <w:ind w:firstLine="411" w:firstLineChars="196"/>
        <w:jc w:val="left"/>
        <w:rPr>
          <w:rFonts w:hint="eastAsia" w:ascii="宋体" w:hAnsi="宋体"/>
          <w:b/>
          <w:color w:val="auto"/>
          <w:szCs w:val="21"/>
          <w:highlight w:val="none"/>
        </w:rPr>
      </w:pPr>
      <w:r>
        <w:rPr>
          <w:rFonts w:hint="eastAsia" w:ascii="宋体" w:hAnsi="宋体"/>
          <w:color w:val="auto"/>
          <w:szCs w:val="21"/>
          <w:highlight w:val="none"/>
        </w:rPr>
        <w:t>（13）具备法律、行政法规规定的其他条件的证明材料</w:t>
      </w:r>
      <w:r>
        <w:rPr>
          <w:rFonts w:hint="eastAsia" w:ascii="宋体" w:hAnsi="宋体"/>
          <w:b/>
          <w:color w:val="auto"/>
          <w:szCs w:val="21"/>
          <w:highlight w:val="none"/>
        </w:rPr>
        <w:t>(如有规定,则必须提供)。</w:t>
      </w:r>
    </w:p>
    <w:p>
      <w:pPr>
        <w:snapToGrid w:val="0"/>
        <w:spacing w:line="360" w:lineRule="exact"/>
        <w:ind w:firstLine="413" w:firstLineChars="196"/>
        <w:jc w:val="left"/>
        <w:rPr>
          <w:rFonts w:hint="eastAsia" w:ascii="宋体" w:hAnsi="宋体"/>
          <w:b/>
          <w:color w:val="auto"/>
          <w:szCs w:val="21"/>
          <w:highlight w:val="none"/>
        </w:rPr>
      </w:pPr>
      <w:r>
        <w:rPr>
          <w:rFonts w:hint="eastAsia" w:ascii="宋体" w:hAnsi="宋体"/>
          <w:b/>
          <w:bCs/>
          <w:color w:val="auto"/>
          <w:szCs w:val="21"/>
          <w:highlight w:val="none"/>
        </w:rPr>
        <w:t xml:space="preserve">可作为投标人资信评分的资质证明材料（可选）  </w:t>
      </w:r>
    </w:p>
    <w:p>
      <w:pPr>
        <w:snapToGrid w:val="0"/>
        <w:spacing w:line="360" w:lineRule="exact"/>
        <w:ind w:left="937" w:leftChars="196" w:hanging="525" w:hangingChars="250"/>
        <w:jc w:val="left"/>
        <w:rPr>
          <w:rFonts w:hint="eastAsia" w:ascii="宋体" w:hAnsi="宋体"/>
          <w:color w:val="auto"/>
          <w:szCs w:val="21"/>
          <w:highlight w:val="none"/>
        </w:rPr>
      </w:pPr>
      <w:r>
        <w:rPr>
          <w:rFonts w:hint="eastAsia" w:ascii="宋体" w:hAnsi="宋体"/>
          <w:color w:val="auto"/>
          <w:szCs w:val="21"/>
          <w:highlight w:val="none"/>
        </w:rPr>
        <w:t>（14）类似案例成功的业绩（投标人同类项目实施情况一览表、合同扫描件、用户验收报告、用户评价）；</w:t>
      </w:r>
    </w:p>
    <w:p>
      <w:pPr>
        <w:snapToGrid w:val="0"/>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（15）其他特殊资质证书（如本地化服务能力等）；</w:t>
      </w:r>
    </w:p>
    <w:p>
      <w:pPr>
        <w:snapToGrid w:val="0"/>
        <w:spacing w:line="360" w:lineRule="exact"/>
        <w:ind w:firstLine="413" w:firstLineChars="196"/>
        <w:jc w:val="left"/>
        <w:rPr>
          <w:rFonts w:hint="eastAsia" w:ascii="宋体" w:hAnsi="宋体"/>
          <w:b/>
          <w:color w:val="auto"/>
          <w:szCs w:val="21"/>
          <w:highlight w:val="none"/>
        </w:rPr>
      </w:pPr>
      <w:r>
        <w:rPr>
          <w:rFonts w:hint="eastAsia" w:ascii="宋体" w:hAnsi="宋体"/>
          <w:b/>
          <w:color w:val="auto"/>
          <w:szCs w:val="21"/>
          <w:highlight w:val="none"/>
        </w:rPr>
        <w:t>（</w:t>
      </w:r>
      <w:r>
        <w:rPr>
          <w:rFonts w:hint="eastAsia" w:ascii="宋体" w:hAnsi="宋体"/>
          <w:color w:val="auto"/>
          <w:szCs w:val="21"/>
          <w:highlight w:val="none"/>
        </w:rPr>
        <w:t>16</w:t>
      </w:r>
      <w:r>
        <w:rPr>
          <w:rFonts w:hint="eastAsia" w:ascii="宋体" w:hAnsi="宋体"/>
          <w:b/>
          <w:color w:val="auto"/>
          <w:szCs w:val="21"/>
          <w:highlight w:val="none"/>
        </w:rPr>
        <w:t>）</w:t>
      </w:r>
      <w:r>
        <w:rPr>
          <w:rFonts w:hint="eastAsia" w:ascii="宋体" w:hAnsi="宋体"/>
          <w:color w:val="auto"/>
          <w:szCs w:val="21"/>
          <w:highlight w:val="none"/>
        </w:rPr>
        <w:t>节能环保产品或政府强制采购节能产品清单证书</w:t>
      </w:r>
      <w:r>
        <w:rPr>
          <w:rFonts w:hint="eastAsia" w:ascii="宋体" w:hAnsi="宋体"/>
          <w:b/>
          <w:color w:val="auto"/>
          <w:szCs w:val="21"/>
          <w:highlight w:val="none"/>
        </w:rPr>
        <w:t>；</w:t>
      </w:r>
    </w:p>
    <w:p>
      <w:pPr>
        <w:snapToGrid w:val="0"/>
        <w:spacing w:line="360" w:lineRule="exact"/>
        <w:ind w:firstLine="411" w:firstLineChars="196"/>
        <w:jc w:val="left"/>
        <w:rPr>
          <w:rFonts w:hint="eastAsia" w:ascii="宋体" w:hAnsi="宋体"/>
          <w:color w:val="auto"/>
          <w:szCs w:val="21"/>
          <w:highlight w:val="none"/>
        </w:rPr>
      </w:pPr>
      <w:r>
        <w:rPr>
          <w:rFonts w:hint="eastAsia" w:ascii="宋体" w:hAnsi="宋体"/>
          <w:color w:val="auto"/>
          <w:szCs w:val="21"/>
          <w:highlight w:val="none"/>
        </w:rPr>
        <w:t>（17）投标人质量管理和质量保证体系等方面的认证证书；</w:t>
      </w:r>
    </w:p>
    <w:p>
      <w:pPr>
        <w:snapToGrid w:val="0"/>
        <w:spacing w:line="360" w:lineRule="exact"/>
        <w:ind w:firstLine="411" w:firstLineChars="196"/>
        <w:jc w:val="left"/>
        <w:rPr>
          <w:rFonts w:hint="eastAsia" w:ascii="宋体" w:hAnsi="宋体"/>
          <w:color w:val="auto"/>
          <w:szCs w:val="21"/>
          <w:highlight w:val="none"/>
        </w:rPr>
      </w:pPr>
      <w:r>
        <w:rPr>
          <w:rFonts w:hint="eastAsia" w:ascii="宋体" w:hAnsi="宋体"/>
          <w:color w:val="auto"/>
          <w:szCs w:val="21"/>
          <w:highlight w:val="none"/>
        </w:rPr>
        <w:t>（18）投标人认为可以证明其能力或业绩的其他材料；</w:t>
      </w:r>
    </w:p>
    <w:p>
      <w:pPr>
        <w:snapToGrid w:val="0"/>
        <w:spacing w:line="360" w:lineRule="exact"/>
        <w:ind w:firstLine="411" w:firstLineChars="196"/>
        <w:jc w:val="left"/>
        <w:rPr>
          <w:rFonts w:hint="eastAsia" w:ascii="宋体" w:hAnsi="宋体"/>
          <w:color w:val="auto"/>
          <w:szCs w:val="21"/>
          <w:highlight w:val="none"/>
        </w:rPr>
      </w:pPr>
      <w:r>
        <w:rPr>
          <w:rFonts w:hint="eastAsia" w:ascii="宋体" w:hAnsi="宋体"/>
          <w:color w:val="auto"/>
          <w:szCs w:val="21"/>
          <w:highlight w:val="none"/>
        </w:rPr>
        <w:t>（19）投标人关于产品生产时间、升级或者更新淘汰计划、配件供应以及本单位债务纠纷、违法违规记录等方面的情况（内容见投标声明书）；</w:t>
      </w:r>
    </w:p>
    <w:p>
      <w:pPr>
        <w:snapToGrid w:val="0"/>
        <w:spacing w:line="360" w:lineRule="exact"/>
        <w:ind w:firstLine="411" w:firstLineChars="196"/>
        <w:jc w:val="left"/>
        <w:rPr>
          <w:rFonts w:hint="eastAsia" w:ascii="宋体" w:hAnsi="宋体"/>
          <w:color w:val="auto"/>
          <w:szCs w:val="21"/>
          <w:highlight w:val="none"/>
        </w:rPr>
      </w:pPr>
      <w:r>
        <w:rPr>
          <w:rFonts w:hint="eastAsia" w:ascii="宋体" w:hAnsi="宋体"/>
          <w:color w:val="auto"/>
          <w:szCs w:val="21"/>
          <w:highlight w:val="none"/>
        </w:rPr>
        <w:t>（20）投标人情况介绍。</w:t>
      </w:r>
    </w:p>
    <w:p>
      <w:pPr>
        <w:snapToGrid w:val="0"/>
        <w:spacing w:line="360" w:lineRule="exact"/>
        <w:ind w:firstLine="516" w:firstLineChars="246"/>
        <w:jc w:val="left"/>
        <w:rPr>
          <w:rFonts w:hint="eastAsia" w:ascii="宋体" w:hAnsi="宋体"/>
          <w:color w:val="auto"/>
          <w:szCs w:val="21"/>
          <w:highlight w:val="none"/>
        </w:rPr>
      </w:pPr>
      <w:r>
        <w:rPr>
          <w:rFonts w:hint="eastAsia" w:ascii="宋体" w:hAnsi="宋体"/>
          <w:color w:val="auto"/>
          <w:szCs w:val="21"/>
          <w:highlight w:val="none"/>
        </w:rPr>
        <w:t>(21)中小企业声明函（如有，请提供）</w:t>
      </w:r>
    </w:p>
    <w:p>
      <w:pPr>
        <w:snapToGrid w:val="0"/>
        <w:spacing w:line="360" w:lineRule="exact"/>
        <w:ind w:firstLine="413" w:firstLineChars="196"/>
        <w:jc w:val="left"/>
        <w:rPr>
          <w:rFonts w:hint="eastAsia" w:ascii="宋体" w:hAnsi="宋体"/>
          <w:b/>
          <w:color w:val="auto"/>
          <w:szCs w:val="21"/>
          <w:highlight w:val="none"/>
        </w:rPr>
      </w:pPr>
      <w:r>
        <w:rPr>
          <w:rFonts w:hint="eastAsia" w:ascii="宋体" w:hAnsi="宋体"/>
          <w:b/>
          <w:color w:val="auto"/>
          <w:szCs w:val="21"/>
          <w:highlight w:val="none"/>
        </w:rPr>
        <w:t>3.技术文件</w:t>
      </w:r>
    </w:p>
    <w:p>
      <w:pPr>
        <w:snapToGrid w:val="0"/>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（1）对本项目系统总体要求的理解；</w:t>
      </w:r>
    </w:p>
    <w:p>
      <w:pPr>
        <w:snapToGrid w:val="0"/>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b/>
          <w:color w:val="auto"/>
          <w:szCs w:val="21"/>
          <w:highlight w:val="none"/>
        </w:rPr>
        <w:t>技术响应表（</w:t>
      </w:r>
      <w:r>
        <w:rPr>
          <w:rFonts w:hint="eastAsia" w:ascii="宋体" w:hAnsi="宋体"/>
          <w:b/>
          <w:color w:val="auto"/>
          <w:szCs w:val="21"/>
          <w:highlight w:val="none"/>
          <w:u w:val="single"/>
        </w:rPr>
        <w:t>必须提供</w:t>
      </w:r>
      <w:r>
        <w:rPr>
          <w:rFonts w:hint="eastAsia" w:ascii="宋体" w:hAnsi="宋体"/>
          <w:b/>
          <w:color w:val="auto"/>
          <w:szCs w:val="21"/>
          <w:highlight w:val="none"/>
        </w:rPr>
        <w:t>）；</w:t>
      </w:r>
    </w:p>
    <w:p>
      <w:pPr>
        <w:snapToGrid w:val="0"/>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（3）设备配置清单（均不含报价）；</w:t>
      </w:r>
    </w:p>
    <w:p>
      <w:pPr>
        <w:snapToGrid w:val="0"/>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（4）</w:t>
      </w:r>
      <w:r>
        <w:rPr>
          <w:rFonts w:hint="eastAsia"/>
          <w:b/>
          <w:color w:val="auto"/>
          <w:highlight w:val="none"/>
        </w:rPr>
        <w:t>售后服务承诺书</w:t>
      </w:r>
      <w:r>
        <w:rPr>
          <w:rFonts w:hint="eastAsia"/>
          <w:color w:val="auto"/>
          <w:highlight w:val="none"/>
        </w:rPr>
        <w:t>（应据项目实际要求描述如：</w:t>
      </w:r>
      <w:r>
        <w:rPr>
          <w:rFonts w:hint="eastAsia" w:ascii="宋体" w:hAnsi="宋体"/>
          <w:color w:val="auto"/>
          <w:szCs w:val="21"/>
          <w:highlight w:val="none"/>
        </w:rPr>
        <w:t>投标人建议的安装、调试、验收方法或方案；技术服务、技术培训、售后服务的内容和措施等），</w:t>
      </w:r>
      <w:r>
        <w:rPr>
          <w:rFonts w:hint="eastAsia" w:ascii="宋体" w:hAnsi="宋体"/>
          <w:b/>
          <w:color w:val="auto"/>
          <w:szCs w:val="21"/>
          <w:highlight w:val="none"/>
        </w:rPr>
        <w:t>(</w:t>
      </w:r>
      <w:r>
        <w:rPr>
          <w:rFonts w:hint="eastAsia" w:ascii="宋体" w:hAnsi="宋体"/>
          <w:b/>
          <w:color w:val="auto"/>
          <w:szCs w:val="21"/>
          <w:highlight w:val="none"/>
          <w:u w:val="single"/>
        </w:rPr>
        <w:t>格式自拟,必须提供</w:t>
      </w:r>
      <w:r>
        <w:rPr>
          <w:rFonts w:hint="eastAsia" w:ascii="宋体" w:hAnsi="宋体"/>
          <w:b/>
          <w:color w:val="auto"/>
          <w:szCs w:val="21"/>
          <w:highlight w:val="none"/>
        </w:rPr>
        <w:t>)</w:t>
      </w:r>
      <w:r>
        <w:rPr>
          <w:rFonts w:hint="eastAsia" w:ascii="宋体" w:hAnsi="宋体"/>
          <w:color w:val="auto"/>
          <w:szCs w:val="21"/>
          <w:highlight w:val="none"/>
        </w:rPr>
        <w:t>；</w:t>
      </w:r>
    </w:p>
    <w:p>
      <w:pPr>
        <w:snapToGrid w:val="0"/>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 xml:space="preserve">（5）投标人拥有主要装备和检测设施的情况和现状（格式自拟）及项目实施人员一览表； </w:t>
      </w:r>
    </w:p>
    <w:p>
      <w:pPr>
        <w:snapToGrid w:val="0"/>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（6）优惠条件：投标人承诺给予招标人的各种优惠条件，包括备品备件、专用耗材、售后服务等方面的优惠；</w:t>
      </w:r>
    </w:p>
    <w:p>
      <w:pPr>
        <w:snapToGrid w:val="0"/>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（7）投标人对本项目的合理化建议和改进措施；</w:t>
      </w:r>
    </w:p>
    <w:p>
      <w:pPr>
        <w:snapToGrid w:val="0"/>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（8）投标人需要说明的其他文件和说明（格式略）；</w:t>
      </w:r>
    </w:p>
    <w:p>
      <w:pPr>
        <w:snapToGrid w:val="0"/>
        <w:spacing w:line="360" w:lineRule="exact"/>
        <w:ind w:firstLine="210" w:firstLineChars="100"/>
        <w:jc w:val="left"/>
        <w:rPr>
          <w:rFonts w:hint="eastAsia" w:ascii="宋体" w:hAnsi="宋体"/>
          <w:color w:val="auto"/>
          <w:szCs w:val="21"/>
          <w:highlight w:val="none"/>
        </w:rPr>
      </w:pPr>
      <w:r>
        <w:rPr>
          <w:rFonts w:hint="eastAsia" w:ascii="宋体" w:hAnsi="宋体" w:cs="宋体"/>
          <w:color w:val="auto"/>
          <w:kern w:val="0"/>
          <w:szCs w:val="21"/>
          <w:highlight w:val="none"/>
        </w:rPr>
        <w:t>▲</w:t>
      </w:r>
      <w:r>
        <w:rPr>
          <w:rFonts w:hint="eastAsia" w:ascii="宋体" w:hAnsi="宋体"/>
          <w:color w:val="auto"/>
          <w:szCs w:val="21"/>
          <w:highlight w:val="none"/>
        </w:rPr>
        <w:t>（9）招标项目采购需求中要求必须提供的材料。</w:t>
      </w:r>
    </w:p>
    <w:p>
      <w:pPr>
        <w:snapToGrid w:val="0"/>
        <w:spacing w:before="156" w:beforeLines="50" w:line="360" w:lineRule="exact"/>
        <w:ind w:firstLine="413" w:firstLineChars="196"/>
        <w:jc w:val="left"/>
        <w:rPr>
          <w:rFonts w:hint="eastAsia" w:ascii="宋体" w:hAnsi="宋体"/>
          <w:b/>
          <w:color w:val="auto"/>
          <w:szCs w:val="21"/>
          <w:highlight w:val="none"/>
        </w:rPr>
      </w:pPr>
      <w:r>
        <w:rPr>
          <w:rFonts w:hint="eastAsia" w:ascii="宋体" w:hAnsi="宋体"/>
          <w:b/>
          <w:color w:val="auto"/>
          <w:szCs w:val="21"/>
          <w:highlight w:val="none"/>
        </w:rPr>
        <w:t>4.报价文件：</w:t>
      </w:r>
    </w:p>
    <w:p>
      <w:pPr>
        <w:tabs>
          <w:tab w:val="left" w:pos="3870"/>
          <w:tab w:val="left" w:pos="4085"/>
        </w:tabs>
        <w:snapToGrid w:val="0"/>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 xml:space="preserve">（1）投标函（格式见第六章）； </w:t>
      </w:r>
    </w:p>
    <w:p>
      <w:pPr>
        <w:tabs>
          <w:tab w:val="left" w:pos="3870"/>
          <w:tab w:val="left" w:pos="4085"/>
        </w:tabs>
        <w:snapToGrid w:val="0"/>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（2）投标报价明细表（格式见第六章）；</w:t>
      </w:r>
    </w:p>
    <w:p>
      <w:pPr>
        <w:tabs>
          <w:tab w:val="left" w:pos="3870"/>
          <w:tab w:val="left" w:pos="4085"/>
        </w:tabs>
        <w:snapToGrid w:val="0"/>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（3）投标人针对报价需要说明的其他文件和说明（格式自拟）；</w:t>
      </w:r>
    </w:p>
    <w:p>
      <w:pPr>
        <w:tabs>
          <w:tab w:val="left" w:pos="3870"/>
          <w:tab w:val="left" w:pos="4085"/>
        </w:tabs>
        <w:snapToGrid w:val="0"/>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（4）开标一览表（格式见第六章）。</w:t>
      </w:r>
    </w:p>
    <w:p>
      <w:pPr>
        <w:pStyle w:val="43"/>
        <w:spacing w:line="360" w:lineRule="exact"/>
        <w:ind w:firstLine="420" w:firstLineChars="200"/>
        <w:rPr>
          <w:rFonts w:ascii="宋体" w:hAnsi="宋体"/>
          <w:color w:val="auto"/>
          <w:szCs w:val="21"/>
          <w:highlight w:val="none"/>
        </w:rPr>
      </w:pPr>
      <w:bookmarkStart w:id="94" w:name="_Toc254970537"/>
      <w:bookmarkStart w:id="95" w:name="_Toc254970678"/>
      <w:r>
        <w:rPr>
          <w:rFonts w:hint="eastAsia" w:ascii="宋体" w:hAnsi="宋体" w:cs="宋体"/>
          <w:color w:val="auto"/>
          <w:kern w:val="0"/>
          <w:szCs w:val="21"/>
          <w:highlight w:val="none"/>
        </w:rPr>
        <w:t>▲</w:t>
      </w:r>
      <w:r>
        <w:rPr>
          <w:rFonts w:hint="eastAsia" w:ascii="宋体" w:hAnsi="宋体"/>
          <w:b/>
          <w:bCs/>
          <w:color w:val="auto"/>
          <w:szCs w:val="21"/>
          <w:highlight w:val="none"/>
        </w:rPr>
        <w:t>注：法定代表人授权委托书、投标声明书、投标函、开标一览表必须招标文件格式要求</w:t>
      </w:r>
      <w:r>
        <w:rPr>
          <w:rFonts w:hint="eastAsia" w:ascii="宋体" w:hAnsi="宋体"/>
          <w:b/>
          <w:bCs/>
          <w:color w:val="auto"/>
          <w:szCs w:val="21"/>
          <w:highlight w:val="none"/>
          <w:lang w:eastAsia="zh-CN"/>
        </w:rPr>
        <w:t>签字或签章</w:t>
      </w:r>
      <w:r>
        <w:rPr>
          <w:rFonts w:hint="eastAsia" w:ascii="宋体" w:hAnsi="宋体"/>
          <w:b/>
          <w:bCs/>
          <w:color w:val="auto"/>
          <w:szCs w:val="21"/>
          <w:highlight w:val="none"/>
        </w:rPr>
        <w:t>和加盖单位公章。</w:t>
      </w:r>
    </w:p>
    <w:p>
      <w:pPr>
        <w:snapToGrid w:val="0"/>
        <w:spacing w:line="360" w:lineRule="exact"/>
        <w:ind w:firstLine="413" w:firstLineChars="196"/>
        <w:jc w:val="left"/>
        <w:outlineLvl w:val="0"/>
        <w:rPr>
          <w:rFonts w:hint="eastAsia" w:ascii="宋体" w:hAnsi="宋体"/>
          <w:b/>
          <w:color w:val="auto"/>
          <w:szCs w:val="21"/>
          <w:highlight w:val="none"/>
        </w:rPr>
      </w:pPr>
      <w:bookmarkStart w:id="96" w:name="_Toc40864646"/>
      <w:bookmarkStart w:id="97" w:name="_Toc40865038"/>
      <w:bookmarkStart w:id="98" w:name="_Toc40864922"/>
      <w:r>
        <w:rPr>
          <w:rFonts w:hint="eastAsia" w:ascii="宋体" w:hAnsi="宋体"/>
          <w:b/>
          <w:color w:val="auto"/>
          <w:szCs w:val="21"/>
          <w:highlight w:val="none"/>
        </w:rPr>
        <w:t>（二）投标文件的语言及计量</w:t>
      </w:r>
      <w:bookmarkEnd w:id="94"/>
      <w:bookmarkEnd w:id="95"/>
      <w:bookmarkEnd w:id="96"/>
      <w:bookmarkEnd w:id="97"/>
      <w:bookmarkEnd w:id="98"/>
    </w:p>
    <w:p>
      <w:pPr>
        <w:snapToGrid w:val="0"/>
        <w:spacing w:line="360" w:lineRule="exact"/>
        <w:ind w:firstLine="420" w:firstLineChars="200"/>
        <w:jc w:val="left"/>
        <w:rPr>
          <w:rFonts w:hint="eastAsia" w:ascii="宋体" w:hAnsi="宋体"/>
          <w:color w:val="auto"/>
          <w:szCs w:val="21"/>
          <w:highlight w:val="none"/>
        </w:rPr>
      </w:pPr>
      <w:r>
        <w:rPr>
          <w:rFonts w:hint="eastAsia" w:ascii="宋体" w:hAnsi="宋体" w:cs="宋体"/>
          <w:color w:val="auto"/>
          <w:kern w:val="0"/>
          <w:szCs w:val="21"/>
          <w:highlight w:val="none"/>
        </w:rPr>
        <w:t>▲</w:t>
      </w:r>
      <w:r>
        <w:rPr>
          <w:rFonts w:hint="eastAsia" w:ascii="宋体" w:hAnsi="宋体"/>
          <w:color w:val="auto"/>
          <w:szCs w:val="21"/>
          <w:highlight w:val="none"/>
        </w:rPr>
        <w:t>1.投标文件以及投标方与招标方就有关投标事宜的所有来往函电，均应以中文汉语书写。除签名、盖章、专用名称等特殊情形外，以中文汉语以外的文字表述的投标文件视同未提供。</w:t>
      </w:r>
    </w:p>
    <w:p>
      <w:pPr>
        <w:snapToGrid w:val="0"/>
        <w:spacing w:line="360" w:lineRule="exact"/>
        <w:ind w:firstLine="420" w:firstLineChars="200"/>
        <w:jc w:val="left"/>
        <w:rPr>
          <w:rFonts w:hint="eastAsia" w:ascii="宋体" w:hAnsi="宋体"/>
          <w:color w:val="auto"/>
          <w:szCs w:val="21"/>
          <w:highlight w:val="none"/>
        </w:rPr>
      </w:pPr>
      <w:r>
        <w:rPr>
          <w:rFonts w:hint="eastAsia" w:ascii="宋体" w:hAnsi="宋体" w:cs="宋体"/>
          <w:color w:val="auto"/>
          <w:kern w:val="0"/>
          <w:szCs w:val="21"/>
          <w:highlight w:val="none"/>
        </w:rPr>
        <w:t>▲</w:t>
      </w:r>
      <w:r>
        <w:rPr>
          <w:rFonts w:hint="eastAsia" w:ascii="宋体" w:hAnsi="宋体"/>
          <w:color w:val="auto"/>
          <w:szCs w:val="21"/>
          <w:highlight w:val="none"/>
        </w:rPr>
        <w:t>2.投标计量单位，招标文件已有明确规定的，使用招标文件规定的计量单位；招标文件没有规定的，应采用中华人民共和国法定计量单位（货币单位：人民币元），否则视同未响应。</w:t>
      </w:r>
    </w:p>
    <w:p>
      <w:pPr>
        <w:snapToGrid w:val="0"/>
        <w:spacing w:before="156" w:beforeLines="50" w:line="360" w:lineRule="exact"/>
        <w:ind w:firstLine="413" w:firstLineChars="196"/>
        <w:jc w:val="left"/>
        <w:outlineLvl w:val="0"/>
        <w:rPr>
          <w:rFonts w:hint="eastAsia" w:ascii="宋体" w:hAnsi="宋体"/>
          <w:b/>
          <w:color w:val="auto"/>
          <w:szCs w:val="21"/>
          <w:highlight w:val="none"/>
        </w:rPr>
      </w:pPr>
      <w:bookmarkStart w:id="99" w:name="_Toc40864647"/>
      <w:bookmarkStart w:id="100" w:name="_Toc254970538"/>
      <w:bookmarkStart w:id="101" w:name="_Toc40864923"/>
      <w:bookmarkStart w:id="102" w:name="_Toc254970679"/>
      <w:bookmarkStart w:id="103" w:name="_Toc40865039"/>
      <w:r>
        <w:rPr>
          <w:rFonts w:hint="eastAsia" w:ascii="宋体" w:hAnsi="宋体"/>
          <w:b/>
          <w:color w:val="auto"/>
          <w:szCs w:val="21"/>
          <w:highlight w:val="none"/>
        </w:rPr>
        <w:t>（三）投标报价</w:t>
      </w:r>
      <w:bookmarkEnd w:id="99"/>
      <w:bookmarkEnd w:id="100"/>
      <w:bookmarkEnd w:id="101"/>
      <w:bookmarkEnd w:id="102"/>
      <w:bookmarkEnd w:id="103"/>
    </w:p>
    <w:p>
      <w:pPr>
        <w:pStyle w:val="27"/>
        <w:snapToGrid w:val="0"/>
        <w:spacing w:line="360" w:lineRule="exact"/>
        <w:ind w:firstLine="420" w:firstLineChars="200"/>
        <w:jc w:val="left"/>
        <w:rPr>
          <w:rFonts w:hAnsi="宋体"/>
          <w:color w:val="auto"/>
          <w:highlight w:val="none"/>
        </w:rPr>
      </w:pPr>
      <w:r>
        <w:rPr>
          <w:rFonts w:hint="eastAsia" w:hAnsi="宋体"/>
          <w:color w:val="auto"/>
          <w:highlight w:val="none"/>
        </w:rPr>
        <w:t>1.投标报价应按招标文件中相关附表格式填写。投标人可就《项目采购需求》中的货物和服务内容分别作完整唯一报价。</w:t>
      </w:r>
    </w:p>
    <w:p>
      <w:pPr>
        <w:pStyle w:val="27"/>
        <w:snapToGrid w:val="0"/>
        <w:spacing w:line="360" w:lineRule="exact"/>
        <w:ind w:firstLine="420" w:firstLineChars="200"/>
        <w:jc w:val="left"/>
        <w:rPr>
          <w:rFonts w:hint="eastAsia" w:hAnsi="宋体"/>
          <w:color w:val="auto"/>
          <w:highlight w:val="none"/>
        </w:rPr>
      </w:pPr>
      <w:r>
        <w:rPr>
          <w:rFonts w:hint="eastAsia" w:hAnsi="宋体"/>
          <w:color w:val="auto"/>
          <w:highlight w:val="none"/>
        </w:rPr>
        <w:t>2.投标报价是履行合同的最终价格，应包括货款、标准附件、备品备件、专用工具、包装、运输、装卸、保险、税金、货到就位以及安装、调试、培训、保修等一切税金和费用。</w:t>
      </w:r>
    </w:p>
    <w:p>
      <w:pPr>
        <w:tabs>
          <w:tab w:val="left" w:pos="525"/>
        </w:tabs>
        <w:snapToGrid w:val="0"/>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3.投标文件只允许有一个报价，有选择的或有条件的报价将不予接受。</w:t>
      </w:r>
    </w:p>
    <w:p>
      <w:pPr>
        <w:pStyle w:val="13"/>
        <w:widowControl w:val="0"/>
        <w:tabs>
          <w:tab w:val="clear" w:pos="454"/>
        </w:tabs>
        <w:snapToGrid w:val="0"/>
        <w:spacing w:before="156" w:beforeLines="50" w:after="120" w:afterLines="0" w:line="360" w:lineRule="exact"/>
        <w:ind w:left="0" w:firstLine="413" w:firstLineChars="196"/>
        <w:outlineLvl w:val="0"/>
        <w:rPr>
          <w:rFonts w:hint="eastAsia" w:ascii="宋体" w:hAnsi="宋体"/>
          <w:b/>
          <w:color w:val="auto"/>
          <w:sz w:val="21"/>
          <w:szCs w:val="21"/>
          <w:highlight w:val="none"/>
        </w:rPr>
      </w:pPr>
      <w:bookmarkStart w:id="104" w:name="_Toc40864924"/>
      <w:bookmarkStart w:id="105" w:name="_Toc40865040"/>
      <w:bookmarkStart w:id="106" w:name="_Toc40864648"/>
      <w:r>
        <w:rPr>
          <w:rFonts w:hint="eastAsia" w:ascii="宋体" w:hAnsi="宋体"/>
          <w:b/>
          <w:color w:val="auto"/>
          <w:sz w:val="21"/>
          <w:szCs w:val="21"/>
          <w:highlight w:val="none"/>
        </w:rPr>
        <w:t>（四）投标文件的有效期</w:t>
      </w:r>
      <w:bookmarkEnd w:id="104"/>
      <w:bookmarkEnd w:id="105"/>
      <w:bookmarkEnd w:id="106"/>
    </w:p>
    <w:p>
      <w:pPr>
        <w:pStyle w:val="13"/>
        <w:widowControl w:val="0"/>
        <w:tabs>
          <w:tab w:val="clear" w:pos="454"/>
        </w:tabs>
        <w:snapToGrid w:val="0"/>
        <w:spacing w:after="120" w:afterLines="0" w:line="360" w:lineRule="exact"/>
        <w:ind w:left="0"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1.自投标截止日起</w:t>
      </w:r>
      <w:r>
        <w:rPr>
          <w:rFonts w:hint="eastAsia" w:ascii="宋体" w:hAnsi="宋体"/>
          <w:color w:val="auto"/>
          <w:sz w:val="21"/>
          <w:szCs w:val="21"/>
          <w:highlight w:val="none"/>
          <w:u w:val="single"/>
        </w:rPr>
        <w:t>60</w:t>
      </w:r>
      <w:r>
        <w:rPr>
          <w:rFonts w:hint="eastAsia" w:ascii="宋体" w:hAnsi="宋体"/>
          <w:color w:val="auto"/>
          <w:sz w:val="21"/>
          <w:szCs w:val="21"/>
          <w:highlight w:val="none"/>
        </w:rPr>
        <w:t>天投标文件应保持有效。有效期不足的投标文件将被拒绝。</w:t>
      </w:r>
    </w:p>
    <w:p>
      <w:pPr>
        <w:pStyle w:val="13"/>
        <w:widowControl w:val="0"/>
        <w:tabs>
          <w:tab w:val="clear" w:pos="454"/>
        </w:tabs>
        <w:snapToGrid w:val="0"/>
        <w:spacing w:after="120" w:afterLines="0" w:line="360" w:lineRule="exact"/>
        <w:ind w:left="0"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2.在特殊情况下，招标人可与投标人协商延长投标书的有效期，这种要求和答复均以书面形式进行。</w:t>
      </w:r>
    </w:p>
    <w:p>
      <w:pPr>
        <w:snapToGrid w:val="0"/>
        <w:spacing w:line="360" w:lineRule="exact"/>
        <w:ind w:firstLine="420" w:firstLineChars="200"/>
        <w:jc w:val="left"/>
        <w:outlineLvl w:val="0"/>
        <w:rPr>
          <w:rFonts w:hint="eastAsia" w:ascii="宋体" w:hAnsi="宋体"/>
          <w:b/>
          <w:color w:val="auto"/>
          <w:szCs w:val="21"/>
          <w:highlight w:val="none"/>
        </w:rPr>
      </w:pPr>
      <w:bookmarkStart w:id="107" w:name="_Toc40864925"/>
      <w:bookmarkStart w:id="108" w:name="_Toc40865041"/>
      <w:bookmarkStart w:id="109" w:name="_Toc254970539"/>
      <w:bookmarkStart w:id="110" w:name="_Toc40864649"/>
      <w:bookmarkStart w:id="111" w:name="_Toc254970680"/>
      <w:r>
        <w:rPr>
          <w:rFonts w:hint="eastAsia" w:ascii="宋体" w:hAnsi="宋体"/>
          <w:color w:val="auto"/>
          <w:szCs w:val="21"/>
          <w:highlight w:val="none"/>
        </w:rPr>
        <w:t>3.投标人可拒绝接受延期要求而不会导致投标保证金被没收。同意延长有效期的投标人需要相应延长投标保证金的有效期，但不能修改投标文件。</w:t>
      </w:r>
      <w:bookmarkEnd w:id="107"/>
      <w:bookmarkEnd w:id="108"/>
      <w:bookmarkEnd w:id="109"/>
      <w:bookmarkEnd w:id="110"/>
      <w:bookmarkEnd w:id="111"/>
      <w:r>
        <w:rPr>
          <w:rFonts w:hint="eastAsia" w:ascii="宋体" w:hAnsi="宋体"/>
          <w:b/>
          <w:color w:val="auto"/>
          <w:szCs w:val="21"/>
          <w:highlight w:val="none"/>
        </w:rPr>
        <w:t xml:space="preserve"> </w:t>
      </w:r>
    </w:p>
    <w:p>
      <w:pPr>
        <w:snapToGrid w:val="0"/>
        <w:spacing w:line="360" w:lineRule="exact"/>
        <w:ind w:firstLine="420" w:firstLineChars="200"/>
        <w:jc w:val="left"/>
        <w:outlineLvl w:val="0"/>
        <w:rPr>
          <w:rFonts w:hint="eastAsia" w:ascii="宋体" w:hAnsi="宋体"/>
          <w:b/>
          <w:color w:val="auto"/>
          <w:szCs w:val="21"/>
          <w:highlight w:val="none"/>
        </w:rPr>
      </w:pPr>
      <w:bookmarkStart w:id="112" w:name="_Toc254970540"/>
      <w:bookmarkStart w:id="113" w:name="_Toc254970681"/>
      <w:bookmarkStart w:id="114" w:name="_Toc40864650"/>
      <w:bookmarkStart w:id="115" w:name="_Toc40865042"/>
      <w:bookmarkStart w:id="116" w:name="_Toc40864926"/>
      <w:r>
        <w:rPr>
          <w:rFonts w:hint="eastAsia" w:ascii="宋体" w:hAnsi="宋体"/>
          <w:color w:val="auto"/>
          <w:szCs w:val="21"/>
          <w:highlight w:val="none"/>
        </w:rPr>
        <w:t>4.中标人的投标文件自开标之日起至合同履行完毕止均应保持有效。</w:t>
      </w:r>
      <w:bookmarkEnd w:id="112"/>
      <w:bookmarkEnd w:id="113"/>
      <w:bookmarkEnd w:id="114"/>
      <w:bookmarkEnd w:id="115"/>
      <w:bookmarkEnd w:id="116"/>
    </w:p>
    <w:p>
      <w:pPr>
        <w:snapToGrid w:val="0"/>
        <w:spacing w:before="156" w:beforeLines="50" w:line="360" w:lineRule="exact"/>
        <w:ind w:firstLine="413" w:firstLineChars="196"/>
        <w:jc w:val="left"/>
        <w:outlineLvl w:val="0"/>
        <w:rPr>
          <w:rFonts w:hint="eastAsia" w:ascii="宋体" w:hAnsi="宋体"/>
          <w:b/>
          <w:color w:val="auto"/>
          <w:szCs w:val="21"/>
          <w:highlight w:val="none"/>
        </w:rPr>
      </w:pPr>
      <w:bookmarkStart w:id="117" w:name="_Toc40864651"/>
      <w:bookmarkStart w:id="118" w:name="_Toc254970541"/>
      <w:bookmarkStart w:id="119" w:name="_Toc40865043"/>
      <w:bookmarkStart w:id="120" w:name="_Toc40864927"/>
      <w:bookmarkStart w:id="121" w:name="_Toc254970682"/>
      <w:r>
        <w:rPr>
          <w:rFonts w:hint="eastAsia" w:ascii="宋体" w:hAnsi="宋体"/>
          <w:b/>
          <w:color w:val="auto"/>
          <w:szCs w:val="21"/>
          <w:highlight w:val="none"/>
        </w:rPr>
        <w:t>（五）投标保证金</w:t>
      </w:r>
      <w:bookmarkEnd w:id="117"/>
      <w:bookmarkEnd w:id="118"/>
      <w:bookmarkEnd w:id="119"/>
      <w:bookmarkEnd w:id="120"/>
      <w:bookmarkEnd w:id="121"/>
    </w:p>
    <w:p>
      <w:pPr>
        <w:pStyle w:val="27"/>
        <w:spacing w:line="420" w:lineRule="exact"/>
        <w:ind w:left="840" w:leftChars="200" w:hanging="420" w:hangingChars="200"/>
        <w:rPr>
          <w:rFonts w:hint="eastAsia" w:hAnsi="宋体"/>
          <w:color w:val="auto"/>
          <w:highlight w:val="none"/>
        </w:rPr>
      </w:pPr>
      <w:r>
        <w:rPr>
          <w:rFonts w:hint="eastAsia" w:hAnsi="宋体"/>
          <w:color w:val="auto"/>
          <w:highlight w:val="none"/>
        </w:rPr>
        <w:t>1. 投标保证金应用人民币，投标人须按规定提交投标保证金。否则，其投标将被拒绝。</w:t>
      </w:r>
    </w:p>
    <w:p>
      <w:pPr>
        <w:snapToGrid w:val="0"/>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2.保证金交纳形式：</w:t>
      </w:r>
      <w:r>
        <w:rPr>
          <w:rFonts w:hint="eastAsia" w:hAnsi="宋体"/>
          <w:color w:val="auto"/>
          <w:szCs w:val="21"/>
          <w:highlight w:val="none"/>
        </w:rPr>
        <w:t>支票、汇票、本票、</w:t>
      </w:r>
      <w:r>
        <w:rPr>
          <w:rFonts w:hint="eastAsia" w:hAnsi="宋体" w:cs="Arial"/>
          <w:bCs/>
          <w:color w:val="auto"/>
          <w:highlight w:val="none"/>
        </w:rPr>
        <w:t>网上银行</w:t>
      </w:r>
      <w:r>
        <w:rPr>
          <w:rFonts w:hint="eastAsia" w:hAnsi="宋体"/>
          <w:color w:val="auto"/>
          <w:szCs w:val="22"/>
          <w:highlight w:val="none"/>
        </w:rPr>
        <w:t>或者金融机构、保险机构出具的保函</w:t>
      </w:r>
      <w:r>
        <w:rPr>
          <w:rFonts w:hint="eastAsia" w:hAnsi="宋体"/>
          <w:color w:val="auto"/>
          <w:szCs w:val="21"/>
          <w:highlight w:val="none"/>
        </w:rPr>
        <w:t>等非现金形式提交</w:t>
      </w:r>
      <w:r>
        <w:rPr>
          <w:rFonts w:hint="eastAsia" w:ascii="宋体" w:hAnsi="宋体"/>
          <w:color w:val="auto"/>
          <w:szCs w:val="21"/>
          <w:highlight w:val="none"/>
        </w:rPr>
        <w:t>。</w:t>
      </w:r>
    </w:p>
    <w:p>
      <w:pPr>
        <w:snapToGrid w:val="0"/>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 xml:space="preserve"> 投标人应按本须知</w:t>
      </w:r>
      <w:r>
        <w:rPr>
          <w:rFonts w:hint="eastAsia" w:ascii="宋体" w:hAnsi="宋体"/>
          <w:color w:val="auto"/>
          <w:szCs w:val="21"/>
          <w:highlight w:val="none"/>
        </w:rPr>
        <w:t>及</w:t>
      </w:r>
      <w:r>
        <w:rPr>
          <w:rFonts w:ascii="宋体" w:hAnsi="宋体"/>
          <w:color w:val="auto"/>
          <w:szCs w:val="21"/>
          <w:highlight w:val="none"/>
        </w:rPr>
        <w:t>招标公告中所明确的开户名称、开户银行、账号，于投标截止前交到本中心账户上</w:t>
      </w:r>
      <w:r>
        <w:rPr>
          <w:rFonts w:hint="eastAsia" w:ascii="宋体" w:hAnsi="宋体"/>
          <w:color w:val="auto"/>
          <w:szCs w:val="21"/>
          <w:highlight w:val="none"/>
        </w:rPr>
        <w:t>或本中心财务处</w:t>
      </w:r>
      <w:r>
        <w:rPr>
          <w:rFonts w:ascii="宋体" w:hAnsi="宋体"/>
          <w:color w:val="auto"/>
          <w:szCs w:val="21"/>
          <w:highlight w:val="none"/>
        </w:rPr>
        <w:t>（投标人交纳投标保证金时应充分考虑保证金到达本中心账户上的</w:t>
      </w:r>
      <w:r>
        <w:rPr>
          <w:rFonts w:hint="eastAsia" w:ascii="宋体" w:hAnsi="宋体"/>
          <w:color w:val="auto"/>
          <w:szCs w:val="21"/>
          <w:highlight w:val="none"/>
        </w:rPr>
        <w:t>清算</w:t>
      </w:r>
      <w:r>
        <w:rPr>
          <w:rFonts w:ascii="宋体" w:hAnsi="宋体"/>
          <w:color w:val="auto"/>
          <w:szCs w:val="21"/>
          <w:highlight w:val="none"/>
        </w:rPr>
        <w:t>时间）。</w:t>
      </w:r>
    </w:p>
    <w:p>
      <w:pPr>
        <w:pStyle w:val="27"/>
        <w:spacing w:line="420" w:lineRule="exact"/>
        <w:ind w:left="989" w:leftChars="301" w:hanging="357" w:hangingChars="198"/>
        <w:rPr>
          <w:rFonts w:hint="eastAsia"/>
          <w:b/>
          <w:color w:val="auto"/>
          <w:sz w:val="18"/>
          <w:szCs w:val="18"/>
          <w:highlight w:val="none"/>
        </w:rPr>
      </w:pPr>
      <w:r>
        <w:rPr>
          <w:rFonts w:hint="eastAsia" w:hAnsi="宋体"/>
          <w:b/>
          <w:color w:val="auto"/>
          <w:sz w:val="18"/>
          <w:szCs w:val="18"/>
          <w:highlight w:val="none"/>
        </w:rPr>
        <w:t>注：①</w:t>
      </w:r>
      <w:r>
        <w:rPr>
          <w:rFonts w:hint="eastAsia"/>
          <w:b/>
          <w:color w:val="auto"/>
          <w:sz w:val="18"/>
          <w:szCs w:val="18"/>
          <w:highlight w:val="none"/>
        </w:rPr>
        <w:t>办理投标保证金手续时，请务必在保证金凭据上注明或写明项目名称及项目编号，以免耽误投标。</w:t>
      </w:r>
    </w:p>
    <w:p>
      <w:pPr>
        <w:snapToGrid w:val="0"/>
        <w:spacing w:line="360" w:lineRule="exact"/>
        <w:ind w:firstLine="984" w:firstLineChars="545"/>
        <w:jc w:val="left"/>
        <w:rPr>
          <w:rFonts w:hint="eastAsia" w:hAnsi="宋体"/>
          <w:b/>
          <w:color w:val="auto"/>
          <w:sz w:val="18"/>
          <w:szCs w:val="18"/>
          <w:highlight w:val="none"/>
        </w:rPr>
      </w:pPr>
      <w:r>
        <w:rPr>
          <w:rFonts w:hint="eastAsia" w:hAnsi="宋体"/>
          <w:b/>
          <w:color w:val="auto"/>
          <w:sz w:val="18"/>
          <w:szCs w:val="18"/>
          <w:highlight w:val="none"/>
        </w:rPr>
        <w:t>②</w:t>
      </w:r>
      <w:r>
        <w:rPr>
          <w:rFonts w:hint="eastAsia" w:ascii="宋体" w:hAnsi="宋体"/>
          <w:b/>
          <w:color w:val="auto"/>
          <w:sz w:val="18"/>
          <w:szCs w:val="18"/>
          <w:highlight w:val="none"/>
        </w:rPr>
        <w:t>未中标人的投标保证金在中标通知书发出后5个工作日内退还，</w:t>
      </w:r>
      <w:r>
        <w:rPr>
          <w:rFonts w:hint="eastAsia" w:hAnsi="宋体"/>
          <w:b/>
          <w:color w:val="auto"/>
          <w:sz w:val="18"/>
          <w:szCs w:val="18"/>
          <w:highlight w:val="none"/>
        </w:rPr>
        <w:t>不计利息。</w:t>
      </w:r>
    </w:p>
    <w:p>
      <w:pPr>
        <w:snapToGrid w:val="0"/>
        <w:spacing w:line="360" w:lineRule="exact"/>
        <w:ind w:left="1109" w:leftChars="444" w:hanging="177" w:hangingChars="98"/>
        <w:jc w:val="left"/>
        <w:rPr>
          <w:rFonts w:hint="eastAsia" w:ascii="宋体" w:hAnsi="宋体"/>
          <w:b/>
          <w:color w:val="auto"/>
          <w:sz w:val="18"/>
          <w:szCs w:val="18"/>
          <w:highlight w:val="none"/>
        </w:rPr>
      </w:pPr>
      <w:r>
        <w:rPr>
          <w:rFonts w:hint="eastAsia" w:hAnsi="宋体"/>
          <w:b/>
          <w:color w:val="auto"/>
          <w:sz w:val="18"/>
          <w:szCs w:val="18"/>
          <w:highlight w:val="none"/>
        </w:rPr>
        <w:t>③</w:t>
      </w:r>
      <w:r>
        <w:rPr>
          <w:rFonts w:hint="eastAsia" w:ascii="宋体" w:hAnsi="宋体"/>
          <w:b/>
          <w:color w:val="auto"/>
          <w:sz w:val="18"/>
          <w:szCs w:val="18"/>
          <w:highlight w:val="none"/>
        </w:rPr>
        <w:t>中标人的</w:t>
      </w:r>
      <w:r>
        <w:rPr>
          <w:rFonts w:ascii="宋体" w:hAnsi="宋体"/>
          <w:b/>
          <w:color w:val="auto"/>
          <w:sz w:val="18"/>
          <w:szCs w:val="18"/>
          <w:highlight w:val="none"/>
        </w:rPr>
        <w:t>投标保证金自政府采购合同签订之日起</w:t>
      </w:r>
      <w:r>
        <w:rPr>
          <w:rFonts w:hint="eastAsia" w:ascii="宋体" w:hAnsi="宋体"/>
          <w:b/>
          <w:color w:val="auto"/>
          <w:sz w:val="18"/>
          <w:szCs w:val="18"/>
          <w:highlight w:val="none"/>
        </w:rPr>
        <w:t>5</w:t>
      </w:r>
      <w:r>
        <w:rPr>
          <w:rFonts w:ascii="宋体" w:hAnsi="宋体"/>
          <w:b/>
          <w:color w:val="auto"/>
          <w:sz w:val="18"/>
          <w:szCs w:val="18"/>
          <w:highlight w:val="none"/>
        </w:rPr>
        <w:t>个工作日内</w:t>
      </w:r>
      <w:r>
        <w:rPr>
          <w:rFonts w:hint="eastAsia" w:ascii="宋体" w:hAnsi="宋体"/>
          <w:b/>
          <w:color w:val="auto"/>
          <w:sz w:val="18"/>
          <w:szCs w:val="18"/>
          <w:highlight w:val="none"/>
        </w:rPr>
        <w:t>（合同签订后送达本中心)后</w:t>
      </w:r>
      <w:r>
        <w:rPr>
          <w:rFonts w:ascii="宋体" w:hAnsi="宋体"/>
          <w:b/>
          <w:color w:val="auto"/>
          <w:sz w:val="18"/>
          <w:szCs w:val="18"/>
          <w:highlight w:val="none"/>
        </w:rPr>
        <w:t>退还</w:t>
      </w:r>
      <w:r>
        <w:rPr>
          <w:rFonts w:hint="eastAsia" w:ascii="宋体" w:hAnsi="宋体"/>
          <w:b/>
          <w:color w:val="auto"/>
          <w:sz w:val="18"/>
          <w:szCs w:val="18"/>
          <w:highlight w:val="none"/>
        </w:rPr>
        <w:t>，不计利息。</w:t>
      </w:r>
    </w:p>
    <w:p>
      <w:pPr>
        <w:spacing w:line="400" w:lineRule="exact"/>
        <w:ind w:firstLine="420" w:firstLineChars="200"/>
        <w:rPr>
          <w:rFonts w:hint="eastAsia" w:ascii="宋体" w:hAnsi="宋体"/>
          <w:b/>
          <w:bCs/>
          <w:color w:val="auto"/>
          <w:sz w:val="18"/>
          <w:szCs w:val="18"/>
          <w:highlight w:val="none"/>
        </w:rPr>
      </w:pPr>
      <w:r>
        <w:rPr>
          <w:rFonts w:hint="eastAsia" w:ascii="宋体" w:hAnsi="宋体"/>
          <w:color w:val="auto"/>
          <w:szCs w:val="21"/>
          <w:highlight w:val="none"/>
        </w:rPr>
        <w:t>4.</w:t>
      </w:r>
      <w:r>
        <w:rPr>
          <w:rFonts w:hint="eastAsia" w:ascii="宋体" w:hAnsi="宋体"/>
          <w:b/>
          <w:bCs/>
          <w:color w:val="auto"/>
          <w:szCs w:val="21"/>
          <w:highlight w:val="none"/>
        </w:rPr>
        <w:t>本项目保证金事宜请联系中心财务处（电话：0771-0771-8600309，地址：</w:t>
      </w:r>
      <w:r>
        <w:rPr>
          <w:rFonts w:hAnsi="宋体" w:cs="宋体"/>
          <w:b/>
          <w:bCs/>
          <w:color w:val="auto"/>
          <w:kern w:val="0"/>
          <w:szCs w:val="21"/>
          <w:highlight w:val="none"/>
        </w:rPr>
        <w:t>广西</w:t>
      </w:r>
      <w:r>
        <w:rPr>
          <w:rFonts w:hAnsi="宋体" w:cs="宋体"/>
          <w:b/>
          <w:bCs/>
          <w:color w:val="auto"/>
          <w:kern w:val="0"/>
          <w:szCs w:val="21"/>
          <w:highlight w:val="none"/>
          <w:lang w:val="en"/>
        </w:rPr>
        <w:t>南宁市星湖路22号</w:t>
      </w:r>
      <w:r>
        <w:rPr>
          <w:rFonts w:hint="eastAsia" w:ascii="宋体" w:hAnsi="宋体"/>
          <w:b/>
          <w:bCs/>
          <w:color w:val="auto"/>
          <w:szCs w:val="21"/>
          <w:highlight w:val="none"/>
        </w:rPr>
        <w:t>）。</w:t>
      </w:r>
    </w:p>
    <w:p>
      <w:pPr>
        <w:snapToGrid w:val="0"/>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 xml:space="preserve">5. </w:t>
      </w:r>
      <w:r>
        <w:rPr>
          <w:rFonts w:ascii="宋体" w:hAnsi="宋体" w:cs="宋体"/>
          <w:color w:val="auto"/>
          <w:kern w:val="0"/>
          <w:szCs w:val="21"/>
          <w:highlight w:val="none"/>
        </w:rPr>
        <w:t>中标人应在中标通知书发出</w:t>
      </w:r>
      <w:r>
        <w:rPr>
          <w:rFonts w:hint="eastAsia" w:ascii="宋体" w:hAnsi="宋体" w:cs="宋体"/>
          <w:color w:val="auto"/>
          <w:kern w:val="0"/>
          <w:szCs w:val="21"/>
          <w:highlight w:val="none"/>
        </w:rPr>
        <w:t>之日起</w:t>
      </w:r>
      <w:r>
        <w:rPr>
          <w:rFonts w:hint="eastAsia" w:ascii="宋体" w:hAnsi="宋体"/>
          <w:color w:val="auto"/>
          <w:szCs w:val="21"/>
          <w:highlight w:val="none"/>
          <w:u w:val="single"/>
        </w:rPr>
        <w:t>25</w:t>
      </w:r>
      <w:r>
        <w:rPr>
          <w:rFonts w:hint="eastAsia" w:ascii="宋体" w:hAnsi="宋体"/>
          <w:color w:val="auto"/>
          <w:szCs w:val="21"/>
          <w:highlight w:val="none"/>
        </w:rPr>
        <w:t>日内与采购人签订合同</w:t>
      </w:r>
      <w:r>
        <w:rPr>
          <w:rFonts w:hint="eastAsia" w:hAnsi="宋体"/>
          <w:b/>
          <w:color w:val="auto"/>
          <w:highlight w:val="none"/>
          <w:u w:val="single"/>
        </w:rPr>
        <w:t>（采购需求另有规定的，按采购需求要求执行）</w:t>
      </w:r>
      <w:r>
        <w:rPr>
          <w:rFonts w:hint="eastAsia" w:ascii="宋体" w:hAnsi="宋体"/>
          <w:color w:val="auto"/>
          <w:szCs w:val="21"/>
          <w:highlight w:val="none"/>
        </w:rPr>
        <w:t>。</w:t>
      </w:r>
    </w:p>
    <w:p>
      <w:pPr>
        <w:pStyle w:val="27"/>
        <w:spacing w:line="400" w:lineRule="exact"/>
        <w:ind w:firstLine="420" w:firstLineChars="200"/>
        <w:rPr>
          <w:rFonts w:hint="eastAsia" w:hAnsi="宋体"/>
          <w:color w:val="auto"/>
          <w:highlight w:val="none"/>
        </w:rPr>
      </w:pPr>
      <w:r>
        <w:rPr>
          <w:rFonts w:hint="eastAsia"/>
          <w:color w:val="auto"/>
          <w:highlight w:val="none"/>
        </w:rPr>
        <w:t>6.投标保证金不计息。</w:t>
      </w:r>
    </w:p>
    <w:p>
      <w:pPr>
        <w:snapToGrid w:val="0"/>
        <w:spacing w:line="360" w:lineRule="exact"/>
        <w:ind w:firstLine="413" w:firstLineChars="196"/>
        <w:jc w:val="left"/>
        <w:rPr>
          <w:rFonts w:hint="eastAsia" w:ascii="宋体" w:hAnsi="宋体"/>
          <w:b/>
          <w:bCs/>
          <w:color w:val="auto"/>
          <w:szCs w:val="21"/>
          <w:highlight w:val="none"/>
        </w:rPr>
      </w:pPr>
      <w:r>
        <w:rPr>
          <w:rFonts w:hint="eastAsia" w:ascii="宋体" w:hAnsi="宋体"/>
          <w:b/>
          <w:bCs/>
          <w:color w:val="auto"/>
          <w:szCs w:val="21"/>
          <w:highlight w:val="none"/>
        </w:rPr>
        <w:t>7.投标人有下列情形之一的，投标保证金将不予退还：</w:t>
      </w:r>
    </w:p>
    <w:p>
      <w:pPr>
        <w:snapToGrid w:val="0"/>
        <w:spacing w:line="360" w:lineRule="exact"/>
        <w:ind w:firstLine="413" w:firstLineChars="196"/>
        <w:jc w:val="left"/>
        <w:rPr>
          <w:rFonts w:hint="eastAsia" w:ascii="宋体" w:hAnsi="宋体"/>
          <w:color w:val="auto"/>
          <w:szCs w:val="21"/>
          <w:highlight w:val="none"/>
        </w:rPr>
      </w:pPr>
      <w:r>
        <w:rPr>
          <w:rFonts w:hint="eastAsia" w:ascii="宋体" w:hAnsi="宋体"/>
          <w:b/>
          <w:color w:val="auto"/>
          <w:szCs w:val="21"/>
          <w:highlight w:val="none"/>
        </w:rPr>
        <w:t>（1）</w:t>
      </w:r>
      <w:r>
        <w:rPr>
          <w:rFonts w:hint="eastAsia" w:ascii="宋体" w:hAnsi="宋体"/>
          <w:color w:val="auto"/>
          <w:szCs w:val="21"/>
          <w:highlight w:val="none"/>
        </w:rPr>
        <w:t>投标人在投标有效期内撤回投标文件的；</w:t>
      </w:r>
    </w:p>
    <w:p>
      <w:pPr>
        <w:snapToGrid w:val="0"/>
        <w:spacing w:line="360" w:lineRule="exact"/>
        <w:ind w:firstLine="413" w:firstLineChars="196"/>
        <w:jc w:val="left"/>
        <w:rPr>
          <w:rFonts w:hint="eastAsia" w:ascii="宋体" w:hAnsi="宋体"/>
          <w:color w:val="auto"/>
          <w:szCs w:val="21"/>
          <w:highlight w:val="none"/>
        </w:rPr>
      </w:pPr>
      <w:r>
        <w:rPr>
          <w:rFonts w:hint="eastAsia" w:ascii="宋体" w:hAnsi="宋体"/>
          <w:b/>
          <w:color w:val="auto"/>
          <w:szCs w:val="21"/>
          <w:highlight w:val="none"/>
        </w:rPr>
        <w:t>（2）</w:t>
      </w:r>
      <w:r>
        <w:rPr>
          <w:rFonts w:hint="eastAsia" w:ascii="宋体" w:hAnsi="宋体"/>
          <w:color w:val="auto"/>
          <w:szCs w:val="21"/>
          <w:highlight w:val="none"/>
        </w:rPr>
        <w:t>投标人在投标过程中弄虚作假，提供虚假材料的；</w:t>
      </w:r>
    </w:p>
    <w:p>
      <w:pPr>
        <w:snapToGrid w:val="0"/>
        <w:spacing w:line="360" w:lineRule="exact"/>
        <w:ind w:firstLine="413" w:firstLineChars="196"/>
        <w:jc w:val="left"/>
        <w:rPr>
          <w:rFonts w:hint="eastAsia" w:ascii="宋体" w:hAnsi="宋体"/>
          <w:color w:val="auto"/>
          <w:szCs w:val="21"/>
          <w:highlight w:val="none"/>
        </w:rPr>
      </w:pPr>
      <w:r>
        <w:rPr>
          <w:rFonts w:hint="eastAsia" w:ascii="宋体" w:hAnsi="宋体"/>
          <w:b/>
          <w:color w:val="auto"/>
          <w:szCs w:val="21"/>
          <w:highlight w:val="none"/>
        </w:rPr>
        <w:t>（3）</w:t>
      </w:r>
      <w:r>
        <w:rPr>
          <w:rFonts w:hint="eastAsia" w:ascii="宋体" w:hAnsi="宋体"/>
          <w:color w:val="auto"/>
          <w:szCs w:val="21"/>
          <w:highlight w:val="none"/>
        </w:rPr>
        <w:t>中标人无正当理由不与采购人签订合同的；</w:t>
      </w:r>
    </w:p>
    <w:p>
      <w:pPr>
        <w:snapToGrid w:val="0"/>
        <w:spacing w:line="360" w:lineRule="exact"/>
        <w:ind w:firstLine="413" w:firstLineChars="196"/>
        <w:rPr>
          <w:rFonts w:hint="eastAsia" w:ascii="宋体" w:hAnsi="宋体"/>
          <w:color w:val="auto"/>
          <w:szCs w:val="21"/>
          <w:highlight w:val="none"/>
        </w:rPr>
      </w:pPr>
      <w:r>
        <w:rPr>
          <w:rFonts w:hint="eastAsia" w:ascii="宋体" w:hAnsi="宋体"/>
          <w:b/>
          <w:color w:val="auto"/>
          <w:szCs w:val="21"/>
          <w:highlight w:val="none"/>
        </w:rPr>
        <w:t>（4）</w:t>
      </w:r>
      <w:r>
        <w:rPr>
          <w:rFonts w:hint="eastAsia" w:ascii="宋体" w:hAnsi="宋体"/>
          <w:bCs/>
          <w:color w:val="auto"/>
          <w:spacing w:val="-4"/>
          <w:szCs w:val="21"/>
          <w:highlight w:val="none"/>
        </w:rPr>
        <w:t>将中标项目转让给他人或者在投标文件中未说明且未经招标采购人同意，将中标项目分包给他人的；</w:t>
      </w:r>
    </w:p>
    <w:p>
      <w:pPr>
        <w:snapToGrid w:val="0"/>
        <w:spacing w:line="360" w:lineRule="exact"/>
        <w:ind w:firstLine="413" w:firstLineChars="196"/>
        <w:rPr>
          <w:rFonts w:hint="eastAsia" w:ascii="宋体" w:hAnsi="宋体"/>
          <w:b/>
          <w:color w:val="auto"/>
          <w:szCs w:val="21"/>
          <w:highlight w:val="none"/>
        </w:rPr>
      </w:pPr>
      <w:r>
        <w:rPr>
          <w:rFonts w:hint="eastAsia" w:ascii="宋体" w:hAnsi="宋体"/>
          <w:b/>
          <w:color w:val="auto"/>
          <w:szCs w:val="21"/>
          <w:highlight w:val="none"/>
        </w:rPr>
        <w:t>（5）</w:t>
      </w:r>
      <w:r>
        <w:rPr>
          <w:rFonts w:hint="eastAsia" w:ascii="宋体" w:hAnsi="宋体"/>
          <w:color w:val="auto"/>
          <w:szCs w:val="21"/>
          <w:highlight w:val="none"/>
        </w:rPr>
        <w:t>拒绝履行合同义务的；</w:t>
      </w:r>
    </w:p>
    <w:p>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（6）其他严重扰乱招投标程序的。</w:t>
      </w:r>
    </w:p>
    <w:p>
      <w:pPr>
        <w:snapToGrid w:val="0"/>
        <w:spacing w:before="156" w:beforeLines="50" w:line="360" w:lineRule="exact"/>
        <w:ind w:firstLine="413" w:firstLineChars="196"/>
        <w:jc w:val="left"/>
        <w:outlineLvl w:val="0"/>
        <w:rPr>
          <w:rFonts w:hint="eastAsia" w:ascii="宋体" w:hAnsi="宋体"/>
          <w:b/>
          <w:color w:val="auto"/>
          <w:szCs w:val="21"/>
          <w:highlight w:val="none"/>
        </w:rPr>
      </w:pPr>
      <w:bookmarkStart w:id="122" w:name="_Toc40864652"/>
      <w:bookmarkStart w:id="123" w:name="_Toc254970683"/>
      <w:bookmarkStart w:id="124" w:name="_Toc40864928"/>
      <w:bookmarkStart w:id="125" w:name="_Toc254970542"/>
      <w:bookmarkStart w:id="126" w:name="_Toc40865044"/>
      <w:r>
        <w:rPr>
          <w:rFonts w:hint="eastAsia" w:ascii="宋体" w:hAnsi="宋体"/>
          <w:b/>
          <w:color w:val="auto"/>
          <w:szCs w:val="21"/>
          <w:highlight w:val="none"/>
        </w:rPr>
        <w:t>（六）投标文件的签署和份数</w:t>
      </w:r>
      <w:bookmarkEnd w:id="122"/>
      <w:bookmarkEnd w:id="123"/>
      <w:bookmarkEnd w:id="124"/>
      <w:bookmarkEnd w:id="125"/>
      <w:bookmarkEnd w:id="126"/>
    </w:p>
    <w:p>
      <w:pPr>
        <w:adjustRightInd w:val="0"/>
        <w:snapToGrid w:val="0"/>
        <w:spacing w:line="400" w:lineRule="exact"/>
        <w:ind w:firstLine="420" w:firstLineChars="200"/>
        <w:jc w:val="left"/>
        <w:rPr>
          <w:rFonts w:hint="eastAsia" w:ascii="宋体" w:hAnsi="宋体"/>
          <w:color w:val="auto"/>
          <w:szCs w:val="21"/>
          <w:highlight w:val="none"/>
        </w:rPr>
      </w:pPr>
      <w:bookmarkStart w:id="127" w:name="_Toc40864653"/>
      <w:bookmarkStart w:id="128" w:name="_Toc40864929"/>
      <w:bookmarkStart w:id="129" w:name="_Toc40865045"/>
      <w:r>
        <w:rPr>
          <w:rFonts w:hint="eastAsia" w:ascii="宋体" w:hAnsi="宋体"/>
          <w:color w:val="auto"/>
          <w:szCs w:val="21"/>
          <w:highlight w:val="none"/>
        </w:rPr>
        <w:t>1.投标人应按本招标文件规定的格式和顺序编制并标注页码，投标文件内容不完整、编排混乱导致投标文件被误读、漏读或者查找不到相关内容的，是投标人的责任。</w:t>
      </w:r>
    </w:p>
    <w:p>
      <w:pPr>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2. 投标文件份数：见投标人须知及前附表。</w:t>
      </w:r>
    </w:p>
    <w:p>
      <w:pPr>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3.投标文件须由投标人在规定位置盖章并由法定代表人或法定代表人的授权委托人</w:t>
      </w:r>
      <w:r>
        <w:rPr>
          <w:rFonts w:hint="eastAsia" w:ascii="宋体" w:hAnsi="宋体"/>
          <w:color w:val="auto"/>
          <w:szCs w:val="21"/>
          <w:highlight w:val="none"/>
          <w:lang w:eastAsia="zh-CN"/>
        </w:rPr>
        <w:t>签字或签章</w:t>
      </w:r>
      <w:r>
        <w:rPr>
          <w:rFonts w:hint="eastAsia" w:ascii="宋体" w:hAnsi="宋体"/>
          <w:color w:val="auto"/>
          <w:szCs w:val="21"/>
          <w:highlight w:val="none"/>
        </w:rPr>
        <w:t>，投标人应写全称。</w:t>
      </w:r>
    </w:p>
    <w:p>
      <w:pPr>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4.投标文件不得涂改，若有修改错漏处，须加盖单位公章或者法定代表人或授权委托人</w:t>
      </w:r>
      <w:r>
        <w:rPr>
          <w:rFonts w:hint="default" w:ascii="宋体" w:hAnsi="宋体"/>
          <w:color w:val="auto"/>
          <w:szCs w:val="21"/>
          <w:highlight w:val="none"/>
          <w:lang w:val="en"/>
        </w:rPr>
        <w:t>签字或签章</w:t>
      </w:r>
      <w:r>
        <w:rPr>
          <w:rFonts w:hint="eastAsia" w:ascii="宋体" w:hAnsi="宋体"/>
          <w:color w:val="auto"/>
          <w:szCs w:val="21"/>
          <w:highlight w:val="none"/>
        </w:rPr>
        <w:t>。投标文件因扫描不清晰或乱码或表达不清所引起的后果由投标人负责。</w:t>
      </w:r>
    </w:p>
    <w:p>
      <w:pPr>
        <w:snapToGrid w:val="0"/>
        <w:spacing w:before="156" w:beforeLines="50" w:line="360" w:lineRule="exact"/>
        <w:ind w:firstLine="309" w:firstLineChars="147"/>
        <w:jc w:val="left"/>
        <w:outlineLvl w:val="0"/>
        <w:rPr>
          <w:rFonts w:hint="eastAsia" w:ascii="宋体" w:hAnsi="宋体"/>
          <w:b/>
          <w:color w:val="auto"/>
          <w:szCs w:val="21"/>
          <w:highlight w:val="none"/>
        </w:rPr>
      </w:pPr>
      <w:r>
        <w:rPr>
          <w:rFonts w:hint="eastAsia" w:ascii="宋体" w:hAnsi="宋体"/>
          <w:b/>
          <w:color w:val="auto"/>
          <w:szCs w:val="21"/>
          <w:highlight w:val="none"/>
        </w:rPr>
        <w:t>（七）</w:t>
      </w:r>
      <w:bookmarkEnd w:id="127"/>
      <w:bookmarkEnd w:id="128"/>
      <w:bookmarkEnd w:id="129"/>
      <w:r>
        <w:rPr>
          <w:rFonts w:hint="eastAsia"/>
          <w:b/>
          <w:color w:val="auto"/>
          <w:highlight w:val="none"/>
        </w:rPr>
        <w:t>投标文件的上传、提交、修改、撤回和解密</w:t>
      </w:r>
    </w:p>
    <w:p>
      <w:pPr>
        <w:adjustRightInd w:val="0"/>
        <w:snapToGrid w:val="0"/>
        <w:spacing w:line="400" w:lineRule="exact"/>
        <w:ind w:firstLine="210" w:firstLineChars="100"/>
        <w:jc w:val="left"/>
        <w:rPr>
          <w:rFonts w:hint="eastAsia"/>
          <w:b/>
          <w:color w:val="auto"/>
          <w:highlight w:val="none"/>
        </w:rPr>
      </w:pPr>
      <w:bookmarkStart w:id="130" w:name="_Toc40864654"/>
      <w:bookmarkStart w:id="131" w:name="_Toc40864930"/>
      <w:bookmarkStart w:id="132" w:name="_Toc40865046"/>
      <w:r>
        <w:rPr>
          <w:rFonts w:hint="eastAsia" w:ascii="宋体" w:hAnsi="宋体" w:cs="宋体"/>
          <w:color w:val="auto"/>
          <w:kern w:val="0"/>
          <w:szCs w:val="21"/>
          <w:highlight w:val="none"/>
        </w:rPr>
        <w:t>▲</w:t>
      </w:r>
      <w:r>
        <w:rPr>
          <w:rFonts w:hint="eastAsia" w:ascii="宋体" w:hAnsi="宋体"/>
          <w:color w:val="auto"/>
          <w:szCs w:val="21"/>
          <w:highlight w:val="none"/>
        </w:rPr>
        <w:t xml:space="preserve">1. </w:t>
      </w:r>
      <w:r>
        <w:rPr>
          <w:rFonts w:hint="eastAsia"/>
          <w:b/>
          <w:color w:val="auto"/>
          <w:highlight w:val="none"/>
        </w:rPr>
        <w:t>投标文件的上传、提交：见投标人须知及前附表。</w:t>
      </w:r>
    </w:p>
    <w:p>
      <w:pPr>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cs="仿宋_GB2312"/>
          <w:color w:val="auto"/>
          <w:kern w:val="0"/>
          <w:szCs w:val="21"/>
          <w:highlight w:val="none"/>
          <w:lang w:val="zh-CN"/>
        </w:rPr>
        <w:t xml:space="preserve"> 投标文件的修改和撤回：供应商应当在投标截止时间前完成投标文件的上传、提交，并可以补充、修改或者撤回投标文件。补充或者修改投标文件的，应当先行撤回原文件，补充、修改后重新上传、提交。投标截止时间前未完成上传、提交的，视为撤回投标文件。投标截止时间后提交的投标文件，“</w:t>
      </w:r>
      <w:r>
        <w:rPr>
          <w:rFonts w:ascii="宋体" w:hAnsi="宋体" w:cs="仿宋_GB2312"/>
          <w:color w:val="auto"/>
          <w:kern w:val="0"/>
          <w:szCs w:val="21"/>
          <w:highlight w:val="none"/>
          <w:lang w:val="en"/>
        </w:rPr>
        <w:t>广西政府采购云平台</w:t>
      </w:r>
      <w:r>
        <w:rPr>
          <w:rFonts w:hint="eastAsia" w:ascii="宋体" w:hAnsi="宋体" w:cs="仿宋_GB2312"/>
          <w:color w:val="auto"/>
          <w:kern w:val="0"/>
          <w:szCs w:val="21"/>
          <w:highlight w:val="none"/>
          <w:lang w:val="zh-CN"/>
        </w:rPr>
        <w:t>”将予以拒收。投标截止时间后，投标供应商不得撤回、修改投标文件。</w:t>
      </w:r>
    </w:p>
    <w:p>
      <w:pPr>
        <w:adjustRightInd w:val="0"/>
        <w:snapToGrid w:val="0"/>
        <w:spacing w:line="400" w:lineRule="exact"/>
        <w:ind w:firstLine="404" w:firstLineChars="200"/>
        <w:rPr>
          <w:rFonts w:hint="eastAsia" w:ascii="宋体" w:hAnsi="宋体"/>
          <w:color w:val="auto"/>
          <w:spacing w:val="-4"/>
          <w:szCs w:val="21"/>
          <w:highlight w:val="none"/>
        </w:rPr>
      </w:pPr>
      <w:r>
        <w:rPr>
          <w:rFonts w:hint="eastAsia" w:ascii="宋体" w:hAnsi="宋体"/>
          <w:color w:val="auto"/>
          <w:spacing w:val="-4"/>
          <w:szCs w:val="21"/>
          <w:highlight w:val="none"/>
        </w:rPr>
        <w:t>3.</w:t>
      </w:r>
      <w:r>
        <w:rPr>
          <w:rFonts w:hint="eastAsia" w:ascii="宋体"/>
          <w:snapToGrid w:val="0"/>
          <w:color w:val="auto"/>
          <w:szCs w:val="21"/>
          <w:highlight w:val="none"/>
        </w:rPr>
        <w:t xml:space="preserve"> 电子加密投标文件的解密：开标后，采购组织机构将向各投标供应商发出“电子加密投标文件”的解密通知，各投标供应商代表应当在接到解密通知后30分钟内自行完成“电子加密投标文件”的在线解密。投标供应商未在规定时间内完成解密的，系统默认自动放弃。</w:t>
      </w:r>
    </w:p>
    <w:p>
      <w:pPr>
        <w:adjustRightInd w:val="0"/>
        <w:snapToGrid w:val="0"/>
        <w:spacing w:line="400" w:lineRule="exact"/>
        <w:ind w:firstLine="404" w:firstLineChars="200"/>
        <w:jc w:val="left"/>
        <w:rPr>
          <w:rFonts w:hint="eastAsia" w:ascii="宋体" w:hAnsi="宋体"/>
          <w:color w:val="auto"/>
          <w:spacing w:val="-4"/>
          <w:szCs w:val="21"/>
          <w:highlight w:val="none"/>
        </w:rPr>
      </w:pPr>
      <w:r>
        <w:rPr>
          <w:rFonts w:hint="eastAsia" w:ascii="宋体" w:hAnsi="宋体"/>
          <w:color w:val="auto"/>
          <w:spacing w:val="-4"/>
          <w:szCs w:val="21"/>
          <w:highlight w:val="none"/>
        </w:rPr>
        <w:t>4.投标人已经被推荐为第一中标候选供应商后撤回投标或放弃中标的，其投标保证金将不予退还，并上缴国库，给采购人造成损失的，还应当赔偿损失，并作为不良行为记录在案。</w:t>
      </w:r>
    </w:p>
    <w:p>
      <w:pPr>
        <w:snapToGrid w:val="0"/>
        <w:spacing w:line="360" w:lineRule="exact"/>
        <w:ind w:firstLine="420"/>
        <w:jc w:val="left"/>
        <w:outlineLvl w:val="0"/>
        <w:rPr>
          <w:rFonts w:hint="eastAsia" w:ascii="宋体" w:hAnsi="宋体"/>
          <w:b/>
          <w:color w:val="auto"/>
          <w:szCs w:val="21"/>
          <w:highlight w:val="none"/>
        </w:rPr>
      </w:pPr>
      <w:r>
        <w:rPr>
          <w:rFonts w:hint="eastAsia" w:ascii="宋体" w:hAnsi="宋体"/>
          <w:b/>
          <w:color w:val="auto"/>
          <w:szCs w:val="21"/>
          <w:highlight w:val="none"/>
        </w:rPr>
        <w:t>（八）投标无效的情形</w:t>
      </w:r>
      <w:bookmarkEnd w:id="130"/>
      <w:bookmarkEnd w:id="131"/>
      <w:bookmarkEnd w:id="132"/>
    </w:p>
    <w:p>
      <w:pPr>
        <w:pStyle w:val="21"/>
        <w:adjustRightInd w:val="0"/>
        <w:snapToGrid w:val="0"/>
        <w:spacing w:line="400" w:lineRule="exact"/>
        <w:ind w:firstLine="411" w:firstLineChars="196"/>
        <w:rPr>
          <w:rFonts w:ascii="宋体" w:hAnsi="宋体" w:eastAsia="宋体"/>
          <w:bCs/>
          <w:color w:val="auto"/>
          <w:sz w:val="21"/>
          <w:szCs w:val="21"/>
          <w:highlight w:val="none"/>
        </w:rPr>
      </w:pPr>
      <w:bookmarkStart w:id="133" w:name="_Toc40864656"/>
      <w:bookmarkStart w:id="134" w:name="_Toc40864932"/>
      <w:bookmarkStart w:id="135" w:name="_Toc40865048"/>
      <w:r>
        <w:rPr>
          <w:rFonts w:hint="eastAsia" w:ascii="宋体" w:hAnsi="宋体" w:eastAsia="宋体"/>
          <w:bCs/>
          <w:color w:val="auto"/>
          <w:sz w:val="21"/>
          <w:szCs w:val="21"/>
          <w:highlight w:val="none"/>
        </w:rPr>
        <w:t>实质上没有响应招标文件要求的投标将被视为无效投标。投标人不得通过修正或撤销不合要求的偏离或保留从而使其投标成为实质上响应的投标，但经评标委会认定属于投标人疏忽、笔误所造成的差错，应当允许其在评标结束之前在</w:t>
      </w:r>
      <w:r>
        <w:rPr>
          <w:rFonts w:ascii="宋体" w:hAnsi="宋体" w:eastAsia="宋体"/>
          <w:bCs/>
          <w:color w:val="auto"/>
          <w:sz w:val="21"/>
          <w:szCs w:val="21"/>
          <w:highlight w:val="none"/>
          <w:lang w:val="en"/>
        </w:rPr>
        <w:t>广西政府采购云平台</w:t>
      </w:r>
      <w:r>
        <w:rPr>
          <w:rFonts w:hint="eastAsia" w:ascii="宋体" w:hAnsi="宋体" w:eastAsia="宋体"/>
          <w:bCs/>
          <w:color w:val="auto"/>
          <w:sz w:val="21"/>
          <w:szCs w:val="21"/>
          <w:highlight w:val="none"/>
        </w:rPr>
        <w:t>系统上进行修改或者补正并加盖单位公章。在评标委员会发出询标函规定的回复限期内不补正或经补正后仍不符合招标文件要求的，应认定其投标无效。投标人修改、补正投标文件后，不影响评标委员会对其投标文件所作的评价和评分结果。</w:t>
      </w:r>
    </w:p>
    <w:p>
      <w:pPr>
        <w:pStyle w:val="21"/>
        <w:snapToGrid w:val="0"/>
        <w:spacing w:line="360" w:lineRule="exact"/>
        <w:ind w:firstLine="395" w:firstLineChars="196"/>
        <w:outlineLvl w:val="0"/>
        <w:rPr>
          <w:rFonts w:hint="eastAsia" w:ascii="宋体" w:hAnsi="宋体" w:eastAsia="宋体"/>
          <w:color w:val="auto"/>
          <w:spacing w:val="-4"/>
          <w:sz w:val="21"/>
          <w:szCs w:val="21"/>
          <w:highlight w:val="none"/>
        </w:rPr>
      </w:pPr>
      <w:r>
        <w:rPr>
          <w:rFonts w:hint="eastAsia" w:ascii="宋体" w:hAnsi="宋体" w:eastAsia="宋体"/>
          <w:color w:val="auto"/>
          <w:spacing w:val="-4"/>
          <w:sz w:val="21"/>
          <w:szCs w:val="21"/>
          <w:highlight w:val="none"/>
        </w:rPr>
        <w:t>1.在符合性审查和资格性审查时，如发现下列情形之一的，投标文件将被视为无效：</w:t>
      </w:r>
      <w:bookmarkEnd w:id="133"/>
      <w:bookmarkEnd w:id="134"/>
      <w:bookmarkEnd w:id="135"/>
    </w:p>
    <w:p>
      <w:pPr>
        <w:pStyle w:val="21"/>
        <w:snapToGrid w:val="0"/>
        <w:spacing w:line="360" w:lineRule="exact"/>
        <w:ind w:firstLine="395" w:firstLineChars="196"/>
        <w:outlineLvl w:val="0"/>
        <w:rPr>
          <w:rFonts w:hint="eastAsia" w:ascii="宋体" w:hAnsi="宋体" w:eastAsia="宋体"/>
          <w:color w:val="auto"/>
          <w:spacing w:val="-4"/>
          <w:sz w:val="21"/>
          <w:szCs w:val="21"/>
          <w:highlight w:val="none"/>
        </w:rPr>
      </w:pPr>
      <w:bookmarkStart w:id="136" w:name="_Toc40865049"/>
      <w:bookmarkStart w:id="137" w:name="_Toc40864657"/>
      <w:bookmarkStart w:id="138" w:name="_Toc40864933"/>
      <w:r>
        <w:rPr>
          <w:rFonts w:hint="eastAsia" w:ascii="宋体" w:hAnsi="宋体" w:eastAsia="宋体"/>
          <w:color w:val="auto"/>
          <w:spacing w:val="-4"/>
          <w:sz w:val="21"/>
          <w:szCs w:val="21"/>
          <w:highlight w:val="none"/>
        </w:rPr>
        <w:t>（1）超越了按照法律法规规定必须获得行政许可或者行政审批的经营范围的；</w:t>
      </w:r>
      <w:bookmarkEnd w:id="136"/>
      <w:bookmarkEnd w:id="137"/>
      <w:bookmarkEnd w:id="138"/>
    </w:p>
    <w:p>
      <w:pPr>
        <w:pStyle w:val="21"/>
        <w:snapToGrid w:val="0"/>
        <w:spacing w:line="360" w:lineRule="exact"/>
        <w:ind w:firstLine="395" w:firstLineChars="196"/>
        <w:outlineLvl w:val="0"/>
        <w:rPr>
          <w:rFonts w:hint="eastAsia" w:ascii="宋体" w:hAnsi="宋体" w:eastAsia="宋体"/>
          <w:color w:val="auto"/>
          <w:spacing w:val="-4"/>
          <w:sz w:val="21"/>
          <w:szCs w:val="21"/>
          <w:highlight w:val="none"/>
        </w:rPr>
      </w:pPr>
      <w:bookmarkStart w:id="139" w:name="_Toc40864658"/>
      <w:bookmarkStart w:id="140" w:name="_Toc40864934"/>
      <w:bookmarkStart w:id="141" w:name="_Toc40865050"/>
      <w:r>
        <w:rPr>
          <w:rFonts w:hint="eastAsia" w:ascii="宋体" w:hAnsi="宋体" w:eastAsia="宋体"/>
          <w:color w:val="auto"/>
          <w:spacing w:val="-4"/>
          <w:sz w:val="21"/>
          <w:szCs w:val="21"/>
          <w:highlight w:val="none"/>
        </w:rPr>
        <w:t>（2）资格证明文件不全的，或者不符合招标文件标明的资格要求的；</w:t>
      </w:r>
      <w:bookmarkEnd w:id="139"/>
      <w:bookmarkEnd w:id="140"/>
      <w:bookmarkEnd w:id="141"/>
    </w:p>
    <w:p>
      <w:pPr>
        <w:pStyle w:val="21"/>
        <w:snapToGrid w:val="0"/>
        <w:spacing w:line="360" w:lineRule="exact"/>
        <w:ind w:firstLine="395" w:firstLineChars="196"/>
        <w:outlineLvl w:val="0"/>
        <w:rPr>
          <w:rFonts w:hint="eastAsia" w:ascii="宋体" w:hAnsi="宋体" w:eastAsia="宋体"/>
          <w:color w:val="auto"/>
          <w:spacing w:val="-4"/>
          <w:sz w:val="21"/>
          <w:szCs w:val="21"/>
          <w:highlight w:val="none"/>
        </w:rPr>
      </w:pPr>
      <w:bookmarkStart w:id="142" w:name="_Toc40865051"/>
      <w:bookmarkStart w:id="143" w:name="_Toc40864659"/>
      <w:bookmarkStart w:id="144" w:name="_Toc40864935"/>
      <w:r>
        <w:rPr>
          <w:rFonts w:hint="eastAsia" w:ascii="宋体" w:hAnsi="宋体" w:eastAsia="宋体"/>
          <w:color w:val="auto"/>
          <w:spacing w:val="-4"/>
          <w:sz w:val="21"/>
          <w:szCs w:val="21"/>
          <w:highlight w:val="none"/>
        </w:rPr>
        <w:t>（3）投标文件无法定代表人（负责人）或其授权委托代理人</w:t>
      </w:r>
      <w:r>
        <w:rPr>
          <w:rFonts w:hint="eastAsia" w:ascii="宋体" w:hAnsi="宋体" w:eastAsia="宋体"/>
          <w:color w:val="auto"/>
          <w:spacing w:val="-4"/>
          <w:sz w:val="21"/>
          <w:szCs w:val="21"/>
          <w:highlight w:val="none"/>
          <w:lang w:eastAsia="zh-CN"/>
        </w:rPr>
        <w:t>签字或签章</w:t>
      </w:r>
      <w:r>
        <w:rPr>
          <w:rFonts w:hint="eastAsia" w:ascii="宋体" w:hAnsi="宋体" w:eastAsia="宋体"/>
          <w:color w:val="auto"/>
          <w:spacing w:val="-4"/>
          <w:sz w:val="21"/>
          <w:szCs w:val="21"/>
          <w:highlight w:val="none"/>
        </w:rPr>
        <w:t>，或未提供法定代表人（负责人）授权委托书、投标声明书或者填写项目不齐全的；</w:t>
      </w:r>
      <w:bookmarkEnd w:id="142"/>
      <w:bookmarkEnd w:id="143"/>
      <w:bookmarkEnd w:id="144"/>
    </w:p>
    <w:p>
      <w:pPr>
        <w:pStyle w:val="21"/>
        <w:snapToGrid w:val="0"/>
        <w:spacing w:line="360" w:lineRule="exact"/>
        <w:ind w:firstLine="395" w:firstLineChars="196"/>
        <w:outlineLvl w:val="0"/>
        <w:rPr>
          <w:rFonts w:hint="eastAsia" w:ascii="宋体" w:hAnsi="宋体" w:eastAsia="宋体"/>
          <w:color w:val="auto"/>
          <w:spacing w:val="-4"/>
          <w:sz w:val="21"/>
          <w:szCs w:val="21"/>
          <w:highlight w:val="none"/>
        </w:rPr>
      </w:pPr>
      <w:bookmarkStart w:id="145" w:name="_Toc40865052"/>
      <w:bookmarkStart w:id="146" w:name="_Toc40864936"/>
      <w:bookmarkStart w:id="147" w:name="_Toc40864660"/>
      <w:r>
        <w:rPr>
          <w:rFonts w:hint="eastAsia" w:ascii="宋体" w:hAnsi="宋体" w:eastAsia="宋体"/>
          <w:color w:val="auto"/>
          <w:spacing w:val="-4"/>
          <w:sz w:val="21"/>
          <w:szCs w:val="21"/>
          <w:highlight w:val="none"/>
        </w:rPr>
        <w:t>（4）投标代表人未能出具身份证明或与法定代表人（负责人）授权委托人身份不符的；</w:t>
      </w:r>
      <w:bookmarkEnd w:id="145"/>
      <w:bookmarkEnd w:id="146"/>
      <w:bookmarkEnd w:id="147"/>
    </w:p>
    <w:p>
      <w:pPr>
        <w:pStyle w:val="21"/>
        <w:snapToGrid w:val="0"/>
        <w:spacing w:line="360" w:lineRule="exact"/>
        <w:ind w:firstLine="395" w:firstLineChars="196"/>
        <w:outlineLvl w:val="0"/>
        <w:rPr>
          <w:rFonts w:hint="eastAsia" w:ascii="宋体" w:hAnsi="宋体" w:eastAsia="宋体"/>
          <w:color w:val="auto"/>
          <w:spacing w:val="-4"/>
          <w:sz w:val="21"/>
          <w:szCs w:val="21"/>
          <w:highlight w:val="none"/>
        </w:rPr>
      </w:pPr>
      <w:bookmarkStart w:id="148" w:name="_Toc40865053"/>
      <w:bookmarkStart w:id="149" w:name="_Toc40864661"/>
      <w:bookmarkStart w:id="150" w:name="_Toc40864937"/>
      <w:r>
        <w:rPr>
          <w:rFonts w:hint="eastAsia" w:ascii="宋体" w:hAnsi="宋体" w:eastAsia="宋体"/>
          <w:color w:val="auto"/>
          <w:spacing w:val="-4"/>
          <w:sz w:val="21"/>
          <w:szCs w:val="21"/>
          <w:highlight w:val="none"/>
        </w:rPr>
        <w:t>（5）项目不齐全或者内容虚假的；</w:t>
      </w:r>
      <w:bookmarkEnd w:id="148"/>
      <w:bookmarkEnd w:id="149"/>
      <w:bookmarkEnd w:id="150"/>
    </w:p>
    <w:p>
      <w:pPr>
        <w:pStyle w:val="21"/>
        <w:snapToGrid w:val="0"/>
        <w:spacing w:line="360" w:lineRule="exact"/>
        <w:ind w:firstLine="395" w:firstLineChars="196"/>
        <w:outlineLvl w:val="0"/>
        <w:rPr>
          <w:rFonts w:hint="eastAsia" w:ascii="宋体" w:hAnsi="宋体" w:eastAsia="宋体"/>
          <w:color w:val="auto"/>
          <w:spacing w:val="-4"/>
          <w:sz w:val="21"/>
          <w:szCs w:val="21"/>
          <w:highlight w:val="none"/>
        </w:rPr>
      </w:pPr>
      <w:bookmarkStart w:id="151" w:name="_Toc40864938"/>
      <w:bookmarkStart w:id="152" w:name="_Toc40865054"/>
      <w:bookmarkStart w:id="153" w:name="_Toc40864662"/>
      <w:r>
        <w:rPr>
          <w:rFonts w:hint="eastAsia" w:ascii="宋体" w:hAnsi="宋体" w:eastAsia="宋体"/>
          <w:color w:val="auto"/>
          <w:spacing w:val="-4"/>
          <w:sz w:val="21"/>
          <w:szCs w:val="21"/>
          <w:highlight w:val="none"/>
        </w:rPr>
        <w:t>（6）投标文件的实质性内容未使用中文表述、意思表述不明确、前后矛盾或者使用计量单位不符合投标文件要求的（经评标委员会认定并允许其当场更正的笔误除外）；</w:t>
      </w:r>
      <w:bookmarkEnd w:id="151"/>
      <w:bookmarkEnd w:id="152"/>
      <w:bookmarkEnd w:id="153"/>
    </w:p>
    <w:p>
      <w:pPr>
        <w:pStyle w:val="21"/>
        <w:snapToGrid w:val="0"/>
        <w:spacing w:line="360" w:lineRule="exact"/>
        <w:ind w:firstLine="395" w:firstLineChars="196"/>
        <w:outlineLvl w:val="0"/>
        <w:rPr>
          <w:rFonts w:hint="eastAsia" w:ascii="宋体" w:hAnsi="宋体" w:eastAsia="宋体"/>
          <w:color w:val="auto"/>
          <w:spacing w:val="-4"/>
          <w:sz w:val="21"/>
          <w:szCs w:val="21"/>
          <w:highlight w:val="none"/>
        </w:rPr>
      </w:pPr>
      <w:bookmarkStart w:id="154" w:name="_Toc40864663"/>
      <w:bookmarkStart w:id="155" w:name="_Toc40864939"/>
      <w:bookmarkStart w:id="156" w:name="_Toc40865055"/>
      <w:r>
        <w:rPr>
          <w:rFonts w:hint="eastAsia" w:ascii="宋体" w:hAnsi="宋体" w:eastAsia="宋体"/>
          <w:color w:val="auto"/>
          <w:spacing w:val="-4"/>
          <w:sz w:val="21"/>
          <w:szCs w:val="21"/>
          <w:highlight w:val="none"/>
        </w:rPr>
        <w:t>（7）投标有效期、交付使用时间、质保期等商务条款不能满足招标文件要求的；</w:t>
      </w:r>
      <w:bookmarkEnd w:id="154"/>
      <w:bookmarkEnd w:id="155"/>
      <w:bookmarkEnd w:id="156"/>
    </w:p>
    <w:p>
      <w:pPr>
        <w:pStyle w:val="21"/>
        <w:snapToGrid w:val="0"/>
        <w:spacing w:line="360" w:lineRule="exact"/>
        <w:ind w:firstLine="395" w:firstLineChars="196"/>
        <w:outlineLvl w:val="0"/>
        <w:rPr>
          <w:rFonts w:hint="eastAsia" w:ascii="宋体" w:hAnsi="宋体" w:eastAsia="宋体"/>
          <w:color w:val="auto"/>
          <w:spacing w:val="-4"/>
          <w:sz w:val="21"/>
          <w:szCs w:val="21"/>
          <w:highlight w:val="none"/>
        </w:rPr>
      </w:pPr>
      <w:bookmarkStart w:id="157" w:name="_Toc40865056"/>
      <w:bookmarkStart w:id="158" w:name="_Toc40864664"/>
      <w:bookmarkStart w:id="159" w:name="_Toc40864940"/>
      <w:r>
        <w:rPr>
          <w:rFonts w:hint="eastAsia" w:ascii="宋体" w:hAnsi="宋体" w:eastAsia="宋体"/>
          <w:color w:val="auto"/>
          <w:spacing w:val="-4"/>
          <w:sz w:val="21"/>
          <w:szCs w:val="21"/>
          <w:highlight w:val="none"/>
        </w:rPr>
        <w:t>（8）未实质性响应招标文件要求或者投标文件有招标方不能接受的附加条件的；</w:t>
      </w:r>
      <w:bookmarkEnd w:id="157"/>
      <w:bookmarkEnd w:id="158"/>
      <w:bookmarkEnd w:id="159"/>
    </w:p>
    <w:p>
      <w:pPr>
        <w:pStyle w:val="21"/>
        <w:adjustRightInd w:val="0"/>
        <w:snapToGrid w:val="0"/>
        <w:spacing w:line="400" w:lineRule="exact"/>
        <w:ind w:firstLine="411" w:firstLineChars="196"/>
        <w:rPr>
          <w:rFonts w:hint="eastAsia" w:ascii="宋体" w:hAnsi="宋体" w:eastAsia="宋体"/>
          <w:bCs/>
          <w:color w:val="auto"/>
          <w:sz w:val="21"/>
          <w:szCs w:val="21"/>
          <w:highlight w:val="none"/>
        </w:rPr>
      </w:pPr>
      <w:bookmarkStart w:id="160" w:name="_Toc40864666"/>
      <w:bookmarkStart w:id="161" w:name="_Toc40865058"/>
      <w:bookmarkStart w:id="162" w:name="_Toc40864942"/>
      <w:r>
        <w:rPr>
          <w:rFonts w:hint="eastAsia" w:ascii="宋体" w:hAnsi="宋体" w:eastAsia="宋体"/>
          <w:bCs/>
          <w:color w:val="auto"/>
          <w:sz w:val="21"/>
          <w:szCs w:val="21"/>
          <w:highlight w:val="none"/>
        </w:rPr>
        <w:t>（9）</w:t>
      </w:r>
      <w:r>
        <w:rPr>
          <w:rFonts w:ascii="宋体" w:hAnsi="宋体" w:eastAsia="宋体"/>
          <w:color w:val="auto"/>
          <w:spacing w:val="-4"/>
          <w:sz w:val="21"/>
          <w:szCs w:val="21"/>
          <w:highlight w:val="none"/>
        </w:rPr>
        <w:t>未按照招标文件的规定提交投标保证金的</w:t>
      </w:r>
      <w:r>
        <w:rPr>
          <w:rFonts w:hint="eastAsia" w:ascii="宋体" w:hAnsi="宋体" w:eastAsia="宋体"/>
          <w:bCs/>
          <w:color w:val="auto"/>
          <w:sz w:val="21"/>
          <w:szCs w:val="21"/>
          <w:highlight w:val="none"/>
        </w:rPr>
        <w:t>（说明：评标时，评标委员会将以本中心财务室编制的《采购文件购买名单及保证金收缴情况表》作为评审依据）。</w:t>
      </w:r>
    </w:p>
    <w:p>
      <w:pPr>
        <w:pStyle w:val="21"/>
        <w:snapToGrid w:val="0"/>
        <w:spacing w:line="360" w:lineRule="exact"/>
        <w:ind w:firstLine="395" w:firstLineChars="196"/>
        <w:outlineLvl w:val="0"/>
        <w:rPr>
          <w:rFonts w:hint="eastAsia" w:ascii="宋体" w:hAnsi="宋体" w:eastAsia="宋体"/>
          <w:color w:val="auto"/>
          <w:spacing w:val="-4"/>
          <w:sz w:val="21"/>
          <w:szCs w:val="21"/>
          <w:highlight w:val="none"/>
        </w:rPr>
      </w:pPr>
      <w:r>
        <w:rPr>
          <w:rFonts w:hint="eastAsia" w:ascii="宋体" w:hAnsi="宋体" w:eastAsia="宋体"/>
          <w:color w:val="auto"/>
          <w:spacing w:val="-4"/>
          <w:sz w:val="21"/>
          <w:szCs w:val="21"/>
          <w:highlight w:val="none"/>
        </w:rPr>
        <w:t>2.在技术评审时，如发现下列情形之一的，投标文件将被视为无效：</w:t>
      </w:r>
      <w:bookmarkEnd w:id="160"/>
      <w:bookmarkEnd w:id="161"/>
      <w:bookmarkEnd w:id="162"/>
    </w:p>
    <w:p>
      <w:pPr>
        <w:pStyle w:val="21"/>
        <w:snapToGrid w:val="0"/>
        <w:spacing w:line="360" w:lineRule="exact"/>
        <w:ind w:firstLine="395" w:firstLineChars="196"/>
        <w:outlineLvl w:val="0"/>
        <w:rPr>
          <w:rFonts w:hint="eastAsia" w:ascii="宋体" w:hAnsi="宋体" w:eastAsia="宋体"/>
          <w:color w:val="auto"/>
          <w:spacing w:val="-4"/>
          <w:sz w:val="21"/>
          <w:szCs w:val="21"/>
          <w:highlight w:val="none"/>
        </w:rPr>
      </w:pPr>
      <w:bookmarkStart w:id="163" w:name="_Toc40864667"/>
      <w:bookmarkStart w:id="164" w:name="_Toc40865059"/>
      <w:bookmarkStart w:id="165" w:name="_Toc40864943"/>
      <w:r>
        <w:rPr>
          <w:rFonts w:hint="eastAsia" w:ascii="宋体" w:hAnsi="宋体" w:eastAsia="宋体"/>
          <w:color w:val="auto"/>
          <w:spacing w:val="-4"/>
          <w:sz w:val="21"/>
          <w:szCs w:val="21"/>
          <w:highlight w:val="none"/>
        </w:rPr>
        <w:t>（1）未提供或未如实提供投标货物的技术参数，或者投标文件标明的响应或偏离与事实不符或虚假投标的；</w:t>
      </w:r>
      <w:bookmarkEnd w:id="163"/>
      <w:bookmarkEnd w:id="164"/>
      <w:bookmarkEnd w:id="165"/>
    </w:p>
    <w:p>
      <w:pPr>
        <w:pStyle w:val="21"/>
        <w:snapToGrid w:val="0"/>
        <w:spacing w:line="360" w:lineRule="exact"/>
        <w:ind w:firstLine="395" w:firstLineChars="196"/>
        <w:outlineLvl w:val="0"/>
        <w:rPr>
          <w:rFonts w:hint="eastAsia" w:ascii="宋体" w:hAnsi="宋体" w:eastAsia="宋体"/>
          <w:color w:val="auto"/>
          <w:spacing w:val="-4"/>
          <w:sz w:val="21"/>
          <w:szCs w:val="21"/>
          <w:highlight w:val="none"/>
        </w:rPr>
      </w:pPr>
      <w:bookmarkStart w:id="166" w:name="_Toc40864668"/>
      <w:bookmarkStart w:id="167" w:name="_Toc40865060"/>
      <w:bookmarkStart w:id="168" w:name="_Toc40864944"/>
      <w:r>
        <w:rPr>
          <w:rFonts w:hint="eastAsia" w:ascii="宋体" w:hAnsi="宋体" w:eastAsia="宋体"/>
          <w:color w:val="auto"/>
          <w:spacing w:val="-4"/>
          <w:sz w:val="21"/>
          <w:szCs w:val="21"/>
          <w:highlight w:val="none"/>
        </w:rPr>
        <w:t>（2）明显不符合招标文件要求的规格型号、质量标准，或者与招标文件中的技术指标、主要功能项目发生实质性偏离的；</w:t>
      </w:r>
      <w:bookmarkEnd w:id="166"/>
      <w:bookmarkEnd w:id="167"/>
      <w:bookmarkEnd w:id="168"/>
    </w:p>
    <w:p>
      <w:pPr>
        <w:pStyle w:val="21"/>
        <w:snapToGrid w:val="0"/>
        <w:spacing w:line="360" w:lineRule="exact"/>
        <w:ind w:firstLine="395" w:firstLineChars="196"/>
        <w:outlineLvl w:val="0"/>
        <w:rPr>
          <w:rFonts w:hint="eastAsia" w:ascii="宋体" w:hAnsi="宋体" w:eastAsia="宋体"/>
          <w:color w:val="auto"/>
          <w:spacing w:val="-4"/>
          <w:sz w:val="21"/>
          <w:szCs w:val="21"/>
          <w:highlight w:val="none"/>
        </w:rPr>
      </w:pPr>
      <w:bookmarkStart w:id="169" w:name="_Toc40864669"/>
      <w:bookmarkStart w:id="170" w:name="_Toc40864945"/>
      <w:bookmarkStart w:id="171" w:name="_Toc40865061"/>
      <w:r>
        <w:rPr>
          <w:rFonts w:hint="eastAsia" w:ascii="宋体" w:hAnsi="宋体" w:eastAsia="宋体"/>
          <w:color w:val="auto"/>
          <w:spacing w:val="-4"/>
          <w:sz w:val="21"/>
          <w:szCs w:val="21"/>
          <w:highlight w:val="none"/>
        </w:rPr>
        <w:t>（3）</w:t>
      </w:r>
      <w:bookmarkEnd w:id="169"/>
      <w:bookmarkEnd w:id="170"/>
      <w:bookmarkEnd w:id="171"/>
      <w:r>
        <w:rPr>
          <w:rFonts w:hint="eastAsia" w:ascii="宋体" w:hAnsi="宋体" w:eastAsia="宋体"/>
          <w:color w:val="auto"/>
          <w:spacing w:val="-4"/>
          <w:sz w:val="21"/>
          <w:szCs w:val="21"/>
          <w:highlight w:val="none"/>
        </w:rPr>
        <w:t>）标注 “▲”的技术、性能指标发生负偏离达1项（含）以上的；</w:t>
      </w:r>
    </w:p>
    <w:p>
      <w:pPr>
        <w:pStyle w:val="21"/>
        <w:snapToGrid w:val="0"/>
        <w:spacing w:line="360" w:lineRule="exact"/>
        <w:ind w:firstLine="395" w:firstLineChars="196"/>
        <w:outlineLvl w:val="0"/>
        <w:rPr>
          <w:rFonts w:hint="eastAsia" w:ascii="宋体" w:hAnsi="宋体" w:eastAsia="宋体"/>
          <w:color w:val="auto"/>
          <w:spacing w:val="-4"/>
          <w:sz w:val="21"/>
          <w:szCs w:val="21"/>
          <w:highlight w:val="none"/>
        </w:rPr>
      </w:pPr>
      <w:bookmarkStart w:id="172" w:name="_Toc40865062"/>
      <w:bookmarkStart w:id="173" w:name="_Toc40864946"/>
      <w:bookmarkStart w:id="174" w:name="_Toc40864670"/>
      <w:r>
        <w:rPr>
          <w:rFonts w:hint="eastAsia" w:ascii="宋体" w:hAnsi="宋体" w:eastAsia="宋体"/>
          <w:color w:val="auto"/>
          <w:spacing w:val="-4"/>
          <w:sz w:val="21"/>
          <w:szCs w:val="21"/>
          <w:highlight w:val="none"/>
        </w:rPr>
        <w:t>（4）投标技术方案不明确，存在一个或一个以上备选（替换）投标方案的；</w:t>
      </w:r>
      <w:bookmarkEnd w:id="172"/>
      <w:bookmarkEnd w:id="173"/>
      <w:bookmarkEnd w:id="174"/>
    </w:p>
    <w:p>
      <w:pPr>
        <w:pStyle w:val="21"/>
        <w:snapToGrid w:val="0"/>
        <w:spacing w:line="360" w:lineRule="exact"/>
        <w:ind w:firstLine="395" w:firstLineChars="196"/>
        <w:outlineLvl w:val="0"/>
        <w:rPr>
          <w:rFonts w:hint="eastAsia" w:ascii="宋体" w:hAnsi="宋体" w:eastAsia="宋体"/>
          <w:color w:val="auto"/>
          <w:spacing w:val="-4"/>
          <w:sz w:val="21"/>
          <w:szCs w:val="21"/>
          <w:highlight w:val="none"/>
        </w:rPr>
      </w:pPr>
      <w:bookmarkStart w:id="175" w:name="_Toc40865063"/>
      <w:bookmarkStart w:id="176" w:name="_Toc40864947"/>
      <w:bookmarkStart w:id="177" w:name="_Toc40864671"/>
      <w:r>
        <w:rPr>
          <w:rFonts w:hint="eastAsia" w:ascii="宋体" w:hAnsi="宋体" w:eastAsia="宋体"/>
          <w:color w:val="auto"/>
          <w:spacing w:val="-4"/>
          <w:sz w:val="21"/>
          <w:szCs w:val="21"/>
          <w:highlight w:val="none"/>
        </w:rPr>
        <w:t>（5）与其他参加本次投标供应商的投标文件（技术文件）的文字表述内容差错相同二处以上的。</w:t>
      </w:r>
      <w:bookmarkEnd w:id="175"/>
      <w:bookmarkEnd w:id="176"/>
      <w:bookmarkEnd w:id="177"/>
    </w:p>
    <w:p>
      <w:pPr>
        <w:pStyle w:val="21"/>
        <w:snapToGrid w:val="0"/>
        <w:spacing w:line="360" w:lineRule="exact"/>
        <w:ind w:firstLine="395" w:firstLineChars="196"/>
        <w:outlineLvl w:val="0"/>
        <w:rPr>
          <w:rFonts w:hint="eastAsia" w:ascii="宋体" w:hAnsi="宋体" w:eastAsia="宋体"/>
          <w:color w:val="auto"/>
          <w:spacing w:val="-4"/>
          <w:sz w:val="21"/>
          <w:szCs w:val="21"/>
          <w:highlight w:val="none"/>
        </w:rPr>
      </w:pPr>
      <w:bookmarkStart w:id="178" w:name="_Toc40865064"/>
      <w:bookmarkStart w:id="179" w:name="_Toc40864672"/>
      <w:bookmarkStart w:id="180" w:name="_Toc40864948"/>
      <w:r>
        <w:rPr>
          <w:rFonts w:hint="eastAsia" w:ascii="宋体" w:hAnsi="宋体" w:eastAsia="宋体"/>
          <w:color w:val="auto"/>
          <w:spacing w:val="-4"/>
          <w:sz w:val="21"/>
          <w:szCs w:val="21"/>
          <w:highlight w:val="none"/>
        </w:rPr>
        <w:t>3.在报价评审时，如发现下列情形之一的，投标文件将被视为无效：</w:t>
      </w:r>
      <w:bookmarkEnd w:id="178"/>
      <w:bookmarkEnd w:id="179"/>
      <w:bookmarkEnd w:id="180"/>
    </w:p>
    <w:p>
      <w:pPr>
        <w:pStyle w:val="21"/>
        <w:snapToGrid w:val="0"/>
        <w:spacing w:line="360" w:lineRule="exact"/>
        <w:ind w:firstLine="395" w:firstLineChars="196"/>
        <w:outlineLvl w:val="0"/>
        <w:rPr>
          <w:rFonts w:hint="eastAsia" w:ascii="宋体" w:hAnsi="宋体" w:eastAsia="宋体"/>
          <w:color w:val="auto"/>
          <w:spacing w:val="-4"/>
          <w:sz w:val="21"/>
          <w:szCs w:val="21"/>
          <w:highlight w:val="none"/>
        </w:rPr>
      </w:pPr>
      <w:bookmarkStart w:id="181" w:name="_Toc40865065"/>
      <w:bookmarkStart w:id="182" w:name="_Toc40864673"/>
      <w:bookmarkStart w:id="183" w:name="_Toc40864949"/>
      <w:r>
        <w:rPr>
          <w:rFonts w:hint="eastAsia" w:ascii="宋体" w:hAnsi="宋体" w:eastAsia="宋体"/>
          <w:color w:val="auto"/>
          <w:spacing w:val="-4"/>
          <w:sz w:val="21"/>
          <w:szCs w:val="21"/>
          <w:highlight w:val="none"/>
        </w:rPr>
        <w:t>（1）未采用人民币报价或者未按照招标文件标明的币种报价的；</w:t>
      </w:r>
      <w:bookmarkEnd w:id="181"/>
      <w:bookmarkEnd w:id="182"/>
      <w:bookmarkEnd w:id="183"/>
    </w:p>
    <w:p>
      <w:pPr>
        <w:pStyle w:val="21"/>
        <w:snapToGrid w:val="0"/>
        <w:spacing w:line="360" w:lineRule="exact"/>
        <w:ind w:firstLine="395" w:firstLineChars="196"/>
        <w:outlineLvl w:val="0"/>
        <w:rPr>
          <w:rFonts w:hint="eastAsia" w:ascii="宋体" w:hAnsi="宋体" w:eastAsia="宋体"/>
          <w:color w:val="auto"/>
          <w:spacing w:val="-4"/>
          <w:sz w:val="21"/>
          <w:szCs w:val="21"/>
          <w:highlight w:val="none"/>
        </w:rPr>
      </w:pPr>
      <w:bookmarkStart w:id="184" w:name="_Toc40864950"/>
      <w:bookmarkStart w:id="185" w:name="_Toc40864674"/>
      <w:bookmarkStart w:id="186" w:name="_Toc40865066"/>
      <w:r>
        <w:rPr>
          <w:rFonts w:hint="eastAsia" w:ascii="宋体" w:hAnsi="宋体" w:eastAsia="宋体"/>
          <w:color w:val="auto"/>
          <w:spacing w:val="-4"/>
          <w:sz w:val="21"/>
          <w:szCs w:val="21"/>
          <w:highlight w:val="none"/>
        </w:rPr>
        <w:t>（2）报价超出最高限价，或者超出采购预算（最高限价）金额，采购人不能支付的；</w:t>
      </w:r>
      <w:bookmarkEnd w:id="184"/>
      <w:bookmarkEnd w:id="185"/>
      <w:bookmarkEnd w:id="186"/>
    </w:p>
    <w:p>
      <w:pPr>
        <w:pStyle w:val="21"/>
        <w:snapToGrid w:val="0"/>
        <w:spacing w:line="360" w:lineRule="exact"/>
        <w:ind w:firstLine="395" w:firstLineChars="196"/>
        <w:outlineLvl w:val="0"/>
        <w:rPr>
          <w:rFonts w:hint="eastAsia" w:ascii="宋体" w:hAnsi="宋体" w:eastAsia="宋体"/>
          <w:color w:val="auto"/>
          <w:spacing w:val="-4"/>
          <w:sz w:val="21"/>
          <w:szCs w:val="21"/>
          <w:highlight w:val="none"/>
        </w:rPr>
      </w:pPr>
      <w:bookmarkStart w:id="187" w:name="_Toc40864675"/>
      <w:bookmarkStart w:id="188" w:name="_Toc40865067"/>
      <w:bookmarkStart w:id="189" w:name="_Toc40864951"/>
      <w:r>
        <w:rPr>
          <w:rFonts w:hint="eastAsia" w:ascii="宋体" w:hAnsi="宋体" w:eastAsia="宋体"/>
          <w:color w:val="auto"/>
          <w:spacing w:val="-4"/>
          <w:sz w:val="21"/>
          <w:szCs w:val="21"/>
          <w:highlight w:val="none"/>
        </w:rPr>
        <w:t>（3）投标报价具有选择性，或者开标价格与投标文件承诺的优惠（折扣）价格不一致的。</w:t>
      </w:r>
      <w:bookmarkEnd w:id="187"/>
      <w:bookmarkEnd w:id="188"/>
      <w:bookmarkEnd w:id="189"/>
    </w:p>
    <w:p>
      <w:pPr>
        <w:pStyle w:val="21"/>
        <w:snapToGrid w:val="0"/>
        <w:spacing w:line="360" w:lineRule="exact"/>
        <w:ind w:firstLine="395" w:firstLineChars="196"/>
        <w:outlineLvl w:val="0"/>
        <w:rPr>
          <w:rFonts w:hint="eastAsia" w:ascii="宋体" w:hAnsi="宋体" w:eastAsia="宋体"/>
          <w:color w:val="auto"/>
          <w:spacing w:val="-4"/>
          <w:sz w:val="21"/>
          <w:szCs w:val="21"/>
          <w:highlight w:val="none"/>
        </w:rPr>
      </w:pPr>
      <w:bookmarkStart w:id="190" w:name="_Toc40864676"/>
      <w:bookmarkStart w:id="191" w:name="_Toc40865068"/>
      <w:bookmarkStart w:id="192" w:name="_Toc40864952"/>
      <w:r>
        <w:rPr>
          <w:rFonts w:hint="eastAsia" w:ascii="宋体" w:hAnsi="宋体" w:eastAsia="宋体"/>
          <w:color w:val="auto"/>
          <w:spacing w:val="-4"/>
          <w:sz w:val="21"/>
          <w:szCs w:val="21"/>
          <w:highlight w:val="none"/>
        </w:rPr>
        <w:t>（4）评标委员会认为投标人的报价明显低于其他通过符合性审查投标人的报价，有可能影响产品质量或者不能诚信履约，投标人不能证明其报价合理性的。</w:t>
      </w:r>
      <w:bookmarkEnd w:id="190"/>
      <w:bookmarkEnd w:id="191"/>
      <w:bookmarkEnd w:id="192"/>
    </w:p>
    <w:p>
      <w:pPr>
        <w:pStyle w:val="21"/>
        <w:snapToGrid w:val="0"/>
        <w:spacing w:line="360" w:lineRule="exact"/>
        <w:ind w:firstLine="395" w:firstLineChars="196"/>
        <w:outlineLvl w:val="0"/>
        <w:rPr>
          <w:rFonts w:hint="eastAsia" w:ascii="宋体" w:hAnsi="宋体" w:eastAsia="宋体"/>
          <w:color w:val="auto"/>
          <w:spacing w:val="-4"/>
          <w:sz w:val="21"/>
          <w:szCs w:val="21"/>
          <w:highlight w:val="none"/>
        </w:rPr>
      </w:pPr>
      <w:bookmarkStart w:id="193" w:name="_Toc40864677"/>
      <w:bookmarkStart w:id="194" w:name="_Toc40865069"/>
      <w:bookmarkStart w:id="195" w:name="_Toc40864953"/>
      <w:r>
        <w:rPr>
          <w:rFonts w:hint="eastAsia" w:ascii="宋体" w:hAnsi="宋体" w:eastAsia="宋体"/>
          <w:color w:val="auto"/>
          <w:spacing w:val="-4"/>
          <w:sz w:val="21"/>
          <w:szCs w:val="21"/>
          <w:highlight w:val="none"/>
        </w:rPr>
        <w:t>4.有下列情形之一的视为投标人相互串通投标，投标文件将被视为无效:</w:t>
      </w:r>
      <w:bookmarkEnd w:id="193"/>
      <w:bookmarkEnd w:id="194"/>
      <w:bookmarkEnd w:id="195"/>
    </w:p>
    <w:p>
      <w:pPr>
        <w:pStyle w:val="21"/>
        <w:snapToGrid w:val="0"/>
        <w:spacing w:line="360" w:lineRule="exact"/>
        <w:ind w:firstLine="395" w:firstLineChars="196"/>
        <w:outlineLvl w:val="0"/>
        <w:rPr>
          <w:rFonts w:hint="eastAsia" w:ascii="宋体" w:hAnsi="宋体" w:eastAsia="宋体"/>
          <w:color w:val="auto"/>
          <w:spacing w:val="-4"/>
          <w:sz w:val="21"/>
          <w:szCs w:val="21"/>
          <w:highlight w:val="none"/>
        </w:rPr>
      </w:pPr>
      <w:bookmarkStart w:id="196" w:name="_Toc40864954"/>
      <w:bookmarkStart w:id="197" w:name="_Toc40865070"/>
      <w:bookmarkStart w:id="198" w:name="_Toc40864678"/>
      <w:r>
        <w:rPr>
          <w:rFonts w:hint="eastAsia" w:ascii="宋体" w:hAnsi="宋体" w:eastAsia="宋体"/>
          <w:color w:val="auto"/>
          <w:spacing w:val="-4"/>
          <w:sz w:val="21"/>
          <w:szCs w:val="21"/>
          <w:highlight w:val="none"/>
        </w:rPr>
        <w:t>（1）不同投标人的投标文件由同一单位或者个人编制；或不同投标人报名的IP地址一致的；</w:t>
      </w:r>
      <w:bookmarkEnd w:id="196"/>
      <w:bookmarkEnd w:id="197"/>
      <w:bookmarkEnd w:id="198"/>
    </w:p>
    <w:p>
      <w:pPr>
        <w:pStyle w:val="21"/>
        <w:snapToGrid w:val="0"/>
        <w:spacing w:line="360" w:lineRule="exact"/>
        <w:ind w:firstLine="395" w:firstLineChars="196"/>
        <w:outlineLvl w:val="0"/>
        <w:rPr>
          <w:rFonts w:hint="eastAsia" w:ascii="宋体" w:hAnsi="宋体" w:eastAsia="宋体"/>
          <w:color w:val="auto"/>
          <w:spacing w:val="-4"/>
          <w:sz w:val="21"/>
          <w:szCs w:val="21"/>
          <w:highlight w:val="none"/>
        </w:rPr>
      </w:pPr>
      <w:bookmarkStart w:id="199" w:name="_Toc40864955"/>
      <w:bookmarkStart w:id="200" w:name="_Toc40865071"/>
      <w:bookmarkStart w:id="201" w:name="_Toc40864679"/>
      <w:r>
        <w:rPr>
          <w:rFonts w:hint="eastAsia" w:ascii="宋体" w:hAnsi="宋体" w:eastAsia="宋体"/>
          <w:color w:val="auto"/>
          <w:spacing w:val="-4"/>
          <w:sz w:val="21"/>
          <w:szCs w:val="21"/>
          <w:highlight w:val="none"/>
        </w:rPr>
        <w:t>（2）不同投标人委托同一单位或者个人办理投标事宜；</w:t>
      </w:r>
      <w:bookmarkEnd w:id="199"/>
      <w:bookmarkEnd w:id="200"/>
      <w:bookmarkEnd w:id="201"/>
    </w:p>
    <w:p>
      <w:pPr>
        <w:pStyle w:val="21"/>
        <w:snapToGrid w:val="0"/>
        <w:spacing w:line="360" w:lineRule="exact"/>
        <w:ind w:firstLine="395" w:firstLineChars="196"/>
        <w:outlineLvl w:val="0"/>
        <w:rPr>
          <w:rFonts w:hint="eastAsia" w:ascii="宋体" w:hAnsi="宋体" w:eastAsia="宋体"/>
          <w:color w:val="auto"/>
          <w:spacing w:val="-4"/>
          <w:sz w:val="21"/>
          <w:szCs w:val="21"/>
          <w:highlight w:val="none"/>
        </w:rPr>
      </w:pPr>
      <w:bookmarkStart w:id="202" w:name="_Toc40864680"/>
      <w:bookmarkStart w:id="203" w:name="_Toc40864956"/>
      <w:bookmarkStart w:id="204" w:name="_Toc40865072"/>
      <w:r>
        <w:rPr>
          <w:rFonts w:hint="eastAsia" w:ascii="宋体" w:hAnsi="宋体" w:eastAsia="宋体"/>
          <w:color w:val="auto"/>
          <w:spacing w:val="-4"/>
          <w:sz w:val="21"/>
          <w:szCs w:val="21"/>
          <w:highlight w:val="none"/>
        </w:rPr>
        <w:t>（3）不同投标人的投标文件载明的项目管理成员或者联系人员为同一人；</w:t>
      </w:r>
      <w:bookmarkEnd w:id="202"/>
      <w:bookmarkEnd w:id="203"/>
      <w:bookmarkEnd w:id="204"/>
    </w:p>
    <w:p>
      <w:pPr>
        <w:pStyle w:val="21"/>
        <w:snapToGrid w:val="0"/>
        <w:spacing w:line="360" w:lineRule="exact"/>
        <w:ind w:firstLine="395" w:firstLineChars="196"/>
        <w:outlineLvl w:val="0"/>
        <w:rPr>
          <w:rFonts w:hint="eastAsia" w:ascii="宋体" w:hAnsi="宋体" w:eastAsia="宋体"/>
          <w:color w:val="auto"/>
          <w:spacing w:val="-4"/>
          <w:sz w:val="21"/>
          <w:szCs w:val="21"/>
          <w:highlight w:val="none"/>
        </w:rPr>
      </w:pPr>
      <w:bookmarkStart w:id="205" w:name="_Toc40864681"/>
      <w:bookmarkStart w:id="206" w:name="_Toc40864957"/>
      <w:bookmarkStart w:id="207" w:name="_Toc40865073"/>
      <w:r>
        <w:rPr>
          <w:rFonts w:hint="eastAsia" w:ascii="宋体" w:hAnsi="宋体" w:eastAsia="宋体"/>
          <w:color w:val="auto"/>
          <w:spacing w:val="-4"/>
          <w:sz w:val="21"/>
          <w:szCs w:val="21"/>
          <w:highlight w:val="none"/>
        </w:rPr>
        <w:t>（4）不同投标人的投标文件异常一致或投标报价呈规律性差异；</w:t>
      </w:r>
      <w:bookmarkEnd w:id="205"/>
      <w:bookmarkEnd w:id="206"/>
      <w:bookmarkEnd w:id="207"/>
    </w:p>
    <w:p>
      <w:pPr>
        <w:pStyle w:val="21"/>
        <w:snapToGrid w:val="0"/>
        <w:spacing w:line="360" w:lineRule="exact"/>
        <w:ind w:firstLine="395" w:firstLineChars="196"/>
        <w:outlineLvl w:val="0"/>
        <w:rPr>
          <w:rFonts w:hint="eastAsia" w:ascii="宋体" w:hAnsi="宋体" w:eastAsia="宋体"/>
          <w:color w:val="auto"/>
          <w:spacing w:val="-4"/>
          <w:sz w:val="21"/>
          <w:szCs w:val="21"/>
          <w:highlight w:val="none"/>
        </w:rPr>
      </w:pPr>
      <w:bookmarkStart w:id="208" w:name="_Toc40864958"/>
      <w:bookmarkStart w:id="209" w:name="_Toc40865074"/>
      <w:bookmarkStart w:id="210" w:name="_Toc40864682"/>
      <w:r>
        <w:rPr>
          <w:rFonts w:hint="eastAsia" w:ascii="宋体" w:hAnsi="宋体" w:eastAsia="宋体"/>
          <w:color w:val="auto"/>
          <w:spacing w:val="-4"/>
          <w:sz w:val="21"/>
          <w:szCs w:val="21"/>
          <w:highlight w:val="none"/>
        </w:rPr>
        <w:t>（5）不同投标人的投标文件相互混装；</w:t>
      </w:r>
      <w:bookmarkEnd w:id="208"/>
      <w:bookmarkEnd w:id="209"/>
      <w:bookmarkEnd w:id="210"/>
    </w:p>
    <w:p>
      <w:pPr>
        <w:pStyle w:val="21"/>
        <w:snapToGrid w:val="0"/>
        <w:spacing w:line="360" w:lineRule="exact"/>
        <w:ind w:firstLine="395" w:firstLineChars="196"/>
        <w:outlineLvl w:val="0"/>
        <w:rPr>
          <w:rFonts w:hint="eastAsia" w:ascii="宋体" w:hAnsi="宋体" w:eastAsia="宋体"/>
          <w:color w:val="auto"/>
          <w:spacing w:val="-4"/>
          <w:sz w:val="21"/>
          <w:szCs w:val="21"/>
          <w:highlight w:val="none"/>
        </w:rPr>
      </w:pPr>
      <w:bookmarkStart w:id="211" w:name="_Toc40864959"/>
      <w:bookmarkStart w:id="212" w:name="_Toc40864683"/>
      <w:bookmarkStart w:id="213" w:name="_Toc40865075"/>
      <w:r>
        <w:rPr>
          <w:rFonts w:hint="eastAsia" w:ascii="宋体" w:hAnsi="宋体" w:eastAsia="宋体"/>
          <w:color w:val="auto"/>
          <w:spacing w:val="-4"/>
          <w:sz w:val="21"/>
          <w:szCs w:val="21"/>
          <w:highlight w:val="none"/>
        </w:rPr>
        <w:t>（6）不同投标人的投标保证金从同一个单位或者个人账户转出。</w:t>
      </w:r>
      <w:bookmarkEnd w:id="211"/>
      <w:bookmarkEnd w:id="212"/>
      <w:bookmarkEnd w:id="213"/>
    </w:p>
    <w:p>
      <w:pPr>
        <w:pStyle w:val="21"/>
        <w:adjustRightInd w:val="0"/>
        <w:snapToGrid w:val="0"/>
        <w:spacing w:line="400" w:lineRule="exact"/>
        <w:ind w:firstLine="395" w:firstLineChars="196"/>
        <w:rPr>
          <w:rFonts w:hint="eastAsia" w:ascii="宋体" w:hAnsi="宋体" w:eastAsia="宋体"/>
          <w:color w:val="auto"/>
          <w:spacing w:val="-4"/>
          <w:sz w:val="21"/>
          <w:szCs w:val="21"/>
          <w:highlight w:val="none"/>
        </w:rPr>
      </w:pPr>
      <w:bookmarkStart w:id="214" w:name="_Toc40864963"/>
      <w:bookmarkStart w:id="215" w:name="_Toc40865079"/>
      <w:bookmarkStart w:id="216" w:name="_Toc40864687"/>
      <w:r>
        <w:rPr>
          <w:rFonts w:hint="eastAsia" w:ascii="宋体" w:hAnsi="宋体" w:eastAsia="宋体"/>
          <w:color w:val="auto"/>
          <w:spacing w:val="-4"/>
          <w:sz w:val="21"/>
          <w:szCs w:val="21"/>
          <w:highlight w:val="none"/>
        </w:rPr>
        <w:t>5.</w:t>
      </w:r>
      <w:bookmarkEnd w:id="214"/>
      <w:bookmarkEnd w:id="215"/>
      <w:bookmarkEnd w:id="216"/>
      <w:r>
        <w:rPr>
          <w:rFonts w:hint="eastAsia" w:ascii="宋体" w:hAnsi="宋体"/>
          <w:bCs/>
          <w:color w:val="auto"/>
          <w:szCs w:val="21"/>
          <w:highlight w:val="none"/>
        </w:rPr>
        <w:t xml:space="preserve"> </w:t>
      </w:r>
      <w:r>
        <w:rPr>
          <w:rFonts w:hint="eastAsia" w:ascii="宋体" w:hAnsi="宋体" w:eastAsia="宋体"/>
          <w:bCs/>
          <w:color w:val="auto"/>
          <w:sz w:val="21"/>
          <w:szCs w:val="21"/>
          <w:highlight w:val="none"/>
        </w:rPr>
        <w:t>其他投标无效的情形：</w:t>
      </w:r>
    </w:p>
    <w:p>
      <w:pPr>
        <w:pStyle w:val="21"/>
        <w:adjustRightInd w:val="0"/>
        <w:snapToGrid w:val="0"/>
        <w:spacing w:line="400" w:lineRule="exact"/>
        <w:ind w:firstLine="413" w:firstLineChars="196"/>
        <w:rPr>
          <w:rFonts w:hint="eastAsia" w:ascii="宋体" w:hAnsi="宋体" w:eastAsia="宋体"/>
          <w:b/>
          <w:bCs/>
          <w:color w:val="auto"/>
          <w:sz w:val="21"/>
          <w:szCs w:val="21"/>
          <w:highlight w:val="none"/>
        </w:rPr>
      </w:pPr>
      <w:r>
        <w:rPr>
          <w:rFonts w:hint="eastAsia" w:ascii="宋体" w:hAnsi="宋体" w:eastAsia="宋体"/>
          <w:b/>
          <w:bCs/>
          <w:color w:val="auto"/>
          <w:sz w:val="21"/>
          <w:szCs w:val="21"/>
          <w:highlight w:val="none"/>
        </w:rPr>
        <w:t>（1）</w:t>
      </w:r>
      <w:r>
        <w:rPr>
          <w:rFonts w:ascii="宋体" w:hAnsi="宋体" w:eastAsia="宋体"/>
          <w:b/>
          <w:bCs/>
          <w:color w:val="auto"/>
          <w:sz w:val="21"/>
          <w:szCs w:val="21"/>
          <w:highlight w:val="none"/>
        </w:rPr>
        <w:t>投标文件未按招标文件要求签署</w:t>
      </w:r>
      <w:r>
        <w:rPr>
          <w:rFonts w:hint="eastAsia" w:ascii="宋体" w:hAnsi="宋体" w:eastAsia="宋体"/>
          <w:b/>
          <w:bCs/>
          <w:color w:val="auto"/>
          <w:sz w:val="21"/>
          <w:szCs w:val="21"/>
          <w:highlight w:val="none"/>
        </w:rPr>
        <w:t>或</w:t>
      </w:r>
      <w:r>
        <w:rPr>
          <w:rFonts w:ascii="宋体" w:hAnsi="宋体" w:eastAsia="宋体"/>
          <w:b/>
          <w:bCs/>
          <w:color w:val="auto"/>
          <w:sz w:val="21"/>
          <w:szCs w:val="21"/>
          <w:highlight w:val="none"/>
        </w:rPr>
        <w:t>CA电子签章的；</w:t>
      </w:r>
    </w:p>
    <w:p>
      <w:pPr>
        <w:pStyle w:val="21"/>
        <w:adjustRightInd w:val="0"/>
        <w:snapToGrid w:val="0"/>
        <w:spacing w:line="400" w:lineRule="exact"/>
        <w:ind w:firstLine="413" w:firstLineChars="196"/>
        <w:rPr>
          <w:rFonts w:hint="eastAsia" w:ascii="宋体" w:hAnsi="宋体" w:eastAsia="宋体"/>
          <w:b/>
          <w:bCs/>
          <w:color w:val="auto"/>
          <w:sz w:val="21"/>
          <w:szCs w:val="21"/>
          <w:highlight w:val="none"/>
        </w:rPr>
      </w:pPr>
      <w:r>
        <w:rPr>
          <w:rFonts w:hint="eastAsia" w:ascii="宋体" w:hAnsi="宋体" w:eastAsia="宋体"/>
          <w:b/>
          <w:bCs/>
          <w:color w:val="auto"/>
          <w:sz w:val="21"/>
          <w:szCs w:val="21"/>
          <w:highlight w:val="none"/>
        </w:rPr>
        <w:t>（2）</w:t>
      </w:r>
      <w:r>
        <w:rPr>
          <w:rFonts w:ascii="宋体" w:hAnsi="宋体" w:eastAsia="宋体"/>
          <w:b/>
          <w:bCs/>
          <w:color w:val="auto"/>
          <w:sz w:val="21"/>
          <w:szCs w:val="21"/>
          <w:highlight w:val="none"/>
        </w:rPr>
        <w:t>供应商提交两份或两份以上内容不同的投标文件；</w:t>
      </w:r>
    </w:p>
    <w:p>
      <w:pPr>
        <w:pStyle w:val="27"/>
        <w:adjustRightInd w:val="0"/>
        <w:snapToGrid w:val="0"/>
        <w:spacing w:line="400" w:lineRule="exact"/>
        <w:ind w:firstLine="421" w:firstLineChars="200"/>
        <w:rPr>
          <w:rFonts w:hAnsi="宋体"/>
          <w:b/>
          <w:bCs/>
          <w:color w:val="auto"/>
          <w:highlight w:val="none"/>
        </w:rPr>
      </w:pPr>
      <w:r>
        <w:rPr>
          <w:rFonts w:hint="eastAsia" w:hAnsi="宋体"/>
          <w:b/>
          <w:bCs/>
          <w:color w:val="auto"/>
          <w:highlight w:val="none"/>
        </w:rPr>
        <w:t>（3）</w:t>
      </w:r>
      <w:r>
        <w:rPr>
          <w:rFonts w:hAnsi="宋体"/>
          <w:b/>
          <w:bCs/>
          <w:color w:val="auto"/>
          <w:highlight w:val="none"/>
        </w:rPr>
        <w:t>投标供应商在线制作投标文件时</w:t>
      </w:r>
      <w:r>
        <w:rPr>
          <w:rFonts w:hint="eastAsia" w:hAnsi="宋体"/>
          <w:b/>
          <w:bCs/>
          <w:color w:val="auto"/>
          <w:highlight w:val="none"/>
        </w:rPr>
        <w:t>填写的报价金额</w:t>
      </w:r>
      <w:r>
        <w:rPr>
          <w:rFonts w:hAnsi="宋体"/>
          <w:b/>
          <w:bCs/>
          <w:color w:val="auto"/>
          <w:highlight w:val="none"/>
        </w:rPr>
        <w:t>与解密后“电子加密投标文件”中《开标一览表》填写的金额不一致并拒绝按招标文件要求接受调整的；</w:t>
      </w:r>
    </w:p>
    <w:p>
      <w:pPr>
        <w:pStyle w:val="21"/>
        <w:adjustRightInd w:val="0"/>
        <w:snapToGrid w:val="0"/>
        <w:spacing w:line="400" w:lineRule="exact"/>
        <w:ind w:firstLine="413" w:firstLineChars="196"/>
        <w:rPr>
          <w:rFonts w:ascii="宋体" w:hAnsi="宋体" w:eastAsia="宋体"/>
          <w:color w:val="auto"/>
          <w:spacing w:val="-4"/>
          <w:sz w:val="21"/>
          <w:szCs w:val="21"/>
          <w:highlight w:val="none"/>
        </w:rPr>
      </w:pPr>
      <w:r>
        <w:rPr>
          <w:rFonts w:hint="eastAsia" w:ascii="宋体" w:hAnsi="宋体" w:eastAsia="宋体" w:cs="Courier New"/>
          <w:b/>
          <w:bCs/>
          <w:color w:val="auto"/>
          <w:sz w:val="21"/>
          <w:szCs w:val="21"/>
          <w:highlight w:val="none"/>
        </w:rPr>
        <w:t>（4）</w:t>
      </w:r>
      <w:r>
        <w:rPr>
          <w:rFonts w:ascii="宋体" w:hAnsi="宋体" w:eastAsia="宋体" w:cs="Courier New"/>
          <w:b/>
          <w:bCs/>
          <w:color w:val="auto"/>
          <w:sz w:val="21"/>
          <w:szCs w:val="21"/>
          <w:highlight w:val="none"/>
        </w:rPr>
        <w:t>法律、法规和招标文件规定的其他无效情形（或出现重大偏差）。</w:t>
      </w:r>
    </w:p>
    <w:p>
      <w:pPr>
        <w:pStyle w:val="21"/>
        <w:snapToGrid w:val="0"/>
        <w:spacing w:line="360" w:lineRule="exact"/>
        <w:ind w:firstLine="413" w:firstLineChars="196"/>
        <w:outlineLvl w:val="0"/>
        <w:rPr>
          <w:rFonts w:hint="eastAsia" w:ascii="宋体" w:hAnsi="宋体" w:eastAsia="宋体"/>
          <w:b/>
          <w:snapToGrid w:val="0"/>
          <w:color w:val="auto"/>
          <w:sz w:val="21"/>
          <w:szCs w:val="21"/>
          <w:highlight w:val="none"/>
        </w:rPr>
      </w:pPr>
      <w:bookmarkStart w:id="217" w:name="_Toc40864688"/>
      <w:bookmarkStart w:id="218" w:name="_Toc40864964"/>
      <w:bookmarkStart w:id="219" w:name="_Toc254970544"/>
      <w:bookmarkStart w:id="220" w:name="_Toc40865080"/>
      <w:bookmarkStart w:id="221" w:name="_Toc254970685"/>
      <w:r>
        <w:rPr>
          <w:rFonts w:hint="eastAsia" w:ascii="宋体" w:hAnsi="宋体" w:eastAsia="宋体"/>
          <w:b/>
          <w:color w:val="auto"/>
          <w:sz w:val="21"/>
          <w:szCs w:val="21"/>
          <w:highlight w:val="none"/>
        </w:rPr>
        <w:t>四、开标</w:t>
      </w:r>
      <w:bookmarkEnd w:id="217"/>
      <w:bookmarkEnd w:id="218"/>
      <w:bookmarkEnd w:id="219"/>
      <w:bookmarkEnd w:id="220"/>
      <w:bookmarkEnd w:id="221"/>
    </w:p>
    <w:p>
      <w:pPr>
        <w:pStyle w:val="27"/>
        <w:snapToGrid w:val="0"/>
        <w:spacing w:line="360" w:lineRule="exact"/>
        <w:ind w:firstLine="413" w:firstLineChars="196"/>
        <w:outlineLvl w:val="0"/>
        <w:rPr>
          <w:rFonts w:hint="eastAsia" w:hAnsi="宋体"/>
          <w:b/>
          <w:color w:val="auto"/>
          <w:highlight w:val="none"/>
        </w:rPr>
      </w:pPr>
      <w:bookmarkStart w:id="222" w:name="_Toc40864689"/>
      <w:bookmarkStart w:id="223" w:name="_Toc40864965"/>
      <w:bookmarkStart w:id="224" w:name="_Toc40865081"/>
      <w:r>
        <w:rPr>
          <w:rFonts w:hint="eastAsia" w:hAnsi="宋体"/>
          <w:b/>
          <w:color w:val="auto"/>
          <w:highlight w:val="none"/>
        </w:rPr>
        <w:t>（一）开标准备</w:t>
      </w:r>
      <w:bookmarkEnd w:id="222"/>
      <w:bookmarkEnd w:id="223"/>
      <w:bookmarkEnd w:id="224"/>
    </w:p>
    <w:p>
      <w:pPr>
        <w:shd w:val="clear" w:color="auto" w:fill="FFFFFF"/>
        <w:adjustRightInd w:val="0"/>
        <w:snapToGrid w:val="0"/>
        <w:spacing w:line="400" w:lineRule="exact"/>
        <w:ind w:firstLine="440" w:firstLineChars="200"/>
        <w:rPr>
          <w:rFonts w:hint="eastAsia" w:hAnsi="宋体"/>
          <w:bCs/>
          <w:color w:val="auto"/>
          <w:highlight w:val="none"/>
        </w:rPr>
      </w:pPr>
      <w:bookmarkStart w:id="225" w:name="_Toc40865082"/>
      <w:bookmarkStart w:id="226" w:name="_Toc40864966"/>
      <w:bookmarkStart w:id="227" w:name="_Toc40864690"/>
      <w:r>
        <w:rPr>
          <w:rFonts w:hint="eastAsia" w:ascii="宋体"/>
          <w:color w:val="auto"/>
          <w:sz w:val="22"/>
          <w:highlight w:val="none"/>
        </w:rPr>
        <w:t>采购代理机构按招标文件规定的时间、地点通过“</w:t>
      </w:r>
      <w:r>
        <w:rPr>
          <w:rFonts w:ascii="宋体"/>
          <w:color w:val="auto"/>
          <w:sz w:val="22"/>
          <w:highlight w:val="none"/>
          <w:lang w:val="en"/>
        </w:rPr>
        <w:t>广西政府采购云平台</w:t>
      </w:r>
      <w:r>
        <w:rPr>
          <w:rFonts w:hint="eastAsia" w:ascii="宋体"/>
          <w:color w:val="auto"/>
          <w:sz w:val="22"/>
          <w:highlight w:val="none"/>
        </w:rPr>
        <w:t>”组织开标、开启投标文件，所有供应商均应当准时在线参加。投</w:t>
      </w:r>
      <w:r>
        <w:rPr>
          <w:rFonts w:ascii="宋体"/>
          <w:color w:val="auto"/>
          <w:sz w:val="22"/>
          <w:highlight w:val="none"/>
        </w:rPr>
        <w:t>标供应商因未在线参加开标而导致投标文件无法按时解密等一切后果由供应商自</w:t>
      </w:r>
      <w:r>
        <w:rPr>
          <w:rFonts w:hint="eastAsia" w:ascii="宋体"/>
          <w:color w:val="auto"/>
          <w:sz w:val="22"/>
          <w:highlight w:val="none"/>
        </w:rPr>
        <w:t>行</w:t>
      </w:r>
      <w:r>
        <w:rPr>
          <w:rFonts w:ascii="宋体"/>
          <w:color w:val="auto"/>
          <w:sz w:val="22"/>
          <w:highlight w:val="none"/>
        </w:rPr>
        <w:t>承担。</w:t>
      </w:r>
    </w:p>
    <w:p>
      <w:pPr>
        <w:pStyle w:val="27"/>
        <w:snapToGrid w:val="0"/>
        <w:spacing w:line="360" w:lineRule="exact"/>
        <w:ind w:firstLine="413" w:firstLineChars="196"/>
        <w:outlineLvl w:val="0"/>
        <w:rPr>
          <w:rFonts w:hint="eastAsia" w:hAnsi="宋体"/>
          <w:b/>
          <w:color w:val="auto"/>
          <w:highlight w:val="none"/>
        </w:rPr>
      </w:pPr>
      <w:r>
        <w:rPr>
          <w:rFonts w:hint="eastAsia" w:hAnsi="宋体"/>
          <w:b/>
          <w:color w:val="auto"/>
          <w:highlight w:val="none"/>
        </w:rPr>
        <w:t>（二） 开标程序：</w:t>
      </w:r>
      <w:bookmarkEnd w:id="225"/>
      <w:bookmarkEnd w:id="226"/>
      <w:bookmarkEnd w:id="227"/>
    </w:p>
    <w:p>
      <w:pPr>
        <w:pStyle w:val="27"/>
        <w:adjustRightInd w:val="0"/>
        <w:snapToGrid w:val="0"/>
        <w:spacing w:line="400" w:lineRule="exact"/>
        <w:ind w:firstLine="420" w:firstLineChars="200"/>
        <w:rPr>
          <w:rFonts w:hint="eastAsia" w:hAnsi="宋体"/>
          <w:color w:val="auto"/>
          <w:highlight w:val="none"/>
        </w:rPr>
      </w:pPr>
      <w:bookmarkStart w:id="228" w:name="_Toc40864691"/>
      <w:bookmarkStart w:id="229" w:name="_Toc40864967"/>
      <w:bookmarkStart w:id="230" w:name="_Toc40865083"/>
      <w:bookmarkStart w:id="231" w:name="_Toc254970545"/>
      <w:bookmarkStart w:id="232" w:name="_Toc254970686"/>
      <w:r>
        <w:rPr>
          <w:rFonts w:hint="eastAsia" w:hAnsi="宋体"/>
          <w:color w:val="auto"/>
          <w:highlight w:val="none"/>
        </w:rPr>
        <w:t>1.电子开标会由本中心主持</w:t>
      </w:r>
    </w:p>
    <w:p>
      <w:pPr>
        <w:pStyle w:val="27"/>
        <w:adjustRightInd w:val="0"/>
        <w:snapToGrid w:val="0"/>
        <w:spacing w:line="400" w:lineRule="exact"/>
        <w:ind w:firstLine="420" w:firstLineChars="200"/>
        <w:rPr>
          <w:color w:val="auto"/>
          <w:sz w:val="22"/>
          <w:highlight w:val="none"/>
        </w:rPr>
      </w:pPr>
      <w:r>
        <w:rPr>
          <w:rFonts w:hint="eastAsia" w:hAnsi="宋体"/>
          <w:color w:val="auto"/>
          <w:highlight w:val="none"/>
        </w:rPr>
        <w:t>2.本中心工作人员</w:t>
      </w:r>
      <w:r>
        <w:rPr>
          <w:rFonts w:hint="eastAsia"/>
          <w:color w:val="auto"/>
          <w:sz w:val="22"/>
          <w:highlight w:val="none"/>
        </w:rPr>
        <w:t>向各投标供应商发出电子加密投标文件【开始解密】通知，由供应商按招标文件规定的时间内自行进行投标文件解密。</w:t>
      </w:r>
      <w:r>
        <w:rPr>
          <w:rFonts w:hint="eastAsia"/>
          <w:snapToGrid w:val="0"/>
          <w:color w:val="auto"/>
          <w:sz w:val="22"/>
          <w:highlight w:val="none"/>
        </w:rPr>
        <w:t>投标供应商未在规定时间内完成解密的，系统默认自动放弃。</w:t>
      </w:r>
    </w:p>
    <w:p>
      <w:pPr>
        <w:pStyle w:val="27"/>
        <w:adjustRightInd w:val="0"/>
        <w:snapToGrid w:val="0"/>
        <w:spacing w:line="400" w:lineRule="exact"/>
        <w:ind w:firstLine="440" w:firstLineChars="200"/>
        <w:rPr>
          <w:rFonts w:hAnsi="宋体"/>
          <w:color w:val="auto"/>
          <w:sz w:val="22"/>
          <w:szCs w:val="22"/>
          <w:highlight w:val="none"/>
        </w:rPr>
      </w:pPr>
      <w:r>
        <w:rPr>
          <w:rFonts w:hint="eastAsia" w:hAnsi="宋体"/>
          <w:color w:val="auto"/>
          <w:sz w:val="22"/>
          <w:szCs w:val="22"/>
          <w:highlight w:val="none"/>
        </w:rPr>
        <w:t>3.</w:t>
      </w:r>
      <w:r>
        <w:rPr>
          <w:rFonts w:hAnsi="宋体"/>
          <w:color w:val="auto"/>
          <w:sz w:val="22"/>
          <w:szCs w:val="22"/>
          <w:highlight w:val="none"/>
        </w:rPr>
        <w:t>投标文件解密结束，开启</w:t>
      </w:r>
      <w:r>
        <w:rPr>
          <w:rFonts w:hint="eastAsia" w:hAnsi="宋体"/>
          <w:color w:val="auto"/>
          <w:sz w:val="22"/>
          <w:szCs w:val="22"/>
          <w:highlight w:val="none"/>
        </w:rPr>
        <w:t>报价文件。投标供应商在线制作投标文件时填写的报价金额</w:t>
      </w:r>
      <w:r>
        <w:rPr>
          <w:rFonts w:hAnsi="宋体"/>
          <w:color w:val="auto"/>
          <w:sz w:val="22"/>
          <w:szCs w:val="22"/>
          <w:highlight w:val="none"/>
        </w:rPr>
        <w:t>与解密后“电子加密投标文件”中《开标一览表》填写的金额不一致的，以解密后“电子加密投标文件”中《开标一览表》填写的金额为准，投标供应商拒绝接受此调整的，按无效投标处理。</w:t>
      </w:r>
    </w:p>
    <w:p>
      <w:pPr>
        <w:pStyle w:val="27"/>
        <w:adjustRightInd w:val="0"/>
        <w:snapToGrid w:val="0"/>
        <w:spacing w:line="400" w:lineRule="exact"/>
        <w:ind w:firstLine="440" w:firstLineChars="200"/>
        <w:rPr>
          <w:rFonts w:hAnsi="宋体"/>
          <w:color w:val="auto"/>
          <w:sz w:val="22"/>
          <w:szCs w:val="22"/>
          <w:highlight w:val="none"/>
        </w:rPr>
      </w:pPr>
      <w:r>
        <w:rPr>
          <w:rFonts w:hint="eastAsia" w:hAnsi="宋体"/>
          <w:color w:val="auto"/>
          <w:sz w:val="22"/>
          <w:szCs w:val="22"/>
          <w:highlight w:val="none"/>
        </w:rPr>
        <w:t>4.进入</w:t>
      </w:r>
      <w:r>
        <w:rPr>
          <w:rFonts w:hAnsi="宋体"/>
          <w:color w:val="auto"/>
          <w:sz w:val="22"/>
          <w:szCs w:val="22"/>
          <w:highlight w:val="none"/>
        </w:rPr>
        <w:t>资格文件</w:t>
      </w:r>
      <w:r>
        <w:rPr>
          <w:rFonts w:hint="eastAsia" w:hAnsi="宋体"/>
          <w:color w:val="auto"/>
          <w:sz w:val="22"/>
          <w:szCs w:val="22"/>
          <w:highlight w:val="none"/>
        </w:rPr>
        <w:t>审查环节</w:t>
      </w:r>
      <w:r>
        <w:rPr>
          <w:rFonts w:hAnsi="宋体"/>
          <w:color w:val="auto"/>
          <w:sz w:val="22"/>
          <w:szCs w:val="22"/>
          <w:highlight w:val="none"/>
        </w:rPr>
        <w:t>，</w:t>
      </w:r>
      <w:r>
        <w:rPr>
          <w:rFonts w:hint="eastAsia" w:hAnsi="宋体"/>
          <w:color w:val="auto"/>
          <w:sz w:val="22"/>
          <w:szCs w:val="22"/>
          <w:highlight w:val="none"/>
        </w:rPr>
        <w:t>本中心或者招标采购单位</w:t>
      </w:r>
      <w:r>
        <w:rPr>
          <w:rFonts w:hAnsi="宋体"/>
          <w:color w:val="auto"/>
          <w:sz w:val="22"/>
          <w:szCs w:val="22"/>
          <w:highlight w:val="none"/>
        </w:rPr>
        <w:t>依法对投标供应商的资格进行审查。</w:t>
      </w:r>
    </w:p>
    <w:p>
      <w:pPr>
        <w:pStyle w:val="27"/>
        <w:adjustRightInd w:val="0"/>
        <w:snapToGrid w:val="0"/>
        <w:spacing w:line="400" w:lineRule="exact"/>
        <w:ind w:firstLine="440" w:firstLineChars="200"/>
        <w:rPr>
          <w:rFonts w:hAnsi="宋体"/>
          <w:color w:val="auto"/>
          <w:sz w:val="22"/>
          <w:szCs w:val="22"/>
          <w:highlight w:val="none"/>
        </w:rPr>
      </w:pPr>
      <w:r>
        <w:rPr>
          <w:rFonts w:hint="eastAsia" w:hAnsi="宋体"/>
          <w:color w:val="auto"/>
          <w:sz w:val="22"/>
          <w:szCs w:val="22"/>
          <w:highlight w:val="none"/>
        </w:rPr>
        <w:t>5.</w:t>
      </w:r>
      <w:r>
        <w:rPr>
          <w:rFonts w:hAnsi="宋体"/>
          <w:color w:val="auto"/>
          <w:sz w:val="22"/>
          <w:szCs w:val="22"/>
          <w:highlight w:val="none"/>
        </w:rPr>
        <w:t>开启资格审查通过的投标供应商的商务技术文件进入符合性审查及商务技术评审</w:t>
      </w:r>
      <w:r>
        <w:rPr>
          <w:rFonts w:hint="eastAsia" w:hAnsi="宋体"/>
          <w:color w:val="auto"/>
          <w:sz w:val="22"/>
          <w:szCs w:val="22"/>
          <w:highlight w:val="none"/>
        </w:rPr>
        <w:t>。</w:t>
      </w:r>
    </w:p>
    <w:p>
      <w:pPr>
        <w:pStyle w:val="27"/>
        <w:adjustRightInd w:val="0"/>
        <w:snapToGrid w:val="0"/>
        <w:spacing w:line="400" w:lineRule="exact"/>
        <w:ind w:firstLine="420"/>
        <w:rPr>
          <w:rFonts w:hint="eastAsia" w:hAnsi="宋体"/>
          <w:color w:val="auto"/>
          <w:highlight w:val="none"/>
        </w:rPr>
      </w:pPr>
      <w:r>
        <w:rPr>
          <w:rFonts w:hint="eastAsia" w:hAnsi="宋体"/>
          <w:color w:val="auto"/>
          <w:highlight w:val="none"/>
        </w:rPr>
        <w:t>注：①当整个招标项目的投标人不足3家的不开标，本中心将按政府采购管理的有关规定处理。</w:t>
      </w:r>
    </w:p>
    <w:p>
      <w:pPr>
        <w:pStyle w:val="27"/>
        <w:adjustRightInd w:val="0"/>
        <w:snapToGrid w:val="0"/>
        <w:spacing w:line="400" w:lineRule="exact"/>
        <w:ind w:firstLine="840" w:firstLineChars="400"/>
        <w:rPr>
          <w:rFonts w:hint="eastAsia" w:hAnsi="宋体"/>
          <w:color w:val="auto"/>
          <w:highlight w:val="none"/>
        </w:rPr>
      </w:pPr>
      <w:r>
        <w:rPr>
          <w:rFonts w:hint="eastAsia" w:hAnsi="宋体"/>
          <w:color w:val="auto"/>
          <w:highlight w:val="none"/>
        </w:rPr>
        <w:t>②开标后,某分标投标人不足3家的，本中心将按政府采购管理的有关规定处理。</w:t>
      </w:r>
    </w:p>
    <w:p>
      <w:pPr>
        <w:pStyle w:val="27"/>
        <w:adjustRightInd w:val="0"/>
        <w:snapToGrid w:val="0"/>
        <w:spacing w:line="400" w:lineRule="exact"/>
        <w:ind w:firstLine="441" w:firstLineChars="200"/>
        <w:rPr>
          <w:rFonts w:hAnsi="宋体"/>
          <w:color w:val="auto"/>
          <w:sz w:val="22"/>
          <w:szCs w:val="22"/>
          <w:highlight w:val="none"/>
        </w:rPr>
      </w:pPr>
      <w:r>
        <w:rPr>
          <w:rFonts w:hAnsi="宋体"/>
          <w:b/>
          <w:bCs/>
          <w:color w:val="auto"/>
          <w:sz w:val="22"/>
          <w:szCs w:val="22"/>
          <w:highlight w:val="none"/>
        </w:rPr>
        <w:t>特别说明：如遇“</w:t>
      </w:r>
      <w:r>
        <w:rPr>
          <w:rFonts w:hAnsi="宋体"/>
          <w:b/>
          <w:bCs/>
          <w:color w:val="auto"/>
          <w:sz w:val="22"/>
          <w:szCs w:val="22"/>
          <w:highlight w:val="none"/>
          <w:lang w:val="en"/>
        </w:rPr>
        <w:t>广西政府采购云平台</w:t>
      </w:r>
      <w:r>
        <w:rPr>
          <w:rFonts w:hAnsi="宋体"/>
          <w:b/>
          <w:bCs/>
          <w:color w:val="auto"/>
          <w:sz w:val="22"/>
          <w:szCs w:val="22"/>
          <w:highlight w:val="none"/>
        </w:rPr>
        <w:t>”电子化开标或评审程序调整的，按调整后程序执行。</w:t>
      </w:r>
    </w:p>
    <w:p>
      <w:pPr>
        <w:pStyle w:val="27"/>
        <w:snapToGrid w:val="0"/>
        <w:spacing w:line="360" w:lineRule="exact"/>
        <w:ind w:left="771" w:leftChars="267" w:hanging="210" w:hangingChars="100"/>
        <w:outlineLvl w:val="1"/>
        <w:rPr>
          <w:rFonts w:hint="eastAsia" w:hAnsi="宋体"/>
          <w:b/>
          <w:color w:val="auto"/>
          <w:highlight w:val="none"/>
        </w:rPr>
      </w:pPr>
      <w:r>
        <w:rPr>
          <w:rFonts w:hint="eastAsia" w:hAnsi="宋体"/>
          <w:b/>
          <w:color w:val="auto"/>
          <w:highlight w:val="none"/>
        </w:rPr>
        <w:t>五、</w:t>
      </w:r>
      <w:r>
        <w:rPr>
          <w:rFonts w:hint="eastAsia" w:hAnsi="宋体"/>
          <w:b/>
          <w:bCs/>
          <w:color w:val="auto"/>
          <w:highlight w:val="none"/>
        </w:rPr>
        <w:t>资格审查</w:t>
      </w:r>
      <w:bookmarkEnd w:id="228"/>
      <w:bookmarkEnd w:id="229"/>
      <w:bookmarkEnd w:id="230"/>
    </w:p>
    <w:p>
      <w:pPr>
        <w:pStyle w:val="27"/>
        <w:snapToGrid w:val="0"/>
        <w:spacing w:line="360" w:lineRule="exact"/>
        <w:ind w:left="771" w:leftChars="267" w:hanging="210" w:hangingChars="100"/>
        <w:outlineLvl w:val="1"/>
        <w:rPr>
          <w:rFonts w:hint="eastAsia" w:hAnsi="宋体"/>
          <w:b/>
          <w:color w:val="auto"/>
          <w:highlight w:val="none"/>
        </w:rPr>
      </w:pPr>
      <w:bookmarkStart w:id="233" w:name="_Toc40865084"/>
      <w:bookmarkStart w:id="234" w:name="_Toc40864968"/>
      <w:bookmarkStart w:id="235" w:name="_Toc40864692"/>
      <w:r>
        <w:rPr>
          <w:rFonts w:hint="eastAsia" w:hAnsi="宋体" w:cs="宋体"/>
          <w:color w:val="auto"/>
          <w:highlight w:val="none"/>
        </w:rPr>
        <w:t>采购人</w:t>
      </w:r>
      <w:r>
        <w:rPr>
          <w:rFonts w:hint="eastAsia" w:hAnsi="宋体" w:cs="宋体"/>
          <w:color w:val="auto"/>
          <w:spacing w:val="-4"/>
          <w:highlight w:val="none"/>
        </w:rPr>
        <w:t>或本中心工作人员</w:t>
      </w:r>
      <w:r>
        <w:rPr>
          <w:rFonts w:hint="eastAsia" w:hAnsi="宋体" w:cs="宋体"/>
          <w:color w:val="auto"/>
          <w:highlight w:val="none"/>
        </w:rPr>
        <w:t>依法对投标人的资格进行审查。合格投标人不足3家的，不得评标</w:t>
      </w:r>
      <w:r>
        <w:rPr>
          <w:rFonts w:hint="eastAsia"/>
          <w:color w:val="auto"/>
          <w:highlight w:val="none"/>
        </w:rPr>
        <w:t>。</w:t>
      </w:r>
      <w:bookmarkEnd w:id="233"/>
      <w:bookmarkEnd w:id="234"/>
      <w:bookmarkEnd w:id="235"/>
    </w:p>
    <w:p>
      <w:pPr>
        <w:pStyle w:val="27"/>
        <w:snapToGrid w:val="0"/>
        <w:spacing w:line="360" w:lineRule="exact"/>
        <w:ind w:left="771" w:leftChars="267" w:hanging="210" w:hangingChars="100"/>
        <w:outlineLvl w:val="1"/>
        <w:rPr>
          <w:rFonts w:hint="eastAsia" w:hAnsi="宋体"/>
          <w:b/>
          <w:color w:val="auto"/>
          <w:highlight w:val="none"/>
        </w:rPr>
      </w:pPr>
      <w:bookmarkStart w:id="236" w:name="_Toc40864969"/>
      <w:bookmarkStart w:id="237" w:name="_Toc40865085"/>
      <w:bookmarkStart w:id="238" w:name="_Toc40864693"/>
      <w:r>
        <w:rPr>
          <w:rFonts w:hint="eastAsia" w:hAnsi="宋体"/>
          <w:b/>
          <w:color w:val="auto"/>
          <w:highlight w:val="none"/>
        </w:rPr>
        <w:t>六、评标</w:t>
      </w:r>
      <w:bookmarkEnd w:id="231"/>
      <w:bookmarkEnd w:id="232"/>
      <w:bookmarkEnd w:id="236"/>
      <w:bookmarkEnd w:id="237"/>
      <w:bookmarkEnd w:id="238"/>
    </w:p>
    <w:p>
      <w:pPr>
        <w:pStyle w:val="27"/>
        <w:snapToGrid w:val="0"/>
        <w:spacing w:line="360" w:lineRule="exact"/>
        <w:ind w:left="689" w:leftChars="228" w:hanging="210" w:hangingChars="100"/>
        <w:rPr>
          <w:rFonts w:hint="eastAsia" w:hAnsi="宋体"/>
          <w:b/>
          <w:color w:val="auto"/>
          <w:highlight w:val="none"/>
        </w:rPr>
      </w:pPr>
      <w:r>
        <w:rPr>
          <w:rFonts w:hint="eastAsia" w:hAnsi="宋体"/>
          <w:b/>
          <w:color w:val="auto"/>
          <w:highlight w:val="none"/>
        </w:rPr>
        <w:t>（一）组建评标委员会</w:t>
      </w:r>
    </w:p>
    <w:p>
      <w:pPr>
        <w:pStyle w:val="27"/>
        <w:snapToGrid w:val="0"/>
        <w:spacing w:line="360" w:lineRule="exact"/>
        <w:ind w:firstLine="420" w:firstLineChars="200"/>
        <w:rPr>
          <w:rFonts w:hint="eastAsia"/>
          <w:color w:val="auto"/>
          <w:spacing w:val="-4"/>
          <w:highlight w:val="none"/>
        </w:rPr>
      </w:pPr>
      <w:r>
        <w:rPr>
          <w:rFonts w:hint="eastAsia" w:hAnsi="宋体"/>
          <w:bCs/>
          <w:color w:val="auto"/>
          <w:highlight w:val="none"/>
        </w:rPr>
        <w:t>本招标采购项目的</w:t>
      </w:r>
      <w:r>
        <w:rPr>
          <w:color w:val="auto"/>
          <w:spacing w:val="-4"/>
          <w:highlight w:val="none"/>
        </w:rPr>
        <w:t>评标委员会由采购人代表和评审专家组成，成员人数应当为5人以上单数，其中评审专家不得少于成员总数的三分之二。</w:t>
      </w:r>
    </w:p>
    <w:p>
      <w:pPr>
        <w:pStyle w:val="27"/>
        <w:snapToGrid w:val="0"/>
        <w:spacing w:line="360" w:lineRule="exact"/>
        <w:ind w:left="689" w:leftChars="228" w:hanging="210" w:hangingChars="100"/>
        <w:rPr>
          <w:rFonts w:hint="eastAsia" w:hAnsi="宋体"/>
          <w:b/>
          <w:color w:val="auto"/>
          <w:highlight w:val="none"/>
        </w:rPr>
      </w:pPr>
      <w:r>
        <w:rPr>
          <w:rFonts w:hint="eastAsia" w:hAnsi="宋体"/>
          <w:b/>
          <w:color w:val="auto"/>
          <w:highlight w:val="none"/>
        </w:rPr>
        <w:t>（二）评标的方式</w:t>
      </w:r>
    </w:p>
    <w:p>
      <w:pPr>
        <w:pStyle w:val="27"/>
        <w:snapToGrid w:val="0"/>
        <w:spacing w:line="360" w:lineRule="exact"/>
        <w:ind w:left="689" w:leftChars="228" w:hanging="210" w:hangingChars="100"/>
        <w:rPr>
          <w:rFonts w:hint="eastAsia" w:hAnsi="宋体"/>
          <w:color w:val="auto"/>
          <w:highlight w:val="none"/>
        </w:rPr>
      </w:pPr>
      <w:r>
        <w:rPr>
          <w:rFonts w:hint="eastAsia" w:hAnsi="宋体"/>
          <w:color w:val="auto"/>
          <w:highlight w:val="none"/>
        </w:rPr>
        <w:t>本项目采用不公开方式评标，评标的依据为招标文件和投标文件。</w:t>
      </w:r>
    </w:p>
    <w:p>
      <w:pPr>
        <w:pStyle w:val="27"/>
        <w:snapToGrid w:val="0"/>
        <w:spacing w:line="360" w:lineRule="exact"/>
        <w:ind w:left="689" w:leftChars="228" w:hanging="210" w:hangingChars="100"/>
        <w:rPr>
          <w:rFonts w:hint="eastAsia" w:hAnsi="宋体"/>
          <w:b/>
          <w:color w:val="auto"/>
          <w:highlight w:val="none"/>
        </w:rPr>
      </w:pPr>
      <w:r>
        <w:rPr>
          <w:rFonts w:hint="eastAsia" w:hAnsi="宋体"/>
          <w:b/>
          <w:color w:val="auto"/>
          <w:highlight w:val="none"/>
        </w:rPr>
        <w:t>（三）</w:t>
      </w:r>
      <w:r>
        <w:rPr>
          <w:rFonts w:hint="eastAsia" w:hAnsi="宋体"/>
          <w:b/>
          <w:bCs/>
          <w:color w:val="auto"/>
          <w:highlight w:val="none"/>
        </w:rPr>
        <w:t>评标程序</w:t>
      </w:r>
    </w:p>
    <w:p>
      <w:pPr>
        <w:adjustRightInd w:val="0"/>
        <w:snapToGrid w:val="0"/>
        <w:spacing w:line="400" w:lineRule="exact"/>
        <w:ind w:firstLine="420" w:firstLineChars="200"/>
        <w:rPr>
          <w:rFonts w:hint="eastAsia" w:ascii="宋体" w:hAnsi="宋体"/>
          <w:color w:val="auto"/>
          <w:szCs w:val="21"/>
          <w:highlight w:val="none"/>
        </w:rPr>
      </w:pPr>
      <w:bookmarkStart w:id="239" w:name="_Toc40865086"/>
      <w:bookmarkStart w:id="240" w:name="_Toc40864970"/>
      <w:bookmarkStart w:id="241" w:name="_Toc40864694"/>
      <w:r>
        <w:rPr>
          <w:rFonts w:hint="eastAsia" w:ascii="宋体" w:hAnsi="宋体"/>
          <w:color w:val="auto"/>
          <w:szCs w:val="21"/>
          <w:highlight w:val="none"/>
        </w:rPr>
        <w:t>（1）</w:t>
      </w:r>
      <w:r>
        <w:rPr>
          <w:rFonts w:hint="eastAsia" w:ascii="宋体"/>
          <w:color w:val="auto"/>
          <w:szCs w:val="21"/>
          <w:highlight w:val="none"/>
        </w:rPr>
        <w:t>评标委员会审查、评价投标文件是否符合招标文件的商务、技术等实质性要求。</w:t>
      </w:r>
    </w:p>
    <w:p>
      <w:pPr>
        <w:adjustRightInd w:val="0"/>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w:t>
      </w:r>
      <w:r>
        <w:rPr>
          <w:rFonts w:hint="eastAsia" w:ascii="宋体"/>
          <w:color w:val="auto"/>
          <w:szCs w:val="21"/>
          <w:highlight w:val="none"/>
        </w:rPr>
        <w:t>评标委员会对投标文件进行比较和评价,如有疑问,将以电子询标函的形式要求投标人在线对投标文件有关事项作出澄清或者说明。投标人向评标委员会澄清或者说明有关问题,并最终盖章的电子文件进行回复。</w:t>
      </w:r>
    </w:p>
    <w:p>
      <w:pPr>
        <w:adjustRightInd w:val="0"/>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投标人代表超过规定时间或者拒绝澄清或者澄清的内容改变了投标文件的实质性内容的，评标委员会有权视该投标文件无效。</w:t>
      </w:r>
    </w:p>
    <w:p>
      <w:pPr>
        <w:adjustRightInd w:val="0"/>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（3）各投标人的技术得分为所有评委的有效评分的算术平均数，由指定专人进行计算复核。</w:t>
      </w:r>
    </w:p>
    <w:p>
      <w:pPr>
        <w:adjustRightInd w:val="0"/>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（4）本中心工作人员协助评标委员会根据本项目的评分标准计算各投标人的商务报价得分。</w:t>
      </w:r>
    </w:p>
    <w:p>
      <w:pPr>
        <w:adjustRightInd w:val="0"/>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（5）</w:t>
      </w:r>
      <w:r>
        <w:rPr>
          <w:rFonts w:hint="eastAsia" w:ascii="宋体"/>
          <w:color w:val="auto"/>
          <w:szCs w:val="21"/>
          <w:highlight w:val="none"/>
        </w:rPr>
        <w:t>评标委员会完成评标后,由</w:t>
      </w:r>
      <w:r>
        <w:rPr>
          <w:rFonts w:ascii="宋体"/>
          <w:color w:val="auto"/>
          <w:szCs w:val="21"/>
          <w:highlight w:val="none"/>
          <w:lang w:val="en"/>
        </w:rPr>
        <w:t>广西政府采购云平台</w:t>
      </w:r>
      <w:r>
        <w:rPr>
          <w:rFonts w:hint="eastAsia" w:ascii="宋体"/>
          <w:color w:val="auto"/>
          <w:szCs w:val="21"/>
          <w:highlight w:val="none"/>
        </w:rPr>
        <w:t>系统对各部分得分汇总,计算出本项目最终得分、评标价等。</w:t>
      </w:r>
      <w:r>
        <w:rPr>
          <w:rFonts w:hint="eastAsia" w:ascii="宋体" w:hAnsi="宋体"/>
          <w:color w:val="auto"/>
          <w:szCs w:val="21"/>
          <w:highlight w:val="none"/>
        </w:rPr>
        <w:t>评标委员会按推荐原则推荐中标候选人同时形成评标报告。</w:t>
      </w:r>
    </w:p>
    <w:bookmarkEnd w:id="239"/>
    <w:bookmarkEnd w:id="240"/>
    <w:bookmarkEnd w:id="241"/>
    <w:p>
      <w:pPr>
        <w:adjustRightInd w:val="0"/>
        <w:snapToGrid w:val="0"/>
        <w:spacing w:line="400" w:lineRule="exact"/>
        <w:ind w:firstLine="421" w:firstLineChars="200"/>
        <w:rPr>
          <w:rFonts w:hint="eastAsia"/>
          <w:b/>
          <w:color w:val="auto"/>
          <w:highlight w:val="none"/>
        </w:rPr>
      </w:pPr>
      <w:bookmarkStart w:id="242" w:name="_Toc40864696"/>
      <w:bookmarkStart w:id="243" w:name="_Toc40865088"/>
      <w:bookmarkStart w:id="244" w:name="_Toc40864972"/>
      <w:r>
        <w:rPr>
          <w:rFonts w:hint="eastAsia"/>
          <w:b/>
          <w:color w:val="auto"/>
          <w:highlight w:val="none"/>
        </w:rPr>
        <w:t>（四）澄清问题的形式</w:t>
      </w:r>
    </w:p>
    <w:p>
      <w:pPr>
        <w:adjustRightInd w:val="0"/>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对投标文件中含义不明确、同类问题表述不一致或者有明显文字和计算错误的内容，评标委员会可要求投标人作出必要的澄清、说明或者纠正。投标人的澄清、说明或者补正应当在电子询标函规定的时间期限内完成，并不得超出投标文件的范围或者改变投标文件的实质性内容。</w:t>
      </w:r>
    </w:p>
    <w:p>
      <w:pPr>
        <w:adjustRightInd w:val="0"/>
        <w:snapToGrid w:val="0"/>
        <w:spacing w:line="400" w:lineRule="exact"/>
        <w:ind w:firstLine="421" w:firstLineChars="200"/>
        <w:rPr>
          <w:rFonts w:hint="eastAsia"/>
          <w:b/>
          <w:color w:val="auto"/>
          <w:highlight w:val="none"/>
        </w:rPr>
      </w:pPr>
      <w:r>
        <w:rPr>
          <w:rFonts w:hint="eastAsia"/>
          <w:b/>
          <w:color w:val="auto"/>
          <w:highlight w:val="none"/>
        </w:rPr>
        <w:t>（五）错误修正</w:t>
      </w:r>
    </w:p>
    <w:p>
      <w:pPr>
        <w:pStyle w:val="27"/>
        <w:adjustRightInd w:val="0"/>
        <w:snapToGrid w:val="0"/>
        <w:spacing w:line="400" w:lineRule="exact"/>
        <w:ind w:left="689" w:leftChars="228" w:hanging="210" w:hangingChars="100"/>
        <w:rPr>
          <w:rFonts w:hint="eastAsia" w:hAnsi="宋体"/>
          <w:color w:val="auto"/>
          <w:highlight w:val="none"/>
        </w:rPr>
      </w:pPr>
      <w:r>
        <w:rPr>
          <w:rFonts w:hint="eastAsia" w:hAnsi="宋体"/>
          <w:color w:val="auto"/>
          <w:highlight w:val="none"/>
        </w:rPr>
        <w:t>投标文件如果出现计算或表达上的错误，修正错误的原则如下：</w:t>
      </w:r>
    </w:p>
    <w:p>
      <w:pPr>
        <w:pStyle w:val="27"/>
        <w:adjustRightInd w:val="0"/>
        <w:snapToGrid w:val="0"/>
        <w:spacing w:line="400" w:lineRule="exact"/>
        <w:ind w:firstLine="420" w:firstLineChars="200"/>
        <w:rPr>
          <w:color w:val="auto"/>
          <w:highlight w:val="none"/>
        </w:rPr>
      </w:pPr>
      <w:r>
        <w:rPr>
          <w:rFonts w:hint="eastAsia"/>
          <w:color w:val="auto"/>
          <w:highlight w:val="none"/>
        </w:rPr>
        <w:t>1.投标文件中开标一览表（报价表）内容与投标文件中相应内容不一致的，以开标一览表（报价表）为准；</w:t>
      </w:r>
    </w:p>
    <w:p>
      <w:pPr>
        <w:pStyle w:val="27"/>
        <w:adjustRightInd w:val="0"/>
        <w:snapToGrid w:val="0"/>
        <w:spacing w:line="400" w:lineRule="exact"/>
        <w:ind w:firstLine="420" w:firstLineChars="200"/>
        <w:rPr>
          <w:color w:val="auto"/>
          <w:highlight w:val="none"/>
        </w:rPr>
      </w:pPr>
      <w:r>
        <w:rPr>
          <w:rFonts w:hint="eastAsia"/>
          <w:color w:val="auto"/>
          <w:highlight w:val="none"/>
        </w:rPr>
        <w:t>2.大写金额和小写金额不一致的，以大写金额为准；</w:t>
      </w:r>
    </w:p>
    <w:p>
      <w:pPr>
        <w:pStyle w:val="27"/>
        <w:adjustRightInd w:val="0"/>
        <w:snapToGrid w:val="0"/>
        <w:spacing w:line="400" w:lineRule="exact"/>
        <w:ind w:firstLine="420" w:firstLineChars="200"/>
        <w:rPr>
          <w:color w:val="auto"/>
          <w:highlight w:val="none"/>
        </w:rPr>
      </w:pPr>
      <w:r>
        <w:rPr>
          <w:rFonts w:hint="eastAsia"/>
          <w:color w:val="auto"/>
          <w:highlight w:val="none"/>
        </w:rPr>
        <w:t>3.单价金额小数点或者百分比有明显错位的，以开标一览表的总价为准，并修改单价；</w:t>
      </w:r>
    </w:p>
    <w:p>
      <w:pPr>
        <w:pStyle w:val="27"/>
        <w:adjustRightInd w:val="0"/>
        <w:snapToGrid w:val="0"/>
        <w:spacing w:line="400" w:lineRule="exact"/>
        <w:ind w:firstLine="420" w:firstLineChars="200"/>
        <w:rPr>
          <w:color w:val="auto"/>
          <w:highlight w:val="none"/>
        </w:rPr>
      </w:pPr>
      <w:r>
        <w:rPr>
          <w:rFonts w:hint="eastAsia"/>
          <w:color w:val="auto"/>
          <w:highlight w:val="none"/>
        </w:rPr>
        <w:t>4.总价金额与按单价汇总金额不一致的，以单价金额计算结果为准。</w:t>
      </w:r>
    </w:p>
    <w:p>
      <w:pPr>
        <w:pStyle w:val="27"/>
        <w:adjustRightInd w:val="0"/>
        <w:snapToGrid w:val="0"/>
        <w:spacing w:line="400" w:lineRule="exact"/>
        <w:ind w:firstLine="420" w:firstLineChars="200"/>
        <w:rPr>
          <w:color w:val="auto"/>
          <w:highlight w:val="none"/>
        </w:rPr>
      </w:pPr>
      <w:r>
        <w:rPr>
          <w:rFonts w:hint="eastAsia"/>
          <w:color w:val="auto"/>
          <w:highlight w:val="none"/>
        </w:rPr>
        <w:t>5.对不同文字文本投标文件的解释发生异议的，以中文文本为准。</w:t>
      </w:r>
    </w:p>
    <w:p>
      <w:pPr>
        <w:pStyle w:val="27"/>
        <w:adjustRightInd w:val="0"/>
        <w:snapToGrid w:val="0"/>
        <w:spacing w:line="400" w:lineRule="exact"/>
        <w:ind w:firstLine="420" w:firstLineChars="200"/>
        <w:rPr>
          <w:rFonts w:hint="eastAsia" w:hAnsi="宋体"/>
          <w:color w:val="auto"/>
          <w:highlight w:val="none"/>
        </w:rPr>
      </w:pPr>
      <w:r>
        <w:rPr>
          <w:rFonts w:hint="eastAsia"/>
          <w:color w:val="auto"/>
          <w:highlight w:val="none"/>
        </w:rPr>
        <w:t>同时出现两种以上不一致的，按照前款规定的顺序修正。</w:t>
      </w:r>
    </w:p>
    <w:p>
      <w:pPr>
        <w:pStyle w:val="27"/>
        <w:adjustRightInd w:val="0"/>
        <w:snapToGrid w:val="0"/>
        <w:spacing w:line="400" w:lineRule="exact"/>
        <w:ind w:firstLine="421" w:firstLineChars="200"/>
        <w:rPr>
          <w:rFonts w:hint="eastAsia" w:hAnsi="宋体"/>
          <w:b/>
          <w:bCs/>
          <w:color w:val="auto"/>
          <w:highlight w:val="none"/>
        </w:rPr>
      </w:pPr>
      <w:r>
        <w:rPr>
          <w:rFonts w:hint="eastAsia" w:hAnsi="宋体"/>
          <w:b/>
          <w:bCs/>
          <w:color w:val="auto"/>
          <w:highlight w:val="none"/>
        </w:rPr>
        <w:t>按上述修正错误的原则及方法调整或修正投标文件的投标报价，投标人须在线同意并</w:t>
      </w:r>
      <w:r>
        <w:rPr>
          <w:rFonts w:hint="eastAsia" w:hAnsi="宋体"/>
          <w:b/>
          <w:bCs/>
          <w:color w:val="auto"/>
          <w:highlight w:val="none"/>
          <w:lang w:eastAsia="zh-CN"/>
        </w:rPr>
        <w:t>签字或签章</w:t>
      </w:r>
      <w:r>
        <w:rPr>
          <w:rFonts w:hint="eastAsia" w:hAnsi="宋体"/>
          <w:b/>
          <w:bCs/>
          <w:color w:val="auto"/>
          <w:highlight w:val="none"/>
        </w:rPr>
        <w:t>确认，调整后的投标报价对投标人具有约束作用。如果投标人不接受修正后的报价，则其投标将作为无效投标处理。</w:t>
      </w:r>
    </w:p>
    <w:p>
      <w:pPr>
        <w:pStyle w:val="27"/>
        <w:tabs>
          <w:tab w:val="left" w:pos="630"/>
        </w:tabs>
        <w:snapToGrid w:val="0"/>
        <w:spacing w:line="360" w:lineRule="exact"/>
        <w:ind w:firstLine="413" w:firstLineChars="196"/>
        <w:outlineLvl w:val="0"/>
        <w:rPr>
          <w:rFonts w:hint="eastAsia" w:hAnsi="宋体"/>
          <w:b/>
          <w:color w:val="auto"/>
          <w:highlight w:val="none"/>
        </w:rPr>
      </w:pPr>
      <w:r>
        <w:rPr>
          <w:rFonts w:hint="eastAsia" w:hAnsi="宋体"/>
          <w:b/>
          <w:color w:val="auto"/>
          <w:highlight w:val="none"/>
        </w:rPr>
        <w:t>（六）评标原则和评标办法</w:t>
      </w:r>
      <w:bookmarkEnd w:id="242"/>
      <w:bookmarkEnd w:id="243"/>
      <w:bookmarkEnd w:id="244"/>
    </w:p>
    <w:p>
      <w:pPr>
        <w:pStyle w:val="27"/>
        <w:snapToGrid w:val="0"/>
        <w:spacing w:line="440" w:lineRule="exact"/>
        <w:ind w:firstLine="420" w:firstLineChars="200"/>
        <w:rPr>
          <w:rFonts w:hint="eastAsia" w:hAnsi="宋体"/>
          <w:color w:val="auto"/>
          <w:highlight w:val="none"/>
        </w:rPr>
      </w:pPr>
      <w:r>
        <w:rPr>
          <w:rFonts w:hint="eastAsia" w:hAnsi="宋体"/>
          <w:color w:val="auto"/>
          <w:highlight w:val="none"/>
        </w:rPr>
        <w:t>1.评标原则。评标委员会必须公平、公正、客观，不带任何倾向性和启发性；不得向外界透露任何与评标有关的内容；任何单位和个人不得干扰、影响评标的正常进行；评标委员会及有关工作人员不得私下与投标人接触。</w:t>
      </w:r>
    </w:p>
    <w:p>
      <w:pPr>
        <w:pStyle w:val="27"/>
        <w:snapToGrid w:val="0"/>
        <w:spacing w:line="440" w:lineRule="exact"/>
        <w:ind w:firstLine="420" w:firstLineChars="200"/>
        <w:rPr>
          <w:rFonts w:hint="eastAsia" w:hAnsi="宋体"/>
          <w:color w:val="auto"/>
          <w:highlight w:val="none"/>
        </w:rPr>
      </w:pPr>
      <w:r>
        <w:rPr>
          <w:rFonts w:hint="eastAsia" w:hAnsi="宋体"/>
          <w:color w:val="auto"/>
          <w:highlight w:val="none"/>
        </w:rPr>
        <w:t>2.评标办法。本项目评标办法是</w:t>
      </w:r>
      <w:r>
        <w:rPr>
          <w:rFonts w:hint="eastAsia" w:hAnsi="宋体"/>
          <w:b/>
          <w:color w:val="auto"/>
          <w:highlight w:val="none"/>
          <w:u w:val="single"/>
        </w:rPr>
        <w:t>综合评分法</w:t>
      </w:r>
      <w:r>
        <w:rPr>
          <w:rFonts w:hint="eastAsia" w:hAnsi="宋体"/>
          <w:color w:val="auto"/>
          <w:highlight w:val="none"/>
        </w:rPr>
        <w:t>，具体评标内容及评分标准等详见第四章：</w:t>
      </w:r>
      <w:r>
        <w:rPr>
          <w:rFonts w:hint="eastAsia" w:hAnsi="宋体"/>
          <w:color w:val="auto"/>
          <w:highlight w:val="none"/>
          <w:lang w:eastAsia="zh-CN"/>
        </w:rPr>
        <w:t>评标方法及评分标准</w:t>
      </w:r>
      <w:r>
        <w:rPr>
          <w:rFonts w:hint="eastAsia" w:hAnsi="宋体"/>
          <w:color w:val="auto"/>
          <w:highlight w:val="none"/>
        </w:rPr>
        <w:t>。</w:t>
      </w:r>
    </w:p>
    <w:p>
      <w:pPr>
        <w:pStyle w:val="27"/>
        <w:snapToGrid w:val="0"/>
        <w:spacing w:line="440" w:lineRule="exact"/>
        <w:ind w:firstLine="413" w:firstLineChars="196"/>
        <w:outlineLvl w:val="0"/>
        <w:rPr>
          <w:rFonts w:hint="eastAsia" w:hAnsi="宋体"/>
          <w:b/>
          <w:color w:val="auto"/>
          <w:highlight w:val="none"/>
        </w:rPr>
      </w:pPr>
      <w:bookmarkStart w:id="245" w:name="_Toc40864697"/>
      <w:bookmarkStart w:id="246" w:name="_Toc40864973"/>
      <w:bookmarkStart w:id="247" w:name="_Toc40865089"/>
      <w:r>
        <w:rPr>
          <w:rFonts w:hint="eastAsia" w:hAnsi="宋体"/>
          <w:b/>
          <w:color w:val="auto"/>
          <w:highlight w:val="none"/>
        </w:rPr>
        <w:t>（七）评标过程的监控</w:t>
      </w:r>
      <w:bookmarkEnd w:id="245"/>
      <w:bookmarkEnd w:id="246"/>
      <w:bookmarkEnd w:id="247"/>
    </w:p>
    <w:p>
      <w:pPr>
        <w:pStyle w:val="27"/>
        <w:snapToGrid w:val="0"/>
        <w:spacing w:line="440" w:lineRule="exact"/>
        <w:ind w:firstLine="420" w:firstLineChars="200"/>
        <w:rPr>
          <w:rFonts w:hint="eastAsia" w:hAnsi="宋体"/>
          <w:color w:val="auto"/>
          <w:highlight w:val="none"/>
        </w:rPr>
      </w:pPr>
      <w:r>
        <w:rPr>
          <w:rFonts w:hint="eastAsia" w:hAnsi="宋体"/>
          <w:color w:val="auto"/>
          <w:highlight w:val="none"/>
        </w:rPr>
        <w:t>本项目评标过程实行全程录音、录像监控，投标人在评标过程中所进行的试图影响评标结果的不公正活动，可能导致其投标被拒绝。</w:t>
      </w:r>
    </w:p>
    <w:p>
      <w:pPr>
        <w:pStyle w:val="27"/>
        <w:snapToGrid w:val="0"/>
        <w:spacing w:line="440" w:lineRule="exact"/>
        <w:ind w:firstLine="413" w:firstLineChars="196"/>
        <w:outlineLvl w:val="1"/>
        <w:rPr>
          <w:rFonts w:hint="eastAsia" w:hAnsi="宋体"/>
          <w:b/>
          <w:color w:val="auto"/>
          <w:highlight w:val="none"/>
        </w:rPr>
      </w:pPr>
      <w:bookmarkStart w:id="248" w:name="_Toc40864698"/>
      <w:bookmarkStart w:id="249" w:name="_Toc40864974"/>
      <w:bookmarkStart w:id="250" w:name="_Toc254970546"/>
      <w:bookmarkStart w:id="251" w:name="_Toc254970687"/>
      <w:bookmarkStart w:id="252" w:name="_Toc40865090"/>
      <w:r>
        <w:rPr>
          <w:rFonts w:hint="eastAsia" w:hAnsi="宋体"/>
          <w:b/>
          <w:color w:val="auto"/>
          <w:highlight w:val="none"/>
        </w:rPr>
        <w:t>七、评标结果</w:t>
      </w:r>
      <w:bookmarkEnd w:id="248"/>
      <w:bookmarkEnd w:id="249"/>
      <w:bookmarkEnd w:id="250"/>
      <w:bookmarkEnd w:id="251"/>
      <w:bookmarkEnd w:id="252"/>
    </w:p>
    <w:p>
      <w:pPr>
        <w:pStyle w:val="27"/>
        <w:spacing w:line="440" w:lineRule="exact"/>
        <w:ind w:firstLine="420"/>
        <w:rPr>
          <w:rFonts w:hint="eastAsia" w:hAnsi="宋体"/>
          <w:color w:val="auto"/>
          <w:highlight w:val="none"/>
        </w:rPr>
      </w:pPr>
      <w:r>
        <w:rPr>
          <w:rFonts w:hint="eastAsia" w:hAnsi="宋体"/>
          <w:b/>
          <w:bCs/>
          <w:color w:val="auto"/>
          <w:highlight w:val="none"/>
        </w:rPr>
        <w:t>（一）</w:t>
      </w:r>
      <w:r>
        <w:rPr>
          <w:rFonts w:hint="eastAsia" w:hAnsi="宋体"/>
          <w:color w:val="auto"/>
          <w:highlight w:val="none"/>
        </w:rPr>
        <w:t>本中心将在评标结束后2个工作日内将评标报告送采购人，采购人在5个工作日内按照评标报告中推荐的中标候选供应商顺序确定中标供应商。</w:t>
      </w:r>
    </w:p>
    <w:p>
      <w:pPr>
        <w:pStyle w:val="27"/>
        <w:spacing w:line="440" w:lineRule="exact"/>
        <w:ind w:firstLine="420"/>
        <w:rPr>
          <w:rFonts w:hint="eastAsia" w:hAnsi="宋体"/>
          <w:color w:val="auto"/>
          <w:highlight w:val="none"/>
        </w:rPr>
      </w:pPr>
      <w:r>
        <w:rPr>
          <w:rFonts w:hint="eastAsia" w:hAnsi="宋体"/>
          <w:color w:val="auto"/>
          <w:highlight w:val="none"/>
        </w:rPr>
        <w:t>（二）中标供应商确定后，本中心在中国政府采购网、广西财政网、</w:t>
      </w:r>
      <w:r>
        <w:rPr>
          <w:rFonts w:hint="eastAsia"/>
          <w:color w:val="auto"/>
          <w:highlight w:val="none"/>
        </w:rPr>
        <w:t>广西壮族自治区政府采购中心网站</w:t>
      </w:r>
      <w:r>
        <w:rPr>
          <w:rFonts w:hint="eastAsia" w:hAnsi="宋体"/>
          <w:color w:val="auto"/>
          <w:highlight w:val="none"/>
        </w:rPr>
        <w:t>发布中标结果公告。</w:t>
      </w:r>
    </w:p>
    <w:p>
      <w:pPr>
        <w:pStyle w:val="27"/>
        <w:spacing w:line="440" w:lineRule="exact"/>
        <w:ind w:firstLine="420"/>
        <w:rPr>
          <w:rFonts w:hint="eastAsia" w:hAnsi="宋体"/>
          <w:color w:val="auto"/>
          <w:highlight w:val="none"/>
        </w:rPr>
      </w:pPr>
      <w:r>
        <w:rPr>
          <w:rFonts w:hint="eastAsia" w:hAnsi="宋体"/>
          <w:color w:val="auto"/>
          <w:highlight w:val="none"/>
        </w:rPr>
        <w:t>（三）</w:t>
      </w:r>
      <w:r>
        <w:rPr>
          <w:rFonts w:hint="eastAsia"/>
          <w:color w:val="auto"/>
          <w:highlight w:val="none"/>
        </w:rPr>
        <w:t>在发布中标结果公告的同时，本中心向中标供应商发出中标通知书。</w:t>
      </w:r>
    </w:p>
    <w:p>
      <w:pPr>
        <w:pStyle w:val="27"/>
        <w:snapToGrid w:val="0"/>
        <w:spacing w:line="440" w:lineRule="exact"/>
        <w:ind w:firstLine="413" w:firstLineChars="196"/>
        <w:outlineLvl w:val="1"/>
        <w:rPr>
          <w:rFonts w:hint="eastAsia" w:hAnsi="宋体"/>
          <w:b/>
          <w:color w:val="auto"/>
          <w:highlight w:val="none"/>
        </w:rPr>
      </w:pPr>
      <w:bookmarkStart w:id="253" w:name="_Toc40864699"/>
      <w:bookmarkStart w:id="254" w:name="_Toc40865091"/>
      <w:bookmarkStart w:id="255" w:name="_Toc40864975"/>
      <w:r>
        <w:rPr>
          <w:rFonts w:hint="eastAsia" w:hAnsi="宋体"/>
          <w:b/>
          <w:color w:val="auto"/>
          <w:highlight w:val="none"/>
        </w:rPr>
        <w:t>八、签订合同</w:t>
      </w:r>
      <w:bookmarkEnd w:id="253"/>
      <w:bookmarkEnd w:id="254"/>
      <w:bookmarkEnd w:id="255"/>
    </w:p>
    <w:p>
      <w:pPr>
        <w:pStyle w:val="27"/>
        <w:snapToGrid w:val="0"/>
        <w:spacing w:line="440" w:lineRule="exact"/>
        <w:ind w:firstLine="413" w:firstLineChars="196"/>
        <w:outlineLvl w:val="1"/>
        <w:rPr>
          <w:rFonts w:hint="eastAsia" w:hAnsi="宋体"/>
          <w:b/>
          <w:color w:val="auto"/>
          <w:highlight w:val="none"/>
        </w:rPr>
      </w:pPr>
      <w:bookmarkStart w:id="256" w:name="_Toc40865092"/>
      <w:bookmarkStart w:id="257" w:name="_Toc40864700"/>
      <w:bookmarkStart w:id="258" w:name="_Toc40864976"/>
      <w:r>
        <w:rPr>
          <w:rFonts w:hint="eastAsia" w:hAnsi="宋体"/>
          <w:b/>
          <w:color w:val="auto"/>
          <w:highlight w:val="none"/>
        </w:rPr>
        <w:t>（一）合同授予标准</w:t>
      </w:r>
      <w:bookmarkEnd w:id="256"/>
      <w:bookmarkEnd w:id="257"/>
      <w:bookmarkEnd w:id="258"/>
    </w:p>
    <w:p>
      <w:pPr>
        <w:pStyle w:val="27"/>
        <w:spacing w:line="440" w:lineRule="exact"/>
        <w:ind w:firstLine="420"/>
        <w:rPr>
          <w:rFonts w:hint="eastAsia" w:hAnsi="宋体"/>
          <w:color w:val="auto"/>
          <w:highlight w:val="none"/>
        </w:rPr>
      </w:pPr>
      <w:r>
        <w:rPr>
          <w:rFonts w:hint="eastAsia" w:hAnsi="宋体"/>
          <w:color w:val="auto"/>
          <w:highlight w:val="none"/>
        </w:rPr>
        <w:t>合同将授予被确定投标文件满足招标文件全部实质性要求，具备履行合同能力，评审得分最高，综合评分排名第一的供应商。</w:t>
      </w:r>
    </w:p>
    <w:p>
      <w:pPr>
        <w:pStyle w:val="27"/>
        <w:snapToGrid w:val="0"/>
        <w:spacing w:line="440" w:lineRule="exact"/>
        <w:ind w:firstLine="413" w:firstLineChars="196"/>
        <w:outlineLvl w:val="1"/>
        <w:rPr>
          <w:rFonts w:hint="eastAsia" w:hAnsi="宋体"/>
          <w:color w:val="auto"/>
          <w:highlight w:val="none"/>
        </w:rPr>
      </w:pPr>
      <w:bookmarkStart w:id="259" w:name="_Toc40865093"/>
      <w:bookmarkStart w:id="260" w:name="_Toc40864701"/>
      <w:bookmarkStart w:id="261" w:name="_Toc40864977"/>
      <w:r>
        <w:rPr>
          <w:rFonts w:hint="eastAsia" w:hAnsi="宋体"/>
          <w:b/>
          <w:color w:val="auto"/>
          <w:highlight w:val="none"/>
        </w:rPr>
        <w:t>（二）签订合同</w:t>
      </w:r>
      <w:bookmarkEnd w:id="259"/>
      <w:bookmarkEnd w:id="260"/>
      <w:bookmarkEnd w:id="261"/>
    </w:p>
    <w:p>
      <w:pPr>
        <w:pStyle w:val="27"/>
        <w:spacing w:line="440" w:lineRule="exact"/>
        <w:ind w:firstLine="420"/>
        <w:rPr>
          <w:rFonts w:hint="eastAsia" w:hAnsi="宋体"/>
          <w:color w:val="auto"/>
          <w:highlight w:val="none"/>
        </w:rPr>
      </w:pPr>
      <w:r>
        <w:rPr>
          <w:rFonts w:hint="eastAsia" w:hAnsi="宋体"/>
          <w:color w:val="auto"/>
          <w:highlight w:val="none"/>
        </w:rPr>
        <w:t>（1）</w:t>
      </w:r>
      <w:r>
        <w:rPr>
          <w:rFonts w:hint="eastAsia"/>
          <w:color w:val="auto"/>
          <w:highlight w:val="none"/>
        </w:rPr>
        <w:t>投标人接到中标通知书后，应按中标通知书规定的时间、地点与采购人签订合同。中标人无正当理由不得放弃中标。</w:t>
      </w:r>
    </w:p>
    <w:p>
      <w:pPr>
        <w:pStyle w:val="27"/>
        <w:spacing w:line="440" w:lineRule="exact"/>
        <w:ind w:firstLine="420"/>
        <w:rPr>
          <w:rFonts w:hint="eastAsia" w:hAnsi="宋体"/>
          <w:color w:val="auto"/>
          <w:highlight w:val="none"/>
        </w:rPr>
      </w:pPr>
      <w:r>
        <w:rPr>
          <w:rFonts w:hint="eastAsia" w:hAnsi="宋体"/>
          <w:color w:val="auto"/>
          <w:highlight w:val="none"/>
        </w:rPr>
        <w:t>（2）如中标供应商不按中标通知书的规定签订合同，则按中标供应商违约处理，本中心将没收中标供应商投标的全部投标保证金。</w:t>
      </w:r>
    </w:p>
    <w:p>
      <w:pPr>
        <w:pStyle w:val="27"/>
        <w:spacing w:line="440" w:lineRule="exact"/>
        <w:ind w:firstLine="420" w:firstLineChars="200"/>
        <w:rPr>
          <w:rFonts w:hint="eastAsia" w:hAnsi="宋体"/>
          <w:b/>
          <w:color w:val="auto"/>
          <w:highlight w:val="none"/>
        </w:rPr>
      </w:pPr>
      <w:r>
        <w:rPr>
          <w:rFonts w:hint="eastAsia" w:hAnsi="宋体"/>
          <w:color w:val="auto"/>
          <w:highlight w:val="none"/>
        </w:rPr>
        <w:t>（3）中标供应商</w:t>
      </w:r>
      <w:r>
        <w:rPr>
          <w:rFonts w:hint="eastAsia" w:hAnsi="宋体"/>
          <w:b/>
          <w:color w:val="auto"/>
          <w:highlight w:val="none"/>
        </w:rPr>
        <w:t>拒绝与采购人签订合同或</w:t>
      </w:r>
      <w:r>
        <w:rPr>
          <w:rFonts w:hint="eastAsia" w:hAnsi="宋体"/>
          <w:color w:val="auto"/>
          <w:highlight w:val="none"/>
        </w:rPr>
        <w:t>因不可抗力或者自身原因不能履行采购合同的，采购人可以与中标供应商之后排名第一的中标候选供应商签订采购合同，以此类推,也可以重新招标。</w:t>
      </w:r>
      <w:r>
        <w:rPr>
          <w:color w:val="auto"/>
          <w:highlight w:val="none"/>
        </w:rPr>
        <w:t>中标供应商放弃中标项目，拒绝与采购人签订合同的，其投标保证金</w:t>
      </w:r>
      <w:r>
        <w:rPr>
          <w:rFonts w:hint="eastAsia"/>
          <w:color w:val="auto"/>
          <w:highlight w:val="none"/>
        </w:rPr>
        <w:t>将不予退还，</w:t>
      </w:r>
      <w:r>
        <w:rPr>
          <w:color w:val="auto"/>
          <w:highlight w:val="none"/>
        </w:rPr>
        <w:t>并上缴国库，</w:t>
      </w:r>
      <w:r>
        <w:rPr>
          <w:rFonts w:hint="eastAsia"/>
          <w:color w:val="auto"/>
          <w:highlight w:val="none"/>
        </w:rPr>
        <w:t>给</w:t>
      </w:r>
      <w:r>
        <w:rPr>
          <w:color w:val="auto"/>
          <w:highlight w:val="none"/>
        </w:rPr>
        <w:t>采购人造成损失的，还应当赔偿损失，并作为不良行为记录在案</w:t>
      </w:r>
      <w:r>
        <w:rPr>
          <w:rFonts w:hint="eastAsia" w:hAnsi="宋体"/>
          <w:color w:val="auto"/>
          <w:highlight w:val="none"/>
        </w:rPr>
        <w:t>。</w:t>
      </w:r>
    </w:p>
    <w:p>
      <w:pPr>
        <w:pStyle w:val="27"/>
        <w:snapToGrid w:val="0"/>
        <w:spacing w:line="440" w:lineRule="exact"/>
        <w:ind w:firstLine="413" w:firstLineChars="196"/>
        <w:outlineLvl w:val="1"/>
        <w:rPr>
          <w:rFonts w:hint="eastAsia" w:hAnsi="宋体"/>
          <w:b/>
          <w:color w:val="auto"/>
          <w:highlight w:val="none"/>
        </w:rPr>
      </w:pPr>
      <w:bookmarkStart w:id="262" w:name="_Toc40864978"/>
      <w:bookmarkStart w:id="263" w:name="_Toc40864702"/>
      <w:bookmarkStart w:id="264" w:name="_Toc40865094"/>
      <w:r>
        <w:rPr>
          <w:rFonts w:hint="eastAsia" w:hAnsi="宋体"/>
          <w:b/>
          <w:color w:val="auto"/>
          <w:highlight w:val="none"/>
        </w:rPr>
        <w:t>九、其他事项</w:t>
      </w:r>
      <w:bookmarkEnd w:id="262"/>
      <w:bookmarkEnd w:id="263"/>
      <w:bookmarkEnd w:id="264"/>
    </w:p>
    <w:p>
      <w:pPr>
        <w:pStyle w:val="27"/>
        <w:snapToGrid w:val="0"/>
        <w:spacing w:line="440" w:lineRule="exact"/>
        <w:ind w:firstLine="413" w:firstLineChars="196"/>
        <w:outlineLvl w:val="1"/>
        <w:rPr>
          <w:rFonts w:hint="eastAsia" w:hAnsi="宋体"/>
          <w:b/>
          <w:color w:val="auto"/>
          <w:highlight w:val="none"/>
        </w:rPr>
      </w:pPr>
      <w:bookmarkStart w:id="265" w:name="_Toc40864703"/>
      <w:bookmarkStart w:id="266" w:name="_Toc40864979"/>
      <w:bookmarkStart w:id="267" w:name="_Toc40865095"/>
      <w:r>
        <w:rPr>
          <w:rFonts w:hint="eastAsia" w:hAnsi="宋体"/>
          <w:b/>
          <w:color w:val="auto"/>
          <w:highlight w:val="none"/>
        </w:rPr>
        <w:t>（1）解释权：</w:t>
      </w:r>
      <w:r>
        <w:rPr>
          <w:rFonts w:hint="eastAsia" w:hAnsi="宋体"/>
          <w:color w:val="auto"/>
          <w:spacing w:val="-4"/>
          <w:highlight w:val="none"/>
        </w:rPr>
        <w:t>本招标文件解释权属本中心。</w:t>
      </w:r>
      <w:bookmarkEnd w:id="265"/>
      <w:bookmarkEnd w:id="266"/>
      <w:bookmarkEnd w:id="267"/>
    </w:p>
    <w:p>
      <w:pPr>
        <w:pStyle w:val="27"/>
        <w:snapToGrid w:val="0"/>
        <w:spacing w:line="440" w:lineRule="exact"/>
        <w:ind w:firstLine="413" w:firstLineChars="196"/>
        <w:outlineLvl w:val="1"/>
        <w:rPr>
          <w:rFonts w:hint="eastAsia" w:hAnsi="宋体"/>
          <w:color w:val="auto"/>
          <w:highlight w:val="none"/>
        </w:rPr>
      </w:pPr>
      <w:bookmarkStart w:id="268" w:name="_Toc40864704"/>
      <w:bookmarkStart w:id="269" w:name="_Toc40865096"/>
      <w:bookmarkStart w:id="270" w:name="_Toc40864980"/>
      <w:r>
        <w:rPr>
          <w:rFonts w:hint="eastAsia" w:hAnsi="宋体"/>
          <w:b/>
          <w:color w:val="auto"/>
          <w:highlight w:val="none"/>
        </w:rPr>
        <w:t>（2）有关事宜</w:t>
      </w:r>
      <w:bookmarkEnd w:id="268"/>
      <w:bookmarkEnd w:id="269"/>
      <w:bookmarkEnd w:id="270"/>
    </w:p>
    <w:p>
      <w:pPr>
        <w:pStyle w:val="27"/>
        <w:spacing w:line="360" w:lineRule="exact"/>
        <w:rPr>
          <w:rFonts w:hint="eastAsia" w:hAnsi="宋体"/>
          <w:color w:val="auto"/>
          <w:highlight w:val="none"/>
        </w:rPr>
      </w:pPr>
      <w:r>
        <w:rPr>
          <w:rFonts w:hint="eastAsia" w:hAnsi="宋体"/>
          <w:color w:val="auto"/>
          <w:highlight w:val="none"/>
        </w:rPr>
        <w:t xml:space="preserve">   所有与本招标文件有关的函件请按下列通讯地址联系：</w:t>
      </w:r>
    </w:p>
    <w:p>
      <w:pPr>
        <w:pStyle w:val="27"/>
        <w:spacing w:line="360" w:lineRule="exact"/>
        <w:rPr>
          <w:rFonts w:hAnsi="宋体"/>
          <w:b/>
          <w:bCs/>
          <w:color w:val="auto"/>
          <w:highlight w:val="none"/>
        </w:rPr>
      </w:pPr>
      <w:r>
        <w:rPr>
          <w:rFonts w:hint="eastAsia" w:hAnsi="宋体"/>
          <w:b/>
          <w:bCs/>
          <w:color w:val="auto"/>
          <w:highlight w:val="none"/>
        </w:rPr>
        <w:t xml:space="preserve">   广西壮族自治区政府采购中心</w:t>
      </w:r>
    </w:p>
    <w:p>
      <w:pPr>
        <w:pStyle w:val="27"/>
        <w:tabs>
          <w:tab w:val="left" w:pos="1990"/>
        </w:tabs>
        <w:spacing w:line="360" w:lineRule="exact"/>
        <w:rPr>
          <w:rFonts w:hAnsi="宋体"/>
          <w:b/>
          <w:bCs/>
          <w:color w:val="auto"/>
          <w:highlight w:val="none"/>
          <w:u w:val="single"/>
        </w:rPr>
      </w:pPr>
      <w:r>
        <w:rPr>
          <w:rFonts w:hint="eastAsia" w:hAnsi="宋体"/>
          <w:b/>
          <w:bCs/>
          <w:color w:val="auto"/>
          <w:highlight w:val="none"/>
        </w:rPr>
        <w:t xml:space="preserve">   邮政编码：530020</w:t>
      </w:r>
    </w:p>
    <w:p>
      <w:pPr>
        <w:pStyle w:val="27"/>
        <w:tabs>
          <w:tab w:val="left" w:pos="1990"/>
        </w:tabs>
        <w:spacing w:line="360" w:lineRule="exact"/>
        <w:rPr>
          <w:rFonts w:hAnsi="宋体"/>
          <w:b/>
          <w:bCs/>
          <w:color w:val="auto"/>
          <w:spacing w:val="-4"/>
          <w:highlight w:val="none"/>
        </w:rPr>
      </w:pPr>
      <w:r>
        <w:rPr>
          <w:rFonts w:hint="eastAsia" w:hAnsi="宋体"/>
          <w:b/>
          <w:bCs/>
          <w:color w:val="auto"/>
          <w:highlight w:val="none"/>
        </w:rPr>
        <w:t xml:space="preserve">   通讯地址：</w:t>
      </w:r>
      <w:r>
        <w:rPr>
          <w:rFonts w:hint="eastAsia" w:hAnsi="宋体"/>
          <w:b/>
          <w:bCs/>
          <w:color w:val="auto"/>
          <w:spacing w:val="-4"/>
          <w:highlight w:val="none"/>
        </w:rPr>
        <w:t>广西</w:t>
      </w:r>
      <w:r>
        <w:rPr>
          <w:rFonts w:hAnsi="宋体"/>
          <w:b/>
          <w:bCs/>
          <w:color w:val="auto"/>
          <w:spacing w:val="-4"/>
          <w:highlight w:val="none"/>
        </w:rPr>
        <w:t>南宁市</w:t>
      </w:r>
      <w:r>
        <w:rPr>
          <w:rFonts w:hint="eastAsia" w:hAnsi="宋体"/>
          <w:b/>
          <w:bCs/>
          <w:color w:val="auto"/>
          <w:spacing w:val="-4"/>
          <w:highlight w:val="none"/>
        </w:rPr>
        <w:t>星湖路22号</w:t>
      </w:r>
    </w:p>
    <w:p>
      <w:pPr>
        <w:pStyle w:val="27"/>
        <w:spacing w:line="360" w:lineRule="exact"/>
        <w:rPr>
          <w:rFonts w:hint="eastAsia" w:hAnsi="宋体"/>
          <w:b/>
          <w:bCs/>
          <w:color w:val="auto"/>
          <w:highlight w:val="none"/>
        </w:rPr>
      </w:pPr>
      <w:r>
        <w:rPr>
          <w:rFonts w:hint="eastAsia" w:hAnsi="宋体"/>
          <w:b/>
          <w:bCs/>
          <w:color w:val="auto"/>
          <w:highlight w:val="none"/>
        </w:rPr>
        <w:t xml:space="preserve">   电    话：0771—</w:t>
      </w:r>
      <w:r>
        <w:rPr>
          <w:rFonts w:hAnsi="宋体"/>
          <w:b/>
          <w:bCs/>
          <w:color w:val="auto"/>
          <w:highlight w:val="none"/>
          <w:lang w:val="en"/>
        </w:rPr>
        <w:t>8600343</w:t>
      </w:r>
      <w:r>
        <w:rPr>
          <w:rFonts w:hint="eastAsia" w:hAnsi="宋体"/>
          <w:b/>
          <w:bCs/>
          <w:color w:val="auto"/>
          <w:highlight w:val="none"/>
        </w:rPr>
        <w:t xml:space="preserve">            </w:t>
      </w:r>
    </w:p>
    <w:p>
      <w:pPr>
        <w:pStyle w:val="27"/>
        <w:spacing w:line="360" w:lineRule="exact"/>
        <w:rPr>
          <w:rFonts w:hAnsi="宋体"/>
          <w:b/>
          <w:bCs/>
          <w:color w:val="auto"/>
          <w:highlight w:val="none"/>
          <w:lang w:val="en"/>
        </w:rPr>
      </w:pPr>
      <w:r>
        <w:rPr>
          <w:rFonts w:hint="eastAsia" w:hAnsi="宋体"/>
          <w:b/>
          <w:bCs/>
          <w:color w:val="auto"/>
          <w:highlight w:val="none"/>
        </w:rPr>
        <w:t xml:space="preserve">   传    真：0771—</w:t>
      </w:r>
      <w:r>
        <w:rPr>
          <w:rFonts w:hAnsi="宋体"/>
          <w:b/>
          <w:bCs/>
          <w:color w:val="auto"/>
          <w:highlight w:val="none"/>
          <w:lang w:val="en"/>
        </w:rPr>
        <w:t>8600305</w:t>
      </w:r>
    </w:p>
    <w:p>
      <w:pPr>
        <w:pStyle w:val="27"/>
        <w:snapToGrid w:val="0"/>
        <w:spacing w:before="120" w:after="120"/>
        <w:jc w:val="center"/>
        <w:outlineLvl w:val="0"/>
        <w:rPr>
          <w:rFonts w:hint="eastAsia" w:ascii="黑体" w:hAnsi="宋体" w:eastAsia="黑体"/>
          <w:b/>
          <w:color w:val="auto"/>
          <w:sz w:val="44"/>
          <w:szCs w:val="44"/>
          <w:highlight w:val="none"/>
        </w:rPr>
      </w:pPr>
    </w:p>
    <w:p>
      <w:pPr>
        <w:pStyle w:val="27"/>
        <w:snapToGrid w:val="0"/>
        <w:spacing w:before="120" w:after="120"/>
        <w:jc w:val="center"/>
        <w:outlineLvl w:val="0"/>
        <w:rPr>
          <w:rFonts w:hint="eastAsia" w:ascii="黑体" w:hAnsi="宋体" w:eastAsia="黑体"/>
          <w:b/>
          <w:color w:val="auto"/>
          <w:sz w:val="44"/>
          <w:szCs w:val="44"/>
          <w:highlight w:val="none"/>
        </w:rPr>
      </w:pPr>
    </w:p>
    <w:p>
      <w:pPr>
        <w:pStyle w:val="27"/>
        <w:snapToGrid w:val="0"/>
        <w:spacing w:before="120" w:after="120"/>
        <w:jc w:val="center"/>
        <w:outlineLvl w:val="0"/>
        <w:rPr>
          <w:rFonts w:hint="eastAsia" w:ascii="黑体" w:hAnsi="宋体" w:eastAsia="黑体"/>
          <w:b/>
          <w:color w:val="auto"/>
          <w:sz w:val="44"/>
          <w:szCs w:val="44"/>
          <w:highlight w:val="none"/>
        </w:rPr>
      </w:pPr>
    </w:p>
    <w:bookmarkEnd w:id="37"/>
    <w:bookmarkEnd w:id="38"/>
    <w:p>
      <w:pPr>
        <w:pStyle w:val="27"/>
        <w:snapToGrid w:val="0"/>
        <w:spacing w:before="120" w:after="120"/>
        <w:jc w:val="center"/>
        <w:outlineLvl w:val="0"/>
        <w:rPr>
          <w:rFonts w:hint="eastAsia" w:ascii="仿宋_GB2312" w:hAnsi="宋体" w:eastAsia="仿宋_GB2312"/>
          <w:b/>
          <w:color w:val="auto"/>
          <w:sz w:val="44"/>
          <w:szCs w:val="44"/>
          <w:highlight w:val="none"/>
        </w:rPr>
      </w:pPr>
    </w:p>
    <w:p>
      <w:pPr>
        <w:pStyle w:val="27"/>
        <w:snapToGrid w:val="0"/>
        <w:spacing w:before="120" w:after="120"/>
        <w:jc w:val="center"/>
        <w:outlineLvl w:val="0"/>
        <w:rPr>
          <w:rFonts w:hint="eastAsia" w:ascii="仿宋_GB2312" w:hAnsi="宋体" w:eastAsia="仿宋_GB2312"/>
          <w:b/>
          <w:color w:val="auto"/>
          <w:sz w:val="44"/>
          <w:szCs w:val="44"/>
          <w:highlight w:val="none"/>
        </w:rPr>
      </w:pPr>
    </w:p>
    <w:p>
      <w:pPr>
        <w:pStyle w:val="27"/>
        <w:snapToGrid w:val="0"/>
        <w:spacing w:before="120" w:after="120"/>
        <w:jc w:val="center"/>
        <w:outlineLvl w:val="0"/>
        <w:rPr>
          <w:rFonts w:hint="eastAsia" w:ascii="仿宋_GB2312" w:hAnsi="宋体" w:eastAsia="仿宋_GB2312"/>
          <w:b/>
          <w:color w:val="auto"/>
          <w:sz w:val="44"/>
          <w:szCs w:val="44"/>
          <w:highlight w:val="none"/>
        </w:rPr>
      </w:pPr>
    </w:p>
    <w:p>
      <w:pPr>
        <w:pStyle w:val="27"/>
        <w:snapToGrid w:val="0"/>
        <w:spacing w:before="120" w:after="120"/>
        <w:jc w:val="center"/>
        <w:outlineLvl w:val="0"/>
        <w:rPr>
          <w:rFonts w:hint="eastAsia" w:ascii="仿宋_GB2312" w:hAnsi="宋体" w:eastAsia="仿宋_GB2312"/>
          <w:b/>
          <w:color w:val="auto"/>
          <w:sz w:val="44"/>
          <w:szCs w:val="44"/>
          <w:highlight w:val="none"/>
        </w:rPr>
      </w:pPr>
    </w:p>
    <w:p>
      <w:pPr>
        <w:pStyle w:val="27"/>
        <w:snapToGrid w:val="0"/>
        <w:spacing w:before="120" w:after="120"/>
        <w:jc w:val="center"/>
        <w:outlineLvl w:val="0"/>
        <w:rPr>
          <w:rFonts w:hint="eastAsia" w:ascii="仿宋_GB2312" w:hAnsi="宋体" w:eastAsia="仿宋_GB2312"/>
          <w:b/>
          <w:color w:val="auto"/>
          <w:sz w:val="44"/>
          <w:szCs w:val="44"/>
          <w:highlight w:val="none"/>
        </w:rPr>
      </w:pPr>
    </w:p>
    <w:p>
      <w:pPr>
        <w:pStyle w:val="27"/>
        <w:snapToGrid w:val="0"/>
        <w:spacing w:before="120" w:after="120"/>
        <w:jc w:val="center"/>
        <w:outlineLvl w:val="0"/>
        <w:rPr>
          <w:rFonts w:hint="eastAsia" w:ascii="仿宋_GB2312" w:hAnsi="宋体" w:eastAsia="仿宋_GB2312"/>
          <w:b/>
          <w:color w:val="auto"/>
          <w:sz w:val="44"/>
          <w:szCs w:val="44"/>
          <w:highlight w:val="none"/>
        </w:rPr>
      </w:pPr>
    </w:p>
    <w:p>
      <w:pPr>
        <w:pStyle w:val="27"/>
        <w:snapToGrid w:val="0"/>
        <w:spacing w:before="120" w:after="120"/>
        <w:jc w:val="center"/>
        <w:outlineLvl w:val="0"/>
        <w:rPr>
          <w:rFonts w:hint="eastAsia" w:ascii="仿宋_GB2312" w:hAnsi="宋体" w:eastAsia="仿宋_GB2312"/>
          <w:b/>
          <w:color w:val="auto"/>
          <w:sz w:val="44"/>
          <w:szCs w:val="44"/>
          <w:highlight w:val="none"/>
        </w:rPr>
      </w:pPr>
    </w:p>
    <w:p>
      <w:pPr>
        <w:pStyle w:val="27"/>
        <w:snapToGrid w:val="0"/>
        <w:spacing w:before="120" w:after="120"/>
        <w:jc w:val="center"/>
        <w:outlineLvl w:val="0"/>
        <w:rPr>
          <w:rStyle w:val="58"/>
          <w:rFonts w:hint="eastAsia"/>
          <w:color w:val="auto"/>
          <w:highlight w:val="none"/>
        </w:rPr>
      </w:pPr>
      <w:bookmarkStart w:id="271" w:name="_Toc40864705"/>
      <w:bookmarkStart w:id="272" w:name="_Toc40865097"/>
      <w:bookmarkStart w:id="273" w:name="_Toc40864981"/>
    </w:p>
    <w:p>
      <w:pPr>
        <w:pStyle w:val="27"/>
        <w:snapToGrid w:val="0"/>
        <w:spacing w:before="120" w:after="120"/>
        <w:jc w:val="center"/>
        <w:outlineLvl w:val="0"/>
        <w:rPr>
          <w:rStyle w:val="58"/>
          <w:rFonts w:hint="eastAsia"/>
          <w:color w:val="auto"/>
          <w:highlight w:val="none"/>
        </w:rPr>
      </w:pPr>
    </w:p>
    <w:p>
      <w:pPr>
        <w:rPr>
          <w:rStyle w:val="58"/>
          <w:rFonts w:hint="eastAsia"/>
          <w:color w:val="auto"/>
          <w:highlight w:val="none"/>
        </w:rPr>
      </w:pPr>
    </w:p>
    <w:p>
      <w:pPr>
        <w:rPr>
          <w:rStyle w:val="58"/>
          <w:rFonts w:hint="eastAsia"/>
          <w:color w:val="auto"/>
          <w:highlight w:val="none"/>
        </w:rPr>
      </w:pPr>
    </w:p>
    <w:p>
      <w:pPr>
        <w:rPr>
          <w:rStyle w:val="58"/>
          <w:rFonts w:hint="eastAsia"/>
          <w:color w:val="auto"/>
          <w:highlight w:val="none"/>
        </w:rPr>
      </w:pPr>
    </w:p>
    <w:bookmarkEnd w:id="271"/>
    <w:bookmarkEnd w:id="272"/>
    <w:bookmarkEnd w:id="273"/>
    <w:p>
      <w:pPr>
        <w:pStyle w:val="27"/>
        <w:snapToGrid w:val="0"/>
        <w:spacing w:before="120" w:after="120"/>
        <w:jc w:val="center"/>
        <w:outlineLvl w:val="0"/>
        <w:rPr>
          <w:rFonts w:ascii="黑体" w:hAnsi="宋体" w:eastAsia="黑体"/>
          <w:b/>
          <w:color w:val="auto"/>
          <w:sz w:val="44"/>
          <w:szCs w:val="44"/>
          <w:highlight w:val="none"/>
        </w:rPr>
      </w:pPr>
      <w:r>
        <w:rPr>
          <w:rStyle w:val="58"/>
          <w:rFonts w:hint="eastAsia"/>
          <w:color w:val="auto"/>
          <w:highlight w:val="none"/>
        </w:rPr>
        <w:t>第四章  评标方法及评分标准</w:t>
      </w:r>
    </w:p>
    <w:p>
      <w:pPr>
        <w:pStyle w:val="27"/>
        <w:spacing w:line="360" w:lineRule="exact"/>
        <w:rPr>
          <w:rFonts w:hint="eastAsia" w:hAnsi="宋体"/>
          <w:b/>
          <w:bCs/>
          <w:color w:val="auto"/>
          <w:highlight w:val="none"/>
        </w:rPr>
      </w:pPr>
    </w:p>
    <w:p>
      <w:pPr>
        <w:pStyle w:val="27"/>
        <w:snapToGrid w:val="0"/>
        <w:spacing w:before="120" w:after="120"/>
        <w:jc w:val="center"/>
        <w:outlineLvl w:val="0"/>
        <w:rPr>
          <w:rFonts w:hint="eastAsia" w:ascii="黑体" w:hAnsi="宋体" w:eastAsia="黑体"/>
          <w:b/>
          <w:color w:val="auto"/>
          <w:sz w:val="44"/>
          <w:szCs w:val="44"/>
          <w:highlight w:val="none"/>
        </w:rPr>
      </w:pPr>
    </w:p>
    <w:p>
      <w:pPr>
        <w:pStyle w:val="27"/>
        <w:spacing w:line="360" w:lineRule="exact"/>
        <w:rPr>
          <w:rFonts w:hint="eastAsia" w:hAnsi="宋体"/>
          <w:b/>
          <w:bCs/>
          <w:color w:val="auto"/>
          <w:highlight w:val="none"/>
        </w:rPr>
      </w:pPr>
      <w:bookmarkStart w:id="274" w:name="_Toc254970690"/>
      <w:bookmarkStart w:id="275" w:name="_Toc254970549"/>
    </w:p>
    <w:p>
      <w:pPr>
        <w:pStyle w:val="27"/>
        <w:spacing w:line="360" w:lineRule="exact"/>
        <w:rPr>
          <w:rFonts w:hint="eastAsia" w:hAnsi="宋体"/>
          <w:b/>
          <w:bCs/>
          <w:color w:val="auto"/>
          <w:highlight w:val="none"/>
        </w:rPr>
      </w:pPr>
    </w:p>
    <w:p>
      <w:pPr>
        <w:pStyle w:val="27"/>
        <w:spacing w:line="360" w:lineRule="exact"/>
        <w:rPr>
          <w:rFonts w:hint="eastAsia" w:hAnsi="宋体"/>
          <w:b/>
          <w:bCs/>
          <w:color w:val="auto"/>
          <w:highlight w:val="none"/>
        </w:rPr>
      </w:pPr>
    </w:p>
    <w:p>
      <w:pPr>
        <w:pStyle w:val="27"/>
        <w:spacing w:line="360" w:lineRule="exact"/>
        <w:rPr>
          <w:rFonts w:hint="eastAsia" w:hAnsi="宋体"/>
          <w:b/>
          <w:bCs/>
          <w:color w:val="auto"/>
          <w:highlight w:val="none"/>
        </w:rPr>
      </w:pPr>
    </w:p>
    <w:p>
      <w:pPr>
        <w:pStyle w:val="27"/>
        <w:spacing w:line="360" w:lineRule="exact"/>
        <w:rPr>
          <w:rFonts w:hint="eastAsia" w:hAnsi="宋体"/>
          <w:b/>
          <w:bCs/>
          <w:color w:val="auto"/>
          <w:highlight w:val="none"/>
        </w:rPr>
        <w:sectPr>
          <w:footerReference r:id="rId6" w:type="first"/>
          <w:headerReference r:id="rId3" w:type="default"/>
          <w:footerReference r:id="rId4" w:type="default"/>
          <w:footerReference r:id="rId5" w:type="even"/>
          <w:pgSz w:w="11906" w:h="16838"/>
          <w:pgMar w:top="1247" w:right="1247" w:bottom="1247" w:left="1247" w:header="851" w:footer="992" w:gutter="0"/>
          <w:pgNumType w:start="0"/>
          <w:cols w:space="720" w:num="1"/>
          <w:titlePg/>
          <w:docGrid w:type="lines" w:linePitch="312" w:charSpace="0"/>
        </w:sectPr>
      </w:pPr>
    </w:p>
    <w:bookmarkEnd w:id="274"/>
    <w:bookmarkEnd w:id="275"/>
    <w:p>
      <w:pPr>
        <w:pStyle w:val="27"/>
        <w:spacing w:line="360" w:lineRule="exact"/>
        <w:ind w:firstLine="2088" w:firstLineChars="650"/>
        <w:rPr>
          <w:rFonts w:hint="eastAsia" w:ascii="仿宋_GB2312" w:hAnsi="宋体" w:eastAsia="仿宋_GB2312"/>
          <w:b/>
          <w:color w:val="auto"/>
          <w:sz w:val="32"/>
          <w:szCs w:val="32"/>
          <w:highlight w:val="none"/>
          <w:lang w:eastAsia="zh-CN"/>
        </w:rPr>
      </w:pPr>
      <w:r>
        <w:rPr>
          <w:rFonts w:hint="eastAsia" w:ascii="Times New Roman" w:hAnsi="Times New Roman" w:eastAsia="仿宋_GB2312"/>
          <w:b/>
          <w:color w:val="auto"/>
          <w:sz w:val="32"/>
          <w:szCs w:val="32"/>
          <w:highlight w:val="none"/>
        </w:rPr>
        <w:t xml:space="preserve">    </w:t>
      </w:r>
      <w:r>
        <w:rPr>
          <w:rFonts w:hint="eastAsia" w:ascii="Times New Roman" w:hAnsi="Times New Roman" w:eastAsia="仿宋_GB2312"/>
          <w:b/>
          <w:color w:val="auto"/>
          <w:sz w:val="32"/>
          <w:szCs w:val="32"/>
          <w:highlight w:val="none"/>
          <w:lang w:eastAsia="zh-CN"/>
        </w:rPr>
        <w:t>评标方法及评分标准</w:t>
      </w:r>
    </w:p>
    <w:p>
      <w:pPr>
        <w:pStyle w:val="27"/>
        <w:spacing w:line="400" w:lineRule="exact"/>
        <w:ind w:firstLine="455" w:firstLineChars="216"/>
        <w:rPr>
          <w:rFonts w:hint="eastAsia" w:hAnsi="宋体"/>
          <w:b/>
          <w:color w:val="auto"/>
          <w:highlight w:val="none"/>
        </w:rPr>
      </w:pPr>
      <w:r>
        <w:rPr>
          <w:rFonts w:hint="eastAsia" w:hAnsi="宋体"/>
          <w:b/>
          <w:color w:val="auto"/>
          <w:highlight w:val="none"/>
        </w:rPr>
        <w:t>一、评标原则</w:t>
      </w:r>
    </w:p>
    <w:p>
      <w:pPr>
        <w:pStyle w:val="27"/>
        <w:spacing w:line="400" w:lineRule="exact"/>
        <w:ind w:right="168" w:rightChars="80" w:firstLine="483" w:firstLineChars="230"/>
        <w:rPr>
          <w:rFonts w:hint="eastAsia" w:hAnsi="宋体"/>
          <w:bCs/>
          <w:color w:val="auto"/>
          <w:highlight w:val="none"/>
        </w:rPr>
      </w:pPr>
      <w:r>
        <w:rPr>
          <w:rFonts w:hint="eastAsia" w:hAnsi="宋体"/>
          <w:bCs/>
          <w:color w:val="auto"/>
          <w:highlight w:val="none"/>
        </w:rPr>
        <w:t>(一)评委组成：本招标采购项目的</w:t>
      </w:r>
      <w:r>
        <w:rPr>
          <w:rFonts w:hint="eastAsia"/>
          <w:color w:val="auto"/>
          <w:spacing w:val="-4"/>
          <w:highlight w:val="none"/>
        </w:rPr>
        <w:t>评标委员会由采购人代表和评审专家组成，</w:t>
      </w:r>
      <w:r>
        <w:rPr>
          <w:rFonts w:hint="eastAsia"/>
          <w:color w:val="auto"/>
          <w:highlight w:val="none"/>
        </w:rPr>
        <w:t>成员人数应当为五人或以上单数（采购预算</w:t>
      </w:r>
      <w:r>
        <w:rPr>
          <w:color w:val="auto"/>
          <w:highlight w:val="none"/>
        </w:rPr>
        <w:t>1000</w:t>
      </w:r>
      <w:r>
        <w:rPr>
          <w:rFonts w:hint="eastAsia"/>
          <w:color w:val="auto"/>
          <w:highlight w:val="none"/>
        </w:rPr>
        <w:t>万以上为七人或以上单数）。其中，技术、经济等方面的专家不得少于成员总数的三分之二</w:t>
      </w:r>
      <w:r>
        <w:rPr>
          <w:rFonts w:hint="eastAsia"/>
          <w:color w:val="auto"/>
          <w:spacing w:val="-4"/>
          <w:highlight w:val="none"/>
        </w:rPr>
        <w:t>。</w:t>
      </w:r>
    </w:p>
    <w:p>
      <w:pPr>
        <w:pStyle w:val="27"/>
        <w:spacing w:line="400" w:lineRule="exact"/>
        <w:ind w:firstLine="499" w:firstLineChars="238"/>
        <w:rPr>
          <w:rFonts w:hint="eastAsia" w:hAnsi="宋体"/>
          <w:bCs/>
          <w:color w:val="auto"/>
          <w:highlight w:val="none"/>
        </w:rPr>
      </w:pPr>
      <w:r>
        <w:rPr>
          <w:rFonts w:hint="eastAsia" w:hAnsi="宋体"/>
          <w:bCs/>
          <w:color w:val="auto"/>
          <w:highlight w:val="none"/>
        </w:rPr>
        <w:t>(二)评标依据：评委将以招投标文件为评标依据，对投标人的内容按百分制打分。</w:t>
      </w:r>
    </w:p>
    <w:p>
      <w:pPr>
        <w:pStyle w:val="27"/>
        <w:spacing w:line="400" w:lineRule="exact"/>
        <w:ind w:firstLine="510" w:firstLineChars="243"/>
        <w:rPr>
          <w:rFonts w:hint="eastAsia" w:hAnsi="宋体"/>
          <w:bCs/>
          <w:color w:val="auto"/>
          <w:highlight w:val="none"/>
        </w:rPr>
      </w:pPr>
      <w:r>
        <w:rPr>
          <w:rFonts w:hint="eastAsia" w:hAnsi="宋体"/>
          <w:bCs/>
          <w:color w:val="auto"/>
          <w:highlight w:val="none"/>
        </w:rPr>
        <w:t>(三)评标方式：以封闭方式进行。</w:t>
      </w:r>
    </w:p>
    <w:p>
      <w:pPr>
        <w:pStyle w:val="27"/>
        <w:spacing w:line="400" w:lineRule="exact"/>
        <w:ind w:firstLine="472" w:firstLineChars="196"/>
        <w:outlineLvl w:val="0"/>
        <w:rPr>
          <w:rFonts w:hint="eastAsia" w:hAnsi="宋体"/>
          <w:b/>
          <w:color w:val="auto"/>
          <w:sz w:val="24"/>
          <w:highlight w:val="none"/>
        </w:rPr>
      </w:pPr>
      <w:bookmarkStart w:id="276" w:name="_Toc40864708"/>
      <w:bookmarkStart w:id="277" w:name="_Toc40864984"/>
      <w:bookmarkStart w:id="278" w:name="_Toc40865100"/>
      <w:r>
        <w:rPr>
          <w:rFonts w:hint="eastAsia" w:hAnsi="宋体"/>
          <w:b/>
          <w:color w:val="auto"/>
          <w:sz w:val="24"/>
          <w:highlight w:val="none"/>
        </w:rPr>
        <w:t>二、评标方法</w:t>
      </w:r>
      <w:bookmarkEnd w:id="276"/>
      <w:bookmarkEnd w:id="277"/>
      <w:bookmarkEnd w:id="278"/>
    </w:p>
    <w:p>
      <w:pPr>
        <w:pStyle w:val="27"/>
        <w:spacing w:line="400" w:lineRule="exact"/>
        <w:ind w:firstLine="420" w:firstLineChars="200"/>
        <w:outlineLvl w:val="0"/>
        <w:rPr>
          <w:rFonts w:hint="eastAsia" w:hAnsi="宋体"/>
          <w:color w:val="auto"/>
          <w:highlight w:val="none"/>
        </w:rPr>
      </w:pPr>
      <w:bookmarkStart w:id="279" w:name="_Toc40864985"/>
      <w:bookmarkStart w:id="280" w:name="_Toc40864709"/>
      <w:bookmarkStart w:id="281" w:name="_Toc40865101"/>
      <w:r>
        <w:rPr>
          <w:rFonts w:hint="eastAsia" w:hAnsi="宋体"/>
          <w:color w:val="auto"/>
          <w:highlight w:val="none"/>
        </w:rPr>
        <w:t>（一）对进入详评的，采用百分制综合评分法。</w:t>
      </w:r>
      <w:bookmarkEnd w:id="279"/>
      <w:bookmarkEnd w:id="280"/>
      <w:bookmarkEnd w:id="281"/>
    </w:p>
    <w:p>
      <w:pPr>
        <w:pStyle w:val="27"/>
        <w:spacing w:line="400" w:lineRule="exact"/>
        <w:ind w:firstLine="420" w:firstLineChars="200"/>
        <w:outlineLvl w:val="0"/>
        <w:rPr>
          <w:rFonts w:hint="eastAsia" w:hAnsi="宋体"/>
          <w:color w:val="auto"/>
          <w:highlight w:val="none"/>
        </w:rPr>
      </w:pPr>
      <w:bookmarkStart w:id="282" w:name="_Toc40864986"/>
      <w:bookmarkStart w:id="283" w:name="_Toc40865102"/>
      <w:bookmarkStart w:id="284" w:name="_Toc40864710"/>
      <w:r>
        <w:rPr>
          <w:rFonts w:hint="eastAsia" w:hAnsi="宋体"/>
          <w:color w:val="auto"/>
          <w:highlight w:val="none"/>
        </w:rPr>
        <w:t>（二）计分办法（按四舍五入取至百分位）：</w:t>
      </w:r>
      <w:bookmarkEnd w:id="282"/>
      <w:bookmarkEnd w:id="283"/>
      <w:bookmarkEnd w:id="284"/>
    </w:p>
    <w:p>
      <w:pPr>
        <w:pStyle w:val="42"/>
        <w:spacing w:line="360" w:lineRule="auto"/>
        <w:ind w:left="0" w:firstLine="413" w:firstLineChars="196"/>
        <w:outlineLvl w:val="0"/>
        <w:rPr>
          <w:rFonts w:hint="eastAsia" w:ascii="宋体" w:hAnsi="宋体"/>
          <w:b/>
          <w:color w:val="auto"/>
          <w:szCs w:val="21"/>
          <w:highlight w:val="none"/>
        </w:rPr>
      </w:pPr>
      <w:r>
        <w:rPr>
          <w:rFonts w:hint="eastAsia" w:ascii="宋体" w:hAnsi="宋体"/>
          <w:b/>
          <w:color w:val="auto"/>
          <w:szCs w:val="21"/>
          <w:highlight w:val="none"/>
        </w:rPr>
        <w:t xml:space="preserve"> </w:t>
      </w:r>
      <w:bookmarkStart w:id="285" w:name="_Toc40865103"/>
      <w:bookmarkStart w:id="286" w:name="_Toc40864987"/>
      <w:bookmarkStart w:id="287" w:name="_Toc40864711"/>
      <w:r>
        <w:rPr>
          <w:rFonts w:hint="eastAsia" w:ascii="宋体" w:hAnsi="宋体"/>
          <w:b/>
          <w:color w:val="auto"/>
          <w:szCs w:val="21"/>
          <w:highlight w:val="none"/>
        </w:rPr>
        <w:t>1、价格分……………………………………………………………………</w:t>
      </w:r>
      <w:r>
        <w:rPr>
          <w:rFonts w:ascii="宋体" w:hAnsi="宋体"/>
          <w:b/>
          <w:color w:val="auto"/>
          <w:szCs w:val="21"/>
          <w:highlight w:val="none"/>
        </w:rPr>
        <w:t>3</w:t>
      </w:r>
      <w:r>
        <w:rPr>
          <w:rFonts w:hint="eastAsia" w:ascii="宋体" w:hAnsi="宋体"/>
          <w:b/>
          <w:color w:val="auto"/>
          <w:szCs w:val="21"/>
          <w:highlight w:val="none"/>
        </w:rPr>
        <w:t>0分</w:t>
      </w:r>
      <w:bookmarkEnd w:id="285"/>
      <w:bookmarkEnd w:id="286"/>
      <w:bookmarkEnd w:id="287"/>
    </w:p>
    <w:p>
      <w:pPr>
        <w:ind w:firstLine="315" w:firstLineChars="150"/>
        <w:rPr>
          <w:rFonts w:hint="eastAsia" w:ascii="宋体" w:hAnsi="Courier New" w:cs="Courier New"/>
          <w:color w:val="auto"/>
          <w:szCs w:val="21"/>
          <w:highlight w:val="none"/>
        </w:rPr>
      </w:pPr>
      <w:r>
        <w:rPr>
          <w:rFonts w:hint="eastAsia" w:ascii="宋体" w:hAnsi="Courier New" w:cs="Courier New"/>
          <w:color w:val="auto"/>
          <w:szCs w:val="21"/>
          <w:highlight w:val="none"/>
        </w:rPr>
        <w:t>（1）符合《政府采购促进中小企业发展管理办法》（财库[2020]46号）规定条件且按该办法中规定的格式提供了《中小企业声明函》的小型和微型企业，对其投标价给予10%的扣除，扣除后的价格为评标价，即评标价=投标价×（1-10%）</w:t>
      </w:r>
      <w:r>
        <w:rPr>
          <w:color w:val="auto"/>
          <w:highlight w:val="none"/>
        </w:rPr>
        <w:t>；除上述情况外，评标价=</w:t>
      </w:r>
      <w:r>
        <w:rPr>
          <w:rFonts w:hint="eastAsia"/>
          <w:color w:val="auto"/>
          <w:highlight w:val="none"/>
        </w:rPr>
        <w:t>投标</w:t>
      </w:r>
      <w:r>
        <w:rPr>
          <w:color w:val="auto"/>
          <w:highlight w:val="none"/>
        </w:rPr>
        <w:t>价</w:t>
      </w:r>
      <w:r>
        <w:rPr>
          <w:rFonts w:hint="eastAsia" w:ascii="宋体" w:hAnsi="Courier New" w:cs="Courier New"/>
          <w:color w:val="auto"/>
          <w:szCs w:val="21"/>
          <w:highlight w:val="none"/>
        </w:rPr>
        <w:t>。</w:t>
      </w:r>
    </w:p>
    <w:p>
      <w:pPr>
        <w:ind w:firstLine="420" w:firstLineChars="200"/>
        <w:rPr>
          <w:rFonts w:hint="eastAsia" w:ascii="宋体" w:hAnsi="Courier New" w:cs="Courier New"/>
          <w:color w:val="auto"/>
          <w:szCs w:val="21"/>
          <w:highlight w:val="none"/>
        </w:rPr>
      </w:pPr>
      <w:r>
        <w:rPr>
          <w:rFonts w:hint="eastAsia" w:ascii="宋体" w:hAnsi="Courier New" w:cs="Courier New"/>
          <w:color w:val="auto"/>
          <w:szCs w:val="21"/>
          <w:highlight w:val="none"/>
        </w:rPr>
        <w:t>投标产品的制造企业按《关于政府采购支持监狱企业发展有关问题的通知》(财库[2014]68号)认定为监狱企业的，在政府采购活动中，监狱企业视同小型、微型企业。投标人提供投标产品制造企业属于监狱企业的证明文件</w:t>
      </w:r>
      <w:r>
        <w:rPr>
          <w:color w:val="auto"/>
          <w:highlight w:val="none"/>
        </w:rPr>
        <w:t>，不再提供《中小企业声明函》</w:t>
      </w:r>
      <w:r>
        <w:rPr>
          <w:rFonts w:hint="eastAsia" w:ascii="宋体" w:hAnsi="Courier New" w:cs="Courier New"/>
          <w:color w:val="auto"/>
          <w:szCs w:val="21"/>
          <w:highlight w:val="none"/>
        </w:rPr>
        <w:t>。</w:t>
      </w:r>
    </w:p>
    <w:p>
      <w:pPr>
        <w:ind w:firstLine="420" w:firstLineChars="200"/>
        <w:rPr>
          <w:rFonts w:hint="eastAsia" w:ascii="宋体" w:hAnsi="Courier New" w:cs="Courier New"/>
          <w:color w:val="auto"/>
          <w:szCs w:val="21"/>
          <w:highlight w:val="none"/>
        </w:rPr>
      </w:pPr>
      <w:r>
        <w:rPr>
          <w:rFonts w:hint="eastAsia" w:ascii="宋体" w:hAnsi="Courier New" w:cs="Courier New"/>
          <w:color w:val="auto"/>
          <w:szCs w:val="21"/>
          <w:highlight w:val="none"/>
        </w:rPr>
        <w:t>投标产品的制造单位按《关于促进残疾人就业政府采购政策的通知》(财库〔2017〕141号)认定为残疾人福利性单位的，在政府采购活动中，残疾人福利性单位视同小型、微型企业。投标人提供投标产品制造单位属于残疾人福利性单位的残疾人福利性单位声明函</w:t>
      </w:r>
      <w:r>
        <w:rPr>
          <w:color w:val="auto"/>
          <w:highlight w:val="none"/>
        </w:rPr>
        <w:t>，不再提供《中小企业声明函》</w:t>
      </w:r>
      <w:r>
        <w:rPr>
          <w:rFonts w:hint="eastAsia" w:ascii="宋体" w:hAnsi="Courier New" w:cs="Courier New"/>
          <w:color w:val="auto"/>
          <w:szCs w:val="21"/>
          <w:highlight w:val="none"/>
        </w:rPr>
        <w:t>。</w:t>
      </w:r>
    </w:p>
    <w:p>
      <w:pPr>
        <w:ind w:firstLine="210" w:firstLineChars="100"/>
        <w:rPr>
          <w:rFonts w:hint="eastAsia" w:ascii="宋体" w:hAnsi="Courier New" w:cs="Courier New"/>
          <w:color w:val="auto"/>
          <w:szCs w:val="21"/>
          <w:highlight w:val="none"/>
        </w:rPr>
      </w:pPr>
      <w:r>
        <w:rPr>
          <w:rFonts w:hint="eastAsia" w:ascii="宋体" w:hAnsi="Courier New" w:cs="Courier New"/>
          <w:color w:val="auto"/>
          <w:szCs w:val="21"/>
          <w:highlight w:val="none"/>
        </w:rPr>
        <w:t>（2）以满足招标文件的最低评标价为30分。</w:t>
      </w:r>
    </w:p>
    <w:p>
      <w:pPr>
        <w:ind w:firstLine="210" w:firstLineChars="100"/>
        <w:rPr>
          <w:rFonts w:hint="eastAsia"/>
          <w:color w:val="auto"/>
          <w:highlight w:val="none"/>
        </w:rPr>
      </w:pPr>
      <w:r>
        <w:rPr>
          <w:rFonts w:hint="eastAsia" w:ascii="宋体" w:hAnsi="Courier New" w:cs="Courier New"/>
          <w:color w:val="auto"/>
          <w:szCs w:val="21"/>
          <w:highlight w:val="none"/>
        </w:rPr>
        <w:t>（3）某投标人价格分 = 投标人最低评标价（金额）/某投标人评标价（金额）×</w:t>
      </w:r>
      <w:r>
        <w:rPr>
          <w:rFonts w:ascii="宋体" w:hAnsi="Courier New" w:cs="Courier New"/>
          <w:color w:val="auto"/>
          <w:szCs w:val="21"/>
          <w:highlight w:val="none"/>
        </w:rPr>
        <w:t>3</w:t>
      </w:r>
      <w:r>
        <w:rPr>
          <w:rFonts w:hint="eastAsia" w:ascii="宋体" w:hAnsi="Courier New" w:cs="Courier New"/>
          <w:color w:val="auto"/>
          <w:szCs w:val="21"/>
          <w:highlight w:val="none"/>
        </w:rPr>
        <w:t xml:space="preserve">0分   </w:t>
      </w:r>
      <w:r>
        <w:rPr>
          <w:rFonts w:hint="eastAsia"/>
          <w:color w:val="auto"/>
          <w:highlight w:val="none"/>
        </w:rPr>
        <w:t xml:space="preserve">    </w:t>
      </w:r>
    </w:p>
    <w:p>
      <w:pPr>
        <w:rPr>
          <w:rFonts w:hint="eastAsia"/>
          <w:color w:val="auto"/>
          <w:highlight w:val="none"/>
        </w:rPr>
      </w:pPr>
    </w:p>
    <w:p>
      <w:pPr>
        <w:rPr>
          <w:rFonts w:hint="eastAsia" w:hAnsi="宋体"/>
          <w:color w:val="auto"/>
          <w:highlight w:val="none"/>
        </w:rPr>
      </w:pPr>
      <w:r>
        <w:rPr>
          <w:rFonts w:hint="eastAsia"/>
          <w:color w:val="auto"/>
          <w:highlight w:val="none"/>
        </w:rPr>
        <w:t xml:space="preserve">     </w:t>
      </w:r>
      <w:r>
        <w:rPr>
          <w:b/>
          <w:color w:val="auto"/>
          <w:kern w:val="0"/>
          <w:highlight w:val="none"/>
        </w:rPr>
        <w:t>2</w:t>
      </w:r>
      <w:r>
        <w:rPr>
          <w:rFonts w:hint="eastAsia"/>
          <w:b/>
          <w:color w:val="auto"/>
          <w:kern w:val="0"/>
          <w:highlight w:val="none"/>
        </w:rPr>
        <w:t>、</w:t>
      </w:r>
      <w:r>
        <w:rPr>
          <w:rFonts w:hint="eastAsia" w:hAnsi="宋体" w:cs="宋体"/>
          <w:b/>
          <w:bCs/>
          <w:color w:val="auto"/>
          <w:spacing w:val="-12"/>
          <w:kern w:val="0"/>
          <w:highlight w:val="none"/>
        </w:rPr>
        <w:t>技术分</w:t>
      </w:r>
      <w:r>
        <w:rPr>
          <w:rFonts w:hint="eastAsia" w:hAnsi="宋体"/>
          <w:color w:val="auto"/>
          <w:highlight w:val="none"/>
        </w:rPr>
        <w:t>…………………………………………………………………………</w:t>
      </w:r>
      <w:r>
        <w:rPr>
          <w:rFonts w:hint="eastAsia" w:hAnsi="宋体"/>
          <w:b/>
          <w:color w:val="auto"/>
          <w:highlight w:val="none"/>
        </w:rPr>
        <w:t>60分</w:t>
      </w:r>
    </w:p>
    <w:p>
      <w:pPr>
        <w:spacing w:line="400" w:lineRule="exact"/>
        <w:ind w:firstLine="421" w:firstLineChars="200"/>
        <w:rPr>
          <w:rFonts w:hAnsi="宋体" w:cs="宋体"/>
          <w:b/>
          <w:bCs/>
          <w:color w:val="auto"/>
          <w:szCs w:val="21"/>
          <w:highlight w:val="none"/>
        </w:rPr>
      </w:pPr>
      <w:r>
        <w:rPr>
          <w:rFonts w:hint="eastAsia" w:hAnsi="宋体" w:cs="宋体"/>
          <w:b/>
          <w:bCs/>
          <w:color w:val="auto"/>
          <w:szCs w:val="21"/>
          <w:highlight w:val="none"/>
        </w:rPr>
        <w:t xml:space="preserve">（1） 设备性能及配置分（满分 30 分）  </w:t>
      </w:r>
    </w:p>
    <w:p>
      <w:pPr>
        <w:autoSpaceDE w:val="0"/>
        <w:autoSpaceDN w:val="0"/>
        <w:adjustRightInd w:val="0"/>
        <w:ind w:firstLine="630" w:firstLineChars="300"/>
        <w:rPr>
          <w:rFonts w:hint="eastAsia" w:ascii="宋体" w:hAnsi="宋体" w:cs="黑体"/>
          <w:color w:val="auto"/>
          <w:highlight w:val="none"/>
        </w:rPr>
      </w:pPr>
      <w:r>
        <w:rPr>
          <w:rFonts w:hint="eastAsia" w:ascii="宋体" w:hAnsi="宋体" w:cs="黑体"/>
          <w:color w:val="auto"/>
          <w:highlight w:val="none"/>
        </w:rPr>
        <w:t>无机房电梯（即序号1-2项货物）“技术参数及性能配置要求”中，标注</w:t>
      </w:r>
      <w:r>
        <w:rPr>
          <w:rFonts w:hint="eastAsia" w:ascii="宋体" w:hAnsi="宋体" w:cs="宋体"/>
          <w:color w:val="auto"/>
          <w:highlight w:val="none"/>
          <w:lang w:val="en"/>
        </w:rPr>
        <w:t>★</w:t>
      </w:r>
      <w:r>
        <w:rPr>
          <w:rFonts w:hint="eastAsia" w:ascii="宋体" w:hAnsi="宋体" w:cs="黑体"/>
          <w:color w:val="auto"/>
          <w:highlight w:val="none"/>
        </w:rPr>
        <w:t>项有正偏离且被评标委员会接受的，每优于一项加3分</w:t>
      </w:r>
      <w:r>
        <w:rPr>
          <w:rFonts w:hint="eastAsia"/>
          <w:color w:val="auto"/>
          <w:highlight w:val="none"/>
          <w:lang w:eastAsia="zh-CN"/>
        </w:rPr>
        <w:t>；</w:t>
      </w:r>
      <w:r>
        <w:rPr>
          <w:rFonts w:hint="eastAsia" w:ascii="宋体" w:hAnsi="宋体" w:cs="黑体"/>
          <w:strike w:val="0"/>
          <w:dstrike w:val="0"/>
          <w:color w:val="auto"/>
          <w:highlight w:val="none"/>
        </w:rPr>
        <w:t>未标注</w:t>
      </w:r>
      <w:r>
        <w:rPr>
          <w:rFonts w:hint="eastAsia" w:ascii="宋体" w:hAnsi="宋体" w:cs="宋体"/>
          <w:strike w:val="0"/>
          <w:dstrike w:val="0"/>
          <w:color w:val="auto"/>
          <w:highlight w:val="none"/>
          <w:lang w:val="en"/>
        </w:rPr>
        <w:t>★</w:t>
      </w:r>
      <w:r>
        <w:rPr>
          <w:rFonts w:hint="eastAsia" w:ascii="宋体" w:hAnsi="宋体" w:cs="宋体"/>
          <w:strike w:val="0"/>
          <w:dstrike w:val="0"/>
          <w:color w:val="auto"/>
          <w:highlight w:val="none"/>
          <w:lang w:val="en-US" w:eastAsia="zh-CN"/>
        </w:rPr>
        <w:t>和</w:t>
      </w:r>
      <w:r>
        <w:rPr>
          <w:rFonts w:hint="eastAsia" w:ascii="宋体" w:hAnsi="宋体"/>
          <w:b/>
          <w:bCs/>
          <w:strike w:val="0"/>
          <w:dstrike w:val="0"/>
          <w:color w:val="auto"/>
          <w:szCs w:val="21"/>
          <w:highlight w:val="none"/>
        </w:rPr>
        <w:t>▲</w:t>
      </w:r>
      <w:r>
        <w:rPr>
          <w:rFonts w:hint="eastAsia" w:ascii="宋体" w:hAnsi="宋体" w:cs="黑体"/>
          <w:strike w:val="0"/>
          <w:dstrike w:val="0"/>
          <w:color w:val="auto"/>
          <w:highlight w:val="none"/>
        </w:rPr>
        <w:t>项有正偏离且被评标委员会接受的，每优于一项加1.5分</w:t>
      </w:r>
      <w:r>
        <w:rPr>
          <w:rFonts w:hint="eastAsia" w:ascii="宋体" w:hAnsi="宋体" w:cs="黑体"/>
          <w:color w:val="auto"/>
          <w:highlight w:val="none"/>
          <w:lang w:eastAsia="zh-CN"/>
        </w:rPr>
        <w:t>，</w:t>
      </w:r>
      <w:r>
        <w:rPr>
          <w:rFonts w:hint="eastAsia" w:ascii="宋体" w:hAnsi="宋体" w:cs="黑体"/>
          <w:color w:val="auto"/>
          <w:highlight w:val="none"/>
        </w:rPr>
        <w:t>满分</w:t>
      </w:r>
      <w:r>
        <w:rPr>
          <w:rFonts w:hint="eastAsia" w:ascii="宋体" w:hAnsi="宋体" w:cs="黑体"/>
          <w:color w:val="auto"/>
          <w:highlight w:val="none"/>
          <w:lang w:val="en-US" w:eastAsia="zh-CN"/>
        </w:rPr>
        <w:t>30</w:t>
      </w:r>
      <w:r>
        <w:rPr>
          <w:rFonts w:hint="eastAsia" w:ascii="宋体" w:hAnsi="宋体" w:cs="黑体"/>
          <w:color w:val="auto"/>
          <w:highlight w:val="none"/>
        </w:rPr>
        <w:t>分。（</w:t>
      </w:r>
      <w:r>
        <w:rPr>
          <w:rFonts w:hint="eastAsia" w:ascii="宋体" w:hAnsi="宋体" w:cs="黑体"/>
          <w:color w:val="auto"/>
          <w:highlight w:val="none"/>
          <w:lang w:eastAsia="zh-CN"/>
        </w:rPr>
        <w:t>需提供有效的佐证资料</w:t>
      </w:r>
      <w:r>
        <w:rPr>
          <w:rFonts w:hint="eastAsia" w:ascii="宋体" w:hAnsi="宋体" w:cs="黑体"/>
          <w:color w:val="auto"/>
          <w:highlight w:val="none"/>
        </w:rPr>
        <w:t>）。</w:t>
      </w:r>
    </w:p>
    <w:p>
      <w:pPr>
        <w:autoSpaceDE w:val="0"/>
        <w:autoSpaceDN w:val="0"/>
        <w:adjustRightInd w:val="0"/>
        <w:ind w:firstLine="0" w:firstLineChars="0"/>
        <w:rPr>
          <w:rFonts w:hint="eastAsia" w:ascii="宋体" w:hAnsi="宋体" w:cs="黑体"/>
          <w:color w:val="auto"/>
          <w:highlight w:val="none"/>
        </w:rPr>
      </w:pPr>
      <w:r>
        <w:rPr>
          <w:rFonts w:hint="eastAsia" w:ascii="宋体" w:hAnsi="宋体" w:cs="黑体"/>
          <w:color w:val="auto"/>
          <w:highlight w:val="none"/>
          <w:u w:val="none"/>
          <w:lang w:val="en-US" w:eastAsia="zh-CN"/>
        </w:rPr>
        <w:t xml:space="preserve">   </w:t>
      </w:r>
      <w:r>
        <w:rPr>
          <w:rFonts w:hint="eastAsia" w:ascii="宋体" w:hAnsi="宋体" w:cs="黑体"/>
          <w:color w:val="auto"/>
          <w:highlight w:val="none"/>
        </w:rPr>
        <w:t>（备注：①在“技术参数及性能（配置）要求”标注有</w:t>
      </w:r>
      <w:r>
        <w:rPr>
          <w:rFonts w:hint="eastAsia" w:ascii="宋体" w:hAnsi="宋体" w:cs="宋体"/>
          <w:color w:val="auto"/>
          <w:highlight w:val="none"/>
          <w:lang w:val="en"/>
        </w:rPr>
        <w:t>★</w:t>
      </w:r>
      <w:r>
        <w:rPr>
          <w:rFonts w:hint="eastAsia" w:ascii="宋体" w:hAnsi="宋体" w:cs="黑体"/>
          <w:color w:val="auto"/>
          <w:highlight w:val="none"/>
        </w:rPr>
        <w:t>项的，要求≥时，响应＞为优于（正偏离）；要求≤时，响应＜为优于（正偏离）</w:t>
      </w:r>
      <w:r>
        <w:rPr>
          <w:rFonts w:hint="eastAsia" w:ascii="宋体" w:hAnsi="宋体" w:cs="黑体"/>
          <w:strike w:val="0"/>
          <w:dstrike w:val="0"/>
          <w:color w:val="auto"/>
          <w:highlight w:val="none"/>
        </w:rPr>
        <w:t>，要求</w:t>
      </w:r>
      <w:r>
        <w:rPr>
          <w:rFonts w:hint="eastAsia" w:ascii="宋体" w:hAnsi="宋体" w:cs="宋体"/>
          <w:strike w:val="0"/>
          <w:dstrike w:val="0"/>
          <w:color w:val="auto"/>
          <w:szCs w:val="21"/>
          <w:highlight w:val="none"/>
        </w:rPr>
        <w:t>±时，响应大于范围值为正偏离</w:t>
      </w:r>
      <w:r>
        <w:rPr>
          <w:rFonts w:hint="eastAsia" w:ascii="宋体" w:hAnsi="宋体" w:cs="宋体"/>
          <w:color w:val="auto"/>
          <w:szCs w:val="21"/>
          <w:highlight w:val="none"/>
        </w:rPr>
        <w:t>，</w:t>
      </w:r>
      <w:r>
        <w:rPr>
          <w:rFonts w:hint="eastAsia" w:ascii="宋体" w:hAnsi="宋体" w:cs="黑体"/>
          <w:color w:val="auto"/>
          <w:highlight w:val="none"/>
        </w:rPr>
        <w:t>同时并被评标委员会接受的。</w:t>
      </w:r>
      <w:r>
        <w:rPr>
          <w:rFonts w:hint="eastAsia" w:ascii="汉仪书宋二S" w:hAnsi="汉仪书宋二S" w:eastAsia="汉仪书宋二S" w:cs="汉仪书宋二S"/>
          <w:color w:val="auto"/>
          <w:highlight w:val="none"/>
        </w:rPr>
        <w:t>②</w:t>
      </w:r>
      <w:r>
        <w:rPr>
          <w:rFonts w:hint="eastAsia" w:ascii="宋体" w:hAnsi="宋体" w:cs="黑体"/>
          <w:color w:val="auto"/>
          <w:highlight w:val="none"/>
        </w:rPr>
        <w:t>同类型的产品提供相同参数的，只能算一项加分。）</w:t>
      </w:r>
    </w:p>
    <w:p>
      <w:pPr>
        <w:spacing w:line="460" w:lineRule="exact"/>
        <w:rPr>
          <w:b/>
          <w:color w:val="auto"/>
          <w:highlight w:val="none"/>
        </w:rPr>
      </w:pPr>
      <w:r>
        <w:rPr>
          <w:rFonts w:hint="eastAsia" w:hAnsi="宋体"/>
          <w:b/>
          <w:color w:val="auto"/>
          <w:highlight w:val="none"/>
        </w:rPr>
        <w:t xml:space="preserve">    </w:t>
      </w:r>
      <w:bookmarkStart w:id="288" w:name="_Toc40865107"/>
      <w:bookmarkStart w:id="289" w:name="_Toc40864991"/>
      <w:bookmarkStart w:id="290" w:name="_Toc40864715"/>
      <w:r>
        <w:rPr>
          <w:rFonts w:hint="eastAsia" w:hAnsi="宋体"/>
          <w:b/>
          <w:color w:val="auto"/>
          <w:highlight w:val="none"/>
        </w:rPr>
        <w:t>（2）安装施工方案分</w:t>
      </w:r>
      <w:r>
        <w:rPr>
          <w:rFonts w:hint="eastAsia" w:hAnsi="宋体" w:cs="宋体"/>
          <w:color w:val="auto"/>
          <w:highlight w:val="none"/>
        </w:rPr>
        <w:t>（满分 15分）</w:t>
      </w:r>
      <w:bookmarkEnd w:id="288"/>
      <w:bookmarkEnd w:id="289"/>
      <w:bookmarkEnd w:id="290"/>
    </w:p>
    <w:p>
      <w:pPr>
        <w:pStyle w:val="27"/>
        <w:spacing w:line="340" w:lineRule="exact"/>
        <w:ind w:firstLine="536"/>
        <w:jc w:val="left"/>
        <w:rPr>
          <w:rFonts w:hAnsi="宋体" w:cs="宋体"/>
          <w:color w:val="auto"/>
          <w:highlight w:val="none"/>
        </w:rPr>
      </w:pPr>
      <w:r>
        <w:rPr>
          <w:rFonts w:hint="eastAsia" w:hAnsi="宋体" w:cs="宋体"/>
          <w:color w:val="auto"/>
          <w:highlight w:val="none"/>
        </w:rPr>
        <w:t>根据投标人投标文件提供的施工方案内容包括施工组织机构、人员配备，施工机械、检测设备，施工进度计划及保证工期、质量的技术措施，安全、文明施工措施、设备的安装调试等方面分为以下三档。</w:t>
      </w:r>
    </w:p>
    <w:p>
      <w:pPr>
        <w:pStyle w:val="27"/>
        <w:spacing w:line="340" w:lineRule="exact"/>
        <w:ind w:firstLine="315" w:firstLineChars="150"/>
        <w:outlineLvl w:val="0"/>
        <w:rPr>
          <w:rFonts w:hint="eastAsia" w:hAnsi="宋体" w:cs="宋体"/>
          <w:color w:val="auto"/>
          <w:szCs w:val="20"/>
          <w:highlight w:val="none"/>
        </w:rPr>
      </w:pPr>
      <w:r>
        <w:rPr>
          <w:rFonts w:hint="eastAsia" w:hAnsi="宋体" w:cs="宋体"/>
          <w:color w:val="auto"/>
          <w:highlight w:val="none"/>
        </w:rPr>
        <w:t>一档（9分）：施工技术方案合理，各项施工技术措施基本具备，有实施日程表和人员安排，有基本的安装工艺方法、安装进度计划、调试和验收措施。</w:t>
      </w:r>
    </w:p>
    <w:p>
      <w:pPr>
        <w:pStyle w:val="27"/>
        <w:spacing w:line="340" w:lineRule="exact"/>
        <w:ind w:firstLine="420" w:firstLineChars="200"/>
        <w:outlineLvl w:val="0"/>
        <w:rPr>
          <w:rFonts w:hint="eastAsia" w:hAnsi="宋体" w:cs="宋体"/>
          <w:color w:val="auto"/>
          <w:highlight w:val="none"/>
        </w:rPr>
      </w:pPr>
      <w:r>
        <w:rPr>
          <w:rFonts w:hint="eastAsia" w:hAnsi="宋体" w:cs="宋体"/>
          <w:color w:val="auto"/>
          <w:highlight w:val="none"/>
        </w:rPr>
        <w:t>二档（12分）：施工技术方案有较强的针对性，工序安排合理，安全措施、质量控制严格合理，施工组织机构和充足施工人员配备，投标人拥有自己的安装工程队伍，安装人员经验丰富，工具仪器充足，有合理的施工进度计划，有保证工期、质量的技术措施，确保安全、文明施工措施详细可靠，有合理可行的调试及验收方案。</w:t>
      </w:r>
    </w:p>
    <w:p>
      <w:pPr>
        <w:pStyle w:val="27"/>
        <w:spacing w:line="340" w:lineRule="exact"/>
        <w:ind w:firstLine="420" w:firstLineChars="200"/>
        <w:rPr>
          <w:rFonts w:hint="eastAsia" w:hAnsi="宋体" w:cs="宋体"/>
          <w:strike/>
          <w:color w:val="auto"/>
          <w:highlight w:val="none"/>
        </w:rPr>
      </w:pPr>
      <w:r>
        <w:rPr>
          <w:rFonts w:hint="eastAsia" w:hAnsi="宋体" w:cs="宋体"/>
          <w:color w:val="auto"/>
          <w:highlight w:val="none"/>
        </w:rPr>
        <w:t>三档（15分）：施工技术方案有较强的针对性，方案内容对项目情况了解全面，切合项目全盘施工实际状况，工序配合安排合理，安全措施、质量控制严格有效，有完善的施工现场组织机构和满足本项目需要的机械设备、工具仪器，有专业齐全的管理团队和施工人员安排，具有合理的施工进度计划和保证工期的措施、质量控制的技术措施，具有施工过程应急处理及救援、防控等预案，确保安全、文明施工的措施，详细可行的调试及验收方案。</w:t>
      </w:r>
    </w:p>
    <w:p>
      <w:pPr>
        <w:pStyle w:val="27"/>
        <w:spacing w:line="320" w:lineRule="exact"/>
        <w:rPr>
          <w:rFonts w:hint="eastAsia" w:hAnsi="宋体" w:cs="宋体"/>
          <w:b/>
          <w:bCs/>
          <w:color w:val="auto"/>
          <w:spacing w:val="-8"/>
          <w:kern w:val="0"/>
          <w:highlight w:val="none"/>
        </w:rPr>
      </w:pPr>
      <w:r>
        <w:rPr>
          <w:rFonts w:hint="eastAsia"/>
          <w:b/>
          <w:bCs/>
          <w:color w:val="auto"/>
          <w:spacing w:val="-8"/>
          <w:highlight w:val="none"/>
        </w:rPr>
        <w:t xml:space="preserve">     </w:t>
      </w:r>
      <w:r>
        <w:rPr>
          <w:rFonts w:hint="eastAsia" w:hAnsi="宋体" w:cs="宋体"/>
          <w:b/>
          <w:bCs/>
          <w:color w:val="auto"/>
          <w:highlight w:val="none"/>
        </w:rPr>
        <w:t>（3）售后服务及保障分</w:t>
      </w:r>
      <w:r>
        <w:rPr>
          <w:rFonts w:hint="eastAsia" w:hAnsi="宋体" w:cs="宋体"/>
          <w:color w:val="auto"/>
          <w:highlight w:val="none"/>
        </w:rPr>
        <w:t>（满分15 分）</w:t>
      </w:r>
    </w:p>
    <w:p>
      <w:pPr>
        <w:pStyle w:val="27"/>
        <w:spacing w:line="340" w:lineRule="exact"/>
        <w:rPr>
          <w:rFonts w:hint="eastAsia"/>
          <w:bCs/>
          <w:color w:val="auto"/>
          <w:highlight w:val="none"/>
        </w:rPr>
      </w:pPr>
      <w:r>
        <w:rPr>
          <w:rFonts w:hint="eastAsia"/>
          <w:b/>
          <w:bCs/>
          <w:color w:val="auto"/>
          <w:spacing w:val="-8"/>
          <w:highlight w:val="none"/>
        </w:rPr>
        <w:t xml:space="preserve">     </w:t>
      </w:r>
      <w:r>
        <w:rPr>
          <w:rFonts w:hint="eastAsia"/>
          <w:bCs/>
          <w:color w:val="auto"/>
          <w:highlight w:val="none"/>
        </w:rPr>
        <w:t>按投标人或所投电梯品牌制造商的售后服务方案和承诺中的维保计划书、安装维保能力、项目实施人员资质及经验、质保期、故障响应时间、备品备件供应、服务体系、人员培训、售后服务点、技术人员情况、回访维护及其他售后服务承诺等内容分为三档，由评标委员会根据投标人提供的售后服务及保障独立打分：</w:t>
      </w:r>
    </w:p>
    <w:p>
      <w:pPr>
        <w:spacing w:line="340" w:lineRule="exact"/>
        <w:ind w:firstLine="420" w:firstLineChars="200"/>
        <w:rPr>
          <w:bCs/>
          <w:color w:val="auto"/>
          <w:highlight w:val="none"/>
        </w:rPr>
      </w:pPr>
      <w:r>
        <w:rPr>
          <w:rFonts w:hint="eastAsia"/>
          <w:bCs/>
          <w:color w:val="auto"/>
          <w:highlight w:val="none"/>
        </w:rPr>
        <w:t>一档</w:t>
      </w:r>
      <w:r>
        <w:rPr>
          <w:rFonts w:hint="eastAsia" w:hAnsi="宋体"/>
          <w:bCs/>
          <w:color w:val="auto"/>
          <w:spacing w:val="-4"/>
          <w:szCs w:val="21"/>
          <w:highlight w:val="none"/>
        </w:rPr>
        <w:t>（9分）：满足招标文件售后服务要求，</w:t>
      </w:r>
      <w:r>
        <w:rPr>
          <w:rFonts w:hint="eastAsia"/>
          <w:color w:val="auto"/>
          <w:highlight w:val="none"/>
        </w:rPr>
        <w:t>有售后服务体系，有定期检查、保养安排，有培训计划，故障响应及维修满足基本要求，有设备质保承诺，拟投入维保人员工作经验满足要求，提供检前整修服务，有备品备件供应</w:t>
      </w:r>
      <w:r>
        <w:rPr>
          <w:rFonts w:hint="eastAsia"/>
          <w:bCs/>
          <w:color w:val="auto"/>
          <w:highlight w:val="none"/>
        </w:rPr>
        <w:t>。</w:t>
      </w:r>
    </w:p>
    <w:p>
      <w:pPr>
        <w:pStyle w:val="27"/>
        <w:spacing w:line="340" w:lineRule="exact"/>
        <w:ind w:firstLine="420" w:firstLineChars="200"/>
        <w:rPr>
          <w:bCs/>
          <w:color w:val="auto"/>
          <w:highlight w:val="none"/>
        </w:rPr>
      </w:pPr>
      <w:r>
        <w:rPr>
          <w:rFonts w:hint="eastAsia"/>
          <w:bCs/>
          <w:color w:val="auto"/>
          <w:highlight w:val="none"/>
        </w:rPr>
        <w:t>二档</w:t>
      </w:r>
      <w:r>
        <w:rPr>
          <w:rFonts w:hint="eastAsia" w:hAnsi="宋体"/>
          <w:bCs/>
          <w:color w:val="auto"/>
          <w:spacing w:val="-4"/>
          <w:highlight w:val="none"/>
        </w:rPr>
        <w:t>（12分）：</w:t>
      </w:r>
      <w:r>
        <w:rPr>
          <w:rFonts w:hint="eastAsia"/>
          <w:color w:val="auto"/>
          <w:highlight w:val="none"/>
        </w:rPr>
        <w:t>售后服务体系较完善，定期检查、保养安排较详细，培训计划合理可行，故障响应及维修时间较短，有设备质保承诺，拟投入维保人员经验较丰富、信誉良好，提供完善的检前整修服务，备品备件供应较充裕</w:t>
      </w:r>
      <w:r>
        <w:rPr>
          <w:rFonts w:hint="eastAsia"/>
          <w:bCs/>
          <w:color w:val="auto"/>
          <w:highlight w:val="none"/>
        </w:rPr>
        <w:t>。</w:t>
      </w:r>
    </w:p>
    <w:p>
      <w:pPr>
        <w:pStyle w:val="27"/>
        <w:spacing w:line="340" w:lineRule="exact"/>
        <w:ind w:firstLine="420" w:firstLineChars="200"/>
        <w:rPr>
          <w:rFonts w:hint="eastAsia"/>
          <w:bCs/>
          <w:color w:val="auto"/>
          <w:highlight w:val="none"/>
        </w:rPr>
      </w:pPr>
      <w:r>
        <w:rPr>
          <w:rFonts w:hint="eastAsia"/>
          <w:bCs/>
          <w:color w:val="auto"/>
          <w:highlight w:val="none"/>
        </w:rPr>
        <w:t>三档</w:t>
      </w:r>
      <w:r>
        <w:rPr>
          <w:rFonts w:hint="eastAsia" w:hAnsi="宋体"/>
          <w:bCs/>
          <w:color w:val="auto"/>
          <w:spacing w:val="-4"/>
          <w:highlight w:val="none"/>
        </w:rPr>
        <w:t>（15分）：</w:t>
      </w:r>
      <w:r>
        <w:rPr>
          <w:rFonts w:hint="eastAsia"/>
          <w:color w:val="auto"/>
          <w:highlight w:val="none"/>
        </w:rPr>
        <w:t>售后服务体系更完善，定期检查、保养安排详细，培训计划详尽，故障响应及维修时间短，有零配件储备供应（需提供零配件清单及库存照片），拟投入维保人员经验丰富、信誉好，提供完善的检前整修服务，有优惠条件，投标品牌在项目所在地有备品备件库，有维保实时监控系统。</w:t>
      </w:r>
    </w:p>
    <w:p>
      <w:pPr>
        <w:widowControl/>
        <w:spacing w:line="320" w:lineRule="exact"/>
        <w:rPr>
          <w:color w:val="auto"/>
          <w:kern w:val="0"/>
          <w:szCs w:val="21"/>
          <w:highlight w:val="none"/>
        </w:rPr>
      </w:pPr>
      <w:r>
        <w:rPr>
          <w:b/>
          <w:bCs/>
          <w:color w:val="auto"/>
          <w:spacing w:val="-8"/>
          <w:szCs w:val="21"/>
          <w:highlight w:val="none"/>
        </w:rPr>
        <w:t xml:space="preserve">   </w:t>
      </w:r>
      <w:r>
        <w:rPr>
          <w:rFonts w:hint="eastAsia"/>
          <w:b/>
          <w:bCs/>
          <w:color w:val="auto"/>
          <w:spacing w:val="-8"/>
          <w:szCs w:val="21"/>
          <w:highlight w:val="none"/>
        </w:rPr>
        <w:t>3、</w:t>
      </w:r>
      <w:r>
        <w:rPr>
          <w:rFonts w:hint="eastAsia"/>
          <w:b/>
          <w:color w:val="auto"/>
          <w:highlight w:val="none"/>
        </w:rPr>
        <w:t>商务</w:t>
      </w:r>
      <w:r>
        <w:rPr>
          <w:rFonts w:hint="eastAsia"/>
          <w:b/>
          <w:bCs/>
          <w:color w:val="auto"/>
          <w:spacing w:val="-8"/>
          <w:szCs w:val="21"/>
          <w:highlight w:val="none"/>
        </w:rPr>
        <w:t>分………………………………………………………………………………</w:t>
      </w:r>
      <w:r>
        <w:rPr>
          <w:rFonts w:hint="eastAsia" w:hAnsi="宋体" w:cs="宋体"/>
          <w:b/>
          <w:bCs/>
          <w:color w:val="auto"/>
          <w:spacing w:val="-8"/>
          <w:kern w:val="0"/>
          <w:szCs w:val="21"/>
          <w:highlight w:val="none"/>
        </w:rPr>
        <w:t>…</w:t>
      </w:r>
      <w:r>
        <w:rPr>
          <w:rFonts w:hint="eastAsia" w:hAnsi="宋体" w:cs="宋体"/>
          <w:color w:val="auto"/>
          <w:kern w:val="0"/>
          <w:szCs w:val="21"/>
          <w:highlight w:val="none"/>
        </w:rPr>
        <w:t>10</w:t>
      </w:r>
      <w:r>
        <w:rPr>
          <w:rFonts w:hint="eastAsia" w:hAnsi="宋体" w:cs="宋体"/>
          <w:b/>
          <w:bCs/>
          <w:color w:val="auto"/>
          <w:spacing w:val="-8"/>
          <w:kern w:val="0"/>
          <w:szCs w:val="21"/>
          <w:highlight w:val="none"/>
        </w:rPr>
        <w:t>分</w:t>
      </w:r>
      <w:r>
        <w:rPr>
          <w:color w:val="auto"/>
          <w:kern w:val="0"/>
          <w:szCs w:val="21"/>
          <w:highlight w:val="none"/>
        </w:rPr>
        <w:t xml:space="preserve">  </w:t>
      </w:r>
      <w:r>
        <w:rPr>
          <w:rFonts w:hint="eastAsia"/>
          <w:color w:val="auto"/>
          <w:kern w:val="0"/>
          <w:szCs w:val="21"/>
          <w:highlight w:val="none"/>
        </w:rPr>
        <w:t xml:space="preserve"> </w:t>
      </w:r>
    </w:p>
    <w:p>
      <w:pPr>
        <w:widowControl/>
        <w:spacing w:line="300" w:lineRule="exact"/>
        <w:ind w:firstLine="210" w:firstLineChars="100"/>
        <w:rPr>
          <w:color w:val="auto"/>
          <w:kern w:val="0"/>
          <w:szCs w:val="21"/>
          <w:highlight w:val="none"/>
        </w:rPr>
      </w:pPr>
      <w:r>
        <w:rPr>
          <w:rFonts w:hint="eastAsia"/>
          <w:color w:val="auto"/>
          <w:kern w:val="0"/>
          <w:szCs w:val="21"/>
          <w:highlight w:val="none"/>
          <w:lang w:eastAsia="zh-CN"/>
        </w:rPr>
        <w:t>（</w:t>
      </w:r>
      <w:r>
        <w:rPr>
          <w:rFonts w:hint="eastAsia"/>
          <w:color w:val="auto"/>
          <w:kern w:val="0"/>
          <w:szCs w:val="21"/>
          <w:highlight w:val="none"/>
          <w:lang w:val="en-US" w:eastAsia="zh-CN"/>
        </w:rPr>
        <w:t>1</w:t>
      </w:r>
      <w:r>
        <w:rPr>
          <w:rFonts w:hint="eastAsia"/>
          <w:color w:val="auto"/>
          <w:kern w:val="0"/>
          <w:szCs w:val="21"/>
          <w:highlight w:val="none"/>
          <w:lang w:eastAsia="zh-CN"/>
        </w:rPr>
        <w:t>）</w:t>
      </w:r>
      <w:r>
        <w:rPr>
          <w:rFonts w:hint="eastAsia"/>
          <w:color w:val="auto"/>
          <w:kern w:val="0"/>
          <w:szCs w:val="21"/>
          <w:highlight w:val="none"/>
        </w:rPr>
        <w:t>信誉分（满分5分）</w:t>
      </w:r>
      <w:r>
        <w:rPr>
          <w:color w:val="auto"/>
          <w:kern w:val="0"/>
          <w:szCs w:val="21"/>
          <w:highlight w:val="none"/>
        </w:rPr>
        <w:t xml:space="preserve">  </w:t>
      </w:r>
    </w:p>
    <w:p>
      <w:pPr>
        <w:widowControl/>
        <w:spacing w:line="320" w:lineRule="exact"/>
        <w:rPr>
          <w:rFonts w:ascii="宋体" w:hAnsi="宋体"/>
          <w:color w:val="auto"/>
          <w:kern w:val="0"/>
          <w:szCs w:val="21"/>
          <w:highlight w:val="none"/>
        </w:rPr>
      </w:pPr>
      <w:r>
        <w:rPr>
          <w:color w:val="auto"/>
          <w:kern w:val="0"/>
          <w:szCs w:val="21"/>
          <w:highlight w:val="none"/>
        </w:rPr>
        <w:t xml:space="preserve">   </w:t>
      </w:r>
      <w:r>
        <w:rPr>
          <w:rFonts w:hint="eastAsia" w:ascii="宋体" w:hAnsi="宋体"/>
          <w:color w:val="auto"/>
          <w:kern w:val="0"/>
          <w:szCs w:val="21"/>
          <w:highlight w:val="none"/>
        </w:rPr>
        <w:t>①投标品牌电梯制造商中心实验室获中国</w:t>
      </w:r>
      <w:r>
        <w:rPr>
          <w:rFonts w:ascii="宋体" w:hAnsi="宋体"/>
          <w:color w:val="auto"/>
          <w:kern w:val="0"/>
          <w:szCs w:val="21"/>
          <w:highlight w:val="none"/>
        </w:rPr>
        <w:t>CNAS</w:t>
      </w:r>
      <w:r>
        <w:rPr>
          <w:rFonts w:hint="eastAsia" w:ascii="宋体" w:hAnsi="宋体"/>
          <w:color w:val="auto"/>
          <w:kern w:val="0"/>
          <w:szCs w:val="21"/>
          <w:highlight w:val="none"/>
        </w:rPr>
        <w:t>认证的，得2分。（须提供有效的证明材料扫描件或其他电子文件，原件备查）</w:t>
      </w:r>
    </w:p>
    <w:p>
      <w:pPr>
        <w:widowControl/>
        <w:spacing w:line="320" w:lineRule="exact"/>
        <w:ind w:firstLine="210" w:firstLineChars="100"/>
        <w:rPr>
          <w:rFonts w:ascii="宋体" w:hAnsi="宋体"/>
          <w:color w:val="auto"/>
          <w:kern w:val="0"/>
          <w:szCs w:val="21"/>
          <w:highlight w:val="none"/>
        </w:rPr>
      </w:pPr>
      <w:r>
        <w:rPr>
          <w:rFonts w:ascii="宋体" w:hAnsi="宋体"/>
          <w:color w:val="auto"/>
          <w:kern w:val="0"/>
          <w:szCs w:val="21"/>
          <w:highlight w:val="none"/>
        </w:rPr>
        <w:t xml:space="preserve"> </w:t>
      </w:r>
      <w:r>
        <w:rPr>
          <w:rFonts w:hint="eastAsia" w:ascii="宋体" w:hAnsi="宋体"/>
          <w:color w:val="auto"/>
          <w:kern w:val="0"/>
          <w:szCs w:val="21"/>
          <w:highlight w:val="none"/>
        </w:rPr>
        <w:t>②投标人获得ISO9001质量管理体系认证、ISO14001环境管理体系认证、ISO45001职业健康安全管理体系认证的，每提供一项得1分，满分3分。（须提供有效的证明材料扫描件或其他电子文件，原件备查）</w:t>
      </w:r>
    </w:p>
    <w:p>
      <w:pPr>
        <w:spacing w:line="320" w:lineRule="exact"/>
        <w:ind w:firstLine="105" w:firstLineChars="50"/>
        <w:rPr>
          <w:rFonts w:hAnsi="宋体"/>
          <w:color w:val="auto"/>
          <w:szCs w:val="21"/>
          <w:highlight w:val="none"/>
        </w:rPr>
      </w:pPr>
      <w:r>
        <w:rPr>
          <w:rFonts w:hint="eastAsia" w:hAnsi="宋体"/>
          <w:color w:val="auto"/>
          <w:szCs w:val="21"/>
          <w:highlight w:val="none"/>
        </w:rPr>
        <w:t xml:space="preserve"> （2）业绩分（满分3分） </w:t>
      </w:r>
    </w:p>
    <w:p>
      <w:pPr>
        <w:spacing w:line="320" w:lineRule="exact"/>
        <w:rPr>
          <w:rFonts w:hint="eastAsia"/>
          <w:color w:val="auto"/>
          <w:kern w:val="0"/>
          <w:szCs w:val="21"/>
          <w:highlight w:val="none"/>
        </w:rPr>
      </w:pPr>
      <w:r>
        <w:rPr>
          <w:color w:val="auto"/>
          <w:kern w:val="0"/>
          <w:szCs w:val="21"/>
          <w:highlight w:val="none"/>
        </w:rPr>
        <w:t xml:space="preserve">   </w:t>
      </w:r>
      <w:r>
        <w:rPr>
          <w:rFonts w:hint="eastAsia"/>
          <w:color w:val="auto"/>
          <w:kern w:val="0"/>
          <w:szCs w:val="21"/>
          <w:highlight w:val="none"/>
        </w:rPr>
        <w:t>投标人</w:t>
      </w:r>
      <w:r>
        <w:rPr>
          <w:color w:val="auto"/>
          <w:kern w:val="0"/>
          <w:szCs w:val="21"/>
          <w:highlight w:val="none"/>
        </w:rPr>
        <w:t>20</w:t>
      </w:r>
      <w:r>
        <w:rPr>
          <w:rFonts w:hint="eastAsia"/>
          <w:color w:val="auto"/>
          <w:kern w:val="0"/>
          <w:szCs w:val="21"/>
          <w:highlight w:val="none"/>
        </w:rPr>
        <w:t>22年（含）以来（以合同签订时间为准）销售电梯的业绩，</w:t>
      </w:r>
      <w:r>
        <w:rPr>
          <w:rFonts w:hint="eastAsia" w:hAnsi="宋体"/>
          <w:color w:val="auto"/>
          <w:szCs w:val="21"/>
          <w:highlight w:val="none"/>
        </w:rPr>
        <w:t>每项得1分，</w:t>
      </w:r>
      <w:r>
        <w:rPr>
          <w:rFonts w:hint="eastAsia"/>
          <w:color w:val="auto"/>
          <w:kern w:val="0"/>
          <w:szCs w:val="21"/>
          <w:highlight w:val="none"/>
        </w:rPr>
        <w:t>满分3分。（以中标</w:t>
      </w:r>
      <w:r>
        <w:rPr>
          <w:color w:val="auto"/>
          <w:kern w:val="0"/>
          <w:szCs w:val="21"/>
          <w:highlight w:val="none"/>
        </w:rPr>
        <w:t>/</w:t>
      </w:r>
      <w:bookmarkStart w:id="327" w:name="_GoBack"/>
      <w:bookmarkEnd w:id="327"/>
      <w:r>
        <w:rPr>
          <w:rFonts w:hint="eastAsia"/>
          <w:color w:val="auto"/>
          <w:kern w:val="0"/>
          <w:szCs w:val="21"/>
          <w:highlight w:val="none"/>
        </w:rPr>
        <w:t>成交通知书扫描件或其他电子文件或合同扫描件或其他电子文件为准，原件备查。）</w:t>
      </w:r>
    </w:p>
    <w:p>
      <w:pPr>
        <w:spacing w:line="460" w:lineRule="exact"/>
        <w:rPr>
          <w:rFonts w:hAnsi="宋体"/>
          <w:b/>
          <w:color w:val="auto"/>
          <w:highlight w:val="none"/>
        </w:rPr>
      </w:pPr>
      <w:r>
        <w:rPr>
          <w:rFonts w:hint="eastAsia" w:hAnsi="宋体"/>
          <w:color w:val="auto"/>
          <w:szCs w:val="21"/>
          <w:highlight w:val="none"/>
        </w:rPr>
        <w:t xml:space="preserve">  （3）</w:t>
      </w:r>
      <w:r>
        <w:rPr>
          <w:rFonts w:hint="eastAsia" w:hAnsi="宋体"/>
          <w:b/>
          <w:color w:val="auto"/>
          <w:highlight w:val="none"/>
        </w:rPr>
        <w:t>产品特性分</w:t>
      </w:r>
      <w:r>
        <w:rPr>
          <w:rFonts w:hint="eastAsia" w:hAnsi="宋体" w:cs="宋体"/>
          <w:color w:val="auto"/>
          <w:szCs w:val="21"/>
          <w:highlight w:val="none"/>
        </w:rPr>
        <w:t>（满分2分）</w:t>
      </w:r>
      <w:r>
        <w:rPr>
          <w:rFonts w:hAnsi="宋体"/>
          <w:b/>
          <w:color w:val="auto"/>
          <w:highlight w:val="none"/>
        </w:rPr>
        <w:t xml:space="preserve">  </w:t>
      </w:r>
    </w:p>
    <w:p>
      <w:pPr>
        <w:widowControl/>
        <w:ind w:firstLine="420"/>
        <w:jc w:val="left"/>
        <w:rPr>
          <w:rFonts w:hint="eastAsia" w:hAnsi="宋体"/>
          <w:b/>
          <w:bCs/>
          <w:color w:val="auto"/>
          <w:sz w:val="16"/>
          <w:szCs w:val="16"/>
          <w:highlight w:val="none"/>
        </w:rPr>
      </w:pPr>
      <w:r>
        <w:rPr>
          <w:rFonts w:hint="eastAsia" w:ascii="宋体" w:hAnsi="宋体"/>
          <w:color w:val="auto"/>
          <w:kern w:val="0"/>
          <w:szCs w:val="21"/>
          <w:highlight w:val="none"/>
        </w:rPr>
        <w:t>①</w:t>
      </w:r>
      <w:r>
        <w:rPr>
          <w:rFonts w:hint="eastAsia" w:hAnsi="宋体"/>
          <w:bCs/>
          <w:color w:val="auto"/>
          <w:highlight w:val="none"/>
        </w:rPr>
        <w:t>投标产品纳入财政部 国家发展改革委《关于印发节能产品政府采购品目清单的通知》（财库</w:t>
      </w:r>
      <w:r>
        <w:rPr>
          <w:rFonts w:hAnsi="宋体"/>
          <w:bCs/>
          <w:color w:val="auto"/>
          <w:highlight w:val="none"/>
        </w:rPr>
        <w:t>[2019]19</w:t>
      </w:r>
      <w:r>
        <w:rPr>
          <w:rFonts w:hint="eastAsia" w:hAnsi="宋体"/>
          <w:bCs/>
          <w:color w:val="auto"/>
          <w:highlight w:val="none"/>
        </w:rPr>
        <w:t>号）中节能产品政府采购清单的（适用于非强制采购节能产品，依据《市场监管总局关于发布参与实施政府采购节能产品、环境标志产品认证机构名录的公告》，提供所投相应型号产品有效的认证证书扫描件或其他电子文件），得</w:t>
      </w:r>
      <w:r>
        <w:rPr>
          <w:rFonts w:hAnsi="宋体"/>
          <w:bCs/>
          <w:color w:val="auto"/>
          <w:highlight w:val="none"/>
        </w:rPr>
        <w:t>1</w:t>
      </w:r>
      <w:r>
        <w:rPr>
          <w:rFonts w:hint="eastAsia" w:hAnsi="宋体"/>
          <w:bCs/>
          <w:color w:val="auto"/>
          <w:highlight w:val="none"/>
        </w:rPr>
        <w:t>分。</w:t>
      </w:r>
      <w:r>
        <w:rPr>
          <w:rFonts w:hAnsi="宋体"/>
          <w:bCs/>
          <w:color w:val="auto"/>
          <w:highlight w:val="none"/>
        </w:rPr>
        <w:br w:type="textWrapping"/>
      </w:r>
      <w:r>
        <w:rPr>
          <w:rFonts w:hAnsi="宋体"/>
          <w:bCs/>
          <w:color w:val="auto"/>
          <w:highlight w:val="none"/>
        </w:rPr>
        <w:t xml:space="preserve">   </w:t>
      </w:r>
      <w:r>
        <w:rPr>
          <w:rFonts w:hint="eastAsia" w:ascii="宋体" w:hAnsi="宋体"/>
          <w:color w:val="auto"/>
          <w:kern w:val="0"/>
          <w:szCs w:val="21"/>
          <w:highlight w:val="none"/>
        </w:rPr>
        <w:t>②</w:t>
      </w:r>
      <w:r>
        <w:rPr>
          <w:rFonts w:hint="eastAsia" w:hAnsi="宋体"/>
          <w:bCs/>
          <w:color w:val="auto"/>
          <w:highlight w:val="none"/>
        </w:rPr>
        <w:t>投标产品纳入财政部 国家发展改革委《关于印发环境标志产品政府采购品目清单的通知》（财库</w:t>
      </w:r>
      <w:r>
        <w:rPr>
          <w:rFonts w:hAnsi="宋体"/>
          <w:bCs/>
          <w:color w:val="auto"/>
          <w:highlight w:val="none"/>
        </w:rPr>
        <w:t>[2019]18</w:t>
      </w:r>
      <w:r>
        <w:rPr>
          <w:rFonts w:hint="eastAsia" w:hAnsi="宋体"/>
          <w:bCs/>
          <w:color w:val="auto"/>
          <w:highlight w:val="none"/>
        </w:rPr>
        <w:t>号）中环境标志产品政府采购清单的，依据《市场监管总局关于发布参与实施政府采购节能产品、环境标志产品认证机构名录的公告》，提供所投相应型号产品有效的认证证书扫描件或其他电子文件），得</w:t>
      </w:r>
      <w:r>
        <w:rPr>
          <w:rFonts w:hAnsi="宋体"/>
          <w:bCs/>
          <w:color w:val="auto"/>
          <w:highlight w:val="none"/>
        </w:rPr>
        <w:t>1</w:t>
      </w:r>
      <w:r>
        <w:rPr>
          <w:rFonts w:hint="eastAsia" w:hAnsi="宋体"/>
          <w:bCs/>
          <w:color w:val="auto"/>
          <w:highlight w:val="none"/>
        </w:rPr>
        <w:t>分。</w:t>
      </w:r>
      <w:r>
        <w:rPr>
          <w:rFonts w:hAnsi="宋体"/>
          <w:bCs/>
          <w:color w:val="auto"/>
          <w:highlight w:val="none"/>
        </w:rPr>
        <w:t xml:space="preserve"> </w:t>
      </w:r>
      <w:r>
        <w:rPr>
          <w:rFonts w:hint="eastAsia"/>
          <w:color w:val="auto"/>
          <w:kern w:val="0"/>
          <w:highlight w:val="none"/>
        </w:rPr>
        <w:t xml:space="preserve"> </w:t>
      </w:r>
    </w:p>
    <w:p>
      <w:pPr>
        <w:pStyle w:val="27"/>
        <w:spacing w:line="320" w:lineRule="exact"/>
        <w:ind w:firstLine="351" w:firstLineChars="170"/>
        <w:rPr>
          <w:rFonts w:hint="eastAsia"/>
          <w:b/>
          <w:bCs/>
          <w:color w:val="auto"/>
          <w:spacing w:val="-2"/>
          <w:highlight w:val="none"/>
        </w:rPr>
      </w:pPr>
      <w:r>
        <w:rPr>
          <w:rFonts w:hint="eastAsia"/>
          <w:b/>
          <w:bCs/>
          <w:color w:val="auto"/>
          <w:spacing w:val="-2"/>
          <w:highlight w:val="none"/>
        </w:rPr>
        <w:t>（三）总得分=1 + 2 + 3。</w:t>
      </w:r>
    </w:p>
    <w:p>
      <w:pPr>
        <w:pStyle w:val="42"/>
        <w:spacing w:line="320" w:lineRule="exact"/>
        <w:ind w:left="0"/>
        <w:rPr>
          <w:rFonts w:hint="eastAsia"/>
          <w:b/>
          <w:bCs/>
          <w:color w:val="auto"/>
          <w:szCs w:val="21"/>
          <w:highlight w:val="none"/>
        </w:rPr>
      </w:pPr>
      <w:r>
        <w:rPr>
          <w:b/>
          <w:bCs/>
          <w:color w:val="auto"/>
          <w:szCs w:val="21"/>
          <w:highlight w:val="none"/>
        </w:rPr>
        <w:t xml:space="preserve">    </w:t>
      </w:r>
      <w:r>
        <w:rPr>
          <w:rFonts w:hint="eastAsia"/>
          <w:b/>
          <w:bCs/>
          <w:color w:val="auto"/>
          <w:szCs w:val="21"/>
          <w:highlight w:val="none"/>
        </w:rPr>
        <w:t>三、中标候选人推荐原则</w:t>
      </w:r>
    </w:p>
    <w:p>
      <w:pPr>
        <w:pStyle w:val="27"/>
        <w:spacing w:line="320" w:lineRule="exact"/>
        <w:rPr>
          <w:rFonts w:hint="eastAsia"/>
          <w:bCs/>
          <w:color w:val="auto"/>
          <w:highlight w:val="none"/>
        </w:rPr>
      </w:pPr>
      <w:r>
        <w:rPr>
          <w:rFonts w:hint="eastAsia"/>
          <w:bCs/>
          <w:color w:val="auto"/>
          <w:highlight w:val="none"/>
        </w:rPr>
        <w:t xml:space="preserve">   （一）评标委员会将根据得分由高到低排列次序（得分相同时，以投标报价由低到高顺序排列；得分相同且投标报价相同的，</w:t>
      </w:r>
      <w:r>
        <w:rPr>
          <w:rFonts w:hint="eastAsia"/>
          <w:b/>
          <w:bCs/>
          <w:color w:val="auto"/>
          <w:highlight w:val="none"/>
        </w:rPr>
        <w:t>按技术评定得分从高到低顺序排列</w:t>
      </w:r>
      <w:r>
        <w:rPr>
          <w:rFonts w:hint="eastAsia"/>
          <w:bCs/>
          <w:color w:val="auto"/>
          <w:highlight w:val="none"/>
        </w:rPr>
        <w:t>）并推荐中标候选供应商。招标采购单位应当确定评审委员会推荐排名第一的中标候选人为中标人。</w:t>
      </w:r>
    </w:p>
    <w:p>
      <w:pPr>
        <w:pStyle w:val="27"/>
        <w:spacing w:line="320" w:lineRule="exact"/>
        <w:ind w:firstLine="420" w:firstLineChars="200"/>
        <w:rPr>
          <w:rFonts w:hint="eastAsia"/>
          <w:bCs/>
          <w:color w:val="auto"/>
          <w:highlight w:val="none"/>
        </w:rPr>
      </w:pPr>
      <w:r>
        <w:rPr>
          <w:rFonts w:hint="eastAsia"/>
          <w:bCs/>
          <w:color w:val="auto"/>
          <w:highlight w:val="none"/>
        </w:rPr>
        <w:t xml:space="preserve"> 排名第一的中标候选人放弃中标、因不可抗力提出不能履行合同，或者招标文件规定应当提交履约保证金而在规定的期限内未能提交的，招标采购单位可以确定排名第二的中标候选人为中标人。排名第二的中标候选人因前款规定的同样原因不能签订合同的，招标采购单位可以确定排名第三的中标候选人为中标人，其余以此类推。</w:t>
      </w:r>
    </w:p>
    <w:p>
      <w:pPr>
        <w:pStyle w:val="27"/>
        <w:spacing w:line="320" w:lineRule="exact"/>
        <w:rPr>
          <w:rFonts w:hint="eastAsia"/>
          <w:b/>
          <w:bCs/>
          <w:color w:val="auto"/>
          <w:highlight w:val="none"/>
        </w:rPr>
      </w:pPr>
      <w:r>
        <w:rPr>
          <w:rFonts w:hint="eastAsia"/>
          <w:bCs/>
          <w:color w:val="auto"/>
          <w:highlight w:val="none"/>
        </w:rPr>
        <w:t xml:space="preserve">   （二）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r>
        <w:rPr>
          <w:rFonts w:hint="eastAsia"/>
          <w:b/>
          <w:bCs/>
          <w:color w:val="auto"/>
          <w:highlight w:val="none"/>
        </w:rPr>
        <w:t>。</w:t>
      </w:r>
    </w:p>
    <w:p>
      <w:pPr>
        <w:pStyle w:val="27"/>
        <w:spacing w:line="320" w:lineRule="exact"/>
        <w:ind w:left="315"/>
        <w:rPr>
          <w:rFonts w:hint="eastAsia"/>
          <w:b/>
          <w:bCs/>
          <w:color w:val="auto"/>
          <w:highlight w:val="none"/>
        </w:rPr>
      </w:pPr>
      <w:bookmarkStart w:id="291" w:name="_Toc40865115"/>
      <w:bookmarkStart w:id="292" w:name="_Toc40864723"/>
    </w:p>
    <w:p>
      <w:pPr>
        <w:pStyle w:val="2"/>
        <w:jc w:val="center"/>
        <w:rPr>
          <w:rFonts w:hint="eastAsia"/>
          <w:color w:val="auto"/>
          <w:highlight w:val="none"/>
        </w:rPr>
      </w:pPr>
    </w:p>
    <w:p>
      <w:pPr>
        <w:pStyle w:val="2"/>
        <w:jc w:val="center"/>
        <w:rPr>
          <w:rFonts w:hint="eastAsia"/>
          <w:color w:val="auto"/>
          <w:highlight w:val="none"/>
        </w:rPr>
      </w:pPr>
    </w:p>
    <w:p>
      <w:pPr>
        <w:pStyle w:val="2"/>
        <w:jc w:val="center"/>
        <w:rPr>
          <w:rFonts w:hint="eastAsia"/>
          <w:color w:val="auto"/>
          <w:highlight w:val="none"/>
        </w:rPr>
      </w:pPr>
    </w:p>
    <w:p>
      <w:pPr>
        <w:pStyle w:val="2"/>
        <w:jc w:val="center"/>
        <w:rPr>
          <w:rFonts w:hint="eastAsia"/>
          <w:color w:val="auto"/>
          <w:highlight w:val="none"/>
        </w:rPr>
      </w:pPr>
    </w:p>
    <w:p>
      <w:pPr>
        <w:pStyle w:val="2"/>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pStyle w:val="2"/>
        <w:jc w:val="center"/>
        <w:rPr>
          <w:rFonts w:hint="eastAsia" w:ascii="黑体" w:eastAsia="黑体"/>
          <w:color w:val="auto"/>
          <w:highlight w:val="none"/>
        </w:rPr>
      </w:pPr>
      <w:r>
        <w:rPr>
          <w:rFonts w:hint="eastAsia"/>
          <w:color w:val="auto"/>
          <w:highlight w:val="none"/>
        </w:rPr>
        <w:t>第五章    政府采购合同主要条款</w:t>
      </w:r>
      <w:bookmarkEnd w:id="291"/>
      <w:bookmarkEnd w:id="292"/>
    </w:p>
    <w:p>
      <w:pPr>
        <w:pStyle w:val="27"/>
        <w:jc w:val="center"/>
        <w:rPr>
          <w:rFonts w:hint="eastAsia" w:hAnsi="宋体"/>
          <w:b/>
          <w:color w:val="auto"/>
          <w:sz w:val="52"/>
          <w:szCs w:val="52"/>
          <w:highlight w:val="none"/>
        </w:rPr>
      </w:pPr>
    </w:p>
    <w:p>
      <w:pPr>
        <w:pStyle w:val="27"/>
        <w:jc w:val="center"/>
        <w:rPr>
          <w:rFonts w:hint="eastAsia" w:hAnsi="宋体"/>
          <w:b/>
          <w:color w:val="auto"/>
          <w:sz w:val="52"/>
          <w:szCs w:val="52"/>
          <w:highlight w:val="none"/>
        </w:rPr>
      </w:pPr>
      <w:r>
        <w:rPr>
          <w:rFonts w:hAnsi="宋体"/>
          <w:b/>
          <w:color w:val="auto"/>
          <w:sz w:val="52"/>
          <w:szCs w:val="52"/>
          <w:highlight w:val="none"/>
        </w:rPr>
        <w:br w:type="page"/>
      </w:r>
    </w:p>
    <w:p>
      <w:pPr>
        <w:pStyle w:val="27"/>
        <w:jc w:val="center"/>
        <w:rPr>
          <w:rFonts w:hint="eastAsia" w:hAnsi="宋体"/>
          <w:b/>
          <w:color w:val="auto"/>
          <w:sz w:val="52"/>
          <w:szCs w:val="52"/>
          <w:highlight w:val="none"/>
        </w:rPr>
      </w:pPr>
    </w:p>
    <w:p>
      <w:pPr>
        <w:pStyle w:val="27"/>
        <w:jc w:val="center"/>
        <w:rPr>
          <w:rFonts w:hint="eastAsia" w:hAnsi="宋体"/>
          <w:b/>
          <w:color w:val="auto"/>
          <w:sz w:val="52"/>
          <w:szCs w:val="52"/>
          <w:highlight w:val="none"/>
        </w:rPr>
      </w:pPr>
      <w:r>
        <w:rPr>
          <w:rFonts w:hint="eastAsia" w:hAnsi="宋体"/>
          <w:b/>
          <w:color w:val="auto"/>
          <w:sz w:val="52"/>
          <w:szCs w:val="52"/>
          <w:highlight w:val="none"/>
        </w:rPr>
        <w:t>广西壮族自治区政府采购合同</w:t>
      </w:r>
    </w:p>
    <w:p>
      <w:pPr>
        <w:pStyle w:val="27"/>
        <w:rPr>
          <w:rFonts w:hint="eastAsia" w:hAnsi="宋体"/>
          <w:color w:val="auto"/>
          <w:highlight w:val="none"/>
        </w:rPr>
      </w:pPr>
    </w:p>
    <w:p>
      <w:pPr>
        <w:pStyle w:val="27"/>
        <w:rPr>
          <w:rFonts w:hint="eastAsia" w:hAnsi="宋体"/>
          <w:color w:val="auto"/>
          <w:highlight w:val="none"/>
        </w:rPr>
      </w:pPr>
    </w:p>
    <w:p>
      <w:pPr>
        <w:pStyle w:val="27"/>
        <w:rPr>
          <w:rFonts w:hint="eastAsia" w:hAnsi="宋体"/>
          <w:color w:val="auto"/>
          <w:highlight w:val="none"/>
        </w:rPr>
      </w:pPr>
    </w:p>
    <w:p>
      <w:pPr>
        <w:pStyle w:val="27"/>
        <w:rPr>
          <w:rFonts w:hint="eastAsia" w:hAnsi="宋体"/>
          <w:color w:val="auto"/>
          <w:highlight w:val="none"/>
        </w:rPr>
      </w:pPr>
    </w:p>
    <w:p>
      <w:pPr>
        <w:pStyle w:val="27"/>
        <w:ind w:firstLine="1590" w:firstLineChars="495"/>
        <w:rPr>
          <w:rFonts w:hint="eastAsia" w:hAnsi="宋体"/>
          <w:b/>
          <w:color w:val="auto"/>
          <w:sz w:val="32"/>
          <w:szCs w:val="32"/>
          <w:highlight w:val="none"/>
          <w:u w:val="single"/>
        </w:rPr>
      </w:pPr>
      <w:r>
        <w:rPr>
          <w:rFonts w:hint="eastAsia" w:hAnsi="宋体"/>
          <w:b/>
          <w:color w:val="auto"/>
          <w:sz w:val="32"/>
          <w:szCs w:val="32"/>
          <w:highlight w:val="none"/>
        </w:rPr>
        <w:t>合同名称：</w:t>
      </w:r>
      <w:r>
        <w:rPr>
          <w:rFonts w:hint="eastAsia" w:hAnsi="宋体"/>
          <w:b/>
          <w:color w:val="auto"/>
          <w:sz w:val="32"/>
          <w:szCs w:val="32"/>
          <w:highlight w:val="none"/>
          <w:u w:val="single"/>
        </w:rPr>
        <w:t xml:space="preserve">                            </w:t>
      </w:r>
    </w:p>
    <w:p>
      <w:pPr>
        <w:pStyle w:val="27"/>
        <w:ind w:firstLine="1590" w:firstLineChars="495"/>
        <w:rPr>
          <w:rFonts w:hint="eastAsia" w:hAnsi="宋体"/>
          <w:b/>
          <w:color w:val="auto"/>
          <w:sz w:val="32"/>
          <w:szCs w:val="32"/>
          <w:highlight w:val="none"/>
        </w:rPr>
      </w:pPr>
    </w:p>
    <w:p>
      <w:pPr>
        <w:pStyle w:val="27"/>
        <w:ind w:firstLine="1590" w:firstLineChars="495"/>
        <w:rPr>
          <w:rFonts w:hint="eastAsia" w:hAnsi="宋体"/>
          <w:b/>
          <w:color w:val="auto"/>
          <w:sz w:val="32"/>
          <w:szCs w:val="32"/>
          <w:highlight w:val="none"/>
          <w:u w:val="single"/>
        </w:rPr>
      </w:pPr>
      <w:r>
        <w:rPr>
          <w:rFonts w:hint="eastAsia" w:hAnsi="宋体"/>
          <w:b/>
          <w:color w:val="auto"/>
          <w:sz w:val="32"/>
          <w:szCs w:val="32"/>
          <w:highlight w:val="none"/>
        </w:rPr>
        <w:t>合同编号：</w:t>
      </w:r>
      <w:r>
        <w:rPr>
          <w:rFonts w:hint="eastAsia" w:hAnsi="宋体"/>
          <w:b/>
          <w:color w:val="auto"/>
          <w:sz w:val="32"/>
          <w:szCs w:val="32"/>
          <w:highlight w:val="none"/>
          <w:u w:val="single"/>
        </w:rPr>
        <w:t xml:space="preserve">                            </w:t>
      </w:r>
    </w:p>
    <w:p>
      <w:pPr>
        <w:pStyle w:val="27"/>
        <w:jc w:val="center"/>
        <w:rPr>
          <w:rFonts w:hint="eastAsia" w:hAnsi="宋体"/>
          <w:color w:val="auto"/>
          <w:highlight w:val="none"/>
        </w:rPr>
      </w:pPr>
    </w:p>
    <w:p>
      <w:pPr>
        <w:pStyle w:val="27"/>
        <w:jc w:val="center"/>
        <w:rPr>
          <w:rFonts w:hint="eastAsia" w:hAnsi="宋体"/>
          <w:color w:val="auto"/>
          <w:highlight w:val="none"/>
        </w:rPr>
      </w:pPr>
    </w:p>
    <w:p>
      <w:pPr>
        <w:pStyle w:val="27"/>
        <w:jc w:val="center"/>
        <w:rPr>
          <w:rFonts w:hint="eastAsia" w:hAnsi="宋体"/>
          <w:color w:val="auto"/>
          <w:highlight w:val="none"/>
        </w:rPr>
      </w:pPr>
    </w:p>
    <w:p>
      <w:pPr>
        <w:pStyle w:val="27"/>
        <w:spacing w:after="156" w:afterLines="50" w:line="340" w:lineRule="exact"/>
        <w:ind w:firstLine="1590" w:firstLineChars="495"/>
        <w:rPr>
          <w:rFonts w:hint="eastAsia" w:hAnsi="宋体"/>
          <w:b/>
          <w:color w:val="auto"/>
          <w:sz w:val="32"/>
          <w:szCs w:val="32"/>
          <w:highlight w:val="none"/>
          <w:u w:val="single"/>
        </w:rPr>
      </w:pPr>
      <w:r>
        <w:rPr>
          <w:rFonts w:hint="eastAsia" w:hAnsi="宋体"/>
          <w:b/>
          <w:color w:val="auto"/>
          <w:sz w:val="32"/>
          <w:szCs w:val="32"/>
          <w:highlight w:val="none"/>
        </w:rPr>
        <w:t>采购单位（甲方）</w:t>
      </w:r>
      <w:r>
        <w:rPr>
          <w:rFonts w:hint="eastAsia" w:hAnsi="宋体"/>
          <w:b/>
          <w:color w:val="auto"/>
          <w:sz w:val="32"/>
          <w:szCs w:val="32"/>
          <w:highlight w:val="none"/>
          <w:u w:val="single"/>
        </w:rPr>
        <w:t xml:space="preserve">                      </w:t>
      </w:r>
    </w:p>
    <w:p>
      <w:pPr>
        <w:pStyle w:val="27"/>
        <w:spacing w:line="340" w:lineRule="exact"/>
        <w:ind w:firstLine="1590" w:firstLineChars="495"/>
        <w:rPr>
          <w:rFonts w:hint="eastAsia" w:hAnsi="宋体"/>
          <w:b/>
          <w:color w:val="auto"/>
          <w:sz w:val="32"/>
          <w:szCs w:val="32"/>
          <w:highlight w:val="none"/>
          <w:u w:val="single"/>
        </w:rPr>
      </w:pPr>
      <w:r>
        <w:rPr>
          <w:rFonts w:hint="eastAsia" w:hAnsi="宋体"/>
          <w:b/>
          <w:color w:val="auto"/>
          <w:sz w:val="32"/>
          <w:szCs w:val="32"/>
          <w:highlight w:val="none"/>
        </w:rPr>
        <w:t>住   所：</w:t>
      </w:r>
      <w:r>
        <w:rPr>
          <w:rFonts w:hint="eastAsia" w:hAnsi="宋体"/>
          <w:b/>
          <w:color w:val="auto"/>
          <w:sz w:val="32"/>
          <w:szCs w:val="32"/>
          <w:highlight w:val="none"/>
          <w:u w:val="single"/>
        </w:rPr>
        <w:t xml:space="preserve">                            </w:t>
      </w:r>
    </w:p>
    <w:p>
      <w:pPr>
        <w:pStyle w:val="27"/>
        <w:spacing w:line="340" w:lineRule="exact"/>
        <w:ind w:firstLine="1590" w:firstLineChars="495"/>
        <w:rPr>
          <w:rFonts w:hint="eastAsia" w:hAnsi="宋体"/>
          <w:b/>
          <w:color w:val="auto"/>
          <w:sz w:val="32"/>
          <w:szCs w:val="32"/>
          <w:highlight w:val="none"/>
        </w:rPr>
      </w:pPr>
    </w:p>
    <w:p>
      <w:pPr>
        <w:pStyle w:val="27"/>
        <w:spacing w:line="340" w:lineRule="exact"/>
        <w:ind w:firstLine="1590" w:firstLineChars="495"/>
        <w:rPr>
          <w:rFonts w:hint="eastAsia" w:hAnsi="宋体"/>
          <w:b/>
          <w:color w:val="auto"/>
          <w:sz w:val="32"/>
          <w:szCs w:val="32"/>
          <w:highlight w:val="none"/>
        </w:rPr>
      </w:pPr>
    </w:p>
    <w:p>
      <w:pPr>
        <w:pStyle w:val="27"/>
        <w:spacing w:after="156" w:afterLines="50" w:line="340" w:lineRule="exact"/>
        <w:ind w:firstLine="1590" w:firstLineChars="495"/>
        <w:rPr>
          <w:rFonts w:hint="eastAsia" w:hAnsi="宋体"/>
          <w:b/>
          <w:color w:val="auto"/>
          <w:sz w:val="32"/>
          <w:szCs w:val="32"/>
          <w:highlight w:val="none"/>
          <w:u w:val="single"/>
        </w:rPr>
      </w:pPr>
      <w:r>
        <w:rPr>
          <w:rFonts w:hint="eastAsia" w:hAnsi="宋体"/>
          <w:b/>
          <w:color w:val="auto"/>
          <w:sz w:val="32"/>
          <w:szCs w:val="32"/>
          <w:highlight w:val="none"/>
        </w:rPr>
        <w:t>供 应 商（乙方）</w:t>
      </w:r>
      <w:r>
        <w:rPr>
          <w:rFonts w:hint="eastAsia" w:hAnsi="宋体"/>
          <w:b/>
          <w:color w:val="auto"/>
          <w:sz w:val="32"/>
          <w:szCs w:val="32"/>
          <w:highlight w:val="none"/>
          <w:u w:val="single"/>
        </w:rPr>
        <w:t xml:space="preserve">                      </w:t>
      </w:r>
    </w:p>
    <w:p>
      <w:pPr>
        <w:pStyle w:val="27"/>
        <w:spacing w:line="340" w:lineRule="exact"/>
        <w:ind w:firstLine="1590" w:firstLineChars="495"/>
        <w:rPr>
          <w:rFonts w:hint="eastAsia" w:hAnsi="宋体"/>
          <w:b/>
          <w:color w:val="auto"/>
          <w:sz w:val="32"/>
          <w:szCs w:val="32"/>
          <w:highlight w:val="none"/>
          <w:u w:val="single"/>
        </w:rPr>
      </w:pPr>
      <w:r>
        <w:rPr>
          <w:rFonts w:hint="eastAsia" w:hAnsi="宋体"/>
          <w:b/>
          <w:color w:val="auto"/>
          <w:sz w:val="32"/>
          <w:szCs w:val="32"/>
          <w:highlight w:val="none"/>
        </w:rPr>
        <w:t>住   所：</w:t>
      </w:r>
      <w:r>
        <w:rPr>
          <w:rFonts w:hint="eastAsia" w:hAnsi="宋体"/>
          <w:b/>
          <w:color w:val="auto"/>
          <w:sz w:val="32"/>
          <w:szCs w:val="32"/>
          <w:highlight w:val="none"/>
          <w:u w:val="single"/>
        </w:rPr>
        <w:t xml:space="preserve">                            </w:t>
      </w:r>
    </w:p>
    <w:p>
      <w:pPr>
        <w:pStyle w:val="27"/>
        <w:spacing w:line="340" w:lineRule="exact"/>
        <w:ind w:firstLine="1590" w:firstLineChars="495"/>
        <w:rPr>
          <w:rFonts w:hint="eastAsia" w:hAnsi="宋体"/>
          <w:b/>
          <w:color w:val="auto"/>
          <w:sz w:val="32"/>
          <w:szCs w:val="32"/>
          <w:highlight w:val="none"/>
        </w:rPr>
      </w:pPr>
    </w:p>
    <w:p>
      <w:pPr>
        <w:pStyle w:val="27"/>
        <w:jc w:val="center"/>
        <w:rPr>
          <w:rFonts w:hint="eastAsia" w:hAnsi="宋体"/>
          <w:color w:val="auto"/>
          <w:highlight w:val="none"/>
        </w:rPr>
      </w:pPr>
      <w:r>
        <w:rPr>
          <w:rFonts w:hint="eastAsia" w:hAnsi="宋体"/>
          <w:color w:val="auto"/>
          <w:highlight w:val="none"/>
        </w:rPr>
        <w:t xml:space="preserve"> </w:t>
      </w:r>
    </w:p>
    <w:p>
      <w:pPr>
        <w:pStyle w:val="27"/>
        <w:jc w:val="center"/>
        <w:rPr>
          <w:rFonts w:hint="eastAsia" w:hAnsi="宋体"/>
          <w:color w:val="auto"/>
          <w:highlight w:val="none"/>
        </w:rPr>
      </w:pPr>
    </w:p>
    <w:p>
      <w:pPr>
        <w:pStyle w:val="27"/>
        <w:jc w:val="center"/>
        <w:rPr>
          <w:rFonts w:hint="eastAsia" w:hAnsi="宋体"/>
          <w:color w:val="auto"/>
          <w:highlight w:val="none"/>
        </w:rPr>
      </w:pPr>
    </w:p>
    <w:p>
      <w:pPr>
        <w:pStyle w:val="27"/>
        <w:ind w:firstLine="1590" w:firstLineChars="495"/>
        <w:rPr>
          <w:rFonts w:hint="eastAsia" w:hAnsi="宋体"/>
          <w:b/>
          <w:color w:val="auto"/>
          <w:sz w:val="32"/>
          <w:szCs w:val="32"/>
          <w:highlight w:val="none"/>
          <w:u w:val="single"/>
        </w:rPr>
      </w:pPr>
      <w:r>
        <w:rPr>
          <w:rFonts w:hint="eastAsia" w:hAnsi="宋体"/>
          <w:b/>
          <w:color w:val="auto"/>
          <w:sz w:val="32"/>
          <w:szCs w:val="32"/>
          <w:highlight w:val="none"/>
        </w:rPr>
        <w:t>签订合同地点：</w:t>
      </w:r>
      <w:r>
        <w:rPr>
          <w:rFonts w:hint="eastAsia" w:hAnsi="宋体"/>
          <w:b/>
          <w:color w:val="auto"/>
          <w:sz w:val="32"/>
          <w:szCs w:val="32"/>
          <w:highlight w:val="none"/>
          <w:u w:val="single"/>
        </w:rPr>
        <w:t xml:space="preserve">                       </w:t>
      </w:r>
    </w:p>
    <w:p>
      <w:pPr>
        <w:pStyle w:val="27"/>
        <w:ind w:firstLine="1590" w:firstLineChars="495"/>
        <w:rPr>
          <w:rFonts w:hint="eastAsia" w:hAnsi="宋体"/>
          <w:b/>
          <w:color w:val="auto"/>
          <w:sz w:val="32"/>
          <w:szCs w:val="32"/>
          <w:highlight w:val="none"/>
        </w:rPr>
      </w:pPr>
    </w:p>
    <w:p>
      <w:pPr>
        <w:pStyle w:val="27"/>
        <w:ind w:firstLine="1590" w:firstLineChars="495"/>
        <w:rPr>
          <w:rFonts w:hint="eastAsia" w:hAnsi="宋体"/>
          <w:b/>
          <w:color w:val="auto"/>
          <w:sz w:val="32"/>
          <w:szCs w:val="32"/>
          <w:highlight w:val="none"/>
        </w:rPr>
      </w:pPr>
      <w:r>
        <w:rPr>
          <w:rFonts w:hint="eastAsia" w:hAnsi="宋体"/>
          <w:b/>
          <w:color w:val="auto"/>
          <w:sz w:val="32"/>
          <w:szCs w:val="32"/>
          <w:highlight w:val="none"/>
        </w:rPr>
        <w:t>签订合同时间：</w:t>
      </w:r>
      <w:r>
        <w:rPr>
          <w:rFonts w:hint="eastAsia" w:hAnsi="宋体"/>
          <w:b/>
          <w:color w:val="auto"/>
          <w:sz w:val="32"/>
          <w:szCs w:val="32"/>
          <w:highlight w:val="none"/>
          <w:u w:val="single"/>
        </w:rPr>
        <w:t xml:space="preserve">                       </w:t>
      </w:r>
    </w:p>
    <w:p>
      <w:pPr>
        <w:pStyle w:val="27"/>
        <w:jc w:val="center"/>
        <w:rPr>
          <w:rFonts w:hint="eastAsia" w:hAnsi="宋体"/>
          <w:color w:val="auto"/>
          <w:highlight w:val="none"/>
        </w:rPr>
      </w:pPr>
    </w:p>
    <w:p>
      <w:pPr>
        <w:pStyle w:val="27"/>
        <w:jc w:val="center"/>
        <w:rPr>
          <w:rFonts w:hint="eastAsia" w:hAnsi="宋体"/>
          <w:color w:val="auto"/>
          <w:highlight w:val="none"/>
        </w:rPr>
      </w:pPr>
    </w:p>
    <w:p>
      <w:pPr>
        <w:pStyle w:val="27"/>
        <w:jc w:val="center"/>
        <w:rPr>
          <w:rFonts w:hint="eastAsia" w:hAnsi="宋体"/>
          <w:color w:val="auto"/>
          <w:highlight w:val="none"/>
        </w:rPr>
      </w:pPr>
    </w:p>
    <w:p>
      <w:pPr>
        <w:pStyle w:val="27"/>
        <w:jc w:val="center"/>
        <w:rPr>
          <w:rFonts w:hint="eastAsia" w:hAnsi="宋体"/>
          <w:color w:val="auto"/>
          <w:highlight w:val="none"/>
        </w:rPr>
      </w:pPr>
    </w:p>
    <w:p>
      <w:pPr>
        <w:pStyle w:val="27"/>
        <w:spacing w:line="420" w:lineRule="exact"/>
        <w:jc w:val="center"/>
        <w:rPr>
          <w:rFonts w:hint="eastAsia" w:hAnsi="宋体"/>
          <w:color w:val="auto"/>
          <w:highlight w:val="none"/>
        </w:rPr>
      </w:pPr>
      <w:r>
        <w:rPr>
          <w:rFonts w:hint="eastAsia" w:hAnsi="宋体"/>
          <w:color w:val="auto"/>
          <w:highlight w:val="none"/>
        </w:rPr>
        <w:t>合同使用说明：根据《中华人民共和国政府采购法》、《</w:t>
      </w:r>
      <w:r>
        <w:rPr>
          <w:color w:val="auto"/>
          <w:highlight w:val="none"/>
        </w:rPr>
        <w:t>中华人民共和国民法典</w:t>
      </w:r>
      <w:r>
        <w:rPr>
          <w:rFonts w:hint="eastAsia" w:hAnsi="宋体"/>
          <w:color w:val="auto"/>
          <w:highlight w:val="none"/>
        </w:rPr>
        <w:t>》等法律、法规规定，</w:t>
      </w:r>
    </w:p>
    <w:p>
      <w:pPr>
        <w:pStyle w:val="27"/>
        <w:spacing w:line="420" w:lineRule="exact"/>
        <w:ind w:firstLine="1470" w:firstLineChars="700"/>
        <w:rPr>
          <w:rFonts w:hint="eastAsia" w:hAnsi="宋体"/>
          <w:color w:val="auto"/>
          <w:highlight w:val="none"/>
        </w:rPr>
      </w:pPr>
      <w:r>
        <w:rPr>
          <w:rFonts w:hint="eastAsia" w:hAnsi="宋体"/>
          <w:color w:val="auto"/>
          <w:highlight w:val="none"/>
        </w:rPr>
        <w:t>按照招标文件规定条款和中标供应商投标文件及其承诺，甲乙双方签订本合同。</w:t>
      </w:r>
    </w:p>
    <w:p>
      <w:pPr>
        <w:pStyle w:val="27"/>
        <w:snapToGrid w:val="0"/>
        <w:spacing w:before="120" w:after="120"/>
        <w:jc w:val="center"/>
        <w:outlineLvl w:val="0"/>
        <w:rPr>
          <w:rFonts w:hint="eastAsia" w:hAnsi="宋体"/>
          <w:color w:val="auto"/>
          <w:highlight w:val="none"/>
        </w:rPr>
      </w:pPr>
    </w:p>
    <w:p>
      <w:pPr>
        <w:spacing w:line="300" w:lineRule="auto"/>
        <w:ind w:left="420" w:hanging="420"/>
        <w:jc w:val="center"/>
        <w:rPr>
          <w:rFonts w:hint="eastAsia" w:ascii="黑体" w:hAnsi="宋体" w:eastAsia="黑体"/>
          <w:b/>
          <w:bCs/>
          <w:color w:val="auto"/>
          <w:sz w:val="44"/>
          <w:szCs w:val="44"/>
          <w:highlight w:val="none"/>
        </w:rPr>
      </w:pPr>
      <w:r>
        <w:rPr>
          <w:rFonts w:ascii="黑体" w:hAnsi="宋体" w:eastAsia="黑体"/>
          <w:b/>
          <w:color w:val="auto"/>
          <w:sz w:val="44"/>
          <w:szCs w:val="44"/>
          <w:highlight w:val="none"/>
        </w:rPr>
        <w:br w:type="page"/>
      </w:r>
      <w:r>
        <w:rPr>
          <w:rFonts w:hint="eastAsia" w:ascii="黑体" w:hAnsi="宋体" w:eastAsia="黑体"/>
          <w:b/>
          <w:color w:val="auto"/>
          <w:sz w:val="44"/>
          <w:szCs w:val="44"/>
          <w:highlight w:val="none"/>
        </w:rPr>
        <w:t>采购</w:t>
      </w:r>
      <w:r>
        <w:rPr>
          <w:rFonts w:hint="eastAsia" w:ascii="黑体" w:hAnsi="宋体" w:eastAsia="黑体"/>
          <w:b/>
          <w:bCs/>
          <w:color w:val="auto"/>
          <w:sz w:val="44"/>
          <w:szCs w:val="44"/>
          <w:highlight w:val="none"/>
        </w:rPr>
        <w:t>合同文本</w:t>
      </w:r>
    </w:p>
    <w:p>
      <w:pPr>
        <w:snapToGrid w:val="0"/>
        <w:spacing w:line="360" w:lineRule="exact"/>
        <w:jc w:val="center"/>
        <w:rPr>
          <w:rFonts w:hint="eastAsia" w:ascii="宋体" w:hAnsi="宋体"/>
          <w:b/>
          <w:bCs/>
          <w:color w:val="auto"/>
          <w:szCs w:val="21"/>
          <w:highlight w:val="none"/>
        </w:rPr>
      </w:pPr>
      <w:r>
        <w:rPr>
          <w:rFonts w:hint="eastAsia" w:ascii="宋体" w:hAnsi="宋体"/>
          <w:b/>
          <w:bCs/>
          <w:color w:val="auto"/>
          <w:szCs w:val="21"/>
          <w:highlight w:val="none"/>
        </w:rPr>
        <w:t>广西壮族自治区政府采购合同</w:t>
      </w:r>
    </w:p>
    <w:p>
      <w:pPr>
        <w:snapToGrid w:val="0"/>
        <w:spacing w:line="360" w:lineRule="exact"/>
        <w:ind w:right="480" w:firstLine="5985" w:firstLineChars="2850"/>
        <w:rPr>
          <w:rFonts w:hint="eastAsia" w:ascii="宋体" w:hAnsi="宋体"/>
          <w:bCs/>
          <w:color w:val="auto"/>
          <w:szCs w:val="21"/>
          <w:highlight w:val="none"/>
          <w:u w:val="single"/>
        </w:rPr>
      </w:pPr>
      <w:r>
        <w:rPr>
          <w:rFonts w:hint="eastAsia" w:ascii="宋体" w:hAnsi="宋体"/>
          <w:bCs/>
          <w:color w:val="auto"/>
          <w:szCs w:val="21"/>
          <w:highlight w:val="none"/>
        </w:rPr>
        <w:t>合同编号：</w:t>
      </w:r>
    </w:p>
    <w:p>
      <w:pPr>
        <w:snapToGrid w:val="0"/>
        <w:spacing w:line="360" w:lineRule="exact"/>
        <w:rPr>
          <w:rFonts w:hint="eastAsia" w:ascii="宋体" w:hAnsi="宋体"/>
          <w:color w:val="auto"/>
          <w:szCs w:val="21"/>
          <w:highlight w:val="none"/>
        </w:rPr>
      </w:pPr>
    </w:p>
    <w:p>
      <w:pPr>
        <w:snapToGrid w:val="0"/>
        <w:spacing w:line="360" w:lineRule="exact"/>
        <w:rPr>
          <w:rFonts w:hint="eastAsia" w:ascii="宋体" w:hAnsi="宋体"/>
          <w:color w:val="auto"/>
          <w:szCs w:val="21"/>
          <w:highlight w:val="none"/>
          <w:u w:val="single"/>
        </w:rPr>
      </w:pPr>
      <w:r>
        <w:rPr>
          <w:rFonts w:hint="eastAsia" w:ascii="宋体" w:hAnsi="宋体"/>
          <w:color w:val="auto"/>
          <w:szCs w:val="21"/>
          <w:highlight w:val="none"/>
        </w:rPr>
        <w:t>采购单位（甲方）</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r>
        <w:rPr>
          <w:rFonts w:hint="eastAsia" w:ascii="宋体" w:hAnsi="宋体"/>
          <w:color w:val="auto"/>
          <w:spacing w:val="-20"/>
          <w:szCs w:val="21"/>
          <w:highlight w:val="none"/>
        </w:rPr>
        <w:t>采 购 计 划 号</w:t>
      </w:r>
      <w:r>
        <w:rPr>
          <w:rFonts w:hint="eastAsia" w:ascii="宋体" w:hAnsi="宋体"/>
          <w:color w:val="auto"/>
          <w:szCs w:val="21"/>
          <w:highlight w:val="none"/>
          <w:u w:val="single"/>
        </w:rPr>
        <w:t xml:space="preserve">                        </w:t>
      </w:r>
    </w:p>
    <w:p>
      <w:pPr>
        <w:snapToGrid w:val="0"/>
        <w:spacing w:line="360" w:lineRule="exact"/>
        <w:rPr>
          <w:rFonts w:hint="eastAsia" w:ascii="宋体" w:hAnsi="宋体"/>
          <w:color w:val="auto"/>
          <w:szCs w:val="21"/>
          <w:highlight w:val="none"/>
          <w:u w:val="single"/>
        </w:rPr>
      </w:pPr>
      <w:r>
        <w:rPr>
          <w:rFonts w:hint="eastAsia" w:ascii="宋体" w:hAnsi="宋体"/>
          <w:color w:val="auto"/>
          <w:szCs w:val="21"/>
          <w:highlight w:val="none"/>
        </w:rPr>
        <w:t>供 应 商（乙方）</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项目名称</w:t>
      </w:r>
      <w:r>
        <w:rPr>
          <w:rFonts w:hint="eastAsia" w:ascii="宋体" w:hAnsi="宋体"/>
          <w:color w:val="auto"/>
          <w:spacing w:val="-20"/>
          <w:szCs w:val="21"/>
          <w:highlight w:val="none"/>
        </w:rPr>
        <w:t>编号</w:t>
      </w:r>
      <w:r>
        <w:rPr>
          <w:rFonts w:hint="eastAsia" w:ascii="宋体" w:hAnsi="宋体"/>
          <w:color w:val="auto"/>
          <w:szCs w:val="21"/>
          <w:highlight w:val="none"/>
          <w:u w:val="single"/>
        </w:rPr>
        <w:t xml:space="preserve">                       </w:t>
      </w:r>
    </w:p>
    <w:p>
      <w:pPr>
        <w:snapToGrid w:val="0"/>
        <w:spacing w:line="360" w:lineRule="exact"/>
        <w:rPr>
          <w:rFonts w:hint="eastAsia" w:ascii="宋体" w:hAnsi="宋体"/>
          <w:color w:val="auto"/>
          <w:szCs w:val="21"/>
          <w:highlight w:val="none"/>
          <w:u w:val="single"/>
        </w:rPr>
      </w:pPr>
      <w:r>
        <w:rPr>
          <w:rFonts w:hint="eastAsia" w:ascii="宋体" w:hAnsi="宋体"/>
          <w:color w:val="auto"/>
          <w:szCs w:val="21"/>
          <w:highlight w:val="none"/>
        </w:rPr>
        <w:t xml:space="preserve">签  订  地  点  </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签 订 时 间</w:t>
      </w:r>
      <w:r>
        <w:rPr>
          <w:rFonts w:hint="eastAsia" w:ascii="宋体" w:hAnsi="宋体"/>
          <w:color w:val="auto"/>
          <w:szCs w:val="21"/>
          <w:highlight w:val="none"/>
          <w:u w:val="single"/>
        </w:rPr>
        <w:t xml:space="preserve">                       </w:t>
      </w:r>
    </w:p>
    <w:p>
      <w:pPr>
        <w:snapToGrid w:val="0"/>
        <w:spacing w:line="360" w:lineRule="exact"/>
        <w:ind w:firstLine="420" w:firstLineChars="200"/>
        <w:rPr>
          <w:rFonts w:hint="eastAsia" w:ascii="宋体" w:hAnsi="宋体"/>
          <w:color w:val="auto"/>
          <w:szCs w:val="21"/>
          <w:highlight w:val="none"/>
        </w:rPr>
      </w:pPr>
    </w:p>
    <w:p>
      <w:pPr>
        <w:pStyle w:val="27"/>
        <w:spacing w:line="420" w:lineRule="exact"/>
        <w:ind w:firstLine="420" w:firstLineChars="200"/>
        <w:rPr>
          <w:rFonts w:hint="eastAsia" w:hAnsi="宋体"/>
          <w:color w:val="auto"/>
          <w:highlight w:val="none"/>
        </w:rPr>
      </w:pPr>
      <w:r>
        <w:rPr>
          <w:rFonts w:hint="eastAsia"/>
          <w:color w:val="auto"/>
          <w:highlight w:val="none"/>
        </w:rPr>
        <w:t>根据《中华人民共和国政府采购法》、《</w:t>
      </w:r>
      <w:r>
        <w:rPr>
          <w:color w:val="auto"/>
          <w:highlight w:val="none"/>
        </w:rPr>
        <w:t>中华人民共和国民法典</w:t>
      </w:r>
      <w:r>
        <w:rPr>
          <w:rFonts w:hint="eastAsia"/>
          <w:color w:val="auto"/>
          <w:highlight w:val="none"/>
        </w:rPr>
        <w:t>》等法律、法规规定，按照招标文件规定条款和中标供应商投标文件及其承诺，甲乙双方签订本合同。</w:t>
      </w:r>
    </w:p>
    <w:p>
      <w:pPr>
        <w:snapToGrid w:val="0"/>
        <w:spacing w:line="360" w:lineRule="exact"/>
        <w:ind w:firstLine="421" w:firstLineChars="200"/>
        <w:rPr>
          <w:rFonts w:hint="eastAsia" w:ascii="宋体" w:hAnsi="宋体"/>
          <w:b/>
          <w:color w:val="auto"/>
          <w:szCs w:val="21"/>
          <w:highlight w:val="none"/>
        </w:rPr>
      </w:pPr>
      <w:r>
        <w:rPr>
          <w:rFonts w:hint="eastAsia" w:ascii="宋体" w:hAnsi="宋体"/>
          <w:b/>
          <w:color w:val="auto"/>
          <w:szCs w:val="21"/>
          <w:highlight w:val="none"/>
        </w:rPr>
        <w:t>第一条　合同标的</w:t>
      </w:r>
    </w:p>
    <w:p>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1.供货一览表</w:t>
      </w:r>
    </w:p>
    <w:tbl>
      <w:tblPr>
        <w:tblStyle w:val="50"/>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6"/>
        <w:gridCol w:w="1304"/>
        <w:gridCol w:w="1081"/>
        <w:gridCol w:w="1194"/>
        <w:gridCol w:w="1193"/>
        <w:gridCol w:w="672"/>
        <w:gridCol w:w="1080"/>
        <w:gridCol w:w="108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496" w:type="dxa"/>
            <w:noWrap w:val="0"/>
            <w:vAlign w:val="center"/>
          </w:tcPr>
          <w:p>
            <w:pPr>
              <w:snapToGrid w:val="0"/>
              <w:spacing w:line="360" w:lineRule="exact"/>
              <w:jc w:val="center"/>
              <w:rPr>
                <w:rFonts w:hint="eastAsia" w:ascii="宋体" w:hAnsi="宋体"/>
                <w:color w:val="auto"/>
                <w:szCs w:val="21"/>
                <w:highlight w:val="none"/>
              </w:rPr>
            </w:pPr>
            <w:r>
              <w:rPr>
                <w:rFonts w:hint="eastAsia" w:ascii="宋体" w:hAnsi="宋体"/>
                <w:color w:val="auto"/>
                <w:szCs w:val="21"/>
                <w:highlight w:val="none"/>
              </w:rPr>
              <w:t>序号</w:t>
            </w:r>
          </w:p>
        </w:tc>
        <w:tc>
          <w:tcPr>
            <w:tcW w:w="1304" w:type="dxa"/>
            <w:noWrap w:val="0"/>
            <w:vAlign w:val="center"/>
          </w:tcPr>
          <w:p>
            <w:pPr>
              <w:snapToGrid w:val="0"/>
              <w:spacing w:line="360" w:lineRule="exact"/>
              <w:jc w:val="center"/>
              <w:rPr>
                <w:rFonts w:hint="eastAsia" w:ascii="宋体" w:hAnsi="宋体"/>
                <w:color w:val="auto"/>
                <w:szCs w:val="21"/>
                <w:highlight w:val="none"/>
              </w:rPr>
            </w:pPr>
            <w:r>
              <w:rPr>
                <w:rFonts w:hint="eastAsia" w:ascii="宋体" w:hAnsi="宋体"/>
                <w:color w:val="auto"/>
                <w:szCs w:val="21"/>
                <w:highlight w:val="none"/>
              </w:rPr>
              <w:t>产品</w:t>
            </w:r>
          </w:p>
          <w:p>
            <w:pPr>
              <w:snapToGrid w:val="0"/>
              <w:spacing w:line="360" w:lineRule="exact"/>
              <w:jc w:val="center"/>
              <w:rPr>
                <w:rFonts w:hint="eastAsia" w:ascii="宋体" w:hAnsi="宋体"/>
                <w:color w:val="auto"/>
                <w:szCs w:val="21"/>
                <w:highlight w:val="none"/>
              </w:rPr>
            </w:pPr>
            <w:r>
              <w:rPr>
                <w:rFonts w:hint="eastAsia" w:ascii="宋体" w:hAnsi="宋体"/>
                <w:color w:val="auto"/>
                <w:szCs w:val="21"/>
                <w:highlight w:val="none"/>
              </w:rPr>
              <w:t>名称</w:t>
            </w:r>
          </w:p>
        </w:tc>
        <w:tc>
          <w:tcPr>
            <w:tcW w:w="1081" w:type="dxa"/>
            <w:noWrap w:val="0"/>
            <w:vAlign w:val="center"/>
          </w:tcPr>
          <w:p>
            <w:pPr>
              <w:snapToGrid w:val="0"/>
              <w:spacing w:line="360" w:lineRule="exact"/>
              <w:jc w:val="center"/>
              <w:rPr>
                <w:rFonts w:hint="eastAsia" w:ascii="宋体" w:hAnsi="宋体"/>
                <w:color w:val="auto"/>
                <w:szCs w:val="21"/>
                <w:highlight w:val="none"/>
              </w:rPr>
            </w:pPr>
            <w:r>
              <w:rPr>
                <w:rFonts w:hint="eastAsia" w:ascii="宋体" w:hAnsi="宋体"/>
                <w:color w:val="auto"/>
                <w:szCs w:val="21"/>
                <w:highlight w:val="none"/>
              </w:rPr>
              <w:t>商标</w:t>
            </w:r>
          </w:p>
          <w:p>
            <w:pPr>
              <w:snapToGrid w:val="0"/>
              <w:spacing w:line="360" w:lineRule="exact"/>
              <w:jc w:val="center"/>
              <w:rPr>
                <w:rFonts w:hint="eastAsia" w:ascii="宋体" w:hAnsi="宋体"/>
                <w:color w:val="auto"/>
                <w:szCs w:val="21"/>
                <w:highlight w:val="none"/>
              </w:rPr>
            </w:pPr>
            <w:r>
              <w:rPr>
                <w:rFonts w:hint="eastAsia" w:ascii="宋体" w:hAnsi="宋体"/>
                <w:color w:val="auto"/>
                <w:szCs w:val="21"/>
                <w:highlight w:val="none"/>
              </w:rPr>
              <w:t>品牌</w:t>
            </w:r>
          </w:p>
        </w:tc>
        <w:tc>
          <w:tcPr>
            <w:tcW w:w="1194" w:type="dxa"/>
            <w:noWrap w:val="0"/>
            <w:vAlign w:val="center"/>
          </w:tcPr>
          <w:p>
            <w:pPr>
              <w:snapToGrid w:val="0"/>
              <w:spacing w:line="360" w:lineRule="exact"/>
              <w:jc w:val="center"/>
              <w:rPr>
                <w:rFonts w:hint="eastAsia" w:ascii="宋体" w:hAnsi="宋体"/>
                <w:color w:val="auto"/>
                <w:szCs w:val="21"/>
                <w:highlight w:val="none"/>
              </w:rPr>
            </w:pPr>
            <w:r>
              <w:rPr>
                <w:rFonts w:hint="eastAsia" w:ascii="宋体" w:hAnsi="宋体"/>
                <w:color w:val="auto"/>
                <w:szCs w:val="21"/>
                <w:highlight w:val="none"/>
              </w:rPr>
              <w:t>型号</w:t>
            </w:r>
          </w:p>
          <w:p>
            <w:pPr>
              <w:snapToGrid w:val="0"/>
              <w:spacing w:line="360" w:lineRule="exact"/>
              <w:jc w:val="center"/>
              <w:rPr>
                <w:rFonts w:hint="eastAsia" w:ascii="宋体" w:hAnsi="宋体"/>
                <w:color w:val="auto"/>
                <w:szCs w:val="21"/>
                <w:highlight w:val="none"/>
              </w:rPr>
            </w:pPr>
            <w:r>
              <w:rPr>
                <w:rFonts w:hint="eastAsia" w:ascii="宋体" w:hAnsi="宋体"/>
                <w:color w:val="auto"/>
                <w:szCs w:val="21"/>
                <w:highlight w:val="none"/>
              </w:rPr>
              <w:t>参数</w:t>
            </w:r>
          </w:p>
        </w:tc>
        <w:tc>
          <w:tcPr>
            <w:tcW w:w="1193" w:type="dxa"/>
            <w:noWrap w:val="0"/>
            <w:vAlign w:val="center"/>
          </w:tcPr>
          <w:p>
            <w:pPr>
              <w:snapToGrid w:val="0"/>
              <w:spacing w:line="360" w:lineRule="exact"/>
              <w:jc w:val="center"/>
              <w:rPr>
                <w:rFonts w:hint="eastAsia" w:ascii="宋体" w:hAnsi="宋体"/>
                <w:color w:val="auto"/>
                <w:szCs w:val="21"/>
                <w:highlight w:val="none"/>
              </w:rPr>
            </w:pPr>
            <w:r>
              <w:rPr>
                <w:rFonts w:hint="eastAsia" w:ascii="宋体" w:hAnsi="宋体"/>
                <w:color w:val="auto"/>
                <w:szCs w:val="21"/>
                <w:highlight w:val="none"/>
              </w:rPr>
              <w:t>生产</w:t>
            </w:r>
          </w:p>
          <w:p>
            <w:pPr>
              <w:snapToGrid w:val="0"/>
              <w:spacing w:line="360" w:lineRule="exact"/>
              <w:jc w:val="center"/>
              <w:rPr>
                <w:rFonts w:hint="eastAsia" w:ascii="宋体" w:hAnsi="宋体"/>
                <w:color w:val="auto"/>
                <w:szCs w:val="21"/>
                <w:highlight w:val="none"/>
              </w:rPr>
            </w:pPr>
            <w:r>
              <w:rPr>
                <w:rFonts w:hint="eastAsia" w:ascii="宋体" w:hAnsi="宋体"/>
                <w:color w:val="auto"/>
                <w:szCs w:val="21"/>
                <w:highlight w:val="none"/>
              </w:rPr>
              <w:t>厂家</w:t>
            </w:r>
          </w:p>
        </w:tc>
        <w:tc>
          <w:tcPr>
            <w:tcW w:w="672" w:type="dxa"/>
            <w:noWrap w:val="0"/>
            <w:vAlign w:val="center"/>
          </w:tcPr>
          <w:p>
            <w:pPr>
              <w:snapToGrid w:val="0"/>
              <w:spacing w:line="360" w:lineRule="exact"/>
              <w:jc w:val="center"/>
              <w:rPr>
                <w:rFonts w:hint="eastAsia" w:ascii="宋体" w:hAnsi="宋体"/>
                <w:color w:val="auto"/>
                <w:szCs w:val="21"/>
                <w:highlight w:val="none"/>
              </w:rPr>
            </w:pPr>
            <w:r>
              <w:rPr>
                <w:rFonts w:hint="eastAsia" w:ascii="宋体" w:hAnsi="宋体"/>
                <w:color w:val="auto"/>
                <w:szCs w:val="21"/>
                <w:highlight w:val="none"/>
              </w:rPr>
              <w:t>数  量</w:t>
            </w:r>
          </w:p>
        </w:tc>
        <w:tc>
          <w:tcPr>
            <w:tcW w:w="1080" w:type="dxa"/>
            <w:noWrap w:val="0"/>
            <w:vAlign w:val="center"/>
          </w:tcPr>
          <w:p>
            <w:pPr>
              <w:snapToGrid w:val="0"/>
              <w:spacing w:line="360" w:lineRule="exact"/>
              <w:jc w:val="center"/>
              <w:rPr>
                <w:rFonts w:hint="eastAsia" w:ascii="宋体" w:hAnsi="宋体"/>
                <w:color w:val="auto"/>
                <w:szCs w:val="21"/>
                <w:highlight w:val="none"/>
              </w:rPr>
            </w:pPr>
            <w:r>
              <w:rPr>
                <w:rFonts w:hint="eastAsia" w:ascii="宋体" w:hAnsi="宋体"/>
                <w:color w:val="auto"/>
                <w:szCs w:val="21"/>
                <w:highlight w:val="none"/>
              </w:rPr>
              <w:t>单位</w:t>
            </w:r>
          </w:p>
        </w:tc>
        <w:tc>
          <w:tcPr>
            <w:tcW w:w="1080" w:type="dxa"/>
            <w:noWrap w:val="0"/>
            <w:vAlign w:val="center"/>
          </w:tcPr>
          <w:p>
            <w:pPr>
              <w:snapToGrid w:val="0"/>
              <w:spacing w:line="360" w:lineRule="exact"/>
              <w:jc w:val="center"/>
              <w:rPr>
                <w:rFonts w:hint="eastAsia" w:ascii="宋体" w:hAnsi="宋体"/>
                <w:color w:val="auto"/>
                <w:szCs w:val="21"/>
                <w:highlight w:val="none"/>
              </w:rPr>
            </w:pPr>
            <w:r>
              <w:rPr>
                <w:rFonts w:hint="eastAsia" w:ascii="宋体" w:hAnsi="宋体"/>
                <w:color w:val="auto"/>
                <w:szCs w:val="21"/>
                <w:highlight w:val="none"/>
              </w:rPr>
              <w:t>单  价</w:t>
            </w:r>
          </w:p>
          <w:p>
            <w:pPr>
              <w:snapToGrid w:val="0"/>
              <w:spacing w:line="360" w:lineRule="exact"/>
              <w:jc w:val="center"/>
              <w:rPr>
                <w:rFonts w:hint="eastAsia" w:ascii="宋体" w:hAnsi="宋体"/>
                <w:color w:val="auto"/>
                <w:szCs w:val="21"/>
                <w:highlight w:val="none"/>
              </w:rPr>
            </w:pPr>
            <w:r>
              <w:rPr>
                <w:rFonts w:hint="eastAsia" w:ascii="宋体" w:hAnsi="宋体"/>
                <w:color w:val="auto"/>
                <w:szCs w:val="21"/>
                <w:highlight w:val="none"/>
              </w:rPr>
              <w:t>（元）</w:t>
            </w:r>
          </w:p>
        </w:tc>
        <w:tc>
          <w:tcPr>
            <w:tcW w:w="1440" w:type="dxa"/>
            <w:noWrap w:val="0"/>
            <w:vAlign w:val="center"/>
          </w:tcPr>
          <w:p>
            <w:pPr>
              <w:snapToGrid w:val="0"/>
              <w:spacing w:line="360" w:lineRule="exact"/>
              <w:jc w:val="center"/>
              <w:rPr>
                <w:rFonts w:hint="eastAsia" w:ascii="宋体" w:hAnsi="宋体"/>
                <w:color w:val="auto"/>
                <w:szCs w:val="21"/>
                <w:highlight w:val="none"/>
              </w:rPr>
            </w:pPr>
            <w:r>
              <w:rPr>
                <w:rFonts w:hint="eastAsia" w:ascii="宋体" w:hAnsi="宋体"/>
                <w:color w:val="auto"/>
                <w:szCs w:val="21"/>
                <w:highlight w:val="none"/>
              </w:rPr>
              <w:t>金  额</w:t>
            </w:r>
          </w:p>
          <w:p>
            <w:pPr>
              <w:snapToGrid w:val="0"/>
              <w:spacing w:line="360" w:lineRule="exact"/>
              <w:jc w:val="center"/>
              <w:rPr>
                <w:rFonts w:hint="eastAsia" w:ascii="宋体" w:hAnsi="宋体"/>
                <w:color w:val="auto"/>
                <w:szCs w:val="21"/>
                <w:highlight w:val="none"/>
              </w:rPr>
            </w:pPr>
            <w:r>
              <w:rPr>
                <w:rFonts w:hint="eastAsia" w:ascii="宋体" w:hAnsi="宋体"/>
                <w:color w:val="auto"/>
                <w:szCs w:val="21"/>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trPr>
        <w:tc>
          <w:tcPr>
            <w:tcW w:w="9540" w:type="dxa"/>
            <w:gridSpan w:val="9"/>
            <w:noWrap w:val="0"/>
            <w:vAlign w:val="center"/>
          </w:tcPr>
          <w:p>
            <w:pPr>
              <w:snapToGrid w:val="0"/>
              <w:spacing w:line="360" w:lineRule="exact"/>
              <w:jc w:val="center"/>
              <w:rPr>
                <w:rFonts w:hint="eastAsia" w:ascii="宋体" w:hAnsi="宋体"/>
                <w:color w:val="auto"/>
                <w:szCs w:val="21"/>
                <w:highlight w:val="none"/>
              </w:rPr>
            </w:pPr>
            <w:r>
              <w:rPr>
                <w:rFonts w:hint="eastAsia" w:ascii="宋体" w:hAnsi="宋体"/>
                <w:color w:val="auto"/>
                <w:szCs w:val="21"/>
                <w:highlight w:val="none"/>
              </w:rPr>
              <w:t>详细内容见“</w:t>
            </w:r>
            <w:r>
              <w:rPr>
                <w:rFonts w:hint="eastAsia" w:ascii="宋体" w:hAnsi="宋体"/>
                <w:b/>
                <w:color w:val="auto"/>
                <w:szCs w:val="21"/>
                <w:highlight w:val="none"/>
              </w:rPr>
              <w:t>投标报价明细表</w:t>
            </w:r>
            <w:r>
              <w:rPr>
                <w:rFonts w:hint="eastAsia" w:ascii="宋体" w:hAnsi="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540" w:type="dxa"/>
            <w:gridSpan w:val="9"/>
            <w:noWrap w:val="0"/>
            <w:vAlign w:val="center"/>
          </w:tcPr>
          <w:p>
            <w:pPr>
              <w:snapToGrid w:val="0"/>
              <w:spacing w:line="360" w:lineRule="exact"/>
              <w:rPr>
                <w:rFonts w:hint="eastAsia" w:ascii="宋体" w:hAnsi="宋体"/>
                <w:color w:val="auto"/>
                <w:szCs w:val="21"/>
                <w:highlight w:val="none"/>
              </w:rPr>
            </w:pPr>
            <w:r>
              <w:rPr>
                <w:rFonts w:hint="eastAsia" w:ascii="宋体" w:hAnsi="宋体"/>
                <w:color w:val="auto"/>
                <w:szCs w:val="21"/>
                <w:highlight w:val="none"/>
              </w:rPr>
              <w:t xml:space="preserve">人民币合计金额（大写）                          （小写）                 </w:t>
            </w:r>
          </w:p>
        </w:tc>
      </w:tr>
    </w:tbl>
    <w:p>
      <w:pPr>
        <w:pStyle w:val="27"/>
        <w:spacing w:line="420" w:lineRule="exact"/>
        <w:ind w:firstLine="420" w:firstLineChars="200"/>
        <w:rPr>
          <w:rFonts w:hint="eastAsia" w:hAnsi="宋体"/>
          <w:color w:val="auto"/>
          <w:highlight w:val="none"/>
        </w:rPr>
      </w:pPr>
      <w:r>
        <w:rPr>
          <w:rFonts w:hint="eastAsia" w:hAnsi="宋体"/>
          <w:color w:val="auto"/>
          <w:highlight w:val="none"/>
        </w:rPr>
        <w:t>2.合同合计金额包括货物价款，备件、专用工具、安装、调试、检验、技术培训及技术资料和包装、运输等全部费用。如招投标文件对其另有规定的，从其规定。</w:t>
      </w:r>
    </w:p>
    <w:p>
      <w:pPr>
        <w:snapToGrid w:val="0"/>
        <w:spacing w:line="360" w:lineRule="exact"/>
        <w:ind w:firstLine="421" w:firstLineChars="200"/>
        <w:rPr>
          <w:rFonts w:hint="eastAsia" w:ascii="宋体" w:hAnsi="宋体"/>
          <w:color w:val="auto"/>
          <w:szCs w:val="21"/>
          <w:highlight w:val="none"/>
        </w:rPr>
      </w:pPr>
      <w:r>
        <w:rPr>
          <w:rFonts w:hint="eastAsia" w:ascii="宋体" w:hAnsi="宋体"/>
          <w:b/>
          <w:color w:val="auto"/>
          <w:szCs w:val="21"/>
          <w:highlight w:val="none"/>
        </w:rPr>
        <w:t>第二条　质量保证</w:t>
      </w:r>
    </w:p>
    <w:p>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1.乙方所提供的货物型号、技术规格、技术参数等质量必须与招投标文件和承诺相一致。乙方提供的节能和环保产品必须是列入政府采购清单的产品。</w:t>
      </w:r>
    </w:p>
    <w:p>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2.乙方所提供的货物必须是全新、未使用的原装产品，且在正常安装、使用和保养条件下，其使用寿命期内各项指标均达到质量要求。</w:t>
      </w:r>
    </w:p>
    <w:p>
      <w:pPr>
        <w:snapToGrid w:val="0"/>
        <w:spacing w:line="360" w:lineRule="exact"/>
        <w:ind w:firstLine="421" w:firstLineChars="200"/>
        <w:rPr>
          <w:rFonts w:hint="eastAsia" w:ascii="宋体" w:hAnsi="宋体"/>
          <w:color w:val="auto"/>
          <w:szCs w:val="21"/>
          <w:highlight w:val="none"/>
        </w:rPr>
      </w:pPr>
      <w:r>
        <w:rPr>
          <w:rFonts w:hint="eastAsia" w:ascii="宋体" w:hAnsi="宋体"/>
          <w:b/>
          <w:color w:val="auto"/>
          <w:szCs w:val="21"/>
          <w:highlight w:val="none"/>
        </w:rPr>
        <w:t>第三条　权利保证</w:t>
      </w:r>
    </w:p>
    <w:p>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乙方应保证所提供货物在使用时不会侵犯任何第三方的专利权、商标权、工业设计权或其他权利。</w:t>
      </w:r>
    </w:p>
    <w:p>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乙方应按招标文件规定的时间向甲方提供使用货物的有关技术资料。</w:t>
      </w:r>
    </w:p>
    <w:p>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乙方保证所交付的货物的所有权完全属于乙方且无任何抵押、质押、查封等产权瑕疵。</w:t>
      </w:r>
    </w:p>
    <w:p>
      <w:pPr>
        <w:snapToGrid w:val="0"/>
        <w:spacing w:line="360" w:lineRule="exact"/>
        <w:ind w:firstLine="421" w:firstLineChars="200"/>
        <w:rPr>
          <w:rFonts w:hint="eastAsia" w:ascii="宋体" w:hAnsi="宋体"/>
          <w:b/>
          <w:color w:val="auto"/>
          <w:szCs w:val="21"/>
          <w:highlight w:val="none"/>
        </w:rPr>
      </w:pPr>
      <w:r>
        <w:rPr>
          <w:rFonts w:hint="eastAsia" w:ascii="宋体" w:hAnsi="宋体"/>
          <w:b/>
          <w:color w:val="auto"/>
          <w:szCs w:val="21"/>
          <w:highlight w:val="none"/>
        </w:rPr>
        <w:t>第四条　包装和运输</w:t>
      </w:r>
    </w:p>
    <w:p>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1.乙方提供的货物均应按招投标文件要求的包装材料、包装标准、包装方式进行包装，每一包装单元内应附详细的装箱单和质量合格证。</w:t>
      </w:r>
    </w:p>
    <w:p>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2.货物的运输方式：</w:t>
      </w:r>
      <w:r>
        <w:rPr>
          <w:rFonts w:hint="eastAsia" w:ascii="宋体" w:hAnsi="宋体"/>
          <w:color w:val="auto"/>
          <w:szCs w:val="21"/>
          <w:highlight w:val="none"/>
          <w:u w:val="single"/>
        </w:rPr>
        <w:t xml:space="preserve">   乙方自定  。</w:t>
      </w:r>
    </w:p>
    <w:p>
      <w:pPr>
        <w:snapToGrid w:val="0"/>
        <w:spacing w:line="360" w:lineRule="exact"/>
        <w:ind w:firstLine="420" w:firstLineChars="200"/>
        <w:rPr>
          <w:rFonts w:hint="eastAsia" w:ascii="宋体" w:hAnsi="宋体"/>
          <w:color w:val="auto"/>
          <w:szCs w:val="21"/>
          <w:highlight w:val="none"/>
          <w:u w:val="single"/>
        </w:rPr>
      </w:pPr>
      <w:r>
        <w:rPr>
          <w:rFonts w:hint="eastAsia" w:ascii="宋体" w:hAnsi="宋体"/>
          <w:color w:val="auto"/>
          <w:szCs w:val="21"/>
          <w:highlight w:val="none"/>
        </w:rPr>
        <w:t>3.乙方负责货物运输，货物运输合理损耗及计算方法：</w:t>
      </w:r>
      <w:r>
        <w:rPr>
          <w:rFonts w:hint="eastAsia" w:ascii="宋体" w:hAnsi="宋体"/>
          <w:color w:val="auto"/>
          <w:szCs w:val="21"/>
          <w:highlight w:val="none"/>
          <w:u w:val="single"/>
        </w:rPr>
        <w:t xml:space="preserve">        由乙方负责   。</w:t>
      </w:r>
    </w:p>
    <w:p>
      <w:pPr>
        <w:snapToGrid w:val="0"/>
        <w:spacing w:line="360" w:lineRule="exact"/>
        <w:ind w:firstLine="421" w:firstLineChars="200"/>
        <w:rPr>
          <w:rFonts w:hint="eastAsia" w:ascii="宋体" w:hAnsi="宋体"/>
          <w:color w:val="auto"/>
          <w:szCs w:val="21"/>
          <w:highlight w:val="none"/>
        </w:rPr>
      </w:pPr>
      <w:r>
        <w:rPr>
          <w:rFonts w:hint="eastAsia" w:ascii="宋体" w:hAnsi="宋体"/>
          <w:b/>
          <w:color w:val="auto"/>
          <w:szCs w:val="21"/>
          <w:highlight w:val="none"/>
        </w:rPr>
        <w:t>第五条　交付和验收</w:t>
      </w:r>
    </w:p>
    <w:p>
      <w:pPr>
        <w:snapToGrid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1.交付使用时间：</w:t>
      </w:r>
      <w:r>
        <w:rPr>
          <w:rFonts w:hint="eastAsia" w:ascii="宋体" w:hAnsi="宋体"/>
          <w:color w:val="auto"/>
          <w:szCs w:val="21"/>
          <w:highlight w:val="none"/>
          <w:u w:val="single"/>
        </w:rPr>
        <w:t xml:space="preserve">按乙方投标文件中所承诺的时间 </w:t>
      </w:r>
      <w:r>
        <w:rPr>
          <w:rFonts w:hint="eastAsia" w:ascii="宋体" w:hAnsi="宋体"/>
          <w:color w:val="auto"/>
          <w:szCs w:val="21"/>
          <w:highlight w:val="none"/>
        </w:rPr>
        <w:t>、地点：</w:t>
      </w:r>
      <w:r>
        <w:rPr>
          <w:rFonts w:hint="eastAsia" w:ascii="宋体" w:hAnsi="宋体"/>
          <w:color w:val="auto"/>
          <w:szCs w:val="21"/>
          <w:highlight w:val="none"/>
          <w:u w:val="single"/>
        </w:rPr>
        <w:t xml:space="preserve"> 甲方指定地点。</w:t>
      </w:r>
    </w:p>
    <w:p>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2.乙方提供不符合招投标文件和本合同规定的货物，甲方有权拒绝接受。</w:t>
      </w:r>
    </w:p>
    <w:p>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3.乙方应将所提供货物的装箱清单、用户手册、原厂保修卡、随机资料、工具和备品、备件等交付给甲方，如有缺失应及时补齐，否则视为逾期交货。</w:t>
      </w:r>
    </w:p>
    <w:p>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4.甲方应当在到货并安装、调试完后七个工作日内进行验收，逾期不验收的，乙方可视同验收合格。验收合格后由甲乙双方签署货物验收单并加盖采购单位公章，甲乙双方各执一份。</w:t>
      </w:r>
    </w:p>
    <w:p>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5.采购人委托本中心组织的验收项目，其验收时间以该项目验收方案确定的验收时间为准，验收结果以该项目验收报告结论为准。在验收过程中发现乙方有违约问题，可暂缓资金结算，待违约问题解决后，方可办理资金结算事宜。</w:t>
      </w:r>
    </w:p>
    <w:p>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6.甲方对验收有异议的，在验收后五个工作日内以书面形式向乙方提出，乙方应自收到甲方书面异议后</w:t>
      </w:r>
      <w:r>
        <w:rPr>
          <w:rFonts w:hint="eastAsia" w:ascii="宋体" w:hAnsi="宋体"/>
          <w:color w:val="auto"/>
          <w:szCs w:val="21"/>
          <w:highlight w:val="none"/>
          <w:u w:val="single"/>
        </w:rPr>
        <w:t xml:space="preserve">                            </w:t>
      </w:r>
      <w:r>
        <w:rPr>
          <w:rFonts w:hint="eastAsia" w:ascii="宋体" w:hAnsi="宋体"/>
          <w:color w:val="auto"/>
          <w:szCs w:val="21"/>
          <w:highlight w:val="none"/>
        </w:rPr>
        <w:t>日内及时予以解决。</w:t>
      </w:r>
    </w:p>
    <w:p>
      <w:pPr>
        <w:snapToGrid w:val="0"/>
        <w:spacing w:line="360" w:lineRule="exact"/>
        <w:ind w:firstLine="421" w:firstLineChars="200"/>
        <w:rPr>
          <w:rFonts w:hint="eastAsia" w:ascii="宋体" w:hAnsi="宋体"/>
          <w:b/>
          <w:color w:val="auto"/>
          <w:szCs w:val="21"/>
          <w:highlight w:val="none"/>
        </w:rPr>
      </w:pPr>
      <w:r>
        <w:rPr>
          <w:rFonts w:hint="eastAsia" w:ascii="宋体" w:hAnsi="宋体"/>
          <w:b/>
          <w:color w:val="auto"/>
          <w:szCs w:val="21"/>
          <w:highlight w:val="none"/>
        </w:rPr>
        <w:t>第六条　安装和培训</w:t>
      </w:r>
    </w:p>
    <w:p>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1.甲方应提供必要安装条件（如场地、电源、水源等）。</w:t>
      </w:r>
    </w:p>
    <w:p>
      <w:pPr>
        <w:snapToGrid w:val="0"/>
        <w:spacing w:line="360" w:lineRule="exact"/>
        <w:ind w:firstLine="420" w:firstLineChars="200"/>
        <w:rPr>
          <w:rFonts w:hint="eastAsia" w:ascii="宋体" w:hAnsi="宋体"/>
          <w:color w:val="auto"/>
          <w:szCs w:val="21"/>
          <w:highlight w:val="none"/>
          <w:u w:val="single"/>
        </w:rPr>
      </w:pPr>
      <w:r>
        <w:rPr>
          <w:rFonts w:hint="eastAsia" w:ascii="宋体" w:hAnsi="宋体"/>
          <w:color w:val="auto"/>
          <w:szCs w:val="21"/>
          <w:highlight w:val="none"/>
        </w:rPr>
        <w:t>2.乙方负责甲方有关人员的培训。培训时间、地点：</w:t>
      </w:r>
      <w:r>
        <w:rPr>
          <w:rFonts w:hint="eastAsia" w:ascii="宋体" w:hAnsi="宋体"/>
          <w:color w:val="auto"/>
          <w:szCs w:val="21"/>
          <w:highlight w:val="none"/>
          <w:u w:val="single"/>
        </w:rPr>
        <w:t xml:space="preserve">        由甲方决定     。</w:t>
      </w:r>
    </w:p>
    <w:p>
      <w:pPr>
        <w:snapToGrid w:val="0"/>
        <w:spacing w:line="360" w:lineRule="exact"/>
        <w:ind w:firstLine="421" w:firstLineChars="200"/>
        <w:rPr>
          <w:rFonts w:hint="eastAsia" w:ascii="宋体" w:hAnsi="宋体"/>
          <w:b/>
          <w:color w:val="auto"/>
          <w:szCs w:val="21"/>
          <w:highlight w:val="none"/>
        </w:rPr>
      </w:pPr>
      <w:r>
        <w:rPr>
          <w:rFonts w:hint="eastAsia" w:ascii="宋体" w:hAnsi="宋体"/>
          <w:b/>
          <w:color w:val="auto"/>
          <w:szCs w:val="21"/>
          <w:highlight w:val="none"/>
        </w:rPr>
        <w:t>第七条  售后服务、保修期</w:t>
      </w:r>
    </w:p>
    <w:p>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1.乙方应按照国家有关法律法规和“三包”规定以及招投标文件和本合同所附的《服务承诺》，为甲方提供售后服务。</w:t>
      </w:r>
    </w:p>
    <w:p>
      <w:pPr>
        <w:snapToGrid w:val="0"/>
        <w:spacing w:line="360" w:lineRule="exact"/>
        <w:ind w:firstLine="420" w:firstLineChars="200"/>
        <w:rPr>
          <w:rFonts w:hint="eastAsia" w:ascii="宋体" w:hAnsi="宋体"/>
          <w:color w:val="auto"/>
          <w:szCs w:val="21"/>
          <w:highlight w:val="none"/>
          <w:u w:val="single"/>
        </w:rPr>
      </w:pPr>
      <w:r>
        <w:rPr>
          <w:rFonts w:hint="eastAsia" w:ascii="宋体" w:hAnsi="宋体"/>
          <w:color w:val="auto"/>
          <w:szCs w:val="21"/>
          <w:highlight w:val="none"/>
        </w:rPr>
        <w:t>2.货物保修期：</w:t>
      </w:r>
      <w:r>
        <w:rPr>
          <w:rFonts w:hint="eastAsia" w:ascii="宋体" w:hAnsi="宋体"/>
          <w:b/>
          <w:color w:val="auto"/>
          <w:szCs w:val="21"/>
          <w:highlight w:val="none"/>
          <w:u w:val="single"/>
        </w:rPr>
        <w:t xml:space="preserve">按乙方承诺，但是不得低于国家相关标准   </w:t>
      </w:r>
      <w:r>
        <w:rPr>
          <w:rFonts w:hint="eastAsia" w:ascii="宋体" w:hAnsi="宋体"/>
          <w:color w:val="auto"/>
          <w:szCs w:val="21"/>
          <w:highlight w:val="none"/>
        </w:rPr>
        <w:t>。</w:t>
      </w:r>
    </w:p>
    <w:p>
      <w:pPr>
        <w:snapToGrid w:val="0"/>
        <w:spacing w:line="360" w:lineRule="exact"/>
        <w:ind w:firstLine="420" w:firstLineChars="200"/>
        <w:rPr>
          <w:rFonts w:hint="eastAsia" w:ascii="宋体" w:hAnsi="宋体"/>
          <w:color w:val="auto"/>
          <w:szCs w:val="21"/>
          <w:highlight w:val="none"/>
          <w:u w:val="single"/>
        </w:rPr>
      </w:pPr>
      <w:r>
        <w:rPr>
          <w:rFonts w:hint="eastAsia" w:ascii="宋体" w:hAnsi="宋体"/>
          <w:color w:val="auto"/>
          <w:szCs w:val="21"/>
          <w:highlight w:val="none"/>
        </w:rPr>
        <w:t>3.乙方提供的服务承诺和售后服务及保修期责任等其它具体约定事项。（见合同附件）</w:t>
      </w:r>
    </w:p>
    <w:p>
      <w:pPr>
        <w:snapToGrid w:val="0"/>
        <w:spacing w:line="360" w:lineRule="exact"/>
        <w:ind w:firstLine="421" w:firstLineChars="200"/>
        <w:rPr>
          <w:rFonts w:hint="eastAsia" w:ascii="宋体" w:hAnsi="宋体"/>
          <w:color w:val="auto"/>
          <w:szCs w:val="21"/>
          <w:highlight w:val="none"/>
        </w:rPr>
      </w:pPr>
      <w:r>
        <w:rPr>
          <w:rFonts w:hint="eastAsia" w:ascii="宋体" w:hAnsi="宋体"/>
          <w:b/>
          <w:color w:val="auto"/>
          <w:szCs w:val="21"/>
          <w:highlight w:val="none"/>
        </w:rPr>
        <w:t>第八条　付款方式和保证金</w:t>
      </w:r>
    </w:p>
    <w:p>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1.当采购数量与实际使用数量不一致时，乙方应根据实际使用量供货，合同的最终结算金额按实际使用量乘以</w:t>
      </w:r>
      <w:r>
        <w:rPr>
          <w:rFonts w:hint="default" w:ascii="宋体" w:hAnsi="宋体"/>
          <w:color w:val="auto"/>
          <w:szCs w:val="21"/>
          <w:highlight w:val="none"/>
          <w:lang w:val="en"/>
        </w:rPr>
        <w:t>中标</w:t>
      </w:r>
      <w:r>
        <w:rPr>
          <w:rFonts w:hint="eastAsia" w:ascii="宋体" w:hAnsi="宋体"/>
          <w:color w:val="auto"/>
          <w:szCs w:val="21"/>
          <w:highlight w:val="none"/>
        </w:rPr>
        <w:t>单价进行计算。</w:t>
      </w:r>
    </w:p>
    <w:p>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2.资金性质：</w:t>
      </w:r>
      <w:r>
        <w:rPr>
          <w:rFonts w:hint="eastAsia" w:ascii="宋体" w:hAnsi="宋体"/>
          <w:color w:val="auto"/>
          <w:szCs w:val="21"/>
          <w:highlight w:val="none"/>
          <w:u w:val="single"/>
        </w:rPr>
        <w:t>财政性资金</w:t>
      </w:r>
      <w:r>
        <w:rPr>
          <w:rFonts w:hint="eastAsia" w:ascii="宋体" w:hAnsi="宋体"/>
          <w:color w:val="auto"/>
          <w:szCs w:val="21"/>
          <w:highlight w:val="none"/>
        </w:rPr>
        <w:t>。</w:t>
      </w:r>
    </w:p>
    <w:p>
      <w:pPr>
        <w:snapToGrid w:val="0"/>
        <w:spacing w:line="360" w:lineRule="exact"/>
        <w:ind w:firstLine="420" w:firstLineChars="200"/>
        <w:rPr>
          <w:rFonts w:hint="eastAsia" w:ascii="宋体" w:hAnsi="宋体"/>
          <w:color w:val="auto"/>
          <w:szCs w:val="21"/>
          <w:highlight w:val="none"/>
          <w:u w:val="single"/>
        </w:rPr>
      </w:pPr>
      <w:r>
        <w:rPr>
          <w:rFonts w:hint="eastAsia" w:ascii="宋体" w:hAnsi="宋体"/>
          <w:color w:val="auto"/>
          <w:szCs w:val="21"/>
          <w:highlight w:val="none"/>
        </w:rPr>
        <w:t>3.付款方式：</w:t>
      </w:r>
      <w:r>
        <w:rPr>
          <w:rFonts w:hint="eastAsia" w:ascii="宋体" w:hAnsi="宋体" w:cs="宋体"/>
          <w:color w:val="auto"/>
          <w:kern w:val="0"/>
          <w:szCs w:val="21"/>
          <w:highlight w:val="none"/>
        </w:rPr>
        <w:t>签订合同后，</w:t>
      </w:r>
      <w:r>
        <w:rPr>
          <w:rFonts w:hint="eastAsia" w:ascii="宋体" w:hAnsi="宋体" w:cs="宋体"/>
          <w:color w:val="auto"/>
          <w:kern w:val="0"/>
          <w:szCs w:val="21"/>
          <w:highlight w:val="none"/>
          <w:lang w:eastAsia="zh-CN"/>
        </w:rPr>
        <w:t>中标供应商</w:t>
      </w:r>
      <w:r>
        <w:rPr>
          <w:rFonts w:hint="eastAsia" w:ascii="宋体" w:hAnsi="宋体" w:cs="宋体"/>
          <w:color w:val="auto"/>
          <w:kern w:val="0"/>
          <w:szCs w:val="21"/>
          <w:highlight w:val="none"/>
        </w:rPr>
        <w:t>须向采购人提供合同总金额30%的预付款保函</w:t>
      </w:r>
      <w:r>
        <w:rPr>
          <w:rFonts w:hint="eastAsia" w:ascii="宋体" w:hAnsi="宋体" w:cs="宋体"/>
          <w:color w:val="auto"/>
          <w:kern w:val="0"/>
          <w:szCs w:val="21"/>
          <w:highlight w:val="none"/>
          <w:lang w:eastAsia="zh-CN"/>
        </w:rPr>
        <w:t>（</w:t>
      </w:r>
      <w:r>
        <w:rPr>
          <w:rFonts w:hint="eastAsia"/>
          <w:color w:val="auto"/>
          <w:highlight w:val="none"/>
          <w:lang w:eastAsia="zh-CN"/>
        </w:rPr>
        <w:t>保函有效期至项目验收合格并交付甲方使用止</w:t>
      </w:r>
      <w:r>
        <w:rPr>
          <w:rFonts w:hint="eastAsia" w:ascii="宋体" w:hAnsi="宋体" w:cs="宋体"/>
          <w:color w:val="auto"/>
          <w:kern w:val="0"/>
          <w:szCs w:val="21"/>
          <w:highlight w:val="none"/>
        </w:rPr>
        <w:t>）及开具增值税专用发票，采购人收到预付款保函及发票后</w:t>
      </w:r>
      <w:r>
        <w:rPr>
          <w:rFonts w:hint="eastAsia" w:ascii="宋体" w:hAnsi="宋体" w:cs="宋体"/>
          <w:color w:val="auto"/>
          <w:kern w:val="0"/>
          <w:szCs w:val="21"/>
          <w:highlight w:val="none"/>
          <w:lang w:eastAsia="zh-CN"/>
        </w:rPr>
        <w:t>10个工作日</w:t>
      </w:r>
      <w:r>
        <w:rPr>
          <w:rFonts w:hint="eastAsia" w:ascii="宋体" w:hAnsi="宋体" w:cs="宋体"/>
          <w:color w:val="auto"/>
          <w:kern w:val="0"/>
          <w:szCs w:val="21"/>
          <w:highlight w:val="none"/>
        </w:rPr>
        <w:t>内向</w:t>
      </w:r>
      <w:r>
        <w:rPr>
          <w:rFonts w:hint="eastAsia" w:ascii="宋体" w:hAnsi="宋体" w:cs="宋体"/>
          <w:color w:val="auto"/>
          <w:kern w:val="0"/>
          <w:szCs w:val="21"/>
          <w:highlight w:val="none"/>
          <w:lang w:eastAsia="zh-CN"/>
        </w:rPr>
        <w:t>中标供应商</w:t>
      </w:r>
      <w:r>
        <w:rPr>
          <w:rFonts w:hint="eastAsia" w:ascii="宋体" w:hAnsi="宋体" w:cs="宋体"/>
          <w:color w:val="auto"/>
          <w:kern w:val="0"/>
          <w:szCs w:val="21"/>
          <w:highlight w:val="none"/>
        </w:rPr>
        <w:t>一次性支付合同总金额30%的预付款；供货到采购人指定地点后，</w:t>
      </w:r>
      <w:r>
        <w:rPr>
          <w:rFonts w:hint="eastAsia" w:ascii="宋体" w:hAnsi="宋体" w:cs="宋体"/>
          <w:color w:val="auto"/>
          <w:kern w:val="0"/>
          <w:szCs w:val="21"/>
          <w:highlight w:val="none"/>
          <w:lang w:eastAsia="zh-CN"/>
        </w:rPr>
        <w:t>中标供应商</w:t>
      </w:r>
      <w:r>
        <w:rPr>
          <w:rFonts w:hint="eastAsia" w:ascii="宋体" w:hAnsi="宋体" w:cs="宋体"/>
          <w:color w:val="auto"/>
          <w:kern w:val="0"/>
          <w:szCs w:val="21"/>
          <w:highlight w:val="none"/>
        </w:rPr>
        <w:t>开具增值税专用发票，采购人收到发票之日起</w:t>
      </w:r>
      <w:r>
        <w:rPr>
          <w:rFonts w:hint="eastAsia" w:ascii="宋体" w:hAnsi="宋体" w:cs="宋体"/>
          <w:color w:val="auto"/>
          <w:kern w:val="0"/>
          <w:szCs w:val="21"/>
          <w:highlight w:val="none"/>
          <w:lang w:eastAsia="zh-CN"/>
        </w:rPr>
        <w:t>10个工作日</w:t>
      </w:r>
      <w:r>
        <w:rPr>
          <w:rFonts w:hint="eastAsia" w:ascii="宋体" w:hAnsi="宋体" w:cs="宋体"/>
          <w:color w:val="auto"/>
          <w:kern w:val="0"/>
          <w:szCs w:val="21"/>
          <w:highlight w:val="none"/>
        </w:rPr>
        <w:t>内支付合同款的</w:t>
      </w:r>
      <w:r>
        <w:rPr>
          <w:rFonts w:hint="eastAsia" w:ascii="宋体" w:hAnsi="宋体" w:cs="宋体"/>
          <w:color w:val="auto"/>
          <w:kern w:val="0"/>
          <w:szCs w:val="21"/>
          <w:highlight w:val="none"/>
          <w:lang w:val="en-US" w:eastAsia="zh-CN"/>
        </w:rPr>
        <w:t>30</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完成</w:t>
      </w:r>
      <w:r>
        <w:rPr>
          <w:rFonts w:hint="eastAsia" w:ascii="宋体" w:hAnsi="宋体" w:cs="宋体"/>
          <w:color w:val="auto"/>
          <w:kern w:val="0"/>
          <w:szCs w:val="21"/>
          <w:highlight w:val="none"/>
          <w:lang w:val="en-US" w:eastAsia="zh-CN"/>
        </w:rPr>
        <w:t>全部井道建设</w:t>
      </w:r>
      <w:r>
        <w:rPr>
          <w:rFonts w:hint="eastAsia" w:ascii="宋体" w:hAnsi="宋体" w:cs="宋体"/>
          <w:color w:val="auto"/>
          <w:kern w:val="0"/>
          <w:szCs w:val="21"/>
          <w:highlight w:val="none"/>
        </w:rPr>
        <w:t>后，</w:t>
      </w:r>
      <w:r>
        <w:rPr>
          <w:rFonts w:hint="eastAsia" w:ascii="宋体" w:hAnsi="宋体" w:cs="宋体"/>
          <w:color w:val="auto"/>
          <w:kern w:val="0"/>
          <w:szCs w:val="21"/>
          <w:highlight w:val="none"/>
          <w:lang w:eastAsia="zh-CN"/>
        </w:rPr>
        <w:t>中标供应商</w:t>
      </w:r>
      <w:r>
        <w:rPr>
          <w:rFonts w:hint="eastAsia" w:ascii="宋体" w:hAnsi="宋体" w:cs="宋体"/>
          <w:color w:val="auto"/>
          <w:kern w:val="0"/>
          <w:szCs w:val="21"/>
          <w:highlight w:val="none"/>
        </w:rPr>
        <w:t>开具增值税专用发票，采购人收到发票之日起</w:t>
      </w:r>
      <w:r>
        <w:rPr>
          <w:rFonts w:hint="eastAsia" w:ascii="宋体" w:hAnsi="宋体" w:cs="宋体"/>
          <w:color w:val="auto"/>
          <w:kern w:val="0"/>
          <w:szCs w:val="21"/>
          <w:highlight w:val="none"/>
          <w:lang w:eastAsia="zh-CN"/>
        </w:rPr>
        <w:t>10个工作日</w:t>
      </w:r>
      <w:r>
        <w:rPr>
          <w:rFonts w:hint="eastAsia" w:ascii="宋体" w:hAnsi="宋体" w:cs="宋体"/>
          <w:color w:val="auto"/>
          <w:kern w:val="0"/>
          <w:szCs w:val="21"/>
          <w:highlight w:val="none"/>
        </w:rPr>
        <w:t>内支付合同款的</w:t>
      </w:r>
      <w:r>
        <w:rPr>
          <w:rFonts w:hint="eastAsia" w:ascii="宋体" w:hAnsi="宋体" w:cs="宋体"/>
          <w:color w:val="auto"/>
          <w:kern w:val="0"/>
          <w:szCs w:val="21"/>
          <w:highlight w:val="none"/>
          <w:lang w:val="en-US" w:eastAsia="zh-CN"/>
        </w:rPr>
        <w:t>30</w:t>
      </w:r>
      <w:r>
        <w:rPr>
          <w:rFonts w:hint="eastAsia" w:ascii="宋体" w:hAnsi="宋体" w:cs="宋体"/>
          <w:color w:val="auto"/>
          <w:kern w:val="0"/>
          <w:szCs w:val="21"/>
          <w:highlight w:val="none"/>
        </w:rPr>
        <w:t>%；安装及调试运转正常，经采购人最终验收合格后，</w:t>
      </w:r>
      <w:r>
        <w:rPr>
          <w:rFonts w:hint="eastAsia" w:ascii="宋体" w:hAnsi="宋体" w:cs="宋体"/>
          <w:color w:val="auto"/>
          <w:kern w:val="0"/>
          <w:szCs w:val="21"/>
          <w:highlight w:val="none"/>
          <w:lang w:eastAsia="zh-CN"/>
        </w:rPr>
        <w:t>中标供应商</w:t>
      </w:r>
      <w:r>
        <w:rPr>
          <w:rFonts w:hint="eastAsia" w:ascii="宋体" w:hAnsi="宋体" w:cs="宋体"/>
          <w:color w:val="auto"/>
          <w:kern w:val="0"/>
          <w:szCs w:val="21"/>
          <w:highlight w:val="none"/>
        </w:rPr>
        <w:t>开具增值税专用发票，采购人收到发票之日起</w:t>
      </w:r>
      <w:r>
        <w:rPr>
          <w:rFonts w:hint="eastAsia" w:ascii="宋体" w:hAnsi="宋体" w:cs="宋体"/>
          <w:color w:val="auto"/>
          <w:kern w:val="0"/>
          <w:szCs w:val="21"/>
          <w:highlight w:val="none"/>
          <w:lang w:eastAsia="zh-CN"/>
        </w:rPr>
        <w:t>10个工作日</w:t>
      </w:r>
      <w:r>
        <w:rPr>
          <w:rFonts w:hint="eastAsia" w:ascii="宋体" w:hAnsi="宋体" w:cs="宋体"/>
          <w:color w:val="auto"/>
          <w:kern w:val="0"/>
          <w:szCs w:val="21"/>
          <w:highlight w:val="none"/>
        </w:rPr>
        <w:t>内支付合同款的1</w:t>
      </w:r>
      <w:r>
        <w:rPr>
          <w:rFonts w:hint="eastAsia" w:ascii="宋体" w:hAnsi="宋体" w:cs="宋体"/>
          <w:color w:val="auto"/>
          <w:kern w:val="0"/>
          <w:szCs w:val="21"/>
          <w:highlight w:val="none"/>
          <w:lang w:val="en-US" w:eastAsia="zh-CN"/>
        </w:rPr>
        <w:t>0</w:t>
      </w:r>
      <w:r>
        <w:rPr>
          <w:rFonts w:hint="eastAsia" w:ascii="宋体" w:hAnsi="宋体" w:cs="宋体"/>
          <w:color w:val="auto"/>
          <w:kern w:val="0"/>
          <w:szCs w:val="21"/>
          <w:highlight w:val="none"/>
        </w:rPr>
        <w:t>%。本合同使用货币币制如未作特别说明均为人民币。</w:t>
      </w:r>
      <w:r>
        <w:rPr>
          <w:rFonts w:hint="eastAsia" w:ascii="宋体" w:hAnsi="宋体" w:cs="宋体"/>
          <w:color w:val="auto"/>
          <w:szCs w:val="21"/>
          <w:highlight w:val="none"/>
        </w:rPr>
        <w:t xml:space="preserve"> </w:t>
      </w:r>
    </w:p>
    <w:p>
      <w:pPr>
        <w:spacing w:line="360" w:lineRule="exact"/>
        <w:ind w:firstLine="210" w:firstLineChars="100"/>
        <w:rPr>
          <w:rFonts w:hint="eastAsia" w:ascii="宋体" w:hAnsi="宋体" w:cs="宋体"/>
          <w:color w:val="auto"/>
          <w:szCs w:val="21"/>
          <w:highlight w:val="none"/>
        </w:rPr>
      </w:pPr>
      <w:r>
        <w:rPr>
          <w:rFonts w:hint="eastAsia" w:ascii="宋体" w:hAnsi="宋体"/>
          <w:b/>
          <w:color w:val="auto"/>
          <w:szCs w:val="21"/>
          <w:highlight w:val="none"/>
        </w:rPr>
        <w:t>第九条 履约保证金 ：</w:t>
      </w:r>
      <w:r>
        <w:rPr>
          <w:rFonts w:hint="eastAsia" w:ascii="宋体" w:hAnsi="宋体" w:cs="宋体"/>
          <w:color w:val="auto"/>
          <w:szCs w:val="21"/>
          <w:highlight w:val="none"/>
        </w:rPr>
        <w:t>按本项目中标总金额的5%（如中标供应商为中小企业的，按本项目中标总金额2%）收取；</w:t>
      </w:r>
      <w:r>
        <w:rPr>
          <w:rFonts w:hint="eastAsia" w:ascii="宋体" w:hAnsi="宋体" w:cs="宋体"/>
          <w:color w:val="auto"/>
          <w:szCs w:val="21"/>
          <w:highlight w:val="none"/>
          <w:lang w:eastAsia="zh-CN"/>
        </w:rPr>
        <w:t>乙方</w:t>
      </w:r>
      <w:r>
        <w:rPr>
          <w:rFonts w:hint="eastAsia" w:ascii="宋体" w:hAnsi="宋体" w:cs="宋体"/>
          <w:color w:val="auto"/>
          <w:szCs w:val="21"/>
          <w:highlight w:val="none"/>
        </w:rPr>
        <w:t>在签订合同前交至制定账户。</w:t>
      </w:r>
    </w:p>
    <w:p>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履约保证金递交方式：支票、汇票、本票、网上银行或者银行、担保机构出具的保函等非现金形式。</w:t>
      </w:r>
    </w:p>
    <w:p>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履约保证金制定账户：</w:t>
      </w:r>
    </w:p>
    <w:p>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开户名称：广西艺术学院</w:t>
      </w:r>
    </w:p>
    <w:p>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开户银行：建行南宁市桃源支行</w:t>
      </w:r>
    </w:p>
    <w:p>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开户账号：45001604559050500909</w:t>
      </w:r>
    </w:p>
    <w:p>
      <w:pPr>
        <w:snapToGrid w:val="0"/>
        <w:spacing w:line="320" w:lineRule="exact"/>
        <w:ind w:left="-61" w:leftChars="-29" w:firstLine="514" w:firstLineChars="245"/>
        <w:rPr>
          <w:rFonts w:hint="eastAsia" w:ascii="宋体" w:hAnsi="Courier New" w:cs="Courier New"/>
          <w:color w:val="auto"/>
          <w:szCs w:val="21"/>
          <w:highlight w:val="none"/>
          <w:u w:val="single"/>
        </w:rPr>
      </w:pPr>
      <w:r>
        <w:rPr>
          <w:rFonts w:hint="eastAsia" w:ascii="宋体" w:hAnsi="宋体" w:cs="宋体"/>
          <w:color w:val="auto"/>
          <w:szCs w:val="21"/>
          <w:highlight w:val="none"/>
        </w:rPr>
        <w:t>履约保证金退付方式、时间及条件：</w:t>
      </w:r>
      <w:r>
        <w:rPr>
          <w:rFonts w:hint="eastAsia" w:ascii="宋体" w:hAnsi="宋体" w:cs="宋体"/>
          <w:color w:val="auto"/>
          <w:szCs w:val="21"/>
          <w:highlight w:val="none"/>
          <w:lang w:eastAsia="zh-CN"/>
        </w:rPr>
        <w:t>乙方</w:t>
      </w:r>
      <w:r>
        <w:rPr>
          <w:rFonts w:hint="eastAsia" w:ascii="宋体" w:hAnsi="宋体" w:cs="宋体"/>
          <w:color w:val="auto"/>
          <w:szCs w:val="21"/>
          <w:highlight w:val="none"/>
        </w:rPr>
        <w:t>若不能完全履行合同，履约保证金不返还；</w:t>
      </w:r>
      <w:r>
        <w:rPr>
          <w:rFonts w:hint="eastAsia" w:ascii="宋体" w:hAnsi="宋体" w:cs="宋体"/>
          <w:color w:val="auto"/>
          <w:szCs w:val="21"/>
          <w:highlight w:val="none"/>
          <w:lang w:eastAsia="zh-CN"/>
        </w:rPr>
        <w:t>乙方</w:t>
      </w:r>
      <w:r>
        <w:rPr>
          <w:rFonts w:hint="eastAsia" w:ascii="宋体" w:hAnsi="宋体" w:cs="宋体"/>
          <w:color w:val="auto"/>
          <w:szCs w:val="21"/>
          <w:highlight w:val="none"/>
        </w:rPr>
        <w:t>若完全履行合同，货物验收合格后，</w:t>
      </w:r>
      <w:r>
        <w:rPr>
          <w:rFonts w:hint="eastAsia" w:ascii="宋体" w:hAnsi="宋体" w:cs="宋体"/>
          <w:color w:val="auto"/>
          <w:szCs w:val="21"/>
          <w:highlight w:val="none"/>
          <w:lang w:eastAsia="zh-CN"/>
        </w:rPr>
        <w:t>乙方</w:t>
      </w:r>
      <w:r>
        <w:rPr>
          <w:rFonts w:hint="eastAsia" w:ascii="宋体" w:hAnsi="宋体" w:cs="宋体"/>
          <w:color w:val="auto"/>
          <w:szCs w:val="21"/>
          <w:highlight w:val="none"/>
        </w:rPr>
        <w:t>向</w:t>
      </w:r>
      <w:r>
        <w:rPr>
          <w:rFonts w:hint="eastAsia" w:ascii="宋体" w:hAnsi="宋体" w:cs="宋体"/>
          <w:color w:val="auto"/>
          <w:szCs w:val="21"/>
          <w:highlight w:val="none"/>
          <w:lang w:eastAsia="zh-CN"/>
        </w:rPr>
        <w:t>甲方</w:t>
      </w:r>
      <w:r>
        <w:rPr>
          <w:rFonts w:hint="eastAsia" w:ascii="宋体" w:hAnsi="宋体" w:cs="宋体"/>
          <w:color w:val="auto"/>
          <w:szCs w:val="21"/>
          <w:highlight w:val="none"/>
        </w:rPr>
        <w:t>递交退保申请函及凭履约保证金财务凭证，</w:t>
      </w:r>
      <w:r>
        <w:rPr>
          <w:rFonts w:hint="eastAsia" w:ascii="宋体" w:hAnsi="宋体" w:cs="宋体"/>
          <w:color w:val="auto"/>
          <w:szCs w:val="21"/>
          <w:highlight w:val="none"/>
          <w:lang w:eastAsia="zh-CN"/>
        </w:rPr>
        <w:t>甲方</w:t>
      </w:r>
      <w:r>
        <w:rPr>
          <w:rFonts w:hint="eastAsia" w:ascii="宋体" w:hAnsi="宋体" w:cs="宋体"/>
          <w:color w:val="auto"/>
          <w:szCs w:val="21"/>
          <w:highlight w:val="none"/>
        </w:rPr>
        <w:t>按规定办理无息退还手续。</w:t>
      </w:r>
    </w:p>
    <w:p>
      <w:pPr>
        <w:snapToGrid w:val="0"/>
        <w:spacing w:line="360" w:lineRule="exact"/>
        <w:ind w:firstLine="421" w:firstLineChars="200"/>
        <w:rPr>
          <w:rFonts w:hint="eastAsia" w:ascii="宋体" w:hAnsi="宋体"/>
          <w:b/>
          <w:color w:val="auto"/>
          <w:szCs w:val="21"/>
          <w:highlight w:val="none"/>
        </w:rPr>
      </w:pPr>
      <w:r>
        <w:rPr>
          <w:rFonts w:hint="eastAsia" w:ascii="宋体" w:hAnsi="宋体"/>
          <w:b/>
          <w:color w:val="auto"/>
          <w:szCs w:val="21"/>
          <w:highlight w:val="none"/>
        </w:rPr>
        <w:t>第十条 税费</w:t>
      </w:r>
    </w:p>
    <w:p>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本合同执行中相关的一切税费均由乙方负担。</w:t>
      </w:r>
    </w:p>
    <w:p>
      <w:pPr>
        <w:snapToGrid w:val="0"/>
        <w:spacing w:line="360" w:lineRule="exact"/>
        <w:ind w:firstLine="421" w:firstLineChars="200"/>
        <w:rPr>
          <w:rFonts w:hint="eastAsia" w:ascii="宋体" w:hAnsi="宋体"/>
          <w:b/>
          <w:color w:val="auto"/>
          <w:szCs w:val="21"/>
          <w:highlight w:val="none"/>
        </w:rPr>
      </w:pPr>
      <w:r>
        <w:rPr>
          <w:rFonts w:hint="eastAsia" w:ascii="宋体" w:hAnsi="宋体"/>
          <w:b/>
          <w:color w:val="auto"/>
          <w:szCs w:val="21"/>
          <w:highlight w:val="none"/>
        </w:rPr>
        <w:t>第十一条 质量保证及售后服务</w:t>
      </w:r>
    </w:p>
    <w:p>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 乙方应按招标文件规定的货物性能、技术要求、质量标准向甲方提供未经使用的全新产品。乙方提供货物的质量保证期按交货验收合格之日起计（期限见《招标项目采购需求》中各分标的要求）。在保证期内因货物本身的质量问题发生故障，乙方应负责免费修理和更换零部件。对达不到技术要求者，根据实际情况，</w:t>
      </w:r>
      <w:r>
        <w:rPr>
          <w:rFonts w:hint="eastAsia" w:ascii="宋体" w:hAnsi="宋体"/>
          <w:color w:val="auto"/>
          <w:szCs w:val="21"/>
          <w:highlight w:val="none"/>
          <w:lang w:val="en-US" w:eastAsia="zh-CN"/>
        </w:rPr>
        <w:t>甲方</w:t>
      </w:r>
      <w:r>
        <w:rPr>
          <w:rFonts w:hint="eastAsia" w:ascii="宋体" w:hAnsi="宋体"/>
          <w:color w:val="auto"/>
          <w:szCs w:val="21"/>
          <w:highlight w:val="none"/>
        </w:rPr>
        <w:t>可按以下办法处理：</w:t>
      </w:r>
    </w:p>
    <w:p>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⑴更换：由乙方承担所发生的全部费用。</w:t>
      </w:r>
    </w:p>
    <w:p>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⑵贬值处理：由甲乙双方合议定价。</w:t>
      </w:r>
    </w:p>
    <w:p>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⑶退货处理：乙方应退还甲方支付的合同款，同时应承担该货物的直接费用（运输、保险、检验、货款利息及银行手续费等）。</w:t>
      </w:r>
    </w:p>
    <w:p>
      <w:pPr>
        <w:pStyle w:val="27"/>
        <w:snapToGrid w:val="0"/>
        <w:spacing w:before="120" w:after="120" w:line="360" w:lineRule="exact"/>
        <w:ind w:firstLine="420" w:firstLineChars="200"/>
        <w:rPr>
          <w:rFonts w:hint="eastAsia" w:hAnsi="宋体"/>
          <w:color w:val="auto"/>
          <w:highlight w:val="none"/>
        </w:rPr>
      </w:pPr>
      <w:r>
        <w:rPr>
          <w:rFonts w:hint="eastAsia" w:hAnsi="宋体"/>
          <w:color w:val="auto"/>
          <w:highlight w:val="none"/>
        </w:rPr>
        <w:t>2. 如在使用过程中发生质量问题，乙方在接到甲方通知后在</w:t>
      </w:r>
      <w:r>
        <w:rPr>
          <w:rFonts w:hint="eastAsia" w:hAnsi="宋体"/>
          <w:color w:val="auto"/>
          <w:highlight w:val="none"/>
          <w:u w:val="single"/>
        </w:rPr>
        <w:t xml:space="preserve">         </w:t>
      </w:r>
      <w:r>
        <w:rPr>
          <w:rFonts w:hint="eastAsia" w:hAnsi="宋体"/>
          <w:color w:val="auto"/>
          <w:highlight w:val="none"/>
        </w:rPr>
        <w:t>小时内到达甲方现场。</w:t>
      </w:r>
    </w:p>
    <w:p>
      <w:pPr>
        <w:pStyle w:val="27"/>
        <w:snapToGrid w:val="0"/>
        <w:spacing w:before="120" w:after="120" w:line="360" w:lineRule="exact"/>
        <w:ind w:firstLine="420" w:firstLineChars="200"/>
        <w:rPr>
          <w:rFonts w:hint="eastAsia" w:hAnsi="宋体"/>
          <w:color w:val="auto"/>
          <w:highlight w:val="none"/>
        </w:rPr>
      </w:pPr>
      <w:r>
        <w:rPr>
          <w:rFonts w:hint="eastAsia" w:hAnsi="宋体"/>
          <w:color w:val="auto"/>
          <w:highlight w:val="none"/>
        </w:rPr>
        <w:t>3. 在质保期内，乙方应对货物出现的质量及安全问题负责处理解决并承担一切费用。</w:t>
      </w:r>
    </w:p>
    <w:p>
      <w:pPr>
        <w:pStyle w:val="27"/>
        <w:snapToGrid w:val="0"/>
        <w:spacing w:before="120" w:after="120" w:line="360" w:lineRule="exact"/>
        <w:ind w:firstLine="420" w:firstLineChars="200"/>
        <w:rPr>
          <w:rFonts w:hint="eastAsia" w:hAnsi="宋体"/>
          <w:color w:val="auto"/>
          <w:highlight w:val="none"/>
        </w:rPr>
      </w:pPr>
      <w:r>
        <w:rPr>
          <w:rFonts w:hint="eastAsia" w:hAnsi="宋体"/>
          <w:color w:val="auto"/>
          <w:highlight w:val="none"/>
        </w:rPr>
        <w:t>4.上述的货物因人为因素出现的故障不在免费保修范围内。超过保修期的机器设备，终生维修，维修时只收部件成本费。</w:t>
      </w:r>
    </w:p>
    <w:p>
      <w:pPr>
        <w:pStyle w:val="27"/>
        <w:snapToGrid w:val="0"/>
        <w:spacing w:before="120" w:after="120" w:line="360" w:lineRule="exact"/>
        <w:ind w:firstLine="413" w:firstLineChars="196"/>
        <w:rPr>
          <w:rFonts w:hint="eastAsia" w:hAnsi="宋体"/>
          <w:b/>
          <w:color w:val="auto"/>
          <w:highlight w:val="none"/>
        </w:rPr>
      </w:pPr>
      <w:r>
        <w:rPr>
          <w:rFonts w:hint="eastAsia" w:hAnsi="宋体"/>
          <w:b/>
          <w:color w:val="auto"/>
          <w:highlight w:val="none"/>
        </w:rPr>
        <w:t>第十二条 调试和验收</w:t>
      </w:r>
    </w:p>
    <w:p>
      <w:pPr>
        <w:pStyle w:val="27"/>
        <w:snapToGrid w:val="0"/>
        <w:spacing w:before="120" w:after="120" w:line="360" w:lineRule="exact"/>
        <w:ind w:firstLine="420" w:firstLineChars="200"/>
        <w:jc w:val="left"/>
        <w:rPr>
          <w:rFonts w:hint="eastAsia" w:hAnsi="宋体"/>
          <w:color w:val="auto"/>
          <w:highlight w:val="none"/>
        </w:rPr>
      </w:pPr>
      <w:r>
        <w:rPr>
          <w:rFonts w:hint="eastAsia" w:hAnsi="宋体"/>
          <w:color w:val="auto"/>
          <w:highlight w:val="none"/>
        </w:rPr>
        <w:t>1. 甲方对乙方提交的货物依据招标文件上的技术规格要求和国家有关质量标准进行现场初步验收，外观、说明书符合招标文件技术要求的，给予签收，初步验收不合格的不予签收。货到后，</w:t>
      </w:r>
      <w:r>
        <w:rPr>
          <w:rFonts w:hint="eastAsia" w:hAnsi="宋体"/>
          <w:bCs/>
          <w:color w:val="auto"/>
          <w:highlight w:val="none"/>
        </w:rPr>
        <w:t>甲方应当在到货并安装、调试完后七个工作日内进行验收</w:t>
      </w:r>
      <w:r>
        <w:rPr>
          <w:rFonts w:hint="eastAsia" w:hAnsi="宋体"/>
          <w:color w:val="auto"/>
          <w:highlight w:val="none"/>
        </w:rPr>
        <w:t>。</w:t>
      </w:r>
    </w:p>
    <w:p>
      <w:pPr>
        <w:pStyle w:val="27"/>
        <w:snapToGrid w:val="0"/>
        <w:spacing w:before="120" w:after="120" w:line="360" w:lineRule="exact"/>
        <w:ind w:firstLine="420" w:firstLineChars="200"/>
        <w:rPr>
          <w:rFonts w:hint="eastAsia" w:hAnsi="宋体"/>
          <w:color w:val="auto"/>
          <w:highlight w:val="none"/>
        </w:rPr>
      </w:pPr>
      <w:r>
        <w:rPr>
          <w:rFonts w:hint="eastAsia" w:hAnsi="宋体"/>
          <w:color w:val="auto"/>
          <w:highlight w:val="none"/>
        </w:rPr>
        <w:t>2. 乙方交货前应对产品作出全面检查和对验收文件进行整理，并列出清单，作为甲方收货验收和使用的技术条件依据，检验的结果应随货物交甲方。</w:t>
      </w:r>
    </w:p>
    <w:p>
      <w:pPr>
        <w:pStyle w:val="27"/>
        <w:snapToGrid w:val="0"/>
        <w:spacing w:before="120" w:after="120" w:line="360" w:lineRule="exact"/>
        <w:ind w:firstLine="420" w:firstLineChars="200"/>
        <w:rPr>
          <w:rFonts w:hint="eastAsia" w:hAnsi="宋体"/>
          <w:color w:val="auto"/>
          <w:highlight w:val="none"/>
          <w:u w:val="single"/>
        </w:rPr>
      </w:pPr>
      <w:r>
        <w:rPr>
          <w:rFonts w:hint="eastAsia" w:hAnsi="宋体"/>
          <w:color w:val="auto"/>
          <w:highlight w:val="none"/>
        </w:rPr>
        <w:t>3. 甲方对乙方提供的货物在使用前进行调试时，乙方需负责安装并培训甲方的使用操作人员，并协助甲方一起调试，直到符合技术要求，甲方才做最终验收。</w:t>
      </w:r>
    </w:p>
    <w:p>
      <w:pPr>
        <w:pStyle w:val="27"/>
        <w:snapToGrid w:val="0"/>
        <w:spacing w:before="120" w:after="120" w:line="360" w:lineRule="exact"/>
        <w:ind w:firstLine="420" w:firstLineChars="200"/>
        <w:rPr>
          <w:rFonts w:hint="eastAsia" w:hAnsi="宋体"/>
          <w:color w:val="auto"/>
          <w:highlight w:val="none"/>
        </w:rPr>
      </w:pPr>
      <w:r>
        <w:rPr>
          <w:rFonts w:hint="eastAsia" w:hAnsi="宋体"/>
          <w:color w:val="auto"/>
          <w:highlight w:val="none"/>
        </w:rPr>
        <w:t>4. 对技术复杂的货物，甲方应请国家认可的专业检测机构参与初步验收及最终验收，并由其出具质量检测报告，检测相关费用由</w:t>
      </w:r>
      <w:r>
        <w:rPr>
          <w:rFonts w:hint="eastAsia" w:hAnsi="宋体"/>
          <w:color w:val="auto"/>
          <w:highlight w:val="none"/>
          <w:u w:val="single"/>
        </w:rPr>
        <w:t xml:space="preserve">   </w:t>
      </w:r>
      <w:r>
        <w:rPr>
          <w:rFonts w:hint="eastAsia" w:hAnsi="宋体"/>
          <w:color w:val="auto"/>
          <w:highlight w:val="none"/>
        </w:rPr>
        <w:t>方承担。</w:t>
      </w:r>
    </w:p>
    <w:p>
      <w:pPr>
        <w:pStyle w:val="27"/>
        <w:snapToGrid w:val="0"/>
        <w:spacing w:before="120" w:after="120" w:line="360" w:lineRule="exact"/>
        <w:ind w:firstLine="420" w:firstLineChars="200"/>
        <w:rPr>
          <w:rFonts w:hint="eastAsia" w:hAnsi="宋体"/>
          <w:color w:val="auto"/>
          <w:highlight w:val="none"/>
        </w:rPr>
      </w:pPr>
      <w:r>
        <w:rPr>
          <w:rFonts w:hint="eastAsia" w:hAnsi="宋体"/>
          <w:color w:val="auto"/>
          <w:highlight w:val="none"/>
        </w:rPr>
        <w:t>5. 验收时乙方必须在现场，验收完毕后作出验收结果报告；验收费用由乙方负责。</w:t>
      </w:r>
    </w:p>
    <w:p>
      <w:pPr>
        <w:pStyle w:val="27"/>
        <w:snapToGrid w:val="0"/>
        <w:spacing w:before="120" w:after="120" w:line="360" w:lineRule="exact"/>
        <w:ind w:firstLine="413" w:firstLineChars="196"/>
        <w:rPr>
          <w:rFonts w:hint="eastAsia" w:hAnsi="宋体"/>
          <w:b/>
          <w:color w:val="auto"/>
          <w:highlight w:val="none"/>
        </w:rPr>
      </w:pPr>
      <w:r>
        <w:rPr>
          <w:rFonts w:hint="eastAsia" w:hAnsi="宋体"/>
          <w:b/>
          <w:color w:val="auto"/>
          <w:highlight w:val="none"/>
        </w:rPr>
        <w:t>第十三条 货物包装、发运及运输</w:t>
      </w:r>
    </w:p>
    <w:p>
      <w:pPr>
        <w:pStyle w:val="27"/>
        <w:snapToGrid w:val="0"/>
        <w:spacing w:before="120" w:after="120" w:line="360" w:lineRule="exact"/>
        <w:ind w:firstLine="420" w:firstLineChars="200"/>
        <w:jc w:val="left"/>
        <w:rPr>
          <w:rFonts w:hint="eastAsia" w:hAnsi="宋体"/>
          <w:color w:val="auto"/>
          <w:highlight w:val="none"/>
        </w:rPr>
      </w:pPr>
      <w:r>
        <w:rPr>
          <w:rFonts w:hint="eastAsia" w:hAnsi="宋体"/>
          <w:color w:val="auto"/>
          <w:highlight w:val="none"/>
        </w:rPr>
        <w:t>1. 乙方应在货物发运前对其进行满足运输距离、防潮、防震、防锈和防破损装卸等要求包装，以保证货物安全运达甲方指定地点。</w:t>
      </w:r>
    </w:p>
    <w:p>
      <w:pPr>
        <w:pStyle w:val="27"/>
        <w:snapToGrid w:val="0"/>
        <w:spacing w:before="120" w:after="120" w:line="360" w:lineRule="exact"/>
        <w:ind w:firstLine="420" w:firstLineChars="200"/>
        <w:jc w:val="left"/>
        <w:rPr>
          <w:rFonts w:hint="eastAsia" w:hAnsi="宋体"/>
          <w:color w:val="auto"/>
          <w:highlight w:val="none"/>
        </w:rPr>
      </w:pPr>
      <w:r>
        <w:rPr>
          <w:rFonts w:hint="eastAsia" w:hAnsi="宋体"/>
          <w:color w:val="auto"/>
          <w:highlight w:val="none"/>
        </w:rPr>
        <w:t>2. 使用说明书、质量检验证明书、随配附件和工具以及清单一并附于货物内。</w:t>
      </w:r>
    </w:p>
    <w:p>
      <w:pPr>
        <w:pStyle w:val="27"/>
        <w:snapToGrid w:val="0"/>
        <w:spacing w:before="120" w:after="120" w:line="360" w:lineRule="exact"/>
        <w:ind w:firstLine="420" w:firstLineChars="200"/>
        <w:jc w:val="left"/>
        <w:rPr>
          <w:rFonts w:hint="eastAsia" w:hAnsi="宋体"/>
          <w:color w:val="auto"/>
          <w:highlight w:val="none"/>
        </w:rPr>
      </w:pPr>
      <w:r>
        <w:rPr>
          <w:rFonts w:hint="eastAsia" w:hAnsi="宋体"/>
          <w:color w:val="auto"/>
          <w:highlight w:val="none"/>
        </w:rPr>
        <w:t>3. 乙方在货物发运手续办理完毕后二十四小时内或货到甲方四十八小时前通知甲方，以准备接货。</w:t>
      </w:r>
    </w:p>
    <w:p>
      <w:pPr>
        <w:pStyle w:val="27"/>
        <w:snapToGrid w:val="0"/>
        <w:spacing w:before="120" w:after="120" w:line="360" w:lineRule="exact"/>
        <w:ind w:firstLine="420" w:firstLineChars="200"/>
        <w:jc w:val="left"/>
        <w:rPr>
          <w:rFonts w:hint="eastAsia" w:hAnsi="宋体"/>
          <w:color w:val="auto"/>
          <w:highlight w:val="none"/>
        </w:rPr>
      </w:pPr>
      <w:r>
        <w:rPr>
          <w:rFonts w:hint="eastAsia" w:hAnsi="宋体"/>
          <w:color w:val="auto"/>
          <w:highlight w:val="none"/>
        </w:rPr>
        <w:t>4. 货物在交付甲方前发生的风险均由乙方负责。</w:t>
      </w:r>
    </w:p>
    <w:p>
      <w:pPr>
        <w:pStyle w:val="27"/>
        <w:snapToGrid w:val="0"/>
        <w:spacing w:before="120" w:after="120" w:line="360" w:lineRule="exact"/>
        <w:ind w:firstLine="420" w:firstLineChars="200"/>
        <w:jc w:val="left"/>
        <w:rPr>
          <w:rFonts w:hint="eastAsia" w:hAnsi="宋体"/>
          <w:color w:val="auto"/>
          <w:highlight w:val="none"/>
        </w:rPr>
      </w:pPr>
      <w:r>
        <w:rPr>
          <w:rFonts w:hint="eastAsia" w:hAnsi="宋体"/>
          <w:color w:val="auto"/>
          <w:highlight w:val="none"/>
        </w:rPr>
        <w:t>5. 货物在规定的交付期限内由乙方送达甲方指定的地点并初步验收合格后视为交付，乙方同时需通知甲方货物已送达。</w:t>
      </w:r>
    </w:p>
    <w:p>
      <w:pPr>
        <w:snapToGrid w:val="0"/>
        <w:spacing w:line="360" w:lineRule="exact"/>
        <w:ind w:firstLine="421" w:firstLineChars="200"/>
        <w:rPr>
          <w:rFonts w:hint="eastAsia" w:ascii="宋体" w:hAnsi="宋体"/>
          <w:b/>
          <w:color w:val="auto"/>
          <w:szCs w:val="21"/>
          <w:highlight w:val="none"/>
        </w:rPr>
      </w:pPr>
      <w:r>
        <w:rPr>
          <w:rFonts w:hint="eastAsia" w:ascii="宋体" w:hAnsi="宋体"/>
          <w:b/>
          <w:color w:val="auto"/>
          <w:szCs w:val="21"/>
          <w:highlight w:val="none"/>
        </w:rPr>
        <w:t>第十四条　违约责任</w:t>
      </w:r>
    </w:p>
    <w:p>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1.乙方所提供的货物规格、技术标准、材料等质量不合格的，应及时更换，更换不及时的按逾期交货处罚；因质量问题甲方不同意接收的或特殊情况甲方同意接收的，乙方应向甲方支付违约货款额 5%违约金并赔偿甲方经济损失。                                       </w:t>
      </w:r>
    </w:p>
    <w:p>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2.乙方提供的货物如侵犯了第三方合法权益而引发的任何纠纷或诉讼，均由乙方负责交涉并承担全部责任。</w:t>
      </w:r>
    </w:p>
    <w:p>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3.因包装、运输引起的货物损坏，按质量不合格处罚。</w:t>
      </w:r>
    </w:p>
    <w:p>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4.甲方无故延期接收货物、乙方逾期交货的，每天向对方偿付违约货款额</w:t>
      </w:r>
      <w:r>
        <w:rPr>
          <w:rFonts w:hint="eastAsia" w:ascii="宋体" w:hAnsi="宋体"/>
          <w:color w:val="auto"/>
          <w:szCs w:val="21"/>
          <w:highlight w:val="none"/>
          <w:u w:val="single"/>
        </w:rPr>
        <w:t xml:space="preserve">     ‰    </w:t>
      </w:r>
      <w:r>
        <w:rPr>
          <w:rFonts w:hint="eastAsia" w:ascii="宋体" w:hAnsi="宋体"/>
          <w:color w:val="auto"/>
          <w:szCs w:val="21"/>
          <w:highlight w:val="none"/>
        </w:rPr>
        <w:t>违约金，但违约金累计不得超过违约货款额</w:t>
      </w:r>
      <w:r>
        <w:rPr>
          <w:rFonts w:hint="eastAsia" w:ascii="宋体" w:hAnsi="宋体"/>
          <w:color w:val="auto"/>
          <w:szCs w:val="21"/>
          <w:highlight w:val="none"/>
          <w:u w:val="single"/>
        </w:rPr>
        <w:t xml:space="preserve">        %     </w:t>
      </w:r>
      <w:r>
        <w:rPr>
          <w:rFonts w:hint="eastAsia" w:ascii="宋体" w:hAnsi="宋体"/>
          <w:color w:val="auto"/>
          <w:szCs w:val="21"/>
          <w:highlight w:val="none"/>
        </w:rPr>
        <w:t>，超过</w:t>
      </w:r>
      <w:r>
        <w:rPr>
          <w:rFonts w:hint="eastAsia" w:ascii="宋体" w:hAnsi="宋体"/>
          <w:color w:val="auto"/>
          <w:szCs w:val="21"/>
          <w:highlight w:val="none"/>
          <w:u w:val="single"/>
        </w:rPr>
        <w:t xml:space="preserve">        </w:t>
      </w:r>
      <w:r>
        <w:rPr>
          <w:rFonts w:hint="eastAsia" w:ascii="宋体" w:hAnsi="宋体"/>
          <w:color w:val="auto"/>
          <w:szCs w:val="21"/>
          <w:highlight w:val="none"/>
        </w:rPr>
        <w:t>天对方有权解除合同，违约方承担因此给对方造成经济损失；甲方延期付货款的，每天向乙方偿付延期货款额</w:t>
      </w:r>
      <w:r>
        <w:rPr>
          <w:rFonts w:hint="eastAsia" w:ascii="宋体" w:hAnsi="宋体"/>
          <w:color w:val="auto"/>
          <w:szCs w:val="21"/>
          <w:highlight w:val="none"/>
          <w:u w:val="single"/>
        </w:rPr>
        <w:t xml:space="preserve">      ‰  </w:t>
      </w:r>
      <w:r>
        <w:rPr>
          <w:rFonts w:hint="eastAsia" w:ascii="宋体" w:hAnsi="宋体"/>
          <w:color w:val="auto"/>
          <w:szCs w:val="21"/>
          <w:highlight w:val="none"/>
        </w:rPr>
        <w:t>违约金，但违约金累计不得超过延期货款额</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5.乙方未按本合同和投标文件中规定的服务承诺提供售后服务的，乙方应按本合同合计金额</w:t>
      </w:r>
      <w:r>
        <w:rPr>
          <w:rFonts w:hint="eastAsia" w:ascii="宋体" w:hAnsi="宋体"/>
          <w:color w:val="auto"/>
          <w:szCs w:val="21"/>
          <w:highlight w:val="none"/>
          <w:u w:val="single"/>
        </w:rPr>
        <w:t xml:space="preserve">     %</w:t>
      </w:r>
      <w:r>
        <w:rPr>
          <w:rFonts w:hint="eastAsia" w:ascii="宋体" w:hAnsi="宋体"/>
          <w:color w:val="auto"/>
          <w:szCs w:val="21"/>
          <w:highlight w:val="none"/>
        </w:rPr>
        <w:t>向甲方支付违约金。</w:t>
      </w:r>
    </w:p>
    <w:p>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6.乙方提供的货物在质量保证期内，因设计、工艺或材料的缺陷和其它质量原因造成的问题，由乙方负责，费用从履约保证金中扣除，履约保证金不足以支付的，由乙方另行支付。</w:t>
      </w:r>
    </w:p>
    <w:p>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7.其它违约行为按违约货款额</w:t>
      </w:r>
      <w:r>
        <w:rPr>
          <w:rFonts w:hint="eastAsia" w:ascii="宋体" w:hAnsi="宋体"/>
          <w:color w:val="auto"/>
          <w:szCs w:val="21"/>
          <w:highlight w:val="none"/>
          <w:u w:val="single"/>
        </w:rPr>
        <w:t xml:space="preserve">     </w:t>
      </w:r>
      <w:r>
        <w:rPr>
          <w:rFonts w:hint="eastAsia" w:ascii="宋体" w:hAnsi="宋体"/>
          <w:color w:val="auto"/>
          <w:szCs w:val="21"/>
          <w:highlight w:val="none"/>
        </w:rPr>
        <w:t>%收取违约金并赔偿经济损失。</w:t>
      </w:r>
    </w:p>
    <w:p>
      <w:pPr>
        <w:pStyle w:val="27"/>
        <w:snapToGrid w:val="0"/>
        <w:spacing w:before="120" w:after="120" w:line="360" w:lineRule="exact"/>
        <w:ind w:firstLine="413" w:firstLineChars="196"/>
        <w:rPr>
          <w:rFonts w:hint="eastAsia" w:hAnsi="宋体"/>
          <w:b/>
          <w:color w:val="auto"/>
          <w:highlight w:val="none"/>
        </w:rPr>
      </w:pPr>
      <w:r>
        <w:rPr>
          <w:rFonts w:hint="eastAsia" w:hAnsi="宋体"/>
          <w:b/>
          <w:color w:val="auto"/>
          <w:highlight w:val="none"/>
        </w:rPr>
        <w:t>第十五条 不可抗力事件处理</w:t>
      </w:r>
    </w:p>
    <w:p>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 在合同有效期内，任何一方因不可抗力事件导致不能履行合同，则合同履行期可延长，其延长期与不可抗力影响期相同。</w:t>
      </w:r>
    </w:p>
    <w:p>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 不可抗力事件发生后，应立即通知对方，并寄送有关权威机构出具的证明。</w:t>
      </w:r>
    </w:p>
    <w:p>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 不可抗力事件延续一百二十天以上，双方应通过友好协商，确定是否继续履行合同。</w:t>
      </w:r>
    </w:p>
    <w:p>
      <w:pPr>
        <w:snapToGrid w:val="0"/>
        <w:spacing w:line="360" w:lineRule="exact"/>
        <w:ind w:firstLine="421" w:firstLineChars="200"/>
        <w:rPr>
          <w:rFonts w:hint="eastAsia" w:ascii="宋体" w:hAnsi="宋体"/>
          <w:color w:val="auto"/>
          <w:szCs w:val="21"/>
          <w:highlight w:val="none"/>
        </w:rPr>
      </w:pPr>
      <w:r>
        <w:rPr>
          <w:rFonts w:hint="eastAsia" w:ascii="宋体" w:hAnsi="宋体"/>
          <w:b/>
          <w:color w:val="auto"/>
          <w:szCs w:val="21"/>
          <w:highlight w:val="none"/>
        </w:rPr>
        <w:t>第十六条  合同争议解决</w:t>
      </w:r>
    </w:p>
    <w:p>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1.因货物质量问题发生争议的，应邀请国家认可的质量检测机构按照国家标准对货物质量进行验收。货物符合国家标准的，鉴定费由甲方承担；货物不符合国家标准的，鉴定费由乙方承担。</w:t>
      </w:r>
    </w:p>
    <w:p>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2.因履行本合同引起的或与本合同有关的争议，甲乙双方应首先通过友好协商解决，如果协商不能解决，可向甲方所在地人民法院提起诉讼。</w:t>
      </w:r>
    </w:p>
    <w:p>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3.诉讼期间，本合同继续履行。</w:t>
      </w:r>
    </w:p>
    <w:p>
      <w:pPr>
        <w:pStyle w:val="27"/>
        <w:snapToGrid w:val="0"/>
        <w:spacing w:before="120" w:after="120" w:line="360" w:lineRule="exact"/>
        <w:ind w:firstLine="421" w:firstLineChars="200"/>
        <w:rPr>
          <w:rFonts w:hint="eastAsia" w:hAnsi="宋体"/>
          <w:b/>
          <w:color w:val="auto"/>
          <w:highlight w:val="none"/>
        </w:rPr>
      </w:pPr>
      <w:r>
        <w:rPr>
          <w:rFonts w:hint="eastAsia" w:hAnsi="宋体"/>
          <w:b/>
          <w:color w:val="auto"/>
          <w:highlight w:val="none"/>
        </w:rPr>
        <w:t>第十七条 合同生效及其它</w:t>
      </w:r>
    </w:p>
    <w:p>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1．合同经双方法定代表人或授权代表签字并加盖单位公章后生效。</w:t>
      </w:r>
    </w:p>
    <w:p>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2．合同执行中涉及采购资金和采购内容修改或补充的，须经财政部门审批，并签书面补充协议报财政部门备案，方可作为主合同不可分割的一部分。</w:t>
      </w:r>
    </w:p>
    <w:p>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3．本合同</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包括招标文件和投标文件</w:t>
      </w:r>
      <w:r>
        <w:rPr>
          <w:rFonts w:hint="eastAsia" w:ascii="宋体" w:hAnsi="宋体"/>
          <w:color w:val="auto"/>
          <w:szCs w:val="21"/>
          <w:highlight w:val="none"/>
          <w:lang w:eastAsia="zh-CN"/>
        </w:rPr>
        <w:t>）</w:t>
      </w:r>
      <w:r>
        <w:rPr>
          <w:rFonts w:hint="eastAsia" w:ascii="宋体" w:hAnsi="宋体"/>
          <w:color w:val="auto"/>
          <w:szCs w:val="21"/>
          <w:highlight w:val="none"/>
        </w:rPr>
        <w:t>未尽事宜，遵照《</w:t>
      </w:r>
      <w:r>
        <w:rPr>
          <w:color w:val="auto"/>
          <w:highlight w:val="none"/>
        </w:rPr>
        <w:t>中华人民共和国民法典</w:t>
      </w:r>
      <w:r>
        <w:rPr>
          <w:rFonts w:hint="eastAsia" w:ascii="宋体" w:hAnsi="宋体"/>
          <w:color w:val="auto"/>
          <w:szCs w:val="21"/>
          <w:highlight w:val="none"/>
        </w:rPr>
        <w:t>》有关条文执行。</w:t>
      </w:r>
    </w:p>
    <w:p>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双方确认本合同落款通讯地址作为文书送达地址，该通讯地址适用于包括双方合同履行过程中的各类通知、协议等文件以及就合同发生争议进入民事诉讼程序后的一审、二审、再审和执行程序等阶段法律文书的送达。通讯地址需要变更时应当提前15个工作日书面通知对方。因提供或者确认的通讯地址不准确、通讯地址变更后未及时依程序告知对方或受送达方拒绝签收等原因，导致文书未能被实际接收的，邮寄送达的，以文书退回之日视为送达之日。</w:t>
      </w:r>
    </w:p>
    <w:p>
      <w:pPr>
        <w:snapToGrid w:val="0"/>
        <w:spacing w:line="360" w:lineRule="exact"/>
        <w:ind w:firstLine="421" w:firstLineChars="200"/>
        <w:rPr>
          <w:rFonts w:hint="eastAsia" w:ascii="宋体" w:hAnsi="宋体"/>
          <w:b/>
          <w:color w:val="auto"/>
          <w:szCs w:val="21"/>
          <w:highlight w:val="none"/>
        </w:rPr>
      </w:pPr>
      <w:r>
        <w:rPr>
          <w:rFonts w:hint="eastAsia" w:ascii="宋体" w:hAnsi="宋体"/>
          <w:b/>
          <w:color w:val="auto"/>
          <w:szCs w:val="21"/>
          <w:highlight w:val="none"/>
        </w:rPr>
        <w:t>第十八条　合同的变更、终止与转让</w:t>
      </w:r>
    </w:p>
    <w:p>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1.除《中华人民共和国政府采购法》第五十条规定的情形外，本合同一经签订，甲乙双方不得擅自变更、中止或终止。</w:t>
      </w:r>
    </w:p>
    <w:p>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2.未经甲方书面同意，乙方不得擅自转让（无进口资格的供应商委托进口货物除外）其应履行的合同义务。</w:t>
      </w:r>
    </w:p>
    <w:p>
      <w:pPr>
        <w:snapToGrid w:val="0"/>
        <w:spacing w:line="360" w:lineRule="exact"/>
        <w:ind w:firstLine="421" w:firstLineChars="200"/>
        <w:rPr>
          <w:rFonts w:hint="eastAsia" w:ascii="宋体" w:hAnsi="宋体"/>
          <w:b/>
          <w:color w:val="auto"/>
          <w:szCs w:val="21"/>
          <w:highlight w:val="none"/>
        </w:rPr>
      </w:pPr>
      <w:r>
        <w:rPr>
          <w:rFonts w:hint="eastAsia" w:ascii="宋体" w:hAnsi="宋体"/>
          <w:b/>
          <w:color w:val="auto"/>
          <w:szCs w:val="21"/>
          <w:highlight w:val="none"/>
        </w:rPr>
        <w:t>第十九条　签订本合同依据</w:t>
      </w:r>
    </w:p>
    <w:p>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1.政府采购招标文件</w:t>
      </w:r>
    </w:p>
    <w:p>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2.乙方提供的投标文件</w:t>
      </w:r>
    </w:p>
    <w:p>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3.投标函</w:t>
      </w:r>
    </w:p>
    <w:p>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4.中标通知书</w:t>
      </w:r>
    </w:p>
    <w:p>
      <w:pPr>
        <w:snapToGrid w:val="0"/>
        <w:spacing w:line="360" w:lineRule="exact"/>
        <w:ind w:firstLine="420" w:firstLineChars="200"/>
        <w:rPr>
          <w:rFonts w:hint="eastAsia" w:ascii="宋体" w:hAnsi="宋体"/>
          <w:color w:val="auto"/>
          <w:szCs w:val="21"/>
          <w:highlight w:val="none"/>
          <w:u w:val="single"/>
        </w:rPr>
      </w:pPr>
      <w:r>
        <w:rPr>
          <w:rFonts w:hint="eastAsia" w:ascii="宋体" w:hAnsi="宋体"/>
          <w:color w:val="auto"/>
          <w:szCs w:val="21"/>
          <w:highlight w:val="none"/>
        </w:rPr>
        <w:t>5.其他约定附件</w:t>
      </w:r>
    </w:p>
    <w:p>
      <w:pPr>
        <w:snapToGrid w:val="0"/>
        <w:spacing w:line="400" w:lineRule="exact"/>
        <w:ind w:firstLine="421" w:firstLineChars="200"/>
        <w:rPr>
          <w:rFonts w:hint="eastAsia" w:ascii="宋体" w:hAnsi="宋体"/>
          <w:b/>
          <w:color w:val="auto"/>
          <w:szCs w:val="21"/>
          <w:highlight w:val="none"/>
        </w:rPr>
      </w:pPr>
      <w:r>
        <w:rPr>
          <w:rFonts w:hint="eastAsia" w:ascii="宋体" w:hAnsi="宋体"/>
          <w:b/>
          <w:color w:val="auto"/>
          <w:szCs w:val="21"/>
          <w:highlight w:val="none"/>
        </w:rPr>
        <w:t>第二十条　本合同一式六份，具有同等法律效力。广西壮族自治区财政厅政府采购监督管理处、代理机构各一份，甲方三份</w:t>
      </w:r>
      <w:r>
        <w:rPr>
          <w:rFonts w:ascii="宋体" w:hAnsi="宋体"/>
          <w:b/>
          <w:color w:val="auto"/>
          <w:szCs w:val="21"/>
          <w:highlight w:val="none"/>
          <w:lang w:val="en"/>
        </w:rPr>
        <w:t>(</w:t>
      </w:r>
      <w:r>
        <w:rPr>
          <w:rFonts w:hint="eastAsia" w:ascii="宋体" w:hAnsi="宋体"/>
          <w:b/>
          <w:color w:val="auto"/>
          <w:szCs w:val="21"/>
          <w:highlight w:val="none"/>
          <w:lang w:val="en"/>
        </w:rPr>
        <w:t>可根据业主需要</w:t>
      </w:r>
      <w:r>
        <w:rPr>
          <w:rFonts w:ascii="宋体" w:hAnsi="宋体"/>
          <w:b/>
          <w:color w:val="auto"/>
          <w:szCs w:val="21"/>
          <w:highlight w:val="none"/>
          <w:lang w:val="en"/>
        </w:rPr>
        <w:t>)</w:t>
      </w:r>
      <w:r>
        <w:rPr>
          <w:rFonts w:hint="eastAsia" w:ascii="宋体" w:hAnsi="宋体"/>
          <w:b/>
          <w:color w:val="auto"/>
          <w:szCs w:val="21"/>
          <w:highlight w:val="none"/>
        </w:rPr>
        <w:t>，乙方一份。</w:t>
      </w:r>
    </w:p>
    <w:p>
      <w:pPr>
        <w:snapToGrid w:val="0"/>
        <w:spacing w:line="400" w:lineRule="exact"/>
        <w:ind w:firstLine="421" w:firstLineChars="200"/>
        <w:rPr>
          <w:rFonts w:hint="eastAsia" w:ascii="宋体" w:hAnsi="宋体"/>
          <w:color w:val="auto"/>
          <w:spacing w:val="4"/>
          <w:szCs w:val="21"/>
          <w:highlight w:val="none"/>
        </w:rPr>
      </w:pPr>
      <w:r>
        <w:rPr>
          <w:rFonts w:hint="eastAsia" w:ascii="宋体" w:hAnsi="宋体"/>
          <w:b/>
          <w:color w:val="auto"/>
          <w:szCs w:val="21"/>
          <w:highlight w:val="none"/>
        </w:rPr>
        <w:t>自签订之日起两个工作日内，甲方应当将合同通过广西政府采购云平台上传完成合同网上公示。</w:t>
      </w:r>
    </w:p>
    <w:p>
      <w:pPr>
        <w:snapToGrid w:val="0"/>
        <w:spacing w:line="360" w:lineRule="exact"/>
        <w:ind w:firstLine="420" w:firstLineChars="200"/>
        <w:rPr>
          <w:rFonts w:hint="eastAsia" w:ascii="宋体" w:hAnsi="宋体"/>
          <w:color w:val="auto"/>
          <w:szCs w:val="21"/>
          <w:highlight w:val="none"/>
        </w:rPr>
      </w:pPr>
    </w:p>
    <w:p>
      <w:pPr>
        <w:snapToGrid w:val="0"/>
        <w:spacing w:line="360" w:lineRule="exact"/>
        <w:ind w:firstLine="420" w:firstLineChars="200"/>
        <w:rPr>
          <w:rFonts w:hint="eastAsia" w:ascii="宋体" w:hAnsi="宋体"/>
          <w:color w:val="auto"/>
          <w:szCs w:val="21"/>
          <w:highlight w:val="none"/>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gridCol w:w="4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516" w:type="dxa"/>
            <w:noWrap w:val="0"/>
            <w:vAlign w:val="center"/>
          </w:tcPr>
          <w:p>
            <w:pPr>
              <w:snapToGrid w:val="0"/>
              <w:spacing w:line="360" w:lineRule="exact"/>
              <w:rPr>
                <w:rFonts w:hint="eastAsia" w:ascii="宋体" w:hAnsi="宋体"/>
                <w:color w:val="auto"/>
                <w:szCs w:val="21"/>
                <w:highlight w:val="none"/>
              </w:rPr>
            </w:pPr>
            <w:r>
              <w:rPr>
                <w:rFonts w:hint="eastAsia" w:ascii="宋体" w:hAnsi="宋体"/>
                <w:color w:val="auto"/>
                <w:szCs w:val="21"/>
                <w:highlight w:val="none"/>
              </w:rPr>
              <w:t xml:space="preserve">甲方（章）           </w:t>
            </w:r>
          </w:p>
          <w:p>
            <w:pPr>
              <w:snapToGrid w:val="0"/>
              <w:spacing w:line="360" w:lineRule="exact"/>
              <w:rPr>
                <w:rFonts w:hint="eastAsia" w:ascii="宋体" w:hAnsi="宋体"/>
                <w:color w:val="auto"/>
                <w:szCs w:val="21"/>
                <w:highlight w:val="none"/>
              </w:rPr>
            </w:pPr>
          </w:p>
          <w:p>
            <w:pPr>
              <w:snapToGrid w:val="0"/>
              <w:spacing w:line="360" w:lineRule="exact"/>
              <w:rPr>
                <w:rFonts w:hint="eastAsia" w:ascii="宋体" w:hAnsi="宋体"/>
                <w:color w:val="auto"/>
                <w:szCs w:val="21"/>
                <w:highlight w:val="none"/>
              </w:rPr>
            </w:pPr>
          </w:p>
          <w:p>
            <w:pPr>
              <w:snapToGrid w:val="0"/>
              <w:spacing w:line="360" w:lineRule="exact"/>
              <w:ind w:firstLine="945" w:firstLineChars="450"/>
              <w:jc w:val="right"/>
              <w:rPr>
                <w:rFonts w:hint="eastAsia" w:ascii="宋体" w:hAnsi="宋体"/>
                <w:color w:val="auto"/>
                <w:szCs w:val="21"/>
                <w:highlight w:val="none"/>
              </w:rPr>
            </w:pPr>
            <w:r>
              <w:rPr>
                <w:rFonts w:hint="eastAsia" w:ascii="宋体" w:hAnsi="宋体"/>
                <w:color w:val="auto"/>
                <w:szCs w:val="21"/>
                <w:highlight w:val="none"/>
              </w:rPr>
              <w:t>年   月   日</w:t>
            </w:r>
          </w:p>
        </w:tc>
        <w:tc>
          <w:tcPr>
            <w:tcW w:w="4772" w:type="dxa"/>
            <w:noWrap w:val="0"/>
            <w:vAlign w:val="center"/>
          </w:tcPr>
          <w:p>
            <w:pPr>
              <w:snapToGrid w:val="0"/>
              <w:spacing w:line="360" w:lineRule="exact"/>
              <w:rPr>
                <w:rFonts w:hint="eastAsia" w:ascii="宋体" w:hAnsi="宋体"/>
                <w:color w:val="auto"/>
                <w:szCs w:val="21"/>
                <w:highlight w:val="none"/>
              </w:rPr>
            </w:pPr>
            <w:r>
              <w:rPr>
                <w:rFonts w:hint="eastAsia" w:ascii="宋体" w:hAnsi="宋体"/>
                <w:color w:val="auto"/>
                <w:szCs w:val="21"/>
                <w:highlight w:val="none"/>
              </w:rPr>
              <w:t xml:space="preserve">乙方（章）              </w:t>
            </w:r>
          </w:p>
          <w:p>
            <w:pPr>
              <w:snapToGrid w:val="0"/>
              <w:spacing w:line="360" w:lineRule="exact"/>
              <w:rPr>
                <w:rFonts w:hint="eastAsia" w:ascii="宋体" w:hAnsi="宋体"/>
                <w:color w:val="auto"/>
                <w:szCs w:val="21"/>
                <w:highlight w:val="none"/>
              </w:rPr>
            </w:pPr>
          </w:p>
          <w:p>
            <w:pPr>
              <w:snapToGrid w:val="0"/>
              <w:spacing w:line="360" w:lineRule="exact"/>
              <w:rPr>
                <w:rFonts w:hint="eastAsia" w:ascii="宋体" w:hAnsi="宋体"/>
                <w:color w:val="auto"/>
                <w:szCs w:val="21"/>
                <w:highlight w:val="none"/>
              </w:rPr>
            </w:pPr>
          </w:p>
          <w:p>
            <w:pPr>
              <w:snapToGrid w:val="0"/>
              <w:spacing w:line="360" w:lineRule="exact"/>
              <w:jc w:val="right"/>
              <w:rPr>
                <w:rFonts w:hint="eastAsia" w:ascii="宋体" w:hAnsi="宋体"/>
                <w:color w:val="auto"/>
                <w:szCs w:val="21"/>
                <w:highlight w:val="none"/>
              </w:rPr>
            </w:pPr>
            <w:r>
              <w:rPr>
                <w:rFonts w:hint="eastAsia" w:ascii="宋体" w:hAnsi="宋体"/>
                <w:color w:val="auto"/>
                <w:szCs w:val="21"/>
                <w:highlight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trPr>
        <w:tc>
          <w:tcPr>
            <w:tcW w:w="4516" w:type="dxa"/>
            <w:noWrap w:val="0"/>
            <w:vAlign w:val="center"/>
          </w:tcPr>
          <w:p>
            <w:pPr>
              <w:snapToGrid w:val="0"/>
              <w:spacing w:line="360" w:lineRule="exact"/>
              <w:rPr>
                <w:rFonts w:hint="eastAsia" w:ascii="宋体" w:hAnsi="宋体"/>
                <w:color w:val="auto"/>
                <w:szCs w:val="21"/>
                <w:highlight w:val="none"/>
              </w:rPr>
            </w:pPr>
            <w:r>
              <w:rPr>
                <w:rFonts w:hint="eastAsia" w:ascii="宋体" w:hAnsi="宋体"/>
                <w:color w:val="auto"/>
                <w:szCs w:val="21"/>
                <w:highlight w:val="none"/>
              </w:rPr>
              <w:t>通讯地址：</w:t>
            </w:r>
          </w:p>
        </w:tc>
        <w:tc>
          <w:tcPr>
            <w:tcW w:w="4772" w:type="dxa"/>
            <w:noWrap w:val="0"/>
            <w:vAlign w:val="center"/>
          </w:tcPr>
          <w:p>
            <w:pPr>
              <w:snapToGrid w:val="0"/>
              <w:spacing w:line="360" w:lineRule="exact"/>
              <w:rPr>
                <w:rFonts w:hint="eastAsia" w:ascii="宋体" w:hAnsi="宋体"/>
                <w:color w:val="auto"/>
                <w:szCs w:val="21"/>
                <w:highlight w:val="none"/>
              </w:rPr>
            </w:pPr>
            <w:r>
              <w:rPr>
                <w:rFonts w:hint="eastAsia" w:ascii="宋体" w:hAnsi="宋体"/>
                <w:color w:val="auto"/>
                <w:szCs w:val="21"/>
                <w:highlight w:val="none"/>
              </w:rPr>
              <w:t>通讯地址：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4516" w:type="dxa"/>
            <w:noWrap w:val="0"/>
            <w:vAlign w:val="center"/>
          </w:tcPr>
          <w:p>
            <w:pPr>
              <w:snapToGrid w:val="0"/>
              <w:spacing w:line="360" w:lineRule="exact"/>
              <w:rPr>
                <w:rFonts w:hint="eastAsia" w:ascii="宋体" w:hAnsi="宋体"/>
                <w:color w:val="auto"/>
                <w:szCs w:val="21"/>
                <w:highlight w:val="none"/>
              </w:rPr>
            </w:pPr>
            <w:r>
              <w:rPr>
                <w:rFonts w:hint="eastAsia" w:ascii="宋体" w:hAnsi="宋体"/>
                <w:color w:val="auto"/>
                <w:szCs w:val="21"/>
                <w:highlight w:val="none"/>
              </w:rPr>
              <w:t>法定代表人：</w:t>
            </w:r>
          </w:p>
        </w:tc>
        <w:tc>
          <w:tcPr>
            <w:tcW w:w="4772" w:type="dxa"/>
            <w:noWrap w:val="0"/>
            <w:vAlign w:val="center"/>
          </w:tcPr>
          <w:p>
            <w:pPr>
              <w:snapToGrid w:val="0"/>
              <w:spacing w:line="360" w:lineRule="exact"/>
              <w:rPr>
                <w:rFonts w:hint="eastAsia" w:ascii="宋体" w:hAnsi="宋体"/>
                <w:color w:val="auto"/>
                <w:szCs w:val="21"/>
                <w:highlight w:val="none"/>
              </w:rPr>
            </w:pPr>
            <w:r>
              <w:rPr>
                <w:rFonts w:hint="eastAsia" w:ascii="宋体" w:hAnsi="宋体"/>
                <w:color w:val="auto"/>
                <w:szCs w:val="21"/>
                <w:highlight w:val="none"/>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4516" w:type="dxa"/>
            <w:noWrap w:val="0"/>
            <w:vAlign w:val="center"/>
          </w:tcPr>
          <w:p>
            <w:pPr>
              <w:snapToGrid w:val="0"/>
              <w:spacing w:line="360" w:lineRule="exact"/>
              <w:rPr>
                <w:rFonts w:hint="eastAsia" w:ascii="宋体" w:hAnsi="宋体"/>
                <w:color w:val="auto"/>
                <w:szCs w:val="21"/>
                <w:highlight w:val="none"/>
              </w:rPr>
            </w:pPr>
            <w:r>
              <w:rPr>
                <w:rFonts w:hint="eastAsia" w:ascii="宋体" w:hAnsi="宋体"/>
                <w:color w:val="auto"/>
                <w:szCs w:val="21"/>
                <w:highlight w:val="none"/>
              </w:rPr>
              <w:t>委托代理人：</w:t>
            </w:r>
          </w:p>
        </w:tc>
        <w:tc>
          <w:tcPr>
            <w:tcW w:w="4772" w:type="dxa"/>
            <w:noWrap w:val="0"/>
            <w:vAlign w:val="center"/>
          </w:tcPr>
          <w:p>
            <w:pPr>
              <w:snapToGrid w:val="0"/>
              <w:spacing w:line="360" w:lineRule="exact"/>
              <w:rPr>
                <w:rFonts w:hint="eastAsia" w:ascii="宋体" w:hAnsi="宋体"/>
                <w:color w:val="auto"/>
                <w:szCs w:val="21"/>
                <w:highlight w:val="none"/>
              </w:rPr>
            </w:pPr>
            <w:r>
              <w:rPr>
                <w:rFonts w:hint="eastAsia" w:ascii="宋体" w:hAnsi="宋体"/>
                <w:color w:val="auto"/>
                <w:szCs w:val="21"/>
                <w:highlight w:val="none"/>
              </w:rPr>
              <w:t>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0" w:hRule="atLeast"/>
        </w:trPr>
        <w:tc>
          <w:tcPr>
            <w:tcW w:w="4516" w:type="dxa"/>
            <w:noWrap w:val="0"/>
            <w:vAlign w:val="center"/>
          </w:tcPr>
          <w:p>
            <w:pPr>
              <w:snapToGrid w:val="0"/>
              <w:spacing w:line="360" w:lineRule="exact"/>
              <w:rPr>
                <w:rFonts w:hint="eastAsia" w:ascii="宋体" w:hAnsi="宋体"/>
                <w:color w:val="auto"/>
                <w:szCs w:val="21"/>
                <w:highlight w:val="none"/>
              </w:rPr>
            </w:pPr>
            <w:r>
              <w:rPr>
                <w:rFonts w:hint="eastAsia" w:ascii="宋体" w:hAnsi="宋体"/>
                <w:color w:val="auto"/>
                <w:szCs w:val="21"/>
                <w:highlight w:val="none"/>
              </w:rPr>
              <w:t>电话：</w:t>
            </w:r>
          </w:p>
        </w:tc>
        <w:tc>
          <w:tcPr>
            <w:tcW w:w="4772" w:type="dxa"/>
            <w:noWrap w:val="0"/>
            <w:vAlign w:val="center"/>
          </w:tcPr>
          <w:p>
            <w:pPr>
              <w:snapToGrid w:val="0"/>
              <w:spacing w:line="360" w:lineRule="exact"/>
              <w:rPr>
                <w:rFonts w:hint="eastAsia" w:ascii="宋体" w:hAnsi="宋体"/>
                <w:color w:val="auto"/>
                <w:szCs w:val="21"/>
                <w:highlight w:val="none"/>
              </w:rPr>
            </w:pPr>
            <w:r>
              <w:rPr>
                <w:rFonts w:hint="eastAsia" w:ascii="宋体" w:hAnsi="宋体"/>
                <w:color w:val="auto"/>
                <w:szCs w:val="21"/>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trPr>
        <w:tc>
          <w:tcPr>
            <w:tcW w:w="4516" w:type="dxa"/>
            <w:noWrap w:val="0"/>
            <w:vAlign w:val="center"/>
          </w:tcPr>
          <w:p>
            <w:pPr>
              <w:snapToGrid w:val="0"/>
              <w:spacing w:line="360" w:lineRule="exact"/>
              <w:rPr>
                <w:rFonts w:hint="eastAsia" w:ascii="宋体" w:hAnsi="宋体"/>
                <w:color w:val="auto"/>
                <w:szCs w:val="21"/>
                <w:highlight w:val="none"/>
              </w:rPr>
            </w:pPr>
            <w:r>
              <w:rPr>
                <w:rFonts w:hint="eastAsia" w:ascii="宋体" w:hAnsi="宋体"/>
                <w:color w:val="auto"/>
                <w:szCs w:val="21"/>
                <w:highlight w:val="none"/>
              </w:rPr>
              <w:t>电子邮箱：</w:t>
            </w:r>
          </w:p>
        </w:tc>
        <w:tc>
          <w:tcPr>
            <w:tcW w:w="4772" w:type="dxa"/>
            <w:noWrap w:val="0"/>
            <w:vAlign w:val="center"/>
          </w:tcPr>
          <w:p>
            <w:pPr>
              <w:snapToGrid w:val="0"/>
              <w:spacing w:line="360" w:lineRule="exact"/>
              <w:rPr>
                <w:rFonts w:hint="eastAsia" w:ascii="宋体" w:hAnsi="宋体"/>
                <w:color w:val="auto"/>
                <w:szCs w:val="21"/>
                <w:highlight w:val="none"/>
              </w:rPr>
            </w:pPr>
            <w:r>
              <w:rPr>
                <w:rFonts w:hint="eastAsia" w:ascii="宋体" w:hAnsi="宋体"/>
                <w:color w:val="auto"/>
                <w:szCs w:val="21"/>
                <w:highlight w:val="none"/>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4516" w:type="dxa"/>
            <w:noWrap w:val="0"/>
            <w:vAlign w:val="center"/>
          </w:tcPr>
          <w:p>
            <w:pPr>
              <w:snapToGrid w:val="0"/>
              <w:spacing w:line="360" w:lineRule="exact"/>
              <w:rPr>
                <w:rFonts w:hint="eastAsia" w:ascii="宋体" w:hAnsi="宋体"/>
                <w:color w:val="auto"/>
                <w:szCs w:val="21"/>
                <w:highlight w:val="none"/>
              </w:rPr>
            </w:pPr>
            <w:r>
              <w:rPr>
                <w:rFonts w:hint="eastAsia" w:ascii="宋体" w:hAnsi="宋体"/>
                <w:color w:val="auto"/>
                <w:szCs w:val="21"/>
                <w:highlight w:val="none"/>
              </w:rPr>
              <w:t>开户银行：</w:t>
            </w:r>
          </w:p>
        </w:tc>
        <w:tc>
          <w:tcPr>
            <w:tcW w:w="4772" w:type="dxa"/>
            <w:noWrap w:val="0"/>
            <w:vAlign w:val="center"/>
          </w:tcPr>
          <w:p>
            <w:pPr>
              <w:snapToGrid w:val="0"/>
              <w:spacing w:line="360" w:lineRule="exact"/>
              <w:rPr>
                <w:rFonts w:hint="eastAsia" w:ascii="宋体" w:hAnsi="宋体"/>
                <w:color w:val="auto"/>
                <w:szCs w:val="21"/>
                <w:highlight w:val="none"/>
              </w:rPr>
            </w:pPr>
            <w:r>
              <w:rPr>
                <w:rFonts w:hint="eastAsia" w:ascii="宋体" w:hAnsi="宋体"/>
                <w:color w:val="auto"/>
                <w:szCs w:val="21"/>
                <w:highlight w:val="none"/>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atLeast"/>
        </w:trPr>
        <w:tc>
          <w:tcPr>
            <w:tcW w:w="4516" w:type="dxa"/>
            <w:noWrap w:val="0"/>
            <w:vAlign w:val="center"/>
          </w:tcPr>
          <w:p>
            <w:pPr>
              <w:snapToGrid w:val="0"/>
              <w:spacing w:line="360" w:lineRule="exact"/>
              <w:rPr>
                <w:rFonts w:hint="eastAsia" w:ascii="宋体" w:hAnsi="宋体"/>
                <w:color w:val="auto"/>
                <w:szCs w:val="21"/>
                <w:highlight w:val="none"/>
              </w:rPr>
            </w:pPr>
            <w:r>
              <w:rPr>
                <w:rFonts w:hint="eastAsia" w:ascii="宋体" w:hAnsi="宋体"/>
                <w:color w:val="auto"/>
                <w:szCs w:val="21"/>
                <w:highlight w:val="none"/>
              </w:rPr>
              <w:t>账号：</w:t>
            </w:r>
          </w:p>
        </w:tc>
        <w:tc>
          <w:tcPr>
            <w:tcW w:w="4772" w:type="dxa"/>
            <w:noWrap w:val="0"/>
            <w:vAlign w:val="center"/>
          </w:tcPr>
          <w:p>
            <w:pPr>
              <w:snapToGrid w:val="0"/>
              <w:spacing w:line="360" w:lineRule="exact"/>
              <w:rPr>
                <w:rFonts w:hint="eastAsia" w:ascii="宋体" w:hAnsi="宋体"/>
                <w:color w:val="auto"/>
                <w:szCs w:val="21"/>
                <w:highlight w:val="none"/>
              </w:rPr>
            </w:pPr>
            <w:r>
              <w:rPr>
                <w:rFonts w:hint="eastAsia" w:ascii="宋体" w:hAnsi="宋体"/>
                <w:color w:val="auto"/>
                <w:szCs w:val="21"/>
                <w:highlight w:val="none"/>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4" w:hRule="atLeast"/>
        </w:trPr>
        <w:tc>
          <w:tcPr>
            <w:tcW w:w="4516" w:type="dxa"/>
            <w:noWrap w:val="0"/>
            <w:vAlign w:val="center"/>
          </w:tcPr>
          <w:p>
            <w:pPr>
              <w:snapToGrid w:val="0"/>
              <w:spacing w:line="360" w:lineRule="exact"/>
              <w:rPr>
                <w:rFonts w:hint="eastAsia" w:ascii="宋体" w:hAnsi="宋体"/>
                <w:color w:val="auto"/>
                <w:szCs w:val="21"/>
                <w:highlight w:val="none"/>
              </w:rPr>
            </w:pPr>
            <w:r>
              <w:rPr>
                <w:rFonts w:hint="eastAsia" w:ascii="宋体" w:hAnsi="宋体"/>
                <w:color w:val="auto"/>
                <w:szCs w:val="21"/>
                <w:highlight w:val="none"/>
              </w:rPr>
              <w:t>邮政编码：</w:t>
            </w:r>
          </w:p>
        </w:tc>
        <w:tc>
          <w:tcPr>
            <w:tcW w:w="4772" w:type="dxa"/>
            <w:noWrap w:val="0"/>
            <w:vAlign w:val="center"/>
          </w:tcPr>
          <w:p>
            <w:pPr>
              <w:snapToGrid w:val="0"/>
              <w:spacing w:line="360" w:lineRule="exact"/>
              <w:rPr>
                <w:rFonts w:hint="eastAsia" w:ascii="宋体" w:hAnsi="宋体"/>
                <w:color w:val="auto"/>
                <w:szCs w:val="21"/>
                <w:highlight w:val="none"/>
              </w:rPr>
            </w:pPr>
            <w:r>
              <w:rPr>
                <w:rFonts w:hint="eastAsia" w:ascii="宋体" w:hAnsi="宋体"/>
                <w:color w:val="auto"/>
                <w:szCs w:val="21"/>
                <w:highlight w:val="none"/>
              </w:rPr>
              <w:t>邮政编码：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9" w:hRule="atLeast"/>
        </w:trPr>
        <w:tc>
          <w:tcPr>
            <w:tcW w:w="9288" w:type="dxa"/>
            <w:gridSpan w:val="2"/>
            <w:noWrap w:val="0"/>
            <w:vAlign w:val="top"/>
          </w:tcPr>
          <w:p>
            <w:pPr>
              <w:snapToGrid w:val="0"/>
              <w:spacing w:line="360" w:lineRule="exact"/>
              <w:rPr>
                <w:rFonts w:hint="eastAsia" w:ascii="宋体" w:hAnsi="宋体"/>
                <w:color w:val="auto"/>
                <w:szCs w:val="21"/>
                <w:highlight w:val="none"/>
              </w:rPr>
            </w:pPr>
            <w:r>
              <w:rPr>
                <w:rFonts w:hint="eastAsia" w:ascii="宋体" w:hAnsi="宋体"/>
                <w:color w:val="auto"/>
                <w:szCs w:val="21"/>
                <w:highlight w:val="none"/>
              </w:rPr>
              <w:t>经办人：</w:t>
            </w:r>
          </w:p>
          <w:p>
            <w:pPr>
              <w:snapToGrid w:val="0"/>
              <w:spacing w:line="360" w:lineRule="exact"/>
              <w:ind w:firstLine="630" w:firstLineChars="300"/>
              <w:jc w:val="right"/>
              <w:rPr>
                <w:rFonts w:hint="eastAsia" w:ascii="宋体" w:hAnsi="宋体"/>
                <w:color w:val="auto"/>
                <w:szCs w:val="21"/>
                <w:highlight w:val="none"/>
              </w:rPr>
            </w:pPr>
          </w:p>
          <w:p>
            <w:pPr>
              <w:snapToGrid w:val="0"/>
              <w:spacing w:line="360" w:lineRule="exact"/>
              <w:ind w:firstLine="630" w:firstLineChars="300"/>
              <w:jc w:val="right"/>
              <w:rPr>
                <w:rFonts w:hint="eastAsia" w:ascii="宋体" w:hAnsi="宋体"/>
                <w:color w:val="auto"/>
                <w:szCs w:val="21"/>
                <w:highlight w:val="none"/>
              </w:rPr>
            </w:pPr>
          </w:p>
          <w:p>
            <w:pPr>
              <w:snapToGrid w:val="0"/>
              <w:spacing w:line="360" w:lineRule="exact"/>
              <w:ind w:firstLine="630" w:firstLineChars="300"/>
              <w:jc w:val="right"/>
              <w:rPr>
                <w:rFonts w:hint="eastAsia" w:ascii="宋体" w:hAnsi="宋体"/>
                <w:color w:val="auto"/>
                <w:szCs w:val="21"/>
                <w:highlight w:val="none"/>
              </w:rPr>
            </w:pPr>
          </w:p>
          <w:p>
            <w:pPr>
              <w:snapToGrid w:val="0"/>
              <w:spacing w:line="360" w:lineRule="exact"/>
              <w:ind w:firstLine="630" w:firstLineChars="300"/>
              <w:jc w:val="right"/>
              <w:rPr>
                <w:rFonts w:hint="eastAsia" w:ascii="宋体" w:hAnsi="宋体"/>
                <w:color w:val="auto"/>
                <w:szCs w:val="21"/>
                <w:highlight w:val="none"/>
              </w:rPr>
            </w:pPr>
          </w:p>
          <w:p>
            <w:pPr>
              <w:snapToGrid w:val="0"/>
              <w:spacing w:line="360" w:lineRule="exact"/>
              <w:ind w:firstLine="630" w:firstLineChars="300"/>
              <w:jc w:val="right"/>
              <w:rPr>
                <w:rFonts w:hint="eastAsia" w:ascii="宋体" w:hAnsi="宋体"/>
                <w:color w:val="auto"/>
                <w:szCs w:val="21"/>
                <w:highlight w:val="none"/>
              </w:rPr>
            </w:pPr>
            <w:r>
              <w:rPr>
                <w:rFonts w:hint="eastAsia" w:ascii="宋体" w:hAnsi="宋体"/>
                <w:color w:val="auto"/>
                <w:szCs w:val="21"/>
                <w:highlight w:val="none"/>
              </w:rPr>
              <w:t>年    月    日</w:t>
            </w:r>
          </w:p>
        </w:tc>
      </w:tr>
    </w:tbl>
    <w:p>
      <w:pPr>
        <w:snapToGrid w:val="0"/>
        <w:spacing w:line="360" w:lineRule="exact"/>
        <w:ind w:left="420" w:hanging="420" w:hangingChars="200"/>
        <w:rPr>
          <w:rFonts w:hint="eastAsia" w:ascii="宋体" w:hAnsi="宋体"/>
          <w:color w:val="auto"/>
          <w:szCs w:val="21"/>
          <w:highlight w:val="none"/>
        </w:rPr>
      </w:pPr>
    </w:p>
    <w:p>
      <w:pPr>
        <w:snapToGrid w:val="0"/>
        <w:spacing w:line="360" w:lineRule="exact"/>
        <w:jc w:val="center"/>
        <w:rPr>
          <w:rFonts w:hint="eastAsia" w:ascii="宋体" w:hAnsi="宋体"/>
          <w:b/>
          <w:color w:val="auto"/>
          <w:sz w:val="28"/>
          <w:szCs w:val="28"/>
          <w:highlight w:val="none"/>
        </w:rPr>
      </w:pPr>
    </w:p>
    <w:p>
      <w:pPr>
        <w:snapToGrid w:val="0"/>
        <w:spacing w:line="360" w:lineRule="exact"/>
        <w:jc w:val="center"/>
        <w:rPr>
          <w:rFonts w:hint="eastAsia" w:ascii="宋体" w:hAnsi="宋体"/>
          <w:b/>
          <w:color w:val="auto"/>
          <w:sz w:val="28"/>
          <w:szCs w:val="28"/>
          <w:highlight w:val="none"/>
        </w:rPr>
      </w:pPr>
      <w:r>
        <w:rPr>
          <w:rFonts w:hint="eastAsia" w:ascii="宋体" w:hAnsi="宋体"/>
          <w:b/>
          <w:color w:val="auto"/>
          <w:sz w:val="28"/>
          <w:szCs w:val="28"/>
          <w:highlight w:val="none"/>
        </w:rPr>
        <w:t>合 同 附 件</w:t>
      </w:r>
    </w:p>
    <w:p>
      <w:pPr>
        <w:snapToGrid w:val="0"/>
        <w:spacing w:line="360" w:lineRule="exact"/>
        <w:jc w:val="center"/>
        <w:rPr>
          <w:rFonts w:hint="eastAsia" w:ascii="宋体" w:hAnsi="宋体"/>
          <w:b/>
          <w:color w:val="auto"/>
          <w:szCs w:val="21"/>
          <w:highlight w:val="none"/>
        </w:rPr>
      </w:pP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8"/>
        <w:gridCol w:w="4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5" w:hRule="atLeast"/>
          <w:jc w:val="center"/>
        </w:trPr>
        <w:tc>
          <w:tcPr>
            <w:tcW w:w="9468" w:type="dxa"/>
            <w:gridSpan w:val="2"/>
            <w:tcBorders>
              <w:top w:val="single" w:color="auto" w:sz="4" w:space="0"/>
              <w:left w:val="single" w:color="auto" w:sz="4" w:space="0"/>
              <w:right w:val="single" w:color="auto" w:sz="4" w:space="0"/>
            </w:tcBorders>
            <w:noWrap w:val="0"/>
            <w:vAlign w:val="top"/>
          </w:tcPr>
          <w:p>
            <w:pPr>
              <w:snapToGrid w:val="0"/>
              <w:spacing w:line="360" w:lineRule="exact"/>
              <w:rPr>
                <w:rFonts w:hint="eastAsia" w:hAnsi="宋体"/>
                <w:color w:val="auto"/>
                <w:szCs w:val="21"/>
                <w:highlight w:val="none"/>
              </w:rPr>
            </w:pPr>
            <w:r>
              <w:rPr>
                <w:rFonts w:hint="eastAsia" w:hAnsi="宋体"/>
                <w:color w:val="auto"/>
                <w:szCs w:val="21"/>
                <w:highlight w:val="none"/>
              </w:rPr>
              <w:t>1、供应商承诺具体事项：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6" w:hRule="atLeast"/>
          <w:jc w:val="center"/>
        </w:trPr>
        <w:tc>
          <w:tcPr>
            <w:tcW w:w="9468" w:type="dxa"/>
            <w:gridSpan w:val="2"/>
            <w:tcBorders>
              <w:top w:val="single" w:color="auto" w:sz="4" w:space="0"/>
              <w:left w:val="single" w:color="auto" w:sz="4" w:space="0"/>
              <w:right w:val="single" w:color="auto" w:sz="4" w:space="0"/>
            </w:tcBorders>
            <w:noWrap w:val="0"/>
            <w:vAlign w:val="top"/>
          </w:tcPr>
          <w:p>
            <w:pPr>
              <w:snapToGrid w:val="0"/>
              <w:spacing w:line="360" w:lineRule="exact"/>
              <w:rPr>
                <w:rFonts w:hint="eastAsia" w:hAnsi="宋体"/>
                <w:color w:val="auto"/>
                <w:szCs w:val="21"/>
                <w:highlight w:val="none"/>
              </w:rPr>
            </w:pPr>
            <w:r>
              <w:rPr>
                <w:rFonts w:hint="eastAsia" w:hAnsi="宋体"/>
                <w:color w:val="auto"/>
                <w:szCs w:val="21"/>
                <w:highlight w:val="none"/>
              </w:rPr>
              <w:t>2、售后服务具体事项：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9468" w:type="dxa"/>
            <w:gridSpan w:val="2"/>
            <w:tcBorders>
              <w:top w:val="single" w:color="auto" w:sz="4" w:space="0"/>
              <w:left w:val="single" w:color="auto" w:sz="4" w:space="0"/>
              <w:right w:val="single" w:color="auto" w:sz="4" w:space="0"/>
            </w:tcBorders>
            <w:noWrap w:val="0"/>
            <w:vAlign w:val="top"/>
          </w:tcPr>
          <w:p>
            <w:pPr>
              <w:snapToGrid w:val="0"/>
              <w:spacing w:line="360" w:lineRule="exact"/>
              <w:rPr>
                <w:rFonts w:hint="eastAsia" w:hAnsi="宋体"/>
                <w:color w:val="auto"/>
                <w:szCs w:val="21"/>
                <w:highlight w:val="none"/>
              </w:rPr>
            </w:pPr>
            <w:r>
              <w:rPr>
                <w:rFonts w:hint="eastAsia" w:hAnsi="宋体"/>
                <w:color w:val="auto"/>
                <w:szCs w:val="21"/>
                <w:highlight w:val="none"/>
              </w:rPr>
              <w:t>3、保修期责任：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2" w:hRule="atLeast"/>
          <w:jc w:val="center"/>
        </w:trPr>
        <w:tc>
          <w:tcPr>
            <w:tcW w:w="9468" w:type="dxa"/>
            <w:gridSpan w:val="2"/>
            <w:tcBorders>
              <w:top w:val="single" w:color="auto" w:sz="4" w:space="0"/>
              <w:left w:val="single" w:color="auto" w:sz="4" w:space="0"/>
              <w:right w:val="single" w:color="auto" w:sz="4" w:space="0"/>
            </w:tcBorders>
            <w:noWrap w:val="0"/>
            <w:vAlign w:val="top"/>
          </w:tcPr>
          <w:p>
            <w:pPr>
              <w:snapToGrid w:val="0"/>
              <w:spacing w:line="360" w:lineRule="exact"/>
              <w:rPr>
                <w:rFonts w:hint="eastAsia" w:hAnsi="宋体"/>
                <w:color w:val="auto"/>
                <w:szCs w:val="21"/>
                <w:highlight w:val="none"/>
              </w:rPr>
            </w:pPr>
            <w:r>
              <w:rPr>
                <w:rFonts w:hint="eastAsia" w:hAnsi="宋体"/>
                <w:color w:val="auto"/>
                <w:szCs w:val="21"/>
                <w:highlight w:val="none"/>
              </w:rPr>
              <w:t>4、其他具体事项：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7" w:hRule="atLeast"/>
          <w:jc w:val="center"/>
        </w:trPr>
        <w:tc>
          <w:tcPr>
            <w:tcW w:w="478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ind w:firstLine="422"/>
              <w:rPr>
                <w:rFonts w:hint="eastAsia" w:hAnsi="宋体"/>
                <w:color w:val="auto"/>
                <w:szCs w:val="21"/>
                <w:highlight w:val="none"/>
              </w:rPr>
            </w:pPr>
            <w:r>
              <w:rPr>
                <w:rFonts w:hint="eastAsia" w:hAnsi="宋体"/>
                <w:color w:val="auto"/>
                <w:szCs w:val="21"/>
                <w:highlight w:val="none"/>
              </w:rPr>
              <w:t>甲方（章）</w:t>
            </w:r>
          </w:p>
          <w:p>
            <w:pPr>
              <w:snapToGrid w:val="0"/>
              <w:spacing w:line="360" w:lineRule="exact"/>
              <w:ind w:firstLine="422"/>
              <w:rPr>
                <w:rFonts w:hint="eastAsia" w:hAnsi="宋体"/>
                <w:color w:val="auto"/>
                <w:szCs w:val="21"/>
                <w:highlight w:val="none"/>
              </w:rPr>
            </w:pPr>
          </w:p>
          <w:p>
            <w:pPr>
              <w:snapToGrid w:val="0"/>
              <w:spacing w:line="360" w:lineRule="exact"/>
              <w:ind w:firstLine="422"/>
              <w:rPr>
                <w:rFonts w:hint="eastAsia" w:hAnsi="宋体"/>
                <w:color w:val="auto"/>
                <w:szCs w:val="21"/>
                <w:highlight w:val="none"/>
              </w:rPr>
            </w:pPr>
          </w:p>
          <w:p>
            <w:pPr>
              <w:snapToGrid w:val="0"/>
              <w:spacing w:line="360" w:lineRule="exact"/>
              <w:ind w:firstLine="422"/>
              <w:rPr>
                <w:rFonts w:hint="eastAsia" w:hAnsi="宋体"/>
                <w:color w:val="auto"/>
                <w:szCs w:val="21"/>
                <w:highlight w:val="none"/>
              </w:rPr>
            </w:pPr>
          </w:p>
          <w:p>
            <w:pPr>
              <w:snapToGrid w:val="0"/>
              <w:spacing w:line="360" w:lineRule="exact"/>
              <w:ind w:firstLine="422"/>
              <w:rPr>
                <w:rFonts w:hint="eastAsia" w:hAnsi="宋体"/>
                <w:color w:val="auto"/>
                <w:szCs w:val="21"/>
                <w:highlight w:val="none"/>
              </w:rPr>
            </w:pPr>
          </w:p>
          <w:p>
            <w:pPr>
              <w:snapToGrid w:val="0"/>
              <w:spacing w:line="360" w:lineRule="exact"/>
              <w:ind w:firstLine="422"/>
              <w:rPr>
                <w:rFonts w:hint="eastAsia" w:hAnsi="宋体"/>
                <w:color w:val="auto"/>
                <w:szCs w:val="21"/>
                <w:highlight w:val="none"/>
              </w:rPr>
            </w:pPr>
          </w:p>
          <w:p>
            <w:pPr>
              <w:snapToGrid w:val="0"/>
              <w:spacing w:line="360" w:lineRule="exact"/>
              <w:ind w:firstLine="422"/>
              <w:rPr>
                <w:rFonts w:hint="eastAsia" w:hAnsi="宋体"/>
                <w:color w:val="auto"/>
                <w:szCs w:val="21"/>
                <w:highlight w:val="none"/>
              </w:rPr>
            </w:pPr>
            <w:r>
              <w:rPr>
                <w:rFonts w:hint="eastAsia" w:hAnsi="宋体"/>
                <w:color w:val="auto"/>
                <w:szCs w:val="21"/>
                <w:highlight w:val="none"/>
              </w:rPr>
              <w:t xml:space="preserve">                      年   月   日 </w:t>
            </w:r>
          </w:p>
        </w:tc>
        <w:tc>
          <w:tcPr>
            <w:tcW w:w="4680"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ind w:firstLine="422"/>
              <w:rPr>
                <w:rFonts w:hint="eastAsia" w:hAnsi="宋体"/>
                <w:color w:val="auto"/>
                <w:szCs w:val="21"/>
                <w:highlight w:val="none"/>
              </w:rPr>
            </w:pPr>
            <w:r>
              <w:rPr>
                <w:rFonts w:hint="eastAsia" w:hAnsi="宋体"/>
                <w:color w:val="auto"/>
                <w:szCs w:val="21"/>
                <w:highlight w:val="none"/>
              </w:rPr>
              <w:t>乙方（章）</w:t>
            </w:r>
          </w:p>
          <w:p>
            <w:pPr>
              <w:snapToGrid w:val="0"/>
              <w:spacing w:line="360" w:lineRule="exact"/>
              <w:ind w:firstLine="422"/>
              <w:rPr>
                <w:rFonts w:hint="eastAsia" w:hAnsi="宋体"/>
                <w:color w:val="auto"/>
                <w:szCs w:val="21"/>
                <w:highlight w:val="none"/>
              </w:rPr>
            </w:pPr>
          </w:p>
          <w:p>
            <w:pPr>
              <w:snapToGrid w:val="0"/>
              <w:spacing w:line="360" w:lineRule="exact"/>
              <w:ind w:firstLine="422"/>
              <w:rPr>
                <w:rFonts w:hint="eastAsia" w:hAnsi="宋体"/>
                <w:color w:val="auto"/>
                <w:szCs w:val="21"/>
                <w:highlight w:val="none"/>
              </w:rPr>
            </w:pPr>
          </w:p>
          <w:p>
            <w:pPr>
              <w:snapToGrid w:val="0"/>
              <w:spacing w:line="360" w:lineRule="exact"/>
              <w:ind w:firstLine="422"/>
              <w:rPr>
                <w:rFonts w:hint="eastAsia" w:hAnsi="宋体"/>
                <w:color w:val="auto"/>
                <w:szCs w:val="21"/>
                <w:highlight w:val="none"/>
              </w:rPr>
            </w:pPr>
          </w:p>
          <w:p>
            <w:pPr>
              <w:snapToGrid w:val="0"/>
              <w:spacing w:line="360" w:lineRule="exact"/>
              <w:ind w:firstLine="422"/>
              <w:rPr>
                <w:rFonts w:hint="eastAsia" w:hAnsi="宋体"/>
                <w:color w:val="auto"/>
                <w:szCs w:val="21"/>
                <w:highlight w:val="none"/>
              </w:rPr>
            </w:pPr>
          </w:p>
          <w:p>
            <w:pPr>
              <w:snapToGrid w:val="0"/>
              <w:spacing w:line="360" w:lineRule="exact"/>
              <w:ind w:firstLine="422"/>
              <w:rPr>
                <w:rFonts w:hint="eastAsia" w:hAnsi="宋体"/>
                <w:color w:val="auto"/>
                <w:szCs w:val="21"/>
                <w:highlight w:val="none"/>
              </w:rPr>
            </w:pPr>
          </w:p>
          <w:p>
            <w:pPr>
              <w:snapToGrid w:val="0"/>
              <w:spacing w:line="360" w:lineRule="exact"/>
              <w:ind w:firstLine="422"/>
              <w:rPr>
                <w:rFonts w:hint="eastAsia" w:hAnsi="宋体"/>
                <w:color w:val="auto"/>
                <w:szCs w:val="21"/>
                <w:highlight w:val="none"/>
              </w:rPr>
            </w:pPr>
            <w:r>
              <w:rPr>
                <w:rFonts w:hint="eastAsia" w:hAnsi="宋体"/>
                <w:color w:val="auto"/>
                <w:szCs w:val="21"/>
                <w:highlight w:val="none"/>
              </w:rPr>
              <w:t xml:space="preserve">                       年   月   日</w:t>
            </w:r>
          </w:p>
        </w:tc>
      </w:tr>
    </w:tbl>
    <w:p>
      <w:pPr>
        <w:spacing w:line="300" w:lineRule="auto"/>
        <w:rPr>
          <w:rFonts w:hint="eastAsia" w:ascii="宋体" w:hAnsi="宋体"/>
          <w:b/>
          <w:color w:val="auto"/>
          <w:szCs w:val="21"/>
          <w:highlight w:val="none"/>
        </w:rPr>
      </w:pPr>
      <w:r>
        <w:rPr>
          <w:rFonts w:hint="eastAsia" w:ascii="宋体" w:hAnsi="宋体"/>
          <w:color w:val="auto"/>
          <w:szCs w:val="21"/>
          <w:highlight w:val="none"/>
        </w:rPr>
        <w:t>注：售后服务事项填不下时可另加附页</w:t>
      </w:r>
    </w:p>
    <w:p>
      <w:pPr>
        <w:snapToGrid w:val="0"/>
        <w:spacing w:line="360" w:lineRule="exact"/>
        <w:rPr>
          <w:rFonts w:hint="eastAsia" w:ascii="宋体" w:hAnsi="宋体"/>
          <w:color w:val="auto"/>
          <w:szCs w:val="21"/>
          <w:highlight w:val="none"/>
        </w:rPr>
      </w:pPr>
    </w:p>
    <w:p>
      <w:pPr>
        <w:pStyle w:val="27"/>
        <w:snapToGrid w:val="0"/>
        <w:spacing w:before="120" w:after="120"/>
        <w:jc w:val="center"/>
        <w:outlineLvl w:val="0"/>
        <w:rPr>
          <w:rFonts w:hint="eastAsia" w:ascii="黑体" w:hAnsi="宋体" w:eastAsia="黑体"/>
          <w:b/>
          <w:color w:val="auto"/>
          <w:sz w:val="44"/>
          <w:szCs w:val="44"/>
          <w:highlight w:val="none"/>
        </w:rPr>
      </w:pPr>
    </w:p>
    <w:p>
      <w:pPr>
        <w:pStyle w:val="27"/>
        <w:snapToGrid w:val="0"/>
        <w:spacing w:before="120" w:after="120"/>
        <w:jc w:val="center"/>
        <w:outlineLvl w:val="0"/>
        <w:rPr>
          <w:rFonts w:hint="eastAsia" w:ascii="黑体" w:hAnsi="宋体" w:eastAsia="黑体"/>
          <w:b/>
          <w:color w:val="auto"/>
          <w:sz w:val="44"/>
          <w:szCs w:val="44"/>
          <w:highlight w:val="none"/>
        </w:rPr>
      </w:pPr>
    </w:p>
    <w:p>
      <w:pPr>
        <w:pStyle w:val="27"/>
        <w:snapToGrid w:val="0"/>
        <w:spacing w:before="120" w:after="120"/>
        <w:jc w:val="center"/>
        <w:outlineLvl w:val="0"/>
        <w:rPr>
          <w:rFonts w:hint="eastAsia" w:ascii="黑体" w:hAnsi="宋体" w:eastAsia="黑体"/>
          <w:b/>
          <w:color w:val="auto"/>
          <w:sz w:val="44"/>
          <w:szCs w:val="44"/>
          <w:highlight w:val="none"/>
        </w:rPr>
      </w:pPr>
    </w:p>
    <w:p>
      <w:pPr>
        <w:pStyle w:val="27"/>
        <w:snapToGrid w:val="0"/>
        <w:spacing w:before="120" w:after="120"/>
        <w:jc w:val="center"/>
        <w:outlineLvl w:val="0"/>
        <w:rPr>
          <w:rFonts w:hint="eastAsia" w:ascii="黑体" w:hAnsi="宋体" w:eastAsia="黑体"/>
          <w:b/>
          <w:color w:val="auto"/>
          <w:sz w:val="44"/>
          <w:szCs w:val="44"/>
          <w:highlight w:val="none"/>
        </w:rPr>
      </w:pPr>
    </w:p>
    <w:p>
      <w:pPr>
        <w:pStyle w:val="27"/>
        <w:snapToGrid w:val="0"/>
        <w:spacing w:before="120" w:after="120"/>
        <w:jc w:val="center"/>
        <w:outlineLvl w:val="0"/>
        <w:rPr>
          <w:rFonts w:hint="eastAsia" w:ascii="黑体" w:hAnsi="宋体" w:eastAsia="黑体"/>
          <w:b/>
          <w:color w:val="auto"/>
          <w:sz w:val="44"/>
          <w:szCs w:val="44"/>
          <w:highlight w:val="none"/>
        </w:rPr>
      </w:pPr>
    </w:p>
    <w:p>
      <w:pPr>
        <w:pStyle w:val="27"/>
        <w:snapToGrid w:val="0"/>
        <w:spacing w:before="120" w:after="120"/>
        <w:jc w:val="center"/>
        <w:outlineLvl w:val="0"/>
        <w:rPr>
          <w:rFonts w:hint="eastAsia" w:ascii="黑体" w:hAnsi="宋体" w:eastAsia="黑体"/>
          <w:b/>
          <w:color w:val="auto"/>
          <w:sz w:val="44"/>
          <w:szCs w:val="44"/>
          <w:highlight w:val="none"/>
        </w:rPr>
      </w:pPr>
    </w:p>
    <w:p>
      <w:pPr>
        <w:pStyle w:val="27"/>
        <w:snapToGrid w:val="0"/>
        <w:spacing w:before="120" w:after="120"/>
        <w:jc w:val="center"/>
        <w:outlineLvl w:val="0"/>
        <w:rPr>
          <w:rFonts w:hint="eastAsia" w:ascii="黑体" w:hAnsi="宋体" w:eastAsia="黑体"/>
          <w:b/>
          <w:color w:val="auto"/>
          <w:sz w:val="44"/>
          <w:szCs w:val="44"/>
          <w:highlight w:val="none"/>
        </w:rPr>
      </w:pPr>
    </w:p>
    <w:p>
      <w:pPr>
        <w:pStyle w:val="27"/>
        <w:snapToGrid w:val="0"/>
        <w:spacing w:before="120" w:after="120"/>
        <w:jc w:val="center"/>
        <w:outlineLvl w:val="0"/>
        <w:rPr>
          <w:rFonts w:hint="eastAsia" w:ascii="黑体" w:hAnsi="宋体" w:eastAsia="黑体"/>
          <w:b/>
          <w:color w:val="auto"/>
          <w:sz w:val="44"/>
          <w:szCs w:val="44"/>
          <w:highlight w:val="none"/>
        </w:rPr>
      </w:pPr>
    </w:p>
    <w:p>
      <w:pPr>
        <w:pStyle w:val="2"/>
        <w:jc w:val="center"/>
        <w:rPr>
          <w:rFonts w:hint="eastAsia" w:ascii="黑体" w:eastAsia="黑体"/>
          <w:color w:val="auto"/>
          <w:highlight w:val="none"/>
        </w:rPr>
      </w:pPr>
      <w:bookmarkStart w:id="293" w:name="_Toc40864724"/>
      <w:bookmarkStart w:id="294" w:name="_Toc40865116"/>
      <w:r>
        <w:rPr>
          <w:rFonts w:hint="eastAsia"/>
          <w:color w:val="auto"/>
          <w:highlight w:val="none"/>
        </w:rPr>
        <w:t>第六章　投标文件格式</w:t>
      </w:r>
      <w:bookmarkEnd w:id="293"/>
      <w:bookmarkEnd w:id="294"/>
    </w:p>
    <w:p>
      <w:pPr>
        <w:snapToGrid w:val="0"/>
        <w:spacing w:before="50" w:after="50"/>
        <w:outlineLvl w:val="1"/>
        <w:rPr>
          <w:rFonts w:hint="eastAsia" w:ascii="仿宋_GB2312" w:hAnsi="宋体" w:eastAsia="仿宋_GB2312"/>
          <w:color w:val="auto"/>
          <w:sz w:val="32"/>
          <w:szCs w:val="20"/>
          <w:highlight w:val="none"/>
        </w:rPr>
      </w:pPr>
    </w:p>
    <w:p>
      <w:pPr>
        <w:snapToGrid w:val="0"/>
        <w:spacing w:before="156" w:beforeLines="50" w:after="50" w:line="360" w:lineRule="exact"/>
        <w:jc w:val="center"/>
        <w:outlineLvl w:val="1"/>
        <w:rPr>
          <w:rFonts w:hint="eastAsia" w:ascii="宋体" w:hAnsi="宋体"/>
          <w:b/>
          <w:bCs/>
          <w:color w:val="auto"/>
          <w:szCs w:val="21"/>
          <w:highlight w:val="none"/>
        </w:rPr>
      </w:pPr>
      <w:bookmarkStart w:id="295" w:name="_Toc254970697"/>
      <w:bookmarkStart w:id="296" w:name="_Toc254970556"/>
    </w:p>
    <w:p>
      <w:pPr>
        <w:snapToGrid w:val="0"/>
        <w:spacing w:before="156" w:beforeLines="50" w:after="50" w:line="360" w:lineRule="exact"/>
        <w:jc w:val="center"/>
        <w:outlineLvl w:val="1"/>
        <w:rPr>
          <w:rFonts w:hint="eastAsia" w:ascii="宋体" w:hAnsi="宋体"/>
          <w:b/>
          <w:bCs/>
          <w:color w:val="auto"/>
          <w:szCs w:val="21"/>
          <w:highlight w:val="none"/>
        </w:rPr>
      </w:pPr>
    </w:p>
    <w:p>
      <w:pPr>
        <w:snapToGrid w:val="0"/>
        <w:spacing w:before="156" w:beforeLines="50" w:after="50" w:line="360" w:lineRule="exact"/>
        <w:jc w:val="center"/>
        <w:outlineLvl w:val="1"/>
        <w:rPr>
          <w:rFonts w:hint="eastAsia" w:ascii="宋体" w:hAnsi="宋体"/>
          <w:b/>
          <w:bCs/>
          <w:color w:val="auto"/>
          <w:szCs w:val="21"/>
          <w:highlight w:val="none"/>
        </w:rPr>
      </w:pPr>
    </w:p>
    <w:p>
      <w:pPr>
        <w:snapToGrid w:val="0"/>
        <w:spacing w:before="156" w:beforeLines="50" w:after="50" w:line="360" w:lineRule="exact"/>
        <w:jc w:val="center"/>
        <w:outlineLvl w:val="1"/>
        <w:rPr>
          <w:rFonts w:hint="eastAsia" w:ascii="宋体" w:hAnsi="宋体"/>
          <w:b/>
          <w:bCs/>
          <w:color w:val="auto"/>
          <w:szCs w:val="21"/>
          <w:highlight w:val="none"/>
        </w:rPr>
      </w:pPr>
    </w:p>
    <w:p>
      <w:pPr>
        <w:snapToGrid w:val="0"/>
        <w:spacing w:before="156" w:beforeLines="50" w:after="50" w:line="360" w:lineRule="exact"/>
        <w:jc w:val="center"/>
        <w:outlineLvl w:val="1"/>
        <w:rPr>
          <w:rFonts w:hint="eastAsia" w:ascii="宋体" w:hAnsi="宋体"/>
          <w:b/>
          <w:bCs/>
          <w:color w:val="auto"/>
          <w:szCs w:val="21"/>
          <w:highlight w:val="none"/>
        </w:rPr>
      </w:pPr>
    </w:p>
    <w:p>
      <w:pPr>
        <w:snapToGrid w:val="0"/>
        <w:spacing w:before="156" w:beforeLines="50" w:after="50" w:line="360" w:lineRule="exact"/>
        <w:jc w:val="center"/>
        <w:outlineLvl w:val="1"/>
        <w:rPr>
          <w:rFonts w:hint="eastAsia" w:ascii="宋体" w:hAnsi="宋体"/>
          <w:b/>
          <w:bCs/>
          <w:color w:val="auto"/>
          <w:szCs w:val="21"/>
          <w:highlight w:val="none"/>
        </w:rPr>
      </w:pPr>
    </w:p>
    <w:p>
      <w:pPr>
        <w:snapToGrid w:val="0"/>
        <w:spacing w:before="156" w:beforeLines="50" w:after="50" w:line="360" w:lineRule="exact"/>
        <w:jc w:val="center"/>
        <w:outlineLvl w:val="1"/>
        <w:rPr>
          <w:rFonts w:hint="eastAsia" w:ascii="宋体" w:hAnsi="宋体"/>
          <w:b/>
          <w:bCs/>
          <w:color w:val="auto"/>
          <w:szCs w:val="21"/>
          <w:highlight w:val="none"/>
        </w:rPr>
      </w:pPr>
    </w:p>
    <w:p>
      <w:pPr>
        <w:snapToGrid w:val="0"/>
        <w:spacing w:before="156" w:beforeLines="50" w:after="50" w:line="360" w:lineRule="exact"/>
        <w:jc w:val="center"/>
        <w:outlineLvl w:val="1"/>
        <w:rPr>
          <w:rFonts w:hint="eastAsia" w:ascii="宋体" w:hAnsi="宋体"/>
          <w:b/>
          <w:bCs/>
          <w:color w:val="auto"/>
          <w:szCs w:val="21"/>
          <w:highlight w:val="none"/>
        </w:rPr>
      </w:pPr>
    </w:p>
    <w:p>
      <w:pPr>
        <w:snapToGrid w:val="0"/>
        <w:spacing w:before="156" w:beforeLines="50" w:after="50" w:line="360" w:lineRule="exact"/>
        <w:jc w:val="center"/>
        <w:outlineLvl w:val="1"/>
        <w:rPr>
          <w:rFonts w:hint="eastAsia" w:ascii="宋体" w:hAnsi="宋体"/>
          <w:b/>
          <w:bCs/>
          <w:color w:val="auto"/>
          <w:szCs w:val="21"/>
          <w:highlight w:val="none"/>
        </w:rPr>
      </w:pPr>
    </w:p>
    <w:p>
      <w:pPr>
        <w:snapToGrid w:val="0"/>
        <w:spacing w:before="156" w:beforeLines="50" w:after="50" w:line="360" w:lineRule="exact"/>
        <w:jc w:val="center"/>
        <w:outlineLvl w:val="1"/>
        <w:rPr>
          <w:rFonts w:hint="eastAsia" w:ascii="宋体" w:hAnsi="宋体"/>
          <w:b/>
          <w:bCs/>
          <w:color w:val="auto"/>
          <w:szCs w:val="21"/>
          <w:highlight w:val="none"/>
        </w:rPr>
      </w:pPr>
    </w:p>
    <w:bookmarkEnd w:id="295"/>
    <w:bookmarkEnd w:id="296"/>
    <w:p>
      <w:pPr>
        <w:snapToGrid w:val="0"/>
        <w:spacing w:before="156" w:beforeLines="50" w:after="50" w:line="360" w:lineRule="exact"/>
        <w:jc w:val="center"/>
        <w:outlineLvl w:val="1"/>
        <w:rPr>
          <w:rFonts w:ascii="仿宋_GB2312" w:hAnsi="宋体" w:eastAsia="仿宋_GB2312"/>
          <w:b/>
          <w:bCs/>
          <w:color w:val="auto"/>
          <w:sz w:val="32"/>
          <w:szCs w:val="32"/>
          <w:highlight w:val="none"/>
        </w:rPr>
      </w:pPr>
      <w:r>
        <w:rPr>
          <w:color w:val="auto"/>
          <w:highlight w:val="none"/>
        </w:rPr>
        <w:br w:type="page"/>
      </w:r>
      <w:bookmarkStart w:id="297" w:name="_Toc40864725"/>
      <w:bookmarkStart w:id="298" w:name="_Toc40865001"/>
      <w:bookmarkStart w:id="299" w:name="_Toc40865117"/>
      <w:r>
        <w:rPr>
          <w:rFonts w:hint="eastAsia" w:ascii="仿宋_GB2312" w:hAnsi="宋体" w:eastAsia="仿宋_GB2312"/>
          <w:b/>
          <w:color w:val="auto"/>
          <w:sz w:val="32"/>
          <w:szCs w:val="32"/>
          <w:highlight w:val="none"/>
        </w:rPr>
        <w:t>投标文件格式</w:t>
      </w:r>
      <w:bookmarkEnd w:id="297"/>
      <w:bookmarkEnd w:id="298"/>
      <w:bookmarkEnd w:id="299"/>
    </w:p>
    <w:p>
      <w:pPr>
        <w:snapToGrid w:val="0"/>
        <w:spacing w:before="156" w:beforeLines="50" w:after="50" w:line="360" w:lineRule="exact"/>
        <w:jc w:val="center"/>
        <w:outlineLvl w:val="0"/>
        <w:rPr>
          <w:rFonts w:hint="eastAsia" w:ascii="宋体" w:hAnsi="宋体"/>
          <w:b/>
          <w:color w:val="auto"/>
          <w:sz w:val="24"/>
          <w:highlight w:val="none"/>
        </w:rPr>
      </w:pPr>
      <w:bookmarkStart w:id="300" w:name="_Toc40865002"/>
      <w:bookmarkStart w:id="301" w:name="_Toc40865118"/>
      <w:bookmarkStart w:id="302" w:name="_Toc40864726"/>
      <w:r>
        <w:rPr>
          <w:rFonts w:hint="eastAsia" w:ascii="宋体" w:hAnsi="宋体"/>
          <w:b/>
          <w:color w:val="auto"/>
          <w:sz w:val="24"/>
          <w:highlight w:val="none"/>
        </w:rPr>
        <w:t>一、投标文件封面格式</w:t>
      </w:r>
      <w:bookmarkEnd w:id="300"/>
      <w:bookmarkEnd w:id="301"/>
      <w:bookmarkEnd w:id="302"/>
    </w:p>
    <w:p>
      <w:pPr>
        <w:snapToGrid w:val="0"/>
        <w:spacing w:before="156" w:beforeLines="50" w:after="50" w:line="360" w:lineRule="exact"/>
        <w:rPr>
          <w:rFonts w:hint="eastAsia" w:ascii="宋体" w:hAnsi="宋体"/>
          <w:b/>
          <w:color w:val="auto"/>
          <w:szCs w:val="21"/>
          <w:highlight w:val="none"/>
        </w:rPr>
      </w:pPr>
    </w:p>
    <w:p>
      <w:pPr>
        <w:snapToGrid w:val="0"/>
        <w:spacing w:before="156" w:beforeLines="50" w:after="50" w:line="360" w:lineRule="exact"/>
        <w:rPr>
          <w:rFonts w:hint="eastAsia" w:ascii="仿宋_GB2312" w:hAnsi="宋体" w:eastAsia="仿宋_GB2312"/>
          <w:color w:val="auto"/>
          <w:sz w:val="24"/>
          <w:highlight w:val="none"/>
        </w:rPr>
      </w:pPr>
    </w:p>
    <w:p>
      <w:pPr>
        <w:snapToGrid w:val="0"/>
        <w:spacing w:before="156" w:beforeLines="50" w:after="50" w:line="360" w:lineRule="exact"/>
        <w:rPr>
          <w:rFonts w:hint="eastAsia" w:ascii="仿宋_GB2312" w:hAnsi="宋体" w:eastAsia="仿宋_GB2312"/>
          <w:bCs/>
          <w:color w:val="auto"/>
          <w:sz w:val="24"/>
          <w:highlight w:val="none"/>
        </w:rPr>
      </w:pPr>
      <w:r>
        <w:rPr>
          <w:rFonts w:hint="eastAsia" w:ascii="仿宋_GB2312" w:hAnsi="宋体" w:eastAsia="仿宋_GB2312"/>
          <w:color w:val="auto"/>
          <w:sz w:val="24"/>
          <w:highlight w:val="none"/>
        </w:rPr>
        <w:t xml:space="preserve">                                                  </w:t>
      </w:r>
    </w:p>
    <w:p>
      <w:pPr>
        <w:snapToGrid w:val="0"/>
        <w:spacing w:before="156" w:beforeLines="50" w:after="50" w:line="360" w:lineRule="exact"/>
        <w:jc w:val="center"/>
        <w:rPr>
          <w:rFonts w:hint="eastAsia" w:ascii="宋体" w:hAnsi="宋体"/>
          <w:b/>
          <w:bCs/>
          <w:color w:val="auto"/>
          <w:sz w:val="32"/>
          <w:szCs w:val="32"/>
          <w:highlight w:val="none"/>
        </w:rPr>
      </w:pPr>
      <w:r>
        <w:rPr>
          <w:rFonts w:hint="eastAsia" w:ascii="宋体" w:hAnsi="宋体"/>
          <w:b/>
          <w:bCs/>
          <w:color w:val="auto"/>
          <w:sz w:val="32"/>
          <w:szCs w:val="32"/>
          <w:highlight w:val="none"/>
        </w:rPr>
        <w:t>投标文件</w:t>
      </w:r>
    </w:p>
    <w:p>
      <w:pPr>
        <w:snapToGrid w:val="0"/>
        <w:spacing w:before="156" w:beforeLines="50" w:after="50" w:line="360" w:lineRule="exact"/>
        <w:rPr>
          <w:rFonts w:hint="eastAsia" w:ascii="仿宋_GB2312" w:hAnsi="宋体" w:eastAsia="仿宋_GB2312"/>
          <w:bCs/>
          <w:color w:val="auto"/>
          <w:sz w:val="24"/>
          <w:highlight w:val="none"/>
        </w:rPr>
      </w:pPr>
    </w:p>
    <w:p>
      <w:pPr>
        <w:snapToGrid w:val="0"/>
        <w:spacing w:before="156" w:beforeLines="50" w:after="50" w:line="360" w:lineRule="exact"/>
        <w:ind w:firstLine="630" w:firstLineChars="300"/>
        <w:rPr>
          <w:rFonts w:hint="eastAsia" w:ascii="宋体" w:hAnsi="宋体"/>
          <w:bCs/>
          <w:color w:val="auto"/>
          <w:szCs w:val="21"/>
          <w:highlight w:val="none"/>
        </w:rPr>
      </w:pPr>
      <w:r>
        <w:rPr>
          <w:rFonts w:hint="eastAsia" w:ascii="宋体" w:hAnsi="宋体"/>
          <w:bCs/>
          <w:color w:val="auto"/>
          <w:szCs w:val="21"/>
          <w:highlight w:val="none"/>
        </w:rPr>
        <w:t xml:space="preserve">项目名称： </w:t>
      </w:r>
    </w:p>
    <w:p>
      <w:pPr>
        <w:snapToGrid w:val="0"/>
        <w:spacing w:before="156" w:beforeLines="50" w:after="50" w:line="360" w:lineRule="exact"/>
        <w:ind w:firstLine="630" w:firstLineChars="300"/>
        <w:rPr>
          <w:rFonts w:hint="eastAsia" w:ascii="宋体" w:hAnsi="宋体"/>
          <w:bCs/>
          <w:color w:val="auto"/>
          <w:szCs w:val="21"/>
          <w:highlight w:val="none"/>
        </w:rPr>
      </w:pPr>
      <w:r>
        <w:rPr>
          <w:rFonts w:hint="eastAsia" w:ascii="宋体" w:hAnsi="宋体"/>
          <w:bCs/>
          <w:color w:val="auto"/>
          <w:szCs w:val="21"/>
          <w:highlight w:val="none"/>
        </w:rPr>
        <w:t xml:space="preserve">项目编号： </w:t>
      </w:r>
    </w:p>
    <w:p>
      <w:pPr>
        <w:snapToGrid w:val="0"/>
        <w:spacing w:before="156" w:beforeLines="50" w:after="50" w:line="360" w:lineRule="exact"/>
        <w:ind w:firstLine="630" w:firstLineChars="300"/>
        <w:rPr>
          <w:rFonts w:hint="default" w:ascii="宋体" w:hAnsi="宋体" w:eastAsia="宋体"/>
          <w:bCs/>
          <w:color w:val="auto"/>
          <w:szCs w:val="21"/>
          <w:highlight w:val="none"/>
          <w:lang w:val="en-US" w:eastAsia="zh-CN"/>
        </w:rPr>
      </w:pPr>
      <w:r>
        <w:rPr>
          <w:rFonts w:hint="eastAsia" w:ascii="宋体" w:hAnsi="宋体"/>
          <w:bCs/>
          <w:color w:val="auto"/>
          <w:szCs w:val="21"/>
          <w:highlight w:val="none"/>
        </w:rPr>
        <w:t>所投分标：本项目</w:t>
      </w:r>
    </w:p>
    <w:p>
      <w:pPr>
        <w:snapToGrid w:val="0"/>
        <w:spacing w:before="156" w:beforeLines="50" w:after="50" w:line="360" w:lineRule="exact"/>
        <w:ind w:firstLine="630" w:firstLineChars="300"/>
        <w:rPr>
          <w:rFonts w:hint="eastAsia" w:ascii="宋体" w:hAnsi="宋体"/>
          <w:bCs/>
          <w:color w:val="auto"/>
          <w:szCs w:val="21"/>
          <w:highlight w:val="none"/>
        </w:rPr>
      </w:pPr>
      <w:r>
        <w:rPr>
          <w:rFonts w:hint="eastAsia" w:ascii="宋体" w:hAnsi="宋体"/>
          <w:bCs/>
          <w:color w:val="auto"/>
          <w:szCs w:val="21"/>
          <w:highlight w:val="none"/>
        </w:rPr>
        <w:t>投标人名称：（盖章）</w:t>
      </w:r>
    </w:p>
    <w:p>
      <w:pPr>
        <w:snapToGrid w:val="0"/>
        <w:spacing w:before="156" w:beforeLines="50" w:after="50" w:line="360" w:lineRule="exact"/>
        <w:ind w:firstLine="630" w:firstLineChars="300"/>
        <w:rPr>
          <w:rFonts w:hint="eastAsia" w:ascii="宋体" w:hAnsi="宋体"/>
          <w:bCs/>
          <w:color w:val="auto"/>
          <w:szCs w:val="21"/>
          <w:highlight w:val="none"/>
        </w:rPr>
      </w:pPr>
      <w:r>
        <w:rPr>
          <w:rFonts w:hint="eastAsia" w:ascii="宋体" w:hAnsi="宋体"/>
          <w:bCs/>
          <w:color w:val="auto"/>
          <w:szCs w:val="21"/>
          <w:highlight w:val="none"/>
        </w:rPr>
        <w:t>投标人地址：</w:t>
      </w:r>
    </w:p>
    <w:p>
      <w:pPr>
        <w:snapToGrid w:val="0"/>
        <w:spacing w:before="156" w:beforeLines="50" w:after="50" w:line="360" w:lineRule="exact"/>
        <w:jc w:val="center"/>
        <w:outlineLvl w:val="1"/>
        <w:rPr>
          <w:rFonts w:hint="eastAsia" w:ascii="宋体" w:hAnsi="宋体"/>
          <w:color w:val="auto"/>
          <w:szCs w:val="21"/>
          <w:highlight w:val="none"/>
        </w:rPr>
      </w:pPr>
      <w:r>
        <w:rPr>
          <w:rFonts w:hint="eastAsia" w:ascii="仿宋_GB2312" w:hAnsi="宋体" w:eastAsia="仿宋_GB2312"/>
          <w:color w:val="auto"/>
          <w:sz w:val="24"/>
          <w:highlight w:val="none"/>
        </w:rPr>
        <w:t xml:space="preserve">                        </w:t>
      </w:r>
      <w:bookmarkStart w:id="303" w:name="_Toc40864729"/>
      <w:bookmarkStart w:id="304" w:name="_Toc40865121"/>
      <w:bookmarkStart w:id="305" w:name="_Toc40865005"/>
      <w:r>
        <w:rPr>
          <w:rFonts w:hint="eastAsia" w:ascii="仿宋_GB2312" w:hAnsi="宋体" w:eastAsia="仿宋_GB2312"/>
          <w:color w:val="auto"/>
          <w:sz w:val="24"/>
          <w:highlight w:val="none"/>
        </w:rPr>
        <w:t>年  月  日</w:t>
      </w:r>
      <w:bookmarkEnd w:id="303"/>
      <w:bookmarkEnd w:id="304"/>
      <w:bookmarkEnd w:id="305"/>
    </w:p>
    <w:p>
      <w:pPr>
        <w:snapToGrid w:val="0"/>
        <w:spacing w:before="156" w:beforeLines="50" w:after="50" w:line="360" w:lineRule="exact"/>
        <w:jc w:val="center"/>
        <w:outlineLvl w:val="1"/>
        <w:rPr>
          <w:rFonts w:hint="eastAsia" w:ascii="宋体" w:hAnsi="宋体"/>
          <w:bCs/>
          <w:color w:val="auto"/>
          <w:szCs w:val="21"/>
          <w:highlight w:val="none"/>
        </w:rPr>
      </w:pPr>
      <w:bookmarkStart w:id="306" w:name="_Toc254970698"/>
      <w:bookmarkStart w:id="307" w:name="_Toc254970557"/>
    </w:p>
    <w:p>
      <w:pPr>
        <w:snapToGrid w:val="0"/>
        <w:spacing w:before="156" w:beforeLines="50" w:after="50" w:line="360" w:lineRule="exact"/>
        <w:jc w:val="left"/>
        <w:outlineLvl w:val="1"/>
        <w:rPr>
          <w:rFonts w:hint="eastAsia" w:ascii="宋体" w:hAnsi="宋体"/>
          <w:bCs/>
          <w:color w:val="auto"/>
          <w:szCs w:val="21"/>
          <w:highlight w:val="none"/>
        </w:rPr>
      </w:pPr>
      <w:bookmarkStart w:id="308" w:name="_Toc40865122"/>
      <w:bookmarkStart w:id="309" w:name="_Toc40864730"/>
      <w:bookmarkStart w:id="310" w:name="_Toc40865006"/>
      <w:r>
        <w:rPr>
          <w:rFonts w:hint="eastAsia" w:ascii="宋体" w:hAnsi="宋体"/>
          <w:bCs/>
          <w:color w:val="auto"/>
          <w:szCs w:val="21"/>
          <w:highlight w:val="none"/>
        </w:rPr>
        <w:t xml:space="preserve">     [注：</w:t>
      </w:r>
      <w:r>
        <w:rPr>
          <w:rFonts w:hint="eastAsia" w:ascii="宋体"/>
          <w:color w:val="auto"/>
          <w:szCs w:val="21"/>
          <w:highlight w:val="none"/>
        </w:rPr>
        <w:t>投标文件由</w:t>
      </w:r>
      <w:r>
        <w:rPr>
          <w:rFonts w:hint="eastAsia" w:ascii="宋体"/>
          <w:b/>
          <w:bCs/>
          <w:color w:val="auto"/>
          <w:szCs w:val="21"/>
          <w:highlight w:val="none"/>
        </w:rPr>
        <w:t>资格文件、资信及商务文件、技术文件、投标报价文件</w:t>
      </w:r>
      <w:r>
        <w:rPr>
          <w:rFonts w:hint="eastAsia" w:ascii="宋体"/>
          <w:b/>
          <w:color w:val="auto"/>
          <w:szCs w:val="21"/>
          <w:highlight w:val="none"/>
        </w:rPr>
        <w:t>四部份</w:t>
      </w:r>
      <w:r>
        <w:rPr>
          <w:rFonts w:hint="eastAsia" w:ascii="宋体"/>
          <w:color w:val="auto"/>
          <w:szCs w:val="21"/>
          <w:highlight w:val="none"/>
        </w:rPr>
        <w:t>组成</w:t>
      </w:r>
      <w:r>
        <w:rPr>
          <w:rFonts w:hint="eastAsia" w:ascii="宋体" w:hAnsi="宋体"/>
          <w:bCs/>
          <w:color w:val="auto"/>
          <w:szCs w:val="21"/>
          <w:highlight w:val="none"/>
        </w:rPr>
        <w:t>]</w:t>
      </w:r>
      <w:bookmarkEnd w:id="308"/>
      <w:bookmarkEnd w:id="309"/>
      <w:bookmarkEnd w:id="310"/>
    </w:p>
    <w:p>
      <w:pPr>
        <w:snapToGrid w:val="0"/>
        <w:spacing w:before="156" w:beforeLines="50" w:after="50" w:line="360" w:lineRule="exact"/>
        <w:jc w:val="center"/>
        <w:outlineLvl w:val="1"/>
        <w:rPr>
          <w:rFonts w:hint="eastAsia" w:ascii="黑体" w:hAnsi="宋体" w:eastAsia="黑体"/>
          <w:bCs/>
          <w:color w:val="auto"/>
          <w:sz w:val="24"/>
          <w:highlight w:val="none"/>
        </w:rPr>
      </w:pPr>
    </w:p>
    <w:p>
      <w:pPr>
        <w:snapToGrid w:val="0"/>
        <w:spacing w:before="156" w:beforeLines="50" w:after="50" w:line="360" w:lineRule="exact"/>
        <w:jc w:val="center"/>
        <w:outlineLvl w:val="0"/>
        <w:rPr>
          <w:rFonts w:hint="eastAsia" w:ascii="黑体" w:hAnsi="宋体" w:eastAsia="黑体"/>
          <w:bCs/>
          <w:color w:val="auto"/>
          <w:sz w:val="32"/>
          <w:szCs w:val="32"/>
          <w:highlight w:val="none"/>
        </w:rPr>
      </w:pPr>
    </w:p>
    <w:p>
      <w:pPr>
        <w:snapToGrid w:val="0"/>
        <w:spacing w:before="156" w:beforeLines="50" w:after="50" w:line="360" w:lineRule="exact"/>
        <w:jc w:val="center"/>
        <w:outlineLvl w:val="0"/>
        <w:rPr>
          <w:rFonts w:hint="eastAsia" w:ascii="黑体" w:hAnsi="宋体" w:eastAsia="黑体"/>
          <w:bCs/>
          <w:color w:val="auto"/>
          <w:sz w:val="32"/>
          <w:szCs w:val="32"/>
          <w:highlight w:val="none"/>
        </w:rPr>
      </w:pPr>
    </w:p>
    <w:p>
      <w:pPr>
        <w:snapToGrid w:val="0"/>
        <w:spacing w:before="156" w:beforeLines="50" w:after="50" w:line="360" w:lineRule="exact"/>
        <w:jc w:val="center"/>
        <w:outlineLvl w:val="0"/>
        <w:rPr>
          <w:rFonts w:hint="eastAsia" w:ascii="黑体" w:hAnsi="宋体" w:eastAsia="黑体"/>
          <w:bCs/>
          <w:color w:val="auto"/>
          <w:sz w:val="32"/>
          <w:szCs w:val="32"/>
          <w:highlight w:val="none"/>
        </w:rPr>
      </w:pPr>
    </w:p>
    <w:p>
      <w:pPr>
        <w:snapToGrid w:val="0"/>
        <w:spacing w:before="156" w:beforeLines="50" w:after="50" w:line="360" w:lineRule="exact"/>
        <w:jc w:val="center"/>
        <w:outlineLvl w:val="0"/>
        <w:rPr>
          <w:rFonts w:hint="eastAsia" w:ascii="黑体" w:hAnsi="宋体" w:eastAsia="黑体"/>
          <w:bCs/>
          <w:color w:val="auto"/>
          <w:sz w:val="32"/>
          <w:szCs w:val="32"/>
          <w:highlight w:val="none"/>
        </w:rPr>
      </w:pPr>
    </w:p>
    <w:p>
      <w:pPr>
        <w:snapToGrid w:val="0"/>
        <w:spacing w:before="156" w:beforeLines="50" w:after="50" w:line="360" w:lineRule="exact"/>
        <w:jc w:val="center"/>
        <w:outlineLvl w:val="0"/>
        <w:rPr>
          <w:rFonts w:hint="eastAsia" w:ascii="黑体" w:hAnsi="宋体" w:eastAsia="黑体"/>
          <w:bCs/>
          <w:color w:val="auto"/>
          <w:sz w:val="32"/>
          <w:szCs w:val="32"/>
          <w:highlight w:val="none"/>
        </w:rPr>
      </w:pPr>
    </w:p>
    <w:p>
      <w:pPr>
        <w:snapToGrid w:val="0"/>
        <w:spacing w:before="156" w:beforeLines="50" w:after="50" w:line="360" w:lineRule="exact"/>
        <w:jc w:val="center"/>
        <w:outlineLvl w:val="0"/>
        <w:rPr>
          <w:rFonts w:hint="eastAsia" w:ascii="黑体" w:hAnsi="宋体" w:eastAsia="黑体"/>
          <w:bCs/>
          <w:color w:val="auto"/>
          <w:sz w:val="32"/>
          <w:szCs w:val="32"/>
          <w:highlight w:val="none"/>
        </w:rPr>
      </w:pPr>
    </w:p>
    <w:p>
      <w:pPr>
        <w:snapToGrid w:val="0"/>
        <w:spacing w:before="156" w:beforeLines="50" w:after="50" w:line="360" w:lineRule="exact"/>
        <w:jc w:val="center"/>
        <w:outlineLvl w:val="0"/>
        <w:rPr>
          <w:rFonts w:hint="eastAsia" w:ascii="黑体" w:hAnsi="宋体" w:eastAsia="黑体"/>
          <w:bCs/>
          <w:color w:val="auto"/>
          <w:sz w:val="32"/>
          <w:szCs w:val="32"/>
          <w:highlight w:val="none"/>
        </w:rPr>
      </w:pPr>
    </w:p>
    <w:p>
      <w:pPr>
        <w:snapToGrid w:val="0"/>
        <w:spacing w:before="156" w:beforeLines="50" w:after="50" w:line="360" w:lineRule="exact"/>
        <w:jc w:val="center"/>
        <w:outlineLvl w:val="0"/>
        <w:rPr>
          <w:rFonts w:hint="eastAsia" w:ascii="黑体" w:hAnsi="宋体" w:eastAsia="黑体"/>
          <w:bCs/>
          <w:color w:val="auto"/>
          <w:sz w:val="32"/>
          <w:szCs w:val="32"/>
          <w:highlight w:val="none"/>
        </w:rPr>
      </w:pPr>
    </w:p>
    <w:p>
      <w:pPr>
        <w:snapToGrid w:val="0"/>
        <w:spacing w:before="156" w:beforeLines="50" w:after="50" w:line="360" w:lineRule="exact"/>
        <w:jc w:val="center"/>
        <w:outlineLvl w:val="0"/>
        <w:rPr>
          <w:rFonts w:hint="eastAsia" w:ascii="黑体" w:hAnsi="宋体" w:eastAsia="黑体"/>
          <w:bCs/>
          <w:color w:val="auto"/>
          <w:sz w:val="32"/>
          <w:szCs w:val="32"/>
          <w:highlight w:val="none"/>
        </w:rPr>
      </w:pPr>
    </w:p>
    <w:p>
      <w:pPr>
        <w:snapToGrid w:val="0"/>
        <w:spacing w:before="156" w:beforeLines="50" w:after="50" w:line="360" w:lineRule="exact"/>
        <w:jc w:val="center"/>
        <w:outlineLvl w:val="0"/>
        <w:rPr>
          <w:rFonts w:hint="eastAsia" w:ascii="黑体" w:hAnsi="宋体" w:eastAsia="黑体"/>
          <w:bCs/>
          <w:color w:val="auto"/>
          <w:sz w:val="32"/>
          <w:szCs w:val="32"/>
          <w:highlight w:val="none"/>
        </w:rPr>
      </w:pPr>
    </w:p>
    <w:p>
      <w:pPr>
        <w:snapToGrid w:val="0"/>
        <w:spacing w:before="50" w:after="156" w:afterLines="50" w:line="360" w:lineRule="exact"/>
        <w:ind w:firstLine="3895" w:firstLineChars="1617"/>
        <w:jc w:val="left"/>
        <w:outlineLvl w:val="0"/>
        <w:rPr>
          <w:rFonts w:hint="eastAsia" w:ascii="宋体" w:hAnsi="宋体"/>
          <w:b/>
          <w:color w:val="auto"/>
          <w:sz w:val="24"/>
          <w:highlight w:val="none"/>
        </w:rPr>
      </w:pPr>
      <w:bookmarkStart w:id="311" w:name="_Toc40865123"/>
      <w:bookmarkStart w:id="312" w:name="_Toc40864731"/>
      <w:bookmarkStart w:id="313" w:name="_Toc40865007"/>
    </w:p>
    <w:p>
      <w:pPr>
        <w:snapToGrid w:val="0"/>
        <w:spacing w:before="50" w:after="156" w:afterLines="50" w:line="360" w:lineRule="exact"/>
        <w:ind w:firstLine="3895" w:firstLineChars="1617"/>
        <w:jc w:val="left"/>
        <w:outlineLvl w:val="0"/>
        <w:rPr>
          <w:rFonts w:hint="eastAsia" w:ascii="宋体" w:hAnsi="宋体"/>
          <w:b/>
          <w:color w:val="auto"/>
          <w:sz w:val="24"/>
          <w:highlight w:val="none"/>
        </w:rPr>
      </w:pPr>
      <w:r>
        <w:rPr>
          <w:rFonts w:hint="eastAsia" w:ascii="宋体" w:hAnsi="宋体"/>
          <w:b/>
          <w:color w:val="auto"/>
          <w:sz w:val="24"/>
          <w:highlight w:val="none"/>
        </w:rPr>
        <w:t>二、投标文件目录</w:t>
      </w:r>
      <w:bookmarkEnd w:id="311"/>
      <w:bookmarkEnd w:id="312"/>
      <w:bookmarkEnd w:id="313"/>
    </w:p>
    <w:p>
      <w:pPr>
        <w:snapToGrid w:val="0"/>
        <w:spacing w:before="156" w:beforeLines="50" w:after="50" w:line="360" w:lineRule="exact"/>
        <w:jc w:val="center"/>
        <w:outlineLvl w:val="1"/>
        <w:rPr>
          <w:rFonts w:hint="eastAsia" w:ascii="宋体" w:hAnsi="宋体"/>
          <w:bCs/>
          <w:color w:val="auto"/>
          <w:szCs w:val="21"/>
          <w:highlight w:val="none"/>
        </w:rPr>
      </w:pPr>
    </w:p>
    <w:bookmarkEnd w:id="306"/>
    <w:bookmarkEnd w:id="307"/>
    <w:p>
      <w:pPr>
        <w:snapToGrid w:val="0"/>
        <w:spacing w:before="156" w:beforeLines="50" w:line="360" w:lineRule="exact"/>
        <w:ind w:firstLine="413" w:firstLineChars="196"/>
        <w:jc w:val="left"/>
        <w:rPr>
          <w:rFonts w:hint="eastAsia" w:ascii="宋体" w:hAnsi="宋体"/>
          <w:b/>
          <w:color w:val="auto"/>
          <w:szCs w:val="21"/>
          <w:highlight w:val="none"/>
        </w:rPr>
      </w:pPr>
      <w:r>
        <w:rPr>
          <w:rFonts w:hint="eastAsia" w:ascii="宋体" w:hAnsi="宋体"/>
          <w:b/>
          <w:color w:val="auto"/>
          <w:szCs w:val="21"/>
          <w:highlight w:val="none"/>
        </w:rPr>
        <w:t>1.资格文件：</w:t>
      </w:r>
    </w:p>
    <w:p>
      <w:pPr>
        <w:snapToGrid w:val="0"/>
        <w:spacing w:line="360" w:lineRule="exact"/>
        <w:ind w:firstLine="413" w:firstLineChars="196"/>
        <w:jc w:val="left"/>
        <w:rPr>
          <w:rFonts w:hint="eastAsia" w:ascii="宋体" w:hAnsi="宋体"/>
          <w:color w:val="auto"/>
          <w:szCs w:val="21"/>
          <w:highlight w:val="none"/>
        </w:rPr>
      </w:pPr>
      <w:r>
        <w:rPr>
          <w:rFonts w:hint="eastAsia" w:ascii="宋体" w:hAnsi="宋体"/>
          <w:b/>
          <w:color w:val="auto"/>
          <w:szCs w:val="21"/>
          <w:highlight w:val="none"/>
        </w:rPr>
        <w:t>（1）</w:t>
      </w:r>
      <w:r>
        <w:rPr>
          <w:rFonts w:hint="eastAsia" w:ascii="宋体" w:hAnsi="宋体"/>
          <w:color w:val="auto"/>
          <w:szCs w:val="21"/>
          <w:highlight w:val="none"/>
        </w:rPr>
        <w:t>有效的营业执照等证明文件扫描件或其他电子文件；</w:t>
      </w:r>
    </w:p>
    <w:p>
      <w:pPr>
        <w:snapToGrid w:val="0"/>
        <w:spacing w:line="360" w:lineRule="exact"/>
        <w:ind w:firstLine="411" w:firstLineChars="196"/>
        <w:jc w:val="left"/>
        <w:rPr>
          <w:rFonts w:hint="eastAsia" w:hAnsi="宋体"/>
          <w:b/>
          <w:color w:val="auto"/>
          <w:highlight w:val="none"/>
        </w:rPr>
      </w:pPr>
      <w:r>
        <w:rPr>
          <w:rFonts w:hint="eastAsia" w:hAnsi="宋体"/>
          <w:color w:val="auto"/>
          <w:highlight w:val="none"/>
        </w:rPr>
        <w:t>①</w:t>
      </w:r>
      <w:r>
        <w:rPr>
          <w:rFonts w:hint="eastAsia" w:hAnsi="宋体"/>
          <w:b/>
          <w:color w:val="auto"/>
          <w:highlight w:val="none"/>
        </w:rPr>
        <w:t>投标人有效的营业执照等证明文件扫描件或其他电子文件，同时要加盖单位公章（</w:t>
      </w:r>
      <w:r>
        <w:rPr>
          <w:rFonts w:hint="eastAsia" w:hAnsi="宋体"/>
          <w:b/>
          <w:color w:val="auto"/>
          <w:highlight w:val="none"/>
          <w:u w:val="single"/>
        </w:rPr>
        <w:t>必须提供，原件备查</w:t>
      </w:r>
      <w:r>
        <w:rPr>
          <w:rFonts w:hint="eastAsia" w:hAnsi="宋体"/>
          <w:b/>
          <w:color w:val="auto"/>
          <w:highlight w:val="none"/>
        </w:rPr>
        <w:t>）</w:t>
      </w:r>
      <w:r>
        <w:rPr>
          <w:rFonts w:hint="eastAsia" w:hAnsi="宋体"/>
          <w:color w:val="auto"/>
          <w:highlight w:val="none"/>
        </w:rPr>
        <w:t>；</w:t>
      </w:r>
    </w:p>
    <w:p>
      <w:pPr>
        <w:snapToGrid w:val="0"/>
        <w:spacing w:line="360" w:lineRule="exact"/>
        <w:ind w:firstLine="411" w:firstLineChars="196"/>
        <w:jc w:val="left"/>
        <w:rPr>
          <w:rFonts w:hint="eastAsia" w:hAnsi="宋体"/>
          <w:b/>
          <w:color w:val="auto"/>
          <w:highlight w:val="none"/>
        </w:rPr>
      </w:pPr>
      <w:r>
        <w:rPr>
          <w:rFonts w:hint="eastAsia" w:hAnsi="宋体"/>
          <w:color w:val="auto"/>
          <w:highlight w:val="none"/>
        </w:rPr>
        <w:t>②</w:t>
      </w:r>
      <w:r>
        <w:rPr>
          <w:rFonts w:hint="eastAsia" w:hAnsi="宋体"/>
          <w:b/>
          <w:color w:val="auto"/>
          <w:highlight w:val="none"/>
        </w:rPr>
        <w:t>对于有经营资质要求的，投标人必须提供有效的经营资质证书副本内页</w:t>
      </w:r>
      <w:r>
        <w:rPr>
          <w:rFonts w:hint="eastAsia" w:ascii="宋体" w:hAnsi="宋体"/>
          <w:color w:val="auto"/>
          <w:szCs w:val="21"/>
          <w:highlight w:val="none"/>
        </w:rPr>
        <w:t>扫描件或其他电子文件</w:t>
      </w:r>
      <w:r>
        <w:rPr>
          <w:rFonts w:hint="eastAsia" w:hAnsi="宋体"/>
          <w:b/>
          <w:color w:val="auto"/>
          <w:highlight w:val="none"/>
        </w:rPr>
        <w:t>，同时要加盖单位公章（</w:t>
      </w:r>
      <w:r>
        <w:rPr>
          <w:rFonts w:hint="eastAsia" w:hAnsi="宋体"/>
          <w:b/>
          <w:color w:val="auto"/>
          <w:highlight w:val="none"/>
          <w:u w:val="single"/>
        </w:rPr>
        <w:t>必须提供，原件备查</w:t>
      </w:r>
      <w:r>
        <w:rPr>
          <w:rFonts w:hint="eastAsia" w:hAnsi="宋体"/>
          <w:b/>
          <w:color w:val="auto"/>
          <w:highlight w:val="none"/>
        </w:rPr>
        <w:t>）；</w:t>
      </w:r>
    </w:p>
    <w:p>
      <w:pPr>
        <w:snapToGrid w:val="0"/>
        <w:spacing w:line="360" w:lineRule="exact"/>
        <w:ind w:firstLine="413" w:firstLineChars="196"/>
        <w:jc w:val="left"/>
        <w:rPr>
          <w:rFonts w:ascii="宋体" w:hAnsi="宋体"/>
          <w:b/>
          <w:color w:val="auto"/>
          <w:szCs w:val="21"/>
          <w:highlight w:val="none"/>
        </w:rPr>
      </w:pPr>
      <w:r>
        <w:rPr>
          <w:rFonts w:hint="eastAsia" w:ascii="宋体" w:hAnsi="宋体"/>
          <w:b/>
          <w:color w:val="auto"/>
          <w:szCs w:val="21"/>
          <w:highlight w:val="none"/>
        </w:rPr>
        <w:t>（2）</w:t>
      </w:r>
      <w:r>
        <w:rPr>
          <w:rFonts w:hint="eastAsia" w:ascii="宋体" w:hAnsi="宋体" w:cs="宋体"/>
          <w:color w:val="auto"/>
          <w:kern w:val="0"/>
          <w:szCs w:val="21"/>
          <w:highlight w:val="none"/>
        </w:rPr>
        <w:t>参加政府采购活动前三年内在经营活动中没有</w:t>
      </w:r>
      <w:r>
        <w:rPr>
          <w:rFonts w:hint="eastAsia" w:ascii="宋体" w:hAnsi="宋体" w:cs="宋体"/>
          <w:b/>
          <w:color w:val="auto"/>
          <w:kern w:val="0"/>
          <w:szCs w:val="21"/>
          <w:highlight w:val="none"/>
        </w:rPr>
        <w:t>重大违法记录的书面声明</w:t>
      </w:r>
      <w:r>
        <w:rPr>
          <w:rFonts w:hint="eastAsia" w:ascii="宋体" w:hAnsi="宋体"/>
          <w:b/>
          <w:color w:val="auto"/>
          <w:szCs w:val="21"/>
          <w:highlight w:val="none"/>
        </w:rPr>
        <w:t>和信用记录查询方法；</w:t>
      </w:r>
    </w:p>
    <w:p>
      <w:pPr>
        <w:snapToGrid w:val="0"/>
        <w:spacing w:line="360" w:lineRule="exact"/>
        <w:ind w:firstLine="411" w:firstLineChars="196"/>
        <w:jc w:val="left"/>
        <w:rPr>
          <w:rFonts w:hint="eastAsia" w:ascii="宋体" w:hAnsi="宋体"/>
          <w:color w:val="auto"/>
          <w:szCs w:val="21"/>
          <w:highlight w:val="none"/>
        </w:rPr>
      </w:pPr>
      <w:r>
        <w:rPr>
          <w:rFonts w:hint="eastAsia" w:ascii="宋体" w:hAnsi="宋体"/>
          <w:color w:val="auto"/>
          <w:szCs w:val="21"/>
          <w:highlight w:val="none"/>
        </w:rPr>
        <w:t>①</w:t>
      </w:r>
      <w:r>
        <w:rPr>
          <w:rFonts w:hint="eastAsia" w:ascii="宋体" w:hAnsi="宋体" w:cs="宋体"/>
          <w:color w:val="auto"/>
          <w:kern w:val="0"/>
          <w:szCs w:val="21"/>
          <w:highlight w:val="none"/>
        </w:rPr>
        <w:t>参加政府采购活动前三年内在经营活动中没有</w:t>
      </w:r>
      <w:r>
        <w:rPr>
          <w:rFonts w:hint="eastAsia" w:ascii="宋体" w:hAnsi="宋体" w:cs="宋体"/>
          <w:b/>
          <w:color w:val="auto"/>
          <w:kern w:val="0"/>
          <w:szCs w:val="21"/>
          <w:highlight w:val="none"/>
        </w:rPr>
        <w:t>重大违法记录的书面声明</w:t>
      </w:r>
      <w:r>
        <w:rPr>
          <w:rFonts w:hint="eastAsia" w:ascii="宋体" w:hAnsi="宋体"/>
          <w:color w:val="auto"/>
          <w:szCs w:val="21"/>
          <w:highlight w:val="none"/>
        </w:rPr>
        <w:t>（</w:t>
      </w:r>
      <w:r>
        <w:rPr>
          <w:rFonts w:hint="eastAsia" w:ascii="宋体" w:hAnsi="宋体"/>
          <w:b/>
          <w:bCs/>
          <w:color w:val="auto"/>
          <w:szCs w:val="21"/>
          <w:highlight w:val="none"/>
        </w:rPr>
        <w:t>格式自拟，必须提供</w:t>
      </w:r>
      <w:r>
        <w:rPr>
          <w:rFonts w:hint="eastAsia" w:ascii="宋体" w:hAnsi="宋体"/>
          <w:color w:val="auto"/>
          <w:szCs w:val="21"/>
          <w:highlight w:val="none"/>
        </w:rPr>
        <w:t>）；</w:t>
      </w:r>
    </w:p>
    <w:p>
      <w:pPr>
        <w:snapToGrid w:val="0"/>
        <w:spacing w:line="360" w:lineRule="exact"/>
        <w:ind w:firstLine="411" w:firstLineChars="196"/>
        <w:jc w:val="left"/>
        <w:rPr>
          <w:rFonts w:hint="eastAsia" w:ascii="宋体" w:hAnsi="宋体"/>
          <w:color w:val="auto"/>
          <w:szCs w:val="21"/>
          <w:highlight w:val="none"/>
        </w:rPr>
      </w:pPr>
      <w:r>
        <w:rPr>
          <w:rFonts w:hint="eastAsia" w:ascii="宋体" w:hAnsi="宋体"/>
          <w:color w:val="auto"/>
          <w:szCs w:val="21"/>
          <w:highlight w:val="none"/>
        </w:rPr>
        <w:t>②供应商可在“信用中国”网站（www.creditchina.gov.cn）、中国政府采购网（www.ccgp.gov.cn）查询相关供应商主体信用记录。</w:t>
      </w:r>
    </w:p>
    <w:p>
      <w:pPr>
        <w:snapToGrid w:val="0"/>
        <w:spacing w:line="360" w:lineRule="exact"/>
        <w:ind w:firstLine="411" w:firstLineChars="196"/>
        <w:jc w:val="left"/>
        <w:rPr>
          <w:rFonts w:hint="eastAsia" w:ascii="宋体" w:hAnsi="宋体"/>
          <w:color w:val="auto"/>
          <w:szCs w:val="21"/>
          <w:highlight w:val="none"/>
        </w:rPr>
      </w:pPr>
      <w:r>
        <w:rPr>
          <w:rFonts w:hint="eastAsia" w:ascii="宋体" w:hAnsi="宋体"/>
          <w:color w:val="auto"/>
          <w:szCs w:val="21"/>
          <w:highlight w:val="none"/>
        </w:rPr>
        <w:t>“信用中国”网站查询方法：投标人在本项目投标截止时间前10日内,进入投标人基本信息页面，点击“下载信用报告”后点击“下载”。</w:t>
      </w:r>
    </w:p>
    <w:p>
      <w:pPr>
        <w:snapToGrid w:val="0"/>
        <w:spacing w:line="360" w:lineRule="exact"/>
        <w:ind w:firstLine="411" w:firstLineChars="196"/>
        <w:jc w:val="left"/>
        <w:rPr>
          <w:rFonts w:hint="eastAsia" w:ascii="宋体" w:hAnsi="宋体"/>
          <w:color w:val="auto"/>
          <w:szCs w:val="21"/>
          <w:highlight w:val="none"/>
        </w:rPr>
      </w:pPr>
      <w:r>
        <w:rPr>
          <w:rFonts w:hint="eastAsia" w:ascii="宋体" w:hAnsi="宋体"/>
          <w:color w:val="auto"/>
          <w:szCs w:val="21"/>
          <w:highlight w:val="none"/>
        </w:rPr>
        <w:t xml:space="preserve"> “中国政府采购网”的查询方法：点击“政府采购严重违法失信行为记录名单”进行查询。页面中的处罚日期不设置起始时间，只能设置截止时间，截止时间为本项目投标截止时间前10日至投标截止时间中任意一天。</w:t>
      </w:r>
    </w:p>
    <w:p>
      <w:pPr>
        <w:snapToGrid w:val="0"/>
        <w:spacing w:line="360" w:lineRule="exact"/>
        <w:ind w:firstLine="413" w:firstLineChars="196"/>
        <w:jc w:val="left"/>
        <w:rPr>
          <w:rFonts w:hint="eastAsia" w:hAnsi="宋体"/>
          <w:color w:val="auto"/>
          <w:highlight w:val="none"/>
        </w:rPr>
      </w:pPr>
      <w:r>
        <w:rPr>
          <w:rFonts w:hint="eastAsia" w:ascii="宋体" w:hAnsi="宋体"/>
          <w:b/>
          <w:bCs/>
          <w:color w:val="auto"/>
          <w:szCs w:val="21"/>
          <w:highlight w:val="none"/>
        </w:rPr>
        <w:t>采购人或者本中心将对供应商信用记录进行甄别</w:t>
      </w:r>
      <w:r>
        <w:rPr>
          <w:rFonts w:hint="eastAsia" w:ascii="宋体" w:hAnsi="宋体"/>
          <w:color w:val="auto"/>
          <w:szCs w:val="21"/>
          <w:highlight w:val="none"/>
        </w:rPr>
        <w:t>，对列入失信被执行人、重大税收违法案件当事人名单、政府采购严重违法失信行为记录名单及其他不符合《中华人民共和国政府采购法》第二十二条规定条件的供应商，将拒绝其参与政府采购活动。</w:t>
      </w:r>
    </w:p>
    <w:p>
      <w:pPr>
        <w:snapToGrid w:val="0"/>
        <w:spacing w:before="156" w:beforeLines="50" w:line="360" w:lineRule="exact"/>
        <w:ind w:firstLine="413" w:firstLineChars="196"/>
        <w:jc w:val="left"/>
        <w:rPr>
          <w:rFonts w:hint="eastAsia" w:ascii="宋体" w:hAnsi="宋体"/>
          <w:b/>
          <w:color w:val="auto"/>
          <w:szCs w:val="21"/>
          <w:highlight w:val="none"/>
        </w:rPr>
      </w:pPr>
      <w:r>
        <w:rPr>
          <w:rFonts w:hint="eastAsia" w:ascii="宋体" w:hAnsi="宋体"/>
          <w:b/>
          <w:color w:val="auto"/>
          <w:szCs w:val="21"/>
          <w:highlight w:val="none"/>
        </w:rPr>
        <w:t>2.资信及商务文件：</w:t>
      </w:r>
    </w:p>
    <w:p>
      <w:pPr>
        <w:snapToGrid w:val="0"/>
        <w:spacing w:line="360" w:lineRule="exact"/>
        <w:ind w:firstLine="413" w:firstLineChars="196"/>
        <w:jc w:val="left"/>
        <w:rPr>
          <w:rFonts w:hint="eastAsia" w:ascii="宋体" w:hAnsi="宋体"/>
          <w:color w:val="auto"/>
          <w:szCs w:val="21"/>
          <w:highlight w:val="none"/>
        </w:rPr>
      </w:pPr>
      <w:r>
        <w:rPr>
          <w:rFonts w:hint="eastAsia" w:ascii="宋体" w:hAnsi="宋体"/>
          <w:b/>
          <w:color w:val="auto"/>
          <w:szCs w:val="21"/>
          <w:highlight w:val="none"/>
        </w:rPr>
        <w:t>（1）投标保证金的相关证明扫描件或其他电子文件（可单独提交）（</w:t>
      </w:r>
      <w:r>
        <w:rPr>
          <w:rFonts w:hint="eastAsia" w:ascii="宋体" w:hAnsi="宋体"/>
          <w:b/>
          <w:color w:val="auto"/>
          <w:szCs w:val="21"/>
          <w:highlight w:val="none"/>
          <w:u w:val="single"/>
        </w:rPr>
        <w:t>必须提供</w:t>
      </w:r>
      <w:r>
        <w:rPr>
          <w:rFonts w:hint="eastAsia" w:ascii="宋体" w:hAnsi="宋体"/>
          <w:b/>
          <w:color w:val="auto"/>
          <w:szCs w:val="21"/>
          <w:highlight w:val="none"/>
        </w:rPr>
        <w:t>）</w:t>
      </w:r>
      <w:r>
        <w:rPr>
          <w:rFonts w:hint="eastAsia" w:ascii="宋体" w:hAnsi="宋体"/>
          <w:color w:val="auto"/>
          <w:szCs w:val="21"/>
          <w:highlight w:val="none"/>
        </w:rPr>
        <w:t>；</w:t>
      </w:r>
    </w:p>
    <w:p>
      <w:pPr>
        <w:snapToGrid w:val="0"/>
        <w:spacing w:line="360" w:lineRule="exact"/>
        <w:ind w:firstLine="413" w:firstLineChars="196"/>
        <w:jc w:val="left"/>
        <w:rPr>
          <w:rFonts w:hint="eastAsia" w:ascii="宋体" w:hAnsi="宋体"/>
          <w:color w:val="auto"/>
          <w:szCs w:val="21"/>
          <w:highlight w:val="none"/>
        </w:rPr>
      </w:pPr>
      <w:r>
        <w:rPr>
          <w:rFonts w:hint="eastAsia" w:ascii="宋体" w:hAnsi="宋体"/>
          <w:b/>
          <w:color w:val="auto"/>
          <w:szCs w:val="21"/>
          <w:highlight w:val="none"/>
        </w:rPr>
        <w:t>（2）投标声明书 (格式见第六章)（</w:t>
      </w:r>
      <w:r>
        <w:rPr>
          <w:rFonts w:hint="eastAsia" w:ascii="宋体" w:hAnsi="宋体"/>
          <w:b/>
          <w:color w:val="auto"/>
          <w:szCs w:val="21"/>
          <w:highlight w:val="none"/>
          <w:u w:val="single"/>
        </w:rPr>
        <w:t>必须提供）</w:t>
      </w:r>
      <w:r>
        <w:rPr>
          <w:rFonts w:hint="eastAsia" w:ascii="宋体" w:hAnsi="宋体"/>
          <w:color w:val="auto"/>
          <w:szCs w:val="21"/>
          <w:highlight w:val="none"/>
        </w:rPr>
        <w:t>；</w:t>
      </w:r>
    </w:p>
    <w:p>
      <w:pPr>
        <w:snapToGrid w:val="0"/>
        <w:spacing w:line="360" w:lineRule="exact"/>
        <w:ind w:firstLine="413" w:firstLineChars="196"/>
        <w:jc w:val="left"/>
        <w:rPr>
          <w:rFonts w:hint="eastAsia" w:ascii="宋体" w:hAnsi="宋体"/>
          <w:color w:val="auto"/>
          <w:szCs w:val="21"/>
          <w:highlight w:val="none"/>
        </w:rPr>
      </w:pPr>
      <w:r>
        <w:rPr>
          <w:rFonts w:hint="eastAsia" w:ascii="宋体" w:hAnsi="宋体"/>
          <w:b/>
          <w:color w:val="auto"/>
          <w:szCs w:val="21"/>
          <w:highlight w:val="none"/>
        </w:rPr>
        <w:t>（3）法定代表人授权委托书和委托代理人身份证扫描件或其他电子文件（格式见第六章)（必须提供）</w:t>
      </w:r>
      <w:r>
        <w:rPr>
          <w:rFonts w:hint="eastAsia" w:ascii="宋体" w:hAnsi="宋体"/>
          <w:color w:val="auto"/>
          <w:szCs w:val="21"/>
          <w:highlight w:val="none"/>
        </w:rPr>
        <w:t>；</w:t>
      </w:r>
      <w:r>
        <w:rPr>
          <w:rFonts w:hint="eastAsia" w:ascii="宋体" w:hAnsi="宋体"/>
          <w:b/>
          <w:color w:val="auto"/>
          <w:szCs w:val="21"/>
          <w:highlight w:val="none"/>
        </w:rPr>
        <w:t>当法定代表人参加投标时，必须提供法定代表人身份证扫描件或其他电子文件</w:t>
      </w:r>
      <w:r>
        <w:rPr>
          <w:rFonts w:hint="eastAsia" w:ascii="宋体" w:hAnsi="宋体"/>
          <w:color w:val="auto"/>
          <w:szCs w:val="21"/>
          <w:highlight w:val="none"/>
        </w:rPr>
        <w:t>；</w:t>
      </w:r>
    </w:p>
    <w:p>
      <w:pPr>
        <w:snapToGrid w:val="0"/>
        <w:spacing w:line="360" w:lineRule="exact"/>
        <w:ind w:firstLine="413" w:firstLineChars="196"/>
        <w:jc w:val="left"/>
        <w:rPr>
          <w:rFonts w:ascii="宋体" w:hAnsi="宋体"/>
          <w:b/>
          <w:color w:val="auto"/>
          <w:szCs w:val="21"/>
          <w:highlight w:val="none"/>
        </w:rPr>
      </w:pPr>
      <w:r>
        <w:rPr>
          <w:rFonts w:hint="eastAsia" w:ascii="宋体" w:hAnsi="宋体"/>
          <w:b/>
          <w:color w:val="auto"/>
          <w:szCs w:val="21"/>
          <w:highlight w:val="none"/>
        </w:rPr>
        <w:t>（4）投标截止之日前半年内投标人连续三个月的依法缴纳税费或依法免缴税费的证明（扫描件或其他电子文件，原件备查，格式自拟）（</w:t>
      </w:r>
      <w:r>
        <w:rPr>
          <w:rFonts w:hint="eastAsia" w:ascii="宋体" w:hAnsi="宋体"/>
          <w:b/>
          <w:color w:val="auto"/>
          <w:szCs w:val="21"/>
          <w:highlight w:val="none"/>
          <w:u w:val="single"/>
        </w:rPr>
        <w:t>必须提供</w:t>
      </w:r>
      <w:r>
        <w:rPr>
          <w:rFonts w:hint="eastAsia" w:ascii="宋体" w:hAnsi="宋体"/>
          <w:b/>
          <w:color w:val="auto"/>
          <w:szCs w:val="21"/>
          <w:highlight w:val="none"/>
        </w:rPr>
        <w:t>）；</w:t>
      </w:r>
      <w:r>
        <w:rPr>
          <w:rFonts w:hint="eastAsia" w:ascii="宋体" w:hAnsi="宋体"/>
          <w:color w:val="auto"/>
          <w:szCs w:val="21"/>
          <w:highlight w:val="none"/>
        </w:rPr>
        <w:t>无纳税记录的，应提供由投标人所在地主管国税或地税部门出具的《依法纳税或依法免税证明》（格式自拟，扫描件或其他电子文件，原件备查）。</w:t>
      </w:r>
    </w:p>
    <w:p>
      <w:pPr>
        <w:snapToGrid w:val="0"/>
        <w:spacing w:line="360" w:lineRule="exact"/>
        <w:ind w:firstLine="413" w:firstLineChars="196"/>
        <w:jc w:val="left"/>
        <w:rPr>
          <w:rFonts w:hint="eastAsia" w:ascii="宋体" w:hAnsi="宋体"/>
          <w:color w:val="auto"/>
          <w:szCs w:val="21"/>
          <w:highlight w:val="none"/>
        </w:rPr>
      </w:pPr>
      <w:r>
        <w:rPr>
          <w:rFonts w:hint="eastAsia" w:ascii="宋体" w:hAnsi="宋体"/>
          <w:b/>
          <w:color w:val="auto"/>
          <w:szCs w:val="21"/>
          <w:highlight w:val="none"/>
        </w:rPr>
        <w:t>（5）投标截止之日前半年内投标人连续三个月的依法缴纳社保费的缴费凭证</w:t>
      </w:r>
      <w:r>
        <w:rPr>
          <w:rFonts w:hint="eastAsia" w:ascii="宋体" w:hAnsi="宋体"/>
          <w:color w:val="auto"/>
          <w:szCs w:val="21"/>
          <w:highlight w:val="none"/>
        </w:rPr>
        <w:t>（</w:t>
      </w:r>
      <w:r>
        <w:rPr>
          <w:rFonts w:hint="eastAsia" w:ascii="宋体" w:hAnsi="宋体"/>
          <w:b/>
          <w:color w:val="auto"/>
          <w:szCs w:val="21"/>
          <w:highlight w:val="none"/>
        </w:rPr>
        <w:t>扫描件或其他电子文件，原件备查，格式自拟）（</w:t>
      </w:r>
      <w:r>
        <w:rPr>
          <w:rFonts w:hint="eastAsia" w:ascii="宋体" w:hAnsi="宋体"/>
          <w:b/>
          <w:color w:val="auto"/>
          <w:szCs w:val="21"/>
          <w:highlight w:val="none"/>
          <w:u w:val="single"/>
        </w:rPr>
        <w:t>必须提供</w:t>
      </w:r>
      <w:r>
        <w:rPr>
          <w:rFonts w:hint="eastAsia" w:ascii="宋体" w:hAnsi="宋体"/>
          <w:b/>
          <w:color w:val="auto"/>
          <w:szCs w:val="21"/>
          <w:highlight w:val="none"/>
        </w:rPr>
        <w:t>）；</w:t>
      </w:r>
      <w:r>
        <w:rPr>
          <w:rFonts w:hint="eastAsia" w:ascii="宋体" w:hAnsi="宋体"/>
          <w:color w:val="auto"/>
          <w:szCs w:val="21"/>
          <w:highlight w:val="none"/>
        </w:rPr>
        <w:t>无缴费记录的，应提供由投标人所在地社保部门出具的《依法缴纳或依法免缴社保费证明》（格式自拟，扫描件或其他电子文件，原件备查）。</w:t>
      </w:r>
    </w:p>
    <w:p>
      <w:pPr>
        <w:snapToGrid w:val="0"/>
        <w:spacing w:line="360" w:lineRule="exact"/>
        <w:jc w:val="left"/>
        <w:rPr>
          <w:rFonts w:hint="eastAsia" w:ascii="宋体" w:hAnsi="宋体"/>
          <w:b/>
          <w:color w:val="auto"/>
          <w:szCs w:val="21"/>
          <w:highlight w:val="none"/>
        </w:rPr>
      </w:pPr>
      <w:r>
        <w:rPr>
          <w:rFonts w:hint="eastAsia" w:ascii="宋体" w:hAnsi="宋体"/>
          <w:b/>
          <w:color w:val="auto"/>
          <w:szCs w:val="21"/>
          <w:highlight w:val="none"/>
        </w:rPr>
        <w:t xml:space="preserve">    （6）</w:t>
      </w:r>
      <w:r>
        <w:rPr>
          <w:rFonts w:ascii="宋体" w:hAnsi="宋体"/>
          <w:b/>
          <w:color w:val="auto"/>
          <w:szCs w:val="21"/>
          <w:highlight w:val="none"/>
        </w:rPr>
        <w:t>财务状况报告</w:t>
      </w:r>
      <w:r>
        <w:rPr>
          <w:rFonts w:hint="eastAsia" w:ascii="宋体" w:hAnsi="宋体"/>
          <w:b/>
          <w:color w:val="auto"/>
          <w:szCs w:val="21"/>
          <w:highlight w:val="none"/>
        </w:rPr>
        <w:t>（</w:t>
      </w:r>
      <w:r>
        <w:rPr>
          <w:rFonts w:hint="eastAsia" w:ascii="宋体" w:hAnsi="宋体"/>
          <w:b/>
          <w:color w:val="auto"/>
          <w:szCs w:val="21"/>
          <w:highlight w:val="none"/>
          <w:u w:val="single"/>
        </w:rPr>
        <w:t>格式自拟，必须提供</w:t>
      </w:r>
      <w:r>
        <w:rPr>
          <w:rFonts w:hint="eastAsia" w:ascii="宋体" w:hAnsi="宋体"/>
          <w:b/>
          <w:color w:val="auto"/>
          <w:szCs w:val="21"/>
          <w:highlight w:val="none"/>
        </w:rPr>
        <w:t>）；</w:t>
      </w:r>
    </w:p>
    <w:p>
      <w:pPr>
        <w:snapToGrid w:val="0"/>
        <w:spacing w:line="360" w:lineRule="exact"/>
        <w:ind w:firstLine="413" w:firstLineChars="196"/>
        <w:jc w:val="left"/>
        <w:rPr>
          <w:rFonts w:hint="eastAsia" w:ascii="宋体" w:hAnsi="宋体"/>
          <w:color w:val="auto"/>
          <w:szCs w:val="21"/>
          <w:highlight w:val="none"/>
        </w:rPr>
      </w:pPr>
      <w:r>
        <w:rPr>
          <w:rFonts w:hint="eastAsia" w:ascii="宋体" w:hAnsi="宋体" w:cs="宋体"/>
          <w:b/>
          <w:color w:val="auto"/>
          <w:kern w:val="0"/>
          <w:szCs w:val="21"/>
          <w:highlight w:val="none"/>
        </w:rPr>
        <w:t>（7）</w:t>
      </w:r>
      <w:r>
        <w:rPr>
          <w:rFonts w:ascii="宋体" w:hAnsi="宋体"/>
          <w:b/>
          <w:color w:val="auto"/>
          <w:szCs w:val="21"/>
          <w:highlight w:val="none"/>
        </w:rPr>
        <w:t>具备履行合同所必需的设备和专业技术能力的证明材料</w:t>
      </w:r>
      <w:r>
        <w:rPr>
          <w:rFonts w:hint="eastAsia" w:ascii="宋体" w:hAnsi="宋体"/>
          <w:b/>
          <w:color w:val="auto"/>
          <w:szCs w:val="21"/>
          <w:highlight w:val="none"/>
        </w:rPr>
        <w:t>（</w:t>
      </w:r>
      <w:r>
        <w:rPr>
          <w:rFonts w:hint="eastAsia" w:ascii="宋体" w:hAnsi="宋体"/>
          <w:b/>
          <w:color w:val="auto"/>
          <w:szCs w:val="21"/>
          <w:highlight w:val="none"/>
          <w:u w:val="single"/>
        </w:rPr>
        <w:t>内容、格式自拟，必须提供</w:t>
      </w:r>
      <w:r>
        <w:rPr>
          <w:rFonts w:hint="eastAsia" w:ascii="宋体" w:hAnsi="宋体"/>
          <w:b/>
          <w:color w:val="auto"/>
          <w:szCs w:val="21"/>
          <w:highlight w:val="none"/>
        </w:rPr>
        <w:t>）</w:t>
      </w:r>
      <w:r>
        <w:rPr>
          <w:rFonts w:hint="eastAsia" w:ascii="宋体" w:hAnsi="宋体" w:cs="宋体"/>
          <w:b/>
          <w:color w:val="auto"/>
          <w:kern w:val="0"/>
          <w:szCs w:val="21"/>
          <w:highlight w:val="none"/>
        </w:rPr>
        <w:t>；</w:t>
      </w:r>
    </w:p>
    <w:p>
      <w:pPr>
        <w:snapToGrid w:val="0"/>
        <w:spacing w:line="360" w:lineRule="exact"/>
        <w:ind w:firstLine="411" w:firstLineChars="196"/>
        <w:jc w:val="left"/>
        <w:rPr>
          <w:rFonts w:hint="eastAsia" w:ascii="宋体" w:hAnsi="宋体"/>
          <w:color w:val="auto"/>
          <w:szCs w:val="21"/>
          <w:highlight w:val="none"/>
        </w:rPr>
      </w:pPr>
      <w:r>
        <w:rPr>
          <w:rFonts w:ascii="宋体" w:hAnsi="宋体" w:cs="宋体"/>
          <w:color w:val="auto"/>
          <w:kern w:val="0"/>
          <w:szCs w:val="21"/>
          <w:highlight w:val="none"/>
        </w:rPr>
        <w:t>（</w:t>
      </w:r>
      <w:r>
        <w:rPr>
          <w:rFonts w:hint="eastAsia" w:ascii="宋体" w:hAnsi="宋体" w:cs="宋体"/>
          <w:color w:val="auto"/>
          <w:kern w:val="0"/>
          <w:szCs w:val="21"/>
          <w:highlight w:val="none"/>
        </w:rPr>
        <w:t>8</w:t>
      </w:r>
      <w:r>
        <w:rPr>
          <w:rFonts w:ascii="宋体" w:hAnsi="宋体" w:cs="宋体"/>
          <w:color w:val="auto"/>
          <w:kern w:val="0"/>
          <w:szCs w:val="21"/>
          <w:highlight w:val="none"/>
        </w:rPr>
        <w:t>）税务登记证扫描件</w:t>
      </w:r>
      <w:r>
        <w:rPr>
          <w:rFonts w:hint="eastAsia" w:ascii="宋体" w:hAnsi="宋体" w:cs="宋体"/>
          <w:color w:val="auto"/>
          <w:kern w:val="0"/>
          <w:szCs w:val="21"/>
          <w:highlight w:val="none"/>
        </w:rPr>
        <w:t>（如有）；</w:t>
      </w:r>
    </w:p>
    <w:p>
      <w:pPr>
        <w:snapToGrid w:val="0"/>
        <w:spacing w:line="360" w:lineRule="exact"/>
        <w:ind w:firstLine="411" w:firstLineChars="196"/>
        <w:jc w:val="left"/>
        <w:rPr>
          <w:rFonts w:hint="eastAsia" w:ascii="宋体" w:hAnsi="宋体"/>
          <w:color w:val="auto"/>
          <w:szCs w:val="21"/>
          <w:highlight w:val="none"/>
        </w:rPr>
      </w:pPr>
      <w:r>
        <w:rPr>
          <w:rFonts w:hint="eastAsia" w:ascii="宋体" w:hAnsi="宋体"/>
          <w:color w:val="auto"/>
          <w:szCs w:val="21"/>
          <w:highlight w:val="none"/>
        </w:rPr>
        <w:t>（9）产品销售许可证；</w:t>
      </w:r>
    </w:p>
    <w:p>
      <w:pPr>
        <w:snapToGrid w:val="0"/>
        <w:spacing w:line="360" w:lineRule="exact"/>
        <w:ind w:firstLine="411" w:firstLineChars="196"/>
        <w:jc w:val="left"/>
        <w:rPr>
          <w:rFonts w:hint="eastAsia" w:ascii="宋体" w:hAnsi="宋体"/>
          <w:color w:val="auto"/>
          <w:szCs w:val="21"/>
          <w:highlight w:val="none"/>
        </w:rPr>
      </w:pPr>
      <w:r>
        <w:rPr>
          <w:rFonts w:hint="eastAsia" w:ascii="宋体" w:hAnsi="宋体"/>
          <w:color w:val="auto"/>
          <w:szCs w:val="21"/>
          <w:highlight w:val="none"/>
        </w:rPr>
        <w:t>（10）安全生产许可证扫描件或其他电子文件、产品代理资格证明文件扫描件或其他电子文件；</w:t>
      </w:r>
    </w:p>
    <w:p>
      <w:pPr>
        <w:snapToGrid w:val="0"/>
        <w:spacing w:line="360" w:lineRule="exact"/>
        <w:ind w:firstLine="411" w:firstLineChars="196"/>
        <w:jc w:val="left"/>
        <w:rPr>
          <w:rFonts w:hint="eastAsia" w:ascii="宋体" w:hAnsi="宋体"/>
          <w:b/>
          <w:color w:val="auto"/>
          <w:szCs w:val="21"/>
          <w:highlight w:val="none"/>
        </w:rPr>
      </w:pPr>
      <w:r>
        <w:rPr>
          <w:rFonts w:hint="eastAsia" w:ascii="宋体" w:hAnsi="宋体"/>
          <w:color w:val="auto"/>
          <w:szCs w:val="21"/>
          <w:highlight w:val="none"/>
        </w:rPr>
        <w:t>（11）</w:t>
      </w:r>
      <w:r>
        <w:rPr>
          <w:rFonts w:hint="eastAsia" w:ascii="宋体" w:hAnsi="宋体"/>
          <w:b/>
          <w:color w:val="auto"/>
          <w:szCs w:val="21"/>
          <w:highlight w:val="none"/>
        </w:rPr>
        <w:t>商务及其他要求响应表</w:t>
      </w:r>
      <w:r>
        <w:rPr>
          <w:rFonts w:hint="eastAsia" w:ascii="宋体" w:hAnsi="宋体"/>
          <w:color w:val="auto"/>
          <w:szCs w:val="21"/>
          <w:highlight w:val="none"/>
        </w:rPr>
        <w:t>（格式见第六章）</w:t>
      </w:r>
      <w:r>
        <w:rPr>
          <w:rFonts w:hint="eastAsia" w:ascii="宋体" w:hAnsi="宋体"/>
          <w:b/>
          <w:color w:val="auto"/>
          <w:szCs w:val="21"/>
          <w:highlight w:val="none"/>
        </w:rPr>
        <w:t>（</w:t>
      </w:r>
      <w:r>
        <w:rPr>
          <w:rFonts w:hint="eastAsia" w:ascii="宋体" w:hAnsi="宋体"/>
          <w:b/>
          <w:color w:val="auto"/>
          <w:szCs w:val="21"/>
          <w:highlight w:val="none"/>
          <w:u w:val="single"/>
        </w:rPr>
        <w:t>必须提供</w:t>
      </w:r>
      <w:r>
        <w:rPr>
          <w:rFonts w:hint="eastAsia" w:ascii="宋体" w:hAnsi="宋体"/>
          <w:b/>
          <w:color w:val="auto"/>
          <w:szCs w:val="21"/>
          <w:highlight w:val="none"/>
        </w:rPr>
        <w:t>）；</w:t>
      </w:r>
    </w:p>
    <w:p>
      <w:pPr>
        <w:snapToGrid w:val="0"/>
        <w:spacing w:line="360" w:lineRule="exact"/>
        <w:ind w:firstLine="210" w:firstLineChars="100"/>
        <w:jc w:val="left"/>
        <w:rPr>
          <w:rFonts w:hint="eastAsia" w:ascii="宋体" w:hAnsi="宋体"/>
          <w:b/>
          <w:color w:val="auto"/>
          <w:szCs w:val="21"/>
          <w:highlight w:val="none"/>
        </w:rPr>
      </w:pPr>
      <w:r>
        <w:rPr>
          <w:rFonts w:hint="eastAsia" w:hAnsi="宋体"/>
          <w:color w:val="auto"/>
          <w:highlight w:val="none"/>
        </w:rPr>
        <w:t>▲</w:t>
      </w:r>
      <w:r>
        <w:rPr>
          <w:rFonts w:hint="eastAsia" w:ascii="宋体" w:hAnsi="宋体"/>
          <w:b/>
          <w:color w:val="auto"/>
          <w:szCs w:val="21"/>
          <w:highlight w:val="none"/>
        </w:rPr>
        <w:t>（12）招标项目采购需求中要求必须提供的材料等；</w:t>
      </w:r>
    </w:p>
    <w:p>
      <w:pPr>
        <w:snapToGrid w:val="0"/>
        <w:spacing w:line="360" w:lineRule="exact"/>
        <w:ind w:firstLine="411" w:firstLineChars="196"/>
        <w:jc w:val="left"/>
        <w:rPr>
          <w:rFonts w:hint="eastAsia" w:ascii="宋体" w:hAnsi="宋体"/>
          <w:b/>
          <w:color w:val="auto"/>
          <w:szCs w:val="21"/>
          <w:highlight w:val="none"/>
        </w:rPr>
      </w:pPr>
      <w:r>
        <w:rPr>
          <w:rFonts w:hint="eastAsia" w:ascii="宋体" w:hAnsi="宋体"/>
          <w:color w:val="auto"/>
          <w:szCs w:val="21"/>
          <w:highlight w:val="none"/>
        </w:rPr>
        <w:t>（13）具备法律、行政法规规定的其他条件的证明材料</w:t>
      </w:r>
      <w:r>
        <w:rPr>
          <w:rFonts w:hint="eastAsia" w:ascii="宋体" w:hAnsi="宋体"/>
          <w:b/>
          <w:color w:val="auto"/>
          <w:szCs w:val="21"/>
          <w:highlight w:val="none"/>
        </w:rPr>
        <w:t>(如有规定,则必须提供)。</w:t>
      </w:r>
    </w:p>
    <w:p>
      <w:pPr>
        <w:snapToGrid w:val="0"/>
        <w:spacing w:line="360" w:lineRule="exact"/>
        <w:ind w:left="937" w:leftChars="196" w:hanging="525" w:hangingChars="250"/>
        <w:jc w:val="left"/>
        <w:rPr>
          <w:rFonts w:hint="eastAsia" w:ascii="宋体" w:hAnsi="宋体"/>
          <w:color w:val="auto"/>
          <w:szCs w:val="21"/>
          <w:highlight w:val="none"/>
        </w:rPr>
      </w:pPr>
      <w:r>
        <w:rPr>
          <w:rFonts w:hint="eastAsia" w:ascii="宋体" w:hAnsi="宋体"/>
          <w:color w:val="auto"/>
          <w:szCs w:val="21"/>
          <w:highlight w:val="none"/>
        </w:rPr>
        <w:t>（14）类似案例成功的业绩（投标人同类项目实施情况一览表、合同扫描件、用户验收报告、用户评价）；</w:t>
      </w:r>
    </w:p>
    <w:p>
      <w:pPr>
        <w:snapToGrid w:val="0"/>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（17）其他特殊资质证书（如本地化服务能力等）；</w:t>
      </w:r>
    </w:p>
    <w:p>
      <w:pPr>
        <w:snapToGrid w:val="0"/>
        <w:spacing w:line="360" w:lineRule="exact"/>
        <w:ind w:firstLine="413" w:firstLineChars="196"/>
        <w:jc w:val="left"/>
        <w:rPr>
          <w:rFonts w:hint="eastAsia" w:ascii="宋体" w:hAnsi="宋体"/>
          <w:b/>
          <w:color w:val="auto"/>
          <w:szCs w:val="21"/>
          <w:highlight w:val="none"/>
        </w:rPr>
      </w:pPr>
      <w:r>
        <w:rPr>
          <w:rFonts w:hint="eastAsia" w:ascii="宋体" w:hAnsi="宋体"/>
          <w:b/>
          <w:color w:val="auto"/>
          <w:szCs w:val="21"/>
          <w:highlight w:val="none"/>
        </w:rPr>
        <w:t>（</w:t>
      </w:r>
      <w:r>
        <w:rPr>
          <w:rFonts w:hint="eastAsia" w:ascii="宋体" w:hAnsi="宋体"/>
          <w:color w:val="auto"/>
          <w:szCs w:val="21"/>
          <w:highlight w:val="none"/>
        </w:rPr>
        <w:t>18</w:t>
      </w:r>
      <w:r>
        <w:rPr>
          <w:rFonts w:hint="eastAsia" w:ascii="宋体" w:hAnsi="宋体"/>
          <w:b/>
          <w:color w:val="auto"/>
          <w:szCs w:val="21"/>
          <w:highlight w:val="none"/>
        </w:rPr>
        <w:t>）</w:t>
      </w:r>
      <w:r>
        <w:rPr>
          <w:rFonts w:hint="eastAsia" w:ascii="宋体" w:hAnsi="宋体"/>
          <w:color w:val="auto"/>
          <w:szCs w:val="21"/>
          <w:highlight w:val="none"/>
        </w:rPr>
        <w:t>节能环保产品或政府强制采购节能产品清单证书</w:t>
      </w:r>
      <w:r>
        <w:rPr>
          <w:rFonts w:hint="eastAsia" w:ascii="宋体" w:hAnsi="宋体"/>
          <w:b/>
          <w:color w:val="auto"/>
          <w:szCs w:val="21"/>
          <w:highlight w:val="none"/>
        </w:rPr>
        <w:t>；</w:t>
      </w:r>
    </w:p>
    <w:p>
      <w:pPr>
        <w:snapToGrid w:val="0"/>
        <w:spacing w:line="360" w:lineRule="exact"/>
        <w:ind w:firstLine="411" w:firstLineChars="196"/>
        <w:jc w:val="left"/>
        <w:rPr>
          <w:rFonts w:hint="eastAsia" w:ascii="宋体" w:hAnsi="宋体"/>
          <w:color w:val="auto"/>
          <w:szCs w:val="21"/>
          <w:highlight w:val="none"/>
        </w:rPr>
      </w:pPr>
      <w:r>
        <w:rPr>
          <w:rFonts w:hint="eastAsia" w:ascii="宋体" w:hAnsi="宋体"/>
          <w:color w:val="auto"/>
          <w:szCs w:val="21"/>
          <w:highlight w:val="none"/>
        </w:rPr>
        <w:t>（19）投标人质量管理和质量保证体系等方面的认证证书；</w:t>
      </w:r>
    </w:p>
    <w:p>
      <w:pPr>
        <w:snapToGrid w:val="0"/>
        <w:spacing w:line="360" w:lineRule="exact"/>
        <w:ind w:firstLine="411" w:firstLineChars="196"/>
        <w:jc w:val="left"/>
        <w:rPr>
          <w:rFonts w:hint="eastAsia" w:ascii="宋体" w:hAnsi="宋体"/>
          <w:color w:val="auto"/>
          <w:szCs w:val="21"/>
          <w:highlight w:val="none"/>
        </w:rPr>
      </w:pPr>
      <w:r>
        <w:rPr>
          <w:rFonts w:hint="eastAsia" w:ascii="宋体" w:hAnsi="宋体"/>
          <w:color w:val="auto"/>
          <w:szCs w:val="21"/>
          <w:highlight w:val="none"/>
        </w:rPr>
        <w:t>（18）投标人认为可以证明其能力或业绩的其他材料；</w:t>
      </w:r>
    </w:p>
    <w:p>
      <w:pPr>
        <w:snapToGrid w:val="0"/>
        <w:spacing w:line="360" w:lineRule="exact"/>
        <w:ind w:firstLine="411" w:firstLineChars="196"/>
        <w:jc w:val="left"/>
        <w:rPr>
          <w:rFonts w:hint="eastAsia" w:ascii="宋体" w:hAnsi="宋体"/>
          <w:color w:val="auto"/>
          <w:szCs w:val="21"/>
          <w:highlight w:val="none"/>
        </w:rPr>
      </w:pPr>
      <w:r>
        <w:rPr>
          <w:rFonts w:hint="eastAsia" w:ascii="宋体" w:hAnsi="宋体"/>
          <w:color w:val="auto"/>
          <w:szCs w:val="21"/>
          <w:highlight w:val="none"/>
        </w:rPr>
        <w:t>（19）投标人关于产品生产时间、升级或者更新淘汰计划、配件供应以及本单位债务纠纷、违法违规记录等方面的情况（内容见投标声明书）；</w:t>
      </w:r>
    </w:p>
    <w:p>
      <w:pPr>
        <w:snapToGrid w:val="0"/>
        <w:spacing w:line="360" w:lineRule="exact"/>
        <w:ind w:firstLine="411" w:firstLineChars="196"/>
        <w:jc w:val="left"/>
        <w:rPr>
          <w:rFonts w:hint="eastAsia" w:ascii="宋体" w:hAnsi="宋体"/>
          <w:color w:val="auto"/>
          <w:szCs w:val="21"/>
          <w:highlight w:val="none"/>
        </w:rPr>
      </w:pPr>
      <w:r>
        <w:rPr>
          <w:rFonts w:hint="eastAsia" w:ascii="宋体" w:hAnsi="宋体"/>
          <w:color w:val="auto"/>
          <w:szCs w:val="21"/>
          <w:highlight w:val="none"/>
        </w:rPr>
        <w:t>（20）投标人情况介绍。</w:t>
      </w:r>
    </w:p>
    <w:p>
      <w:pPr>
        <w:snapToGrid w:val="0"/>
        <w:spacing w:line="360" w:lineRule="exact"/>
        <w:ind w:firstLine="516" w:firstLineChars="246"/>
        <w:jc w:val="left"/>
        <w:rPr>
          <w:rFonts w:hint="eastAsia" w:ascii="宋体" w:hAnsi="宋体"/>
          <w:color w:val="auto"/>
          <w:szCs w:val="21"/>
          <w:highlight w:val="none"/>
        </w:rPr>
      </w:pPr>
      <w:r>
        <w:rPr>
          <w:rFonts w:hint="eastAsia" w:ascii="宋体" w:hAnsi="宋体"/>
          <w:color w:val="auto"/>
          <w:szCs w:val="21"/>
          <w:highlight w:val="none"/>
        </w:rPr>
        <w:t>(21)中小企业声明函（如有，请提供）</w:t>
      </w:r>
    </w:p>
    <w:p>
      <w:pPr>
        <w:snapToGrid w:val="0"/>
        <w:spacing w:before="156" w:beforeLines="50" w:line="360" w:lineRule="exact"/>
        <w:ind w:firstLine="413" w:firstLineChars="196"/>
        <w:jc w:val="left"/>
        <w:rPr>
          <w:rFonts w:hint="eastAsia" w:ascii="宋体" w:hAnsi="宋体"/>
          <w:b/>
          <w:color w:val="auto"/>
          <w:szCs w:val="21"/>
          <w:highlight w:val="none"/>
        </w:rPr>
      </w:pPr>
      <w:r>
        <w:rPr>
          <w:rFonts w:hint="eastAsia" w:ascii="宋体" w:hAnsi="宋体"/>
          <w:b/>
          <w:color w:val="auto"/>
          <w:szCs w:val="21"/>
          <w:highlight w:val="none"/>
        </w:rPr>
        <w:t>3.技术文件</w:t>
      </w:r>
    </w:p>
    <w:p>
      <w:pPr>
        <w:snapToGrid w:val="0"/>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（1）对本项目系统总体要求的理解；</w:t>
      </w:r>
    </w:p>
    <w:p>
      <w:pPr>
        <w:snapToGrid w:val="0"/>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b/>
          <w:color w:val="auto"/>
          <w:szCs w:val="21"/>
          <w:highlight w:val="none"/>
        </w:rPr>
        <w:t>技术响应表（</w:t>
      </w:r>
      <w:r>
        <w:rPr>
          <w:rFonts w:hint="eastAsia" w:ascii="宋体" w:hAnsi="宋体"/>
          <w:b/>
          <w:color w:val="auto"/>
          <w:szCs w:val="21"/>
          <w:highlight w:val="none"/>
          <w:u w:val="single"/>
        </w:rPr>
        <w:t>必须提供</w:t>
      </w:r>
      <w:r>
        <w:rPr>
          <w:rFonts w:hint="eastAsia" w:ascii="宋体" w:hAnsi="宋体"/>
          <w:b/>
          <w:color w:val="auto"/>
          <w:szCs w:val="21"/>
          <w:highlight w:val="none"/>
        </w:rPr>
        <w:t>）；</w:t>
      </w:r>
    </w:p>
    <w:p>
      <w:pPr>
        <w:snapToGrid w:val="0"/>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（3）设备配置清单（均不含报价）；</w:t>
      </w:r>
    </w:p>
    <w:p>
      <w:pPr>
        <w:snapToGrid w:val="0"/>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（4）</w:t>
      </w:r>
      <w:r>
        <w:rPr>
          <w:rFonts w:hint="eastAsia"/>
          <w:b/>
          <w:color w:val="auto"/>
          <w:highlight w:val="none"/>
        </w:rPr>
        <w:t>售后服务承诺书</w:t>
      </w:r>
      <w:r>
        <w:rPr>
          <w:rFonts w:hint="eastAsia"/>
          <w:color w:val="auto"/>
          <w:highlight w:val="none"/>
        </w:rPr>
        <w:t>（应据项目实际要求描述如：</w:t>
      </w:r>
      <w:r>
        <w:rPr>
          <w:rFonts w:hint="eastAsia" w:ascii="宋体" w:hAnsi="宋体"/>
          <w:color w:val="auto"/>
          <w:szCs w:val="21"/>
          <w:highlight w:val="none"/>
        </w:rPr>
        <w:t>投标人建议的安装、调试、验收方法或方案；技术服务、技术培训、售后服务的内容和措施等），</w:t>
      </w:r>
      <w:r>
        <w:rPr>
          <w:rFonts w:hint="eastAsia" w:ascii="宋体" w:hAnsi="宋体"/>
          <w:b/>
          <w:color w:val="auto"/>
          <w:szCs w:val="21"/>
          <w:highlight w:val="none"/>
        </w:rPr>
        <w:t>(</w:t>
      </w:r>
      <w:r>
        <w:rPr>
          <w:rFonts w:hint="eastAsia" w:ascii="宋体" w:hAnsi="宋体"/>
          <w:b/>
          <w:color w:val="auto"/>
          <w:szCs w:val="21"/>
          <w:highlight w:val="none"/>
          <w:u w:val="single"/>
        </w:rPr>
        <w:t>格式自拟,必须提供</w:t>
      </w:r>
      <w:r>
        <w:rPr>
          <w:rFonts w:hint="eastAsia" w:ascii="宋体" w:hAnsi="宋体"/>
          <w:b/>
          <w:color w:val="auto"/>
          <w:szCs w:val="21"/>
          <w:highlight w:val="none"/>
        </w:rPr>
        <w:t>)</w:t>
      </w:r>
      <w:r>
        <w:rPr>
          <w:rFonts w:hint="eastAsia" w:ascii="宋体" w:hAnsi="宋体"/>
          <w:color w:val="auto"/>
          <w:szCs w:val="21"/>
          <w:highlight w:val="none"/>
        </w:rPr>
        <w:t>；</w:t>
      </w:r>
    </w:p>
    <w:p>
      <w:pPr>
        <w:snapToGrid w:val="0"/>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 xml:space="preserve">（5）投标人拥有主要装备和检测设施的情况和现状（格式自拟）及项目实施人员一览表； </w:t>
      </w:r>
    </w:p>
    <w:p>
      <w:pPr>
        <w:snapToGrid w:val="0"/>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（6）优惠条件：投标人承诺给予招标人的各种优惠条件，包括备品备件、专用耗材、售后服务等方面的优惠；</w:t>
      </w:r>
    </w:p>
    <w:p>
      <w:pPr>
        <w:snapToGrid w:val="0"/>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（7）投标人对本项目的合理化建议和改进措施；</w:t>
      </w:r>
    </w:p>
    <w:p>
      <w:pPr>
        <w:snapToGrid w:val="0"/>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（8）投标人需要说明的其他文件和说明（格式略）；</w:t>
      </w:r>
    </w:p>
    <w:p>
      <w:pPr>
        <w:snapToGrid w:val="0"/>
        <w:spacing w:line="360" w:lineRule="exact"/>
        <w:ind w:firstLine="315" w:firstLineChars="150"/>
        <w:jc w:val="left"/>
        <w:rPr>
          <w:rFonts w:hint="eastAsia" w:ascii="宋体" w:hAnsi="宋体"/>
          <w:color w:val="auto"/>
          <w:szCs w:val="21"/>
          <w:highlight w:val="none"/>
        </w:rPr>
      </w:pPr>
      <w:r>
        <w:rPr>
          <w:rFonts w:hint="eastAsia" w:hAnsi="宋体"/>
          <w:color w:val="auto"/>
          <w:highlight w:val="none"/>
        </w:rPr>
        <w:t>▲</w:t>
      </w:r>
      <w:r>
        <w:rPr>
          <w:rFonts w:hint="eastAsia" w:ascii="宋体" w:hAnsi="宋体"/>
          <w:color w:val="auto"/>
          <w:szCs w:val="21"/>
          <w:highlight w:val="none"/>
        </w:rPr>
        <w:t>（9）招标项目采购需求中要求必须提供的材料。</w:t>
      </w:r>
    </w:p>
    <w:p>
      <w:pPr>
        <w:snapToGrid w:val="0"/>
        <w:spacing w:before="156" w:beforeLines="50" w:line="360" w:lineRule="exact"/>
        <w:ind w:firstLine="413" w:firstLineChars="196"/>
        <w:jc w:val="left"/>
        <w:rPr>
          <w:rFonts w:hint="eastAsia" w:ascii="宋体" w:hAnsi="宋体"/>
          <w:b/>
          <w:color w:val="auto"/>
          <w:szCs w:val="21"/>
          <w:highlight w:val="none"/>
        </w:rPr>
      </w:pPr>
      <w:r>
        <w:rPr>
          <w:rFonts w:hint="eastAsia" w:ascii="宋体" w:hAnsi="宋体"/>
          <w:b/>
          <w:color w:val="auto"/>
          <w:szCs w:val="21"/>
          <w:highlight w:val="none"/>
        </w:rPr>
        <w:t>4.报价文件：</w:t>
      </w:r>
    </w:p>
    <w:p>
      <w:pPr>
        <w:tabs>
          <w:tab w:val="left" w:pos="3870"/>
          <w:tab w:val="left" w:pos="4085"/>
        </w:tabs>
        <w:snapToGrid w:val="0"/>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 xml:space="preserve">（1）投标函（格式见第六章）； </w:t>
      </w:r>
    </w:p>
    <w:p>
      <w:pPr>
        <w:tabs>
          <w:tab w:val="left" w:pos="3870"/>
          <w:tab w:val="left" w:pos="4085"/>
        </w:tabs>
        <w:snapToGrid w:val="0"/>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（2）投标报价明细表（格式见第六章）；</w:t>
      </w:r>
    </w:p>
    <w:p>
      <w:pPr>
        <w:tabs>
          <w:tab w:val="left" w:pos="3870"/>
          <w:tab w:val="left" w:pos="4085"/>
        </w:tabs>
        <w:snapToGrid w:val="0"/>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（3）投标人针对报价需要说明的其他文件和说明（格式自拟）；</w:t>
      </w:r>
    </w:p>
    <w:p>
      <w:pPr>
        <w:tabs>
          <w:tab w:val="left" w:pos="3870"/>
          <w:tab w:val="left" w:pos="4085"/>
        </w:tabs>
        <w:snapToGrid w:val="0"/>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（4）开标一览表（格式见第六章）。</w:t>
      </w:r>
    </w:p>
    <w:p>
      <w:pPr>
        <w:pStyle w:val="43"/>
        <w:spacing w:line="360" w:lineRule="exact"/>
        <w:ind w:firstLine="421" w:firstLineChars="200"/>
        <w:rPr>
          <w:rFonts w:ascii="宋体" w:hAnsi="宋体"/>
          <w:color w:val="auto"/>
          <w:szCs w:val="21"/>
          <w:highlight w:val="none"/>
        </w:rPr>
      </w:pPr>
      <w:r>
        <w:rPr>
          <w:rFonts w:hint="eastAsia" w:ascii="宋体" w:hAnsi="宋体"/>
          <w:b/>
          <w:bCs/>
          <w:color w:val="auto"/>
          <w:szCs w:val="21"/>
          <w:highlight w:val="none"/>
        </w:rPr>
        <w:t>注：法定代表人授权委托书、投标声明书、投标函、开标一览表必须招标文件格式要求</w:t>
      </w:r>
      <w:r>
        <w:rPr>
          <w:rFonts w:hint="eastAsia" w:ascii="宋体" w:hAnsi="宋体"/>
          <w:b/>
          <w:bCs/>
          <w:color w:val="auto"/>
          <w:szCs w:val="21"/>
          <w:highlight w:val="none"/>
          <w:lang w:eastAsia="zh-CN"/>
        </w:rPr>
        <w:t>签字或签章</w:t>
      </w:r>
      <w:r>
        <w:rPr>
          <w:rFonts w:hint="eastAsia" w:ascii="宋体" w:hAnsi="宋体"/>
          <w:b/>
          <w:bCs/>
          <w:color w:val="auto"/>
          <w:szCs w:val="21"/>
          <w:highlight w:val="none"/>
        </w:rPr>
        <w:t>和加盖单位公章。</w:t>
      </w:r>
    </w:p>
    <w:p>
      <w:pPr>
        <w:pStyle w:val="43"/>
        <w:spacing w:line="360" w:lineRule="exact"/>
        <w:ind w:firstLine="420" w:firstLineChars="200"/>
        <w:rPr>
          <w:rFonts w:hint="eastAsia" w:ascii="宋体" w:hAnsi="宋体"/>
          <w:color w:val="auto"/>
          <w:szCs w:val="21"/>
          <w:highlight w:val="none"/>
        </w:rPr>
      </w:pPr>
    </w:p>
    <w:p>
      <w:pPr>
        <w:snapToGrid w:val="0"/>
        <w:spacing w:before="50" w:after="156" w:afterLines="50" w:line="360" w:lineRule="exact"/>
        <w:ind w:firstLine="3895" w:firstLineChars="1617"/>
        <w:jc w:val="left"/>
        <w:rPr>
          <w:rFonts w:hint="eastAsia" w:ascii="宋体" w:hAnsi="宋体"/>
          <w:b/>
          <w:color w:val="auto"/>
          <w:sz w:val="24"/>
          <w:highlight w:val="none"/>
        </w:rPr>
      </w:pPr>
    </w:p>
    <w:p>
      <w:pPr>
        <w:snapToGrid w:val="0"/>
        <w:spacing w:before="50" w:after="156" w:afterLines="50" w:line="360" w:lineRule="exact"/>
        <w:ind w:firstLine="3895" w:firstLineChars="1617"/>
        <w:jc w:val="left"/>
        <w:rPr>
          <w:rFonts w:hint="eastAsia" w:ascii="宋体" w:hAnsi="宋体"/>
          <w:b/>
          <w:color w:val="auto"/>
          <w:sz w:val="24"/>
          <w:highlight w:val="none"/>
        </w:rPr>
      </w:pPr>
    </w:p>
    <w:p>
      <w:pPr>
        <w:snapToGrid w:val="0"/>
        <w:spacing w:before="50" w:after="156" w:afterLines="50" w:line="360" w:lineRule="exact"/>
        <w:ind w:firstLine="3895" w:firstLineChars="1617"/>
        <w:jc w:val="left"/>
        <w:rPr>
          <w:rFonts w:hint="eastAsia" w:ascii="宋体" w:hAnsi="宋体"/>
          <w:b/>
          <w:color w:val="auto"/>
          <w:sz w:val="24"/>
          <w:highlight w:val="none"/>
        </w:rPr>
      </w:pPr>
    </w:p>
    <w:p>
      <w:pPr>
        <w:snapToGrid w:val="0"/>
        <w:spacing w:before="50" w:after="156" w:afterLines="50" w:line="360" w:lineRule="exact"/>
        <w:ind w:firstLine="3895" w:firstLineChars="1617"/>
        <w:jc w:val="left"/>
        <w:rPr>
          <w:rFonts w:hint="eastAsia" w:ascii="宋体" w:hAnsi="宋体"/>
          <w:b/>
          <w:color w:val="auto"/>
          <w:sz w:val="24"/>
          <w:highlight w:val="none"/>
        </w:rPr>
      </w:pPr>
    </w:p>
    <w:p>
      <w:pPr>
        <w:snapToGrid w:val="0"/>
        <w:spacing w:before="50" w:after="156" w:afterLines="50" w:line="360" w:lineRule="exact"/>
        <w:ind w:firstLine="3895" w:firstLineChars="1617"/>
        <w:jc w:val="left"/>
        <w:outlineLvl w:val="0"/>
        <w:rPr>
          <w:rFonts w:hint="eastAsia" w:ascii="宋体" w:hAnsi="宋体"/>
          <w:b/>
          <w:color w:val="auto"/>
          <w:sz w:val="24"/>
          <w:highlight w:val="none"/>
        </w:rPr>
      </w:pPr>
      <w:bookmarkStart w:id="314" w:name="_Toc40865124"/>
      <w:bookmarkStart w:id="315" w:name="_Toc40864732"/>
      <w:bookmarkStart w:id="316" w:name="_Toc40865008"/>
    </w:p>
    <w:p>
      <w:pPr>
        <w:snapToGrid w:val="0"/>
        <w:spacing w:before="50" w:after="156" w:afterLines="50" w:line="360" w:lineRule="exact"/>
        <w:ind w:firstLine="3895" w:firstLineChars="1617"/>
        <w:jc w:val="left"/>
        <w:outlineLvl w:val="0"/>
        <w:rPr>
          <w:rFonts w:hint="eastAsia" w:ascii="宋体" w:hAnsi="宋体"/>
          <w:b/>
          <w:color w:val="auto"/>
          <w:sz w:val="24"/>
          <w:highlight w:val="none"/>
        </w:rPr>
      </w:pPr>
      <w:r>
        <w:rPr>
          <w:rFonts w:hint="eastAsia" w:ascii="宋体" w:hAnsi="宋体"/>
          <w:b/>
          <w:color w:val="auto"/>
          <w:sz w:val="24"/>
          <w:highlight w:val="none"/>
        </w:rPr>
        <w:t>三、投标文件格式</w:t>
      </w:r>
      <w:bookmarkEnd w:id="314"/>
      <w:bookmarkEnd w:id="315"/>
      <w:bookmarkEnd w:id="316"/>
    </w:p>
    <w:p>
      <w:pPr>
        <w:snapToGrid w:val="0"/>
        <w:spacing w:before="50" w:after="156" w:afterLines="50" w:line="360" w:lineRule="exact"/>
        <w:jc w:val="left"/>
        <w:outlineLvl w:val="0"/>
        <w:rPr>
          <w:rFonts w:hint="eastAsia" w:ascii="宋体" w:hAnsi="宋体"/>
          <w:b/>
          <w:color w:val="auto"/>
          <w:szCs w:val="21"/>
          <w:highlight w:val="none"/>
        </w:rPr>
      </w:pPr>
    </w:p>
    <w:p>
      <w:pPr>
        <w:snapToGrid w:val="0"/>
        <w:spacing w:before="50" w:after="156" w:afterLines="50" w:line="360" w:lineRule="exact"/>
        <w:jc w:val="left"/>
        <w:outlineLvl w:val="0"/>
        <w:rPr>
          <w:rFonts w:hint="eastAsia" w:ascii="宋体" w:hAnsi="宋体"/>
          <w:b/>
          <w:bCs/>
          <w:color w:val="auto"/>
          <w:szCs w:val="21"/>
          <w:highlight w:val="none"/>
        </w:rPr>
      </w:pPr>
      <w:bookmarkStart w:id="317" w:name="_Toc40865125"/>
      <w:bookmarkStart w:id="318" w:name="_Toc40864733"/>
      <w:bookmarkStart w:id="319" w:name="_Toc40865009"/>
      <w:r>
        <w:rPr>
          <w:rFonts w:hint="eastAsia" w:ascii="宋体" w:hAnsi="宋体"/>
          <w:b/>
          <w:color w:val="auto"/>
          <w:szCs w:val="21"/>
          <w:highlight w:val="none"/>
        </w:rPr>
        <w:t>一）</w:t>
      </w:r>
      <w:r>
        <w:rPr>
          <w:rFonts w:hint="eastAsia" w:ascii="宋体" w:hAnsi="宋体"/>
          <w:b/>
          <w:bCs/>
          <w:color w:val="auto"/>
          <w:szCs w:val="21"/>
          <w:highlight w:val="none"/>
        </w:rPr>
        <w:t>资格文件部分（格式）</w:t>
      </w:r>
      <w:bookmarkEnd w:id="317"/>
      <w:bookmarkEnd w:id="318"/>
      <w:bookmarkEnd w:id="319"/>
    </w:p>
    <w:p>
      <w:pPr>
        <w:snapToGrid w:val="0"/>
        <w:spacing w:line="360" w:lineRule="exact"/>
        <w:ind w:firstLine="413" w:firstLineChars="196"/>
        <w:jc w:val="left"/>
        <w:rPr>
          <w:rFonts w:hint="eastAsia" w:ascii="宋体" w:hAnsi="宋体"/>
          <w:color w:val="auto"/>
          <w:szCs w:val="21"/>
          <w:highlight w:val="none"/>
        </w:rPr>
      </w:pPr>
      <w:r>
        <w:rPr>
          <w:rFonts w:hint="eastAsia" w:ascii="宋体" w:hAnsi="宋体"/>
          <w:b/>
          <w:color w:val="auto"/>
          <w:szCs w:val="21"/>
          <w:highlight w:val="none"/>
        </w:rPr>
        <w:t>（1）</w:t>
      </w:r>
      <w:r>
        <w:rPr>
          <w:rFonts w:hint="eastAsia" w:ascii="宋体" w:hAnsi="宋体"/>
          <w:color w:val="auto"/>
          <w:szCs w:val="21"/>
          <w:highlight w:val="none"/>
        </w:rPr>
        <w:t>有效的营业执照等证明文件扫描件；</w:t>
      </w:r>
    </w:p>
    <w:p>
      <w:pPr>
        <w:snapToGrid w:val="0"/>
        <w:spacing w:line="360" w:lineRule="exact"/>
        <w:ind w:firstLine="411" w:firstLineChars="196"/>
        <w:jc w:val="left"/>
        <w:rPr>
          <w:rFonts w:hint="eastAsia" w:hAnsi="宋体"/>
          <w:b/>
          <w:color w:val="auto"/>
          <w:highlight w:val="none"/>
        </w:rPr>
      </w:pPr>
      <w:r>
        <w:rPr>
          <w:rFonts w:hint="eastAsia" w:hAnsi="宋体"/>
          <w:color w:val="auto"/>
          <w:highlight w:val="none"/>
        </w:rPr>
        <w:t>①</w:t>
      </w:r>
      <w:r>
        <w:rPr>
          <w:rFonts w:hint="eastAsia" w:hAnsi="宋体"/>
          <w:b/>
          <w:color w:val="auto"/>
          <w:highlight w:val="none"/>
        </w:rPr>
        <w:t>投标人有效的营业执照等证明文件扫描件或其他电子文件，同时要加盖单位公章（</w:t>
      </w:r>
      <w:r>
        <w:rPr>
          <w:rFonts w:hint="eastAsia" w:hAnsi="宋体"/>
          <w:b/>
          <w:color w:val="auto"/>
          <w:highlight w:val="none"/>
          <w:u w:val="single"/>
        </w:rPr>
        <w:t>必须提供，原件备查</w:t>
      </w:r>
      <w:r>
        <w:rPr>
          <w:rFonts w:hint="eastAsia" w:hAnsi="宋体"/>
          <w:b/>
          <w:color w:val="auto"/>
          <w:highlight w:val="none"/>
        </w:rPr>
        <w:t>）</w:t>
      </w:r>
      <w:r>
        <w:rPr>
          <w:rFonts w:hint="eastAsia" w:hAnsi="宋体"/>
          <w:color w:val="auto"/>
          <w:highlight w:val="none"/>
        </w:rPr>
        <w:t>；</w:t>
      </w:r>
    </w:p>
    <w:p>
      <w:pPr>
        <w:snapToGrid w:val="0"/>
        <w:spacing w:line="360" w:lineRule="exact"/>
        <w:ind w:firstLine="411" w:firstLineChars="196"/>
        <w:jc w:val="left"/>
        <w:rPr>
          <w:rFonts w:hint="eastAsia" w:hAnsi="宋体"/>
          <w:b/>
          <w:color w:val="auto"/>
          <w:highlight w:val="none"/>
        </w:rPr>
      </w:pPr>
      <w:r>
        <w:rPr>
          <w:rFonts w:hint="eastAsia" w:hAnsi="宋体"/>
          <w:color w:val="auto"/>
          <w:highlight w:val="none"/>
        </w:rPr>
        <w:t>②</w:t>
      </w:r>
      <w:r>
        <w:rPr>
          <w:rFonts w:hint="eastAsia" w:hAnsi="宋体"/>
          <w:b/>
          <w:color w:val="auto"/>
          <w:highlight w:val="none"/>
        </w:rPr>
        <w:t>对于有经营资质要求的，投标人必须提供有效的经营资质证书副本内页扫描件或其他电子文件，同时要加盖单位公章（</w:t>
      </w:r>
      <w:r>
        <w:rPr>
          <w:rFonts w:hint="eastAsia" w:hAnsi="宋体"/>
          <w:b/>
          <w:color w:val="auto"/>
          <w:highlight w:val="none"/>
          <w:u w:val="single"/>
        </w:rPr>
        <w:t>必须提供，原件备查</w:t>
      </w:r>
      <w:r>
        <w:rPr>
          <w:rFonts w:hint="eastAsia" w:hAnsi="宋体"/>
          <w:b/>
          <w:color w:val="auto"/>
          <w:highlight w:val="none"/>
        </w:rPr>
        <w:t>）；</w:t>
      </w:r>
    </w:p>
    <w:p>
      <w:pPr>
        <w:snapToGrid w:val="0"/>
        <w:spacing w:line="360" w:lineRule="exact"/>
        <w:ind w:firstLine="413" w:firstLineChars="196"/>
        <w:jc w:val="left"/>
        <w:rPr>
          <w:rFonts w:ascii="宋体" w:hAnsi="宋体"/>
          <w:b/>
          <w:color w:val="auto"/>
          <w:szCs w:val="21"/>
          <w:highlight w:val="none"/>
        </w:rPr>
      </w:pPr>
      <w:r>
        <w:rPr>
          <w:rFonts w:hint="eastAsia" w:ascii="宋体" w:hAnsi="宋体"/>
          <w:b/>
          <w:color w:val="auto"/>
          <w:szCs w:val="21"/>
          <w:highlight w:val="none"/>
        </w:rPr>
        <w:t>（2）</w:t>
      </w:r>
      <w:r>
        <w:rPr>
          <w:rFonts w:hint="eastAsia" w:ascii="宋体" w:hAnsi="宋体" w:cs="宋体"/>
          <w:color w:val="auto"/>
          <w:kern w:val="0"/>
          <w:szCs w:val="21"/>
          <w:highlight w:val="none"/>
        </w:rPr>
        <w:t>参加政府采购活动前三年内在经营活动中没有</w:t>
      </w:r>
      <w:r>
        <w:rPr>
          <w:rFonts w:hint="eastAsia" w:ascii="宋体" w:hAnsi="宋体" w:cs="宋体"/>
          <w:b/>
          <w:color w:val="auto"/>
          <w:kern w:val="0"/>
          <w:szCs w:val="21"/>
          <w:highlight w:val="none"/>
        </w:rPr>
        <w:t>重大违法记录的书面声明</w:t>
      </w:r>
      <w:r>
        <w:rPr>
          <w:rFonts w:hint="eastAsia" w:ascii="宋体" w:hAnsi="宋体"/>
          <w:b/>
          <w:color w:val="auto"/>
          <w:szCs w:val="21"/>
          <w:highlight w:val="none"/>
        </w:rPr>
        <w:t>和信用记录查询方法；</w:t>
      </w:r>
    </w:p>
    <w:p>
      <w:pPr>
        <w:snapToGrid w:val="0"/>
        <w:spacing w:line="360" w:lineRule="exact"/>
        <w:ind w:firstLine="411" w:firstLineChars="196"/>
        <w:jc w:val="left"/>
        <w:rPr>
          <w:rFonts w:hint="eastAsia" w:ascii="宋体" w:hAnsi="宋体"/>
          <w:color w:val="auto"/>
          <w:szCs w:val="21"/>
          <w:highlight w:val="none"/>
        </w:rPr>
      </w:pPr>
      <w:r>
        <w:rPr>
          <w:rFonts w:hint="eastAsia" w:ascii="宋体" w:hAnsi="宋体"/>
          <w:color w:val="auto"/>
          <w:szCs w:val="21"/>
          <w:highlight w:val="none"/>
        </w:rPr>
        <w:t>①</w:t>
      </w:r>
      <w:r>
        <w:rPr>
          <w:rFonts w:hint="eastAsia" w:ascii="宋体" w:hAnsi="宋体" w:cs="宋体"/>
          <w:color w:val="auto"/>
          <w:kern w:val="0"/>
          <w:szCs w:val="21"/>
          <w:highlight w:val="none"/>
        </w:rPr>
        <w:t>参加政府采购活动前三年内在经营活动中没有</w:t>
      </w:r>
      <w:r>
        <w:rPr>
          <w:rFonts w:hint="eastAsia" w:ascii="宋体" w:hAnsi="宋体" w:cs="宋体"/>
          <w:b/>
          <w:color w:val="auto"/>
          <w:kern w:val="0"/>
          <w:szCs w:val="21"/>
          <w:highlight w:val="none"/>
        </w:rPr>
        <w:t>重大违法记录的书面声明</w:t>
      </w:r>
      <w:r>
        <w:rPr>
          <w:rFonts w:hint="eastAsia" w:ascii="宋体" w:hAnsi="宋体"/>
          <w:color w:val="auto"/>
          <w:szCs w:val="21"/>
          <w:highlight w:val="none"/>
        </w:rPr>
        <w:t>（格式自拟，必须提供）；</w:t>
      </w:r>
    </w:p>
    <w:p>
      <w:pPr>
        <w:snapToGrid w:val="0"/>
        <w:spacing w:line="360" w:lineRule="exact"/>
        <w:ind w:firstLine="411" w:firstLineChars="196"/>
        <w:jc w:val="left"/>
        <w:rPr>
          <w:rFonts w:hint="eastAsia" w:ascii="宋体" w:hAnsi="宋体"/>
          <w:color w:val="auto"/>
          <w:szCs w:val="21"/>
          <w:highlight w:val="none"/>
        </w:rPr>
      </w:pPr>
      <w:r>
        <w:rPr>
          <w:rFonts w:hint="eastAsia" w:ascii="宋体" w:hAnsi="宋体"/>
          <w:color w:val="auto"/>
          <w:szCs w:val="21"/>
          <w:highlight w:val="none"/>
        </w:rPr>
        <w:t>②供应商可在“信用中国”网站（www.creditchina.gov.cn）、中国政府采购网（www.ccgp.gov.cn）查询相关供应商主体信用记录。</w:t>
      </w:r>
      <w:r>
        <w:rPr>
          <w:rFonts w:hint="eastAsia" w:ascii="宋体" w:hAnsi="宋体"/>
          <w:b/>
          <w:bCs/>
          <w:color w:val="auto"/>
          <w:szCs w:val="21"/>
          <w:highlight w:val="none"/>
        </w:rPr>
        <w:t>（请提供，信用记录查询）</w:t>
      </w:r>
    </w:p>
    <w:p>
      <w:pPr>
        <w:snapToGrid w:val="0"/>
        <w:spacing w:line="360" w:lineRule="exact"/>
        <w:ind w:firstLine="411" w:firstLineChars="196"/>
        <w:jc w:val="left"/>
        <w:rPr>
          <w:rFonts w:hint="eastAsia" w:ascii="宋体" w:hAnsi="宋体"/>
          <w:color w:val="auto"/>
          <w:szCs w:val="21"/>
          <w:highlight w:val="none"/>
        </w:rPr>
      </w:pPr>
      <w:r>
        <w:rPr>
          <w:rFonts w:hint="eastAsia" w:ascii="宋体" w:hAnsi="宋体"/>
          <w:color w:val="auto"/>
          <w:szCs w:val="21"/>
          <w:highlight w:val="none"/>
        </w:rPr>
        <w:t>“信用中国”网站查询方法：投标人在本项目投标截止时间前10日内,进入投标人基本信息页面，点击“下载信用报告”后点击“下载”。</w:t>
      </w:r>
    </w:p>
    <w:p>
      <w:pPr>
        <w:snapToGrid w:val="0"/>
        <w:spacing w:line="360" w:lineRule="exact"/>
        <w:ind w:firstLine="411" w:firstLineChars="196"/>
        <w:jc w:val="left"/>
        <w:rPr>
          <w:rFonts w:hint="eastAsia" w:ascii="宋体" w:hAnsi="宋体"/>
          <w:color w:val="auto"/>
          <w:szCs w:val="21"/>
          <w:highlight w:val="none"/>
        </w:rPr>
      </w:pPr>
      <w:r>
        <w:rPr>
          <w:rFonts w:hint="eastAsia" w:ascii="宋体" w:hAnsi="宋体"/>
          <w:color w:val="auto"/>
          <w:szCs w:val="21"/>
          <w:highlight w:val="none"/>
        </w:rPr>
        <w:t xml:space="preserve"> “中国政府采购网”的查询方法：点击“政府采购严重违法失信行为记录名单”进行查询。页面中的处罚日期不设置起始时间，只能设置截止时间，截止时间为本项目投标截止时间前10日至投标截止时间中任意一天。</w:t>
      </w:r>
    </w:p>
    <w:p>
      <w:pPr>
        <w:snapToGrid w:val="0"/>
        <w:spacing w:line="360" w:lineRule="exact"/>
        <w:ind w:firstLine="411" w:firstLineChars="196"/>
        <w:jc w:val="left"/>
        <w:rPr>
          <w:rFonts w:hint="eastAsia" w:hAnsi="宋体"/>
          <w:color w:val="auto"/>
          <w:highlight w:val="none"/>
        </w:rPr>
      </w:pPr>
      <w:r>
        <w:rPr>
          <w:rFonts w:hint="eastAsia" w:ascii="宋体" w:hAnsi="宋体"/>
          <w:color w:val="auto"/>
          <w:szCs w:val="21"/>
          <w:highlight w:val="none"/>
        </w:rPr>
        <w:t>采购人或者本中心将对供应商信用记录进行甄别，对列入失信被执行人、重大税收违法案件当事人名单、政府采购严重违法失信行为记录名单及其他不符合《中华人民共和国政府采购法》第二十二条规定条件的供应商，将拒绝其参与政府采购活动。</w:t>
      </w:r>
    </w:p>
    <w:p>
      <w:pPr>
        <w:snapToGrid w:val="0"/>
        <w:spacing w:line="360" w:lineRule="exact"/>
        <w:ind w:firstLine="413" w:firstLineChars="196"/>
        <w:jc w:val="left"/>
        <w:rPr>
          <w:rFonts w:hint="eastAsia" w:ascii="宋体" w:hAnsi="宋体" w:cs="宋体"/>
          <w:b/>
          <w:color w:val="auto"/>
          <w:kern w:val="0"/>
          <w:szCs w:val="21"/>
          <w:highlight w:val="none"/>
        </w:rPr>
      </w:pPr>
    </w:p>
    <w:p>
      <w:pPr>
        <w:snapToGrid w:val="0"/>
        <w:spacing w:before="50" w:after="156" w:afterLines="50" w:line="360" w:lineRule="exact"/>
        <w:jc w:val="left"/>
        <w:outlineLvl w:val="0"/>
        <w:rPr>
          <w:rFonts w:hint="eastAsia" w:ascii="宋体" w:hAnsi="宋体"/>
          <w:b/>
          <w:color w:val="auto"/>
          <w:szCs w:val="21"/>
          <w:highlight w:val="none"/>
        </w:rPr>
      </w:pPr>
    </w:p>
    <w:p>
      <w:pPr>
        <w:snapToGrid w:val="0"/>
        <w:spacing w:before="50" w:after="156" w:afterLines="50" w:line="360" w:lineRule="exact"/>
        <w:jc w:val="left"/>
        <w:outlineLvl w:val="0"/>
        <w:rPr>
          <w:rFonts w:hint="eastAsia" w:ascii="宋体" w:hAnsi="宋体"/>
          <w:b/>
          <w:color w:val="auto"/>
          <w:szCs w:val="21"/>
          <w:highlight w:val="none"/>
        </w:rPr>
      </w:pPr>
    </w:p>
    <w:p>
      <w:pPr>
        <w:snapToGrid w:val="0"/>
        <w:spacing w:before="50" w:after="156" w:afterLines="50" w:line="360" w:lineRule="exact"/>
        <w:jc w:val="left"/>
        <w:outlineLvl w:val="0"/>
        <w:rPr>
          <w:rFonts w:hint="eastAsia" w:ascii="宋体" w:hAnsi="宋体"/>
          <w:b/>
          <w:color w:val="auto"/>
          <w:szCs w:val="21"/>
          <w:highlight w:val="none"/>
        </w:rPr>
      </w:pPr>
    </w:p>
    <w:p>
      <w:pPr>
        <w:snapToGrid w:val="0"/>
        <w:spacing w:before="50" w:after="156" w:afterLines="50" w:line="360" w:lineRule="exact"/>
        <w:jc w:val="left"/>
        <w:outlineLvl w:val="0"/>
        <w:rPr>
          <w:rFonts w:hint="eastAsia" w:ascii="宋体" w:hAnsi="宋体"/>
          <w:b/>
          <w:color w:val="auto"/>
          <w:szCs w:val="21"/>
          <w:highlight w:val="none"/>
        </w:rPr>
      </w:pPr>
    </w:p>
    <w:p>
      <w:pPr>
        <w:snapToGrid w:val="0"/>
        <w:spacing w:before="50" w:after="156" w:afterLines="50" w:line="360" w:lineRule="exact"/>
        <w:jc w:val="left"/>
        <w:outlineLvl w:val="0"/>
        <w:rPr>
          <w:rFonts w:hint="eastAsia" w:ascii="宋体" w:hAnsi="宋体"/>
          <w:b/>
          <w:color w:val="auto"/>
          <w:szCs w:val="21"/>
          <w:highlight w:val="none"/>
        </w:rPr>
      </w:pPr>
    </w:p>
    <w:p>
      <w:pPr>
        <w:snapToGrid w:val="0"/>
        <w:spacing w:before="50" w:after="156" w:afterLines="50" w:line="360" w:lineRule="exact"/>
        <w:jc w:val="left"/>
        <w:outlineLvl w:val="0"/>
        <w:rPr>
          <w:rFonts w:hint="eastAsia" w:ascii="宋体" w:hAnsi="宋体"/>
          <w:b/>
          <w:color w:val="auto"/>
          <w:szCs w:val="21"/>
          <w:highlight w:val="none"/>
        </w:rPr>
      </w:pPr>
    </w:p>
    <w:p>
      <w:pPr>
        <w:snapToGrid w:val="0"/>
        <w:spacing w:before="50" w:after="156" w:afterLines="50" w:line="360" w:lineRule="exact"/>
        <w:jc w:val="left"/>
        <w:outlineLvl w:val="0"/>
        <w:rPr>
          <w:rFonts w:hint="eastAsia" w:ascii="宋体" w:hAnsi="宋体"/>
          <w:b/>
          <w:color w:val="auto"/>
          <w:szCs w:val="21"/>
          <w:highlight w:val="none"/>
        </w:rPr>
      </w:pPr>
    </w:p>
    <w:p>
      <w:pPr>
        <w:snapToGrid w:val="0"/>
        <w:spacing w:before="50" w:after="156" w:afterLines="50" w:line="360" w:lineRule="exact"/>
        <w:jc w:val="left"/>
        <w:outlineLvl w:val="0"/>
        <w:rPr>
          <w:rFonts w:hint="eastAsia" w:ascii="宋体" w:hAnsi="宋体"/>
          <w:b/>
          <w:color w:val="auto"/>
          <w:szCs w:val="21"/>
          <w:highlight w:val="none"/>
        </w:rPr>
      </w:pPr>
    </w:p>
    <w:p>
      <w:pPr>
        <w:snapToGrid w:val="0"/>
        <w:spacing w:before="50" w:after="156" w:afterLines="50" w:line="360" w:lineRule="exact"/>
        <w:jc w:val="left"/>
        <w:outlineLvl w:val="0"/>
        <w:rPr>
          <w:rFonts w:hint="eastAsia" w:ascii="宋体" w:hAnsi="宋体"/>
          <w:b/>
          <w:color w:val="auto"/>
          <w:szCs w:val="21"/>
          <w:highlight w:val="none"/>
        </w:rPr>
      </w:pPr>
    </w:p>
    <w:p>
      <w:pPr>
        <w:snapToGrid w:val="0"/>
        <w:spacing w:before="50" w:after="156" w:afterLines="50" w:line="360" w:lineRule="exact"/>
        <w:jc w:val="left"/>
        <w:outlineLvl w:val="0"/>
        <w:rPr>
          <w:rFonts w:hint="eastAsia" w:ascii="宋体" w:hAnsi="宋体"/>
          <w:b/>
          <w:color w:val="auto"/>
          <w:szCs w:val="21"/>
          <w:highlight w:val="none"/>
        </w:rPr>
      </w:pPr>
    </w:p>
    <w:p>
      <w:pPr>
        <w:snapToGrid w:val="0"/>
        <w:spacing w:before="50" w:after="156" w:afterLines="50" w:line="360" w:lineRule="exact"/>
        <w:jc w:val="left"/>
        <w:outlineLvl w:val="0"/>
        <w:rPr>
          <w:rFonts w:hint="eastAsia" w:ascii="宋体" w:hAnsi="宋体"/>
          <w:b/>
          <w:color w:val="auto"/>
          <w:szCs w:val="21"/>
          <w:highlight w:val="none"/>
        </w:rPr>
      </w:pPr>
    </w:p>
    <w:p>
      <w:pPr>
        <w:snapToGrid w:val="0"/>
        <w:spacing w:before="50" w:after="156" w:afterLines="50" w:line="360" w:lineRule="exact"/>
        <w:jc w:val="left"/>
        <w:outlineLvl w:val="0"/>
        <w:rPr>
          <w:rFonts w:hint="eastAsia" w:ascii="宋体" w:hAnsi="宋体"/>
          <w:b/>
          <w:color w:val="auto"/>
          <w:szCs w:val="21"/>
          <w:highlight w:val="none"/>
        </w:rPr>
      </w:pPr>
    </w:p>
    <w:p>
      <w:pPr>
        <w:snapToGrid w:val="0"/>
        <w:spacing w:line="360" w:lineRule="exact"/>
        <w:jc w:val="center"/>
        <w:rPr>
          <w:rFonts w:hint="eastAsia" w:ascii="宋体" w:hAnsi="宋体" w:cs="宋体"/>
          <w:color w:val="auto"/>
          <w:kern w:val="0"/>
          <w:sz w:val="28"/>
          <w:szCs w:val="28"/>
          <w:highlight w:val="none"/>
        </w:rPr>
      </w:pPr>
    </w:p>
    <w:p>
      <w:pPr>
        <w:snapToGrid w:val="0"/>
        <w:spacing w:line="360" w:lineRule="exact"/>
        <w:jc w:val="center"/>
        <w:rPr>
          <w:rFonts w:ascii="宋体" w:hAnsi="宋体" w:cs="宋体"/>
          <w:b/>
          <w:color w:val="auto"/>
          <w:kern w:val="0"/>
          <w:sz w:val="28"/>
          <w:szCs w:val="28"/>
          <w:highlight w:val="none"/>
        </w:rPr>
      </w:pPr>
      <w:r>
        <w:rPr>
          <w:rFonts w:hint="eastAsia" w:ascii="宋体" w:hAnsi="宋体" w:cs="宋体"/>
          <w:color w:val="auto"/>
          <w:kern w:val="0"/>
          <w:sz w:val="28"/>
          <w:szCs w:val="28"/>
          <w:highlight w:val="none"/>
        </w:rPr>
        <w:t>参加政府采购活动前三年内在经营活动中没有</w:t>
      </w:r>
      <w:r>
        <w:rPr>
          <w:rFonts w:hint="eastAsia" w:ascii="宋体" w:hAnsi="宋体" w:cs="宋体"/>
          <w:b/>
          <w:color w:val="auto"/>
          <w:kern w:val="0"/>
          <w:sz w:val="28"/>
          <w:szCs w:val="28"/>
          <w:highlight w:val="none"/>
        </w:rPr>
        <w:t>重大违法记录的书面声明</w:t>
      </w:r>
    </w:p>
    <w:p>
      <w:pPr>
        <w:snapToGrid w:val="0"/>
        <w:spacing w:line="360" w:lineRule="exact"/>
        <w:jc w:val="center"/>
        <w:rPr>
          <w:rFonts w:hint="eastAsia" w:ascii="宋体" w:hAnsi="宋体"/>
          <w:color w:val="auto"/>
          <w:szCs w:val="21"/>
          <w:highlight w:val="none"/>
        </w:rPr>
      </w:pPr>
      <w:r>
        <w:rPr>
          <w:rFonts w:hint="eastAsia" w:ascii="宋体" w:hAnsi="宋体"/>
          <w:color w:val="auto"/>
          <w:szCs w:val="21"/>
          <w:highlight w:val="none"/>
        </w:rPr>
        <w:t>（格式自拟，必须提供）</w:t>
      </w:r>
    </w:p>
    <w:p>
      <w:pPr>
        <w:snapToGrid w:val="0"/>
        <w:spacing w:line="360" w:lineRule="exact"/>
        <w:ind w:firstLine="411" w:firstLineChars="196"/>
        <w:jc w:val="center"/>
        <w:rPr>
          <w:rFonts w:hint="eastAsia" w:ascii="宋体" w:hAnsi="宋体"/>
          <w:color w:val="auto"/>
          <w:szCs w:val="21"/>
          <w:highlight w:val="none"/>
        </w:rPr>
      </w:pPr>
    </w:p>
    <w:p>
      <w:pPr>
        <w:pStyle w:val="27"/>
        <w:tabs>
          <w:tab w:val="left" w:pos="5580"/>
        </w:tabs>
        <w:spacing w:line="360" w:lineRule="auto"/>
        <w:ind w:left="1080" w:leftChars="257" w:hanging="540"/>
        <w:rPr>
          <w:rFonts w:hint="eastAsia" w:ascii="仿宋_GB2312" w:hAnsi="宋体" w:eastAsia="仿宋_GB2312"/>
          <w:color w:val="auto"/>
          <w:sz w:val="24"/>
          <w:highlight w:val="none"/>
        </w:rPr>
      </w:pPr>
    </w:p>
    <w:p>
      <w:pPr>
        <w:snapToGrid w:val="0"/>
        <w:spacing w:line="360" w:lineRule="exact"/>
        <w:ind w:firstLine="567" w:firstLineChars="27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说明：1、投标人应按照相关法规规定如实做出声明。</w:t>
      </w:r>
    </w:p>
    <w:p>
      <w:pPr>
        <w:snapToGrid w:val="0"/>
        <w:spacing w:line="360" w:lineRule="exact"/>
        <w:ind w:firstLine="1134" w:firstLineChars="54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2、按照采购文件的规定盖章（自然人投标的无需盖章，需要</w:t>
      </w:r>
      <w:r>
        <w:rPr>
          <w:rFonts w:hint="eastAsia" w:ascii="宋体" w:hAnsi="宋体" w:cs="宋体"/>
          <w:color w:val="auto"/>
          <w:kern w:val="0"/>
          <w:szCs w:val="21"/>
          <w:highlight w:val="none"/>
          <w:lang w:eastAsia="zh-CN"/>
        </w:rPr>
        <w:t>签字或签章</w:t>
      </w:r>
      <w:r>
        <w:rPr>
          <w:rFonts w:hint="eastAsia" w:ascii="宋体" w:hAnsi="宋体" w:cs="宋体"/>
          <w:color w:val="auto"/>
          <w:kern w:val="0"/>
          <w:szCs w:val="21"/>
          <w:highlight w:val="none"/>
        </w:rPr>
        <w:t>）。</w:t>
      </w:r>
    </w:p>
    <w:p>
      <w:pPr>
        <w:snapToGrid w:val="0"/>
        <w:spacing w:before="50" w:after="156" w:afterLines="50" w:line="360" w:lineRule="exact"/>
        <w:jc w:val="left"/>
        <w:outlineLvl w:val="0"/>
        <w:rPr>
          <w:rFonts w:hint="eastAsia" w:ascii="宋体" w:hAnsi="宋体"/>
          <w:b/>
          <w:color w:val="auto"/>
          <w:szCs w:val="21"/>
          <w:highlight w:val="none"/>
        </w:rPr>
      </w:pPr>
    </w:p>
    <w:p>
      <w:pPr>
        <w:snapToGrid w:val="0"/>
        <w:spacing w:before="50" w:after="156" w:afterLines="50" w:line="360" w:lineRule="exact"/>
        <w:jc w:val="left"/>
        <w:outlineLvl w:val="0"/>
        <w:rPr>
          <w:rFonts w:hint="eastAsia" w:ascii="宋体" w:hAnsi="宋体"/>
          <w:b/>
          <w:color w:val="auto"/>
          <w:szCs w:val="21"/>
          <w:highlight w:val="none"/>
        </w:rPr>
      </w:pPr>
    </w:p>
    <w:p>
      <w:pPr>
        <w:snapToGrid w:val="0"/>
        <w:spacing w:before="50" w:after="156" w:afterLines="50" w:line="360" w:lineRule="exact"/>
        <w:jc w:val="left"/>
        <w:outlineLvl w:val="0"/>
        <w:rPr>
          <w:rFonts w:hint="eastAsia" w:ascii="宋体" w:hAnsi="宋体"/>
          <w:b/>
          <w:color w:val="auto"/>
          <w:szCs w:val="21"/>
          <w:highlight w:val="none"/>
        </w:rPr>
      </w:pPr>
    </w:p>
    <w:p>
      <w:pPr>
        <w:snapToGrid w:val="0"/>
        <w:spacing w:before="50" w:after="156" w:afterLines="50" w:line="360" w:lineRule="exact"/>
        <w:jc w:val="left"/>
        <w:outlineLvl w:val="0"/>
        <w:rPr>
          <w:rFonts w:hint="eastAsia" w:ascii="宋体" w:hAnsi="宋体"/>
          <w:b/>
          <w:color w:val="auto"/>
          <w:szCs w:val="21"/>
          <w:highlight w:val="none"/>
        </w:rPr>
      </w:pPr>
    </w:p>
    <w:p>
      <w:pPr>
        <w:snapToGrid w:val="0"/>
        <w:spacing w:before="50" w:after="156" w:afterLines="50" w:line="360" w:lineRule="exact"/>
        <w:jc w:val="left"/>
        <w:outlineLvl w:val="0"/>
        <w:rPr>
          <w:rFonts w:hint="eastAsia" w:ascii="宋体" w:hAnsi="宋体"/>
          <w:b/>
          <w:color w:val="auto"/>
          <w:szCs w:val="21"/>
          <w:highlight w:val="none"/>
        </w:rPr>
      </w:pPr>
    </w:p>
    <w:p>
      <w:pPr>
        <w:snapToGrid w:val="0"/>
        <w:spacing w:before="50" w:after="156" w:afterLines="50" w:line="360" w:lineRule="exact"/>
        <w:jc w:val="left"/>
        <w:outlineLvl w:val="0"/>
        <w:rPr>
          <w:rFonts w:hint="eastAsia" w:ascii="宋体" w:hAnsi="宋体"/>
          <w:b/>
          <w:color w:val="auto"/>
          <w:szCs w:val="21"/>
          <w:highlight w:val="none"/>
        </w:rPr>
      </w:pPr>
    </w:p>
    <w:p>
      <w:pPr>
        <w:snapToGrid w:val="0"/>
        <w:spacing w:before="50" w:after="156" w:afterLines="50" w:line="360" w:lineRule="exact"/>
        <w:jc w:val="left"/>
        <w:outlineLvl w:val="0"/>
        <w:rPr>
          <w:rFonts w:hint="eastAsia" w:ascii="宋体" w:hAnsi="宋体"/>
          <w:b/>
          <w:color w:val="auto"/>
          <w:szCs w:val="21"/>
          <w:highlight w:val="none"/>
        </w:rPr>
      </w:pPr>
    </w:p>
    <w:p>
      <w:pPr>
        <w:snapToGrid w:val="0"/>
        <w:spacing w:before="50" w:after="156" w:afterLines="50" w:line="360" w:lineRule="exact"/>
        <w:jc w:val="left"/>
        <w:outlineLvl w:val="0"/>
        <w:rPr>
          <w:rFonts w:hint="eastAsia" w:ascii="宋体" w:hAnsi="宋体"/>
          <w:b/>
          <w:color w:val="auto"/>
          <w:szCs w:val="21"/>
          <w:highlight w:val="none"/>
        </w:rPr>
      </w:pPr>
    </w:p>
    <w:p>
      <w:pPr>
        <w:snapToGrid w:val="0"/>
        <w:spacing w:before="50" w:after="156" w:afterLines="50" w:line="360" w:lineRule="exact"/>
        <w:jc w:val="left"/>
        <w:outlineLvl w:val="0"/>
        <w:rPr>
          <w:rFonts w:hint="eastAsia" w:ascii="宋体" w:hAnsi="宋体"/>
          <w:b/>
          <w:color w:val="auto"/>
          <w:szCs w:val="21"/>
          <w:highlight w:val="none"/>
        </w:rPr>
      </w:pPr>
    </w:p>
    <w:p>
      <w:pPr>
        <w:snapToGrid w:val="0"/>
        <w:spacing w:before="50" w:after="156" w:afterLines="50" w:line="360" w:lineRule="exact"/>
        <w:jc w:val="left"/>
        <w:outlineLvl w:val="0"/>
        <w:rPr>
          <w:rFonts w:hint="eastAsia" w:ascii="宋体" w:hAnsi="宋体"/>
          <w:b/>
          <w:color w:val="auto"/>
          <w:szCs w:val="21"/>
          <w:highlight w:val="none"/>
        </w:rPr>
      </w:pPr>
    </w:p>
    <w:p>
      <w:pPr>
        <w:snapToGrid w:val="0"/>
        <w:spacing w:before="50" w:after="156" w:afterLines="50" w:line="360" w:lineRule="exact"/>
        <w:jc w:val="left"/>
        <w:outlineLvl w:val="0"/>
        <w:rPr>
          <w:rFonts w:hint="eastAsia" w:ascii="宋体" w:hAnsi="宋体"/>
          <w:b/>
          <w:color w:val="auto"/>
          <w:szCs w:val="21"/>
          <w:highlight w:val="none"/>
        </w:rPr>
      </w:pPr>
    </w:p>
    <w:p>
      <w:pPr>
        <w:snapToGrid w:val="0"/>
        <w:spacing w:before="50" w:after="156" w:afterLines="50" w:line="360" w:lineRule="exact"/>
        <w:jc w:val="left"/>
        <w:outlineLvl w:val="0"/>
        <w:rPr>
          <w:rFonts w:hint="eastAsia" w:ascii="宋体" w:hAnsi="宋体"/>
          <w:b/>
          <w:color w:val="auto"/>
          <w:szCs w:val="21"/>
          <w:highlight w:val="none"/>
        </w:rPr>
      </w:pPr>
    </w:p>
    <w:p>
      <w:pPr>
        <w:snapToGrid w:val="0"/>
        <w:spacing w:before="50" w:after="156" w:afterLines="50" w:line="360" w:lineRule="exact"/>
        <w:jc w:val="left"/>
        <w:outlineLvl w:val="0"/>
        <w:rPr>
          <w:rFonts w:hint="eastAsia" w:ascii="宋体" w:hAnsi="宋体"/>
          <w:b/>
          <w:color w:val="auto"/>
          <w:szCs w:val="21"/>
          <w:highlight w:val="none"/>
        </w:rPr>
      </w:pPr>
    </w:p>
    <w:p>
      <w:pPr>
        <w:snapToGrid w:val="0"/>
        <w:spacing w:before="50" w:after="156" w:afterLines="50" w:line="360" w:lineRule="exact"/>
        <w:jc w:val="left"/>
        <w:outlineLvl w:val="0"/>
        <w:rPr>
          <w:rFonts w:hint="eastAsia" w:ascii="宋体" w:hAnsi="宋体"/>
          <w:b/>
          <w:color w:val="auto"/>
          <w:szCs w:val="21"/>
          <w:highlight w:val="none"/>
        </w:rPr>
      </w:pPr>
    </w:p>
    <w:p>
      <w:pPr>
        <w:snapToGrid w:val="0"/>
        <w:spacing w:before="50" w:after="156" w:afterLines="50" w:line="360" w:lineRule="exact"/>
        <w:jc w:val="left"/>
        <w:outlineLvl w:val="0"/>
        <w:rPr>
          <w:rFonts w:hint="eastAsia" w:ascii="宋体" w:hAnsi="宋体"/>
          <w:b/>
          <w:color w:val="auto"/>
          <w:szCs w:val="21"/>
          <w:highlight w:val="none"/>
        </w:rPr>
      </w:pPr>
    </w:p>
    <w:p>
      <w:pPr>
        <w:snapToGrid w:val="0"/>
        <w:spacing w:before="50" w:after="156" w:afterLines="50" w:line="360" w:lineRule="exact"/>
        <w:jc w:val="left"/>
        <w:outlineLvl w:val="0"/>
        <w:rPr>
          <w:rFonts w:hint="eastAsia" w:ascii="宋体" w:hAnsi="宋体"/>
          <w:b/>
          <w:color w:val="auto"/>
          <w:szCs w:val="21"/>
          <w:highlight w:val="none"/>
        </w:rPr>
      </w:pPr>
    </w:p>
    <w:p>
      <w:pPr>
        <w:snapToGrid w:val="0"/>
        <w:spacing w:before="50" w:after="156" w:afterLines="50" w:line="360" w:lineRule="exact"/>
        <w:jc w:val="left"/>
        <w:outlineLvl w:val="0"/>
        <w:rPr>
          <w:rFonts w:hint="eastAsia" w:ascii="宋体" w:hAnsi="宋体"/>
          <w:b/>
          <w:color w:val="auto"/>
          <w:szCs w:val="21"/>
          <w:highlight w:val="none"/>
        </w:rPr>
      </w:pPr>
    </w:p>
    <w:p>
      <w:pPr>
        <w:snapToGrid w:val="0"/>
        <w:spacing w:before="50" w:after="156" w:afterLines="50" w:line="360" w:lineRule="exact"/>
        <w:jc w:val="left"/>
        <w:outlineLvl w:val="0"/>
        <w:rPr>
          <w:rFonts w:hint="eastAsia" w:ascii="宋体" w:hAnsi="宋体"/>
          <w:b/>
          <w:color w:val="auto"/>
          <w:szCs w:val="21"/>
          <w:highlight w:val="none"/>
        </w:rPr>
      </w:pPr>
    </w:p>
    <w:p>
      <w:pPr>
        <w:snapToGrid w:val="0"/>
        <w:spacing w:before="50" w:after="156" w:afterLines="50" w:line="360" w:lineRule="exact"/>
        <w:jc w:val="left"/>
        <w:outlineLvl w:val="0"/>
        <w:rPr>
          <w:rFonts w:hint="eastAsia" w:ascii="宋体" w:hAnsi="宋体"/>
          <w:b/>
          <w:color w:val="auto"/>
          <w:szCs w:val="21"/>
          <w:highlight w:val="none"/>
        </w:rPr>
      </w:pPr>
    </w:p>
    <w:p>
      <w:pPr>
        <w:snapToGrid w:val="0"/>
        <w:spacing w:before="50" w:after="156" w:afterLines="50" w:line="360" w:lineRule="exact"/>
        <w:jc w:val="left"/>
        <w:outlineLvl w:val="0"/>
        <w:rPr>
          <w:rFonts w:hint="eastAsia" w:ascii="宋体" w:hAnsi="宋体"/>
          <w:b/>
          <w:color w:val="auto"/>
          <w:szCs w:val="21"/>
          <w:highlight w:val="none"/>
        </w:rPr>
      </w:pPr>
    </w:p>
    <w:p>
      <w:pPr>
        <w:snapToGrid w:val="0"/>
        <w:spacing w:before="50" w:after="156" w:afterLines="50" w:line="360" w:lineRule="exact"/>
        <w:jc w:val="left"/>
        <w:outlineLvl w:val="0"/>
        <w:rPr>
          <w:rFonts w:hint="eastAsia" w:ascii="宋体" w:hAnsi="宋体"/>
          <w:b/>
          <w:color w:val="auto"/>
          <w:szCs w:val="21"/>
          <w:highlight w:val="none"/>
        </w:rPr>
      </w:pPr>
    </w:p>
    <w:p>
      <w:pPr>
        <w:snapToGrid w:val="0"/>
        <w:spacing w:before="50" w:after="156" w:afterLines="50" w:line="360" w:lineRule="exact"/>
        <w:jc w:val="left"/>
        <w:outlineLvl w:val="0"/>
        <w:rPr>
          <w:rFonts w:hint="eastAsia" w:ascii="宋体" w:hAnsi="宋体"/>
          <w:b/>
          <w:color w:val="auto"/>
          <w:szCs w:val="21"/>
          <w:highlight w:val="none"/>
        </w:rPr>
      </w:pPr>
    </w:p>
    <w:p>
      <w:pPr>
        <w:snapToGrid w:val="0"/>
        <w:spacing w:before="50" w:after="156" w:afterLines="50" w:line="360" w:lineRule="exact"/>
        <w:jc w:val="left"/>
        <w:outlineLvl w:val="0"/>
        <w:rPr>
          <w:rFonts w:hint="eastAsia" w:ascii="宋体" w:hAnsi="宋体"/>
          <w:b/>
          <w:color w:val="auto"/>
          <w:szCs w:val="21"/>
          <w:highlight w:val="none"/>
        </w:rPr>
      </w:pPr>
      <w:bookmarkStart w:id="320" w:name="_Toc40864735"/>
      <w:bookmarkStart w:id="321" w:name="_Toc40865011"/>
      <w:bookmarkStart w:id="322" w:name="_Toc40865127"/>
      <w:r>
        <w:rPr>
          <w:rFonts w:hint="eastAsia" w:ascii="宋体" w:hAnsi="宋体"/>
          <w:b/>
          <w:color w:val="auto"/>
          <w:szCs w:val="21"/>
          <w:highlight w:val="none"/>
        </w:rPr>
        <w:t>二）</w:t>
      </w:r>
      <w:r>
        <w:rPr>
          <w:rFonts w:hint="eastAsia" w:ascii="宋体" w:hAnsi="宋体"/>
          <w:b/>
          <w:bCs/>
          <w:color w:val="auto"/>
          <w:szCs w:val="21"/>
          <w:highlight w:val="none"/>
        </w:rPr>
        <w:t>资信及商务文件部分（格式）</w:t>
      </w:r>
      <w:bookmarkEnd w:id="320"/>
      <w:bookmarkEnd w:id="321"/>
      <w:bookmarkEnd w:id="322"/>
    </w:p>
    <w:p>
      <w:pPr>
        <w:snapToGrid w:val="0"/>
        <w:spacing w:before="50" w:after="156" w:afterLines="50" w:line="360" w:lineRule="exact"/>
        <w:ind w:firstLine="204" w:firstLineChars="97"/>
        <w:jc w:val="left"/>
        <w:rPr>
          <w:rFonts w:hint="eastAsia" w:ascii="宋体" w:hAnsi="宋体"/>
          <w:b/>
          <w:color w:val="auto"/>
          <w:szCs w:val="21"/>
          <w:highlight w:val="none"/>
        </w:rPr>
      </w:pPr>
      <w:r>
        <w:rPr>
          <w:rFonts w:hint="eastAsia" w:ascii="宋体" w:hAnsi="宋体"/>
          <w:b/>
          <w:bCs/>
          <w:color w:val="auto"/>
          <w:szCs w:val="21"/>
          <w:highlight w:val="none"/>
        </w:rPr>
        <w:t>（1）</w:t>
      </w:r>
      <w:r>
        <w:rPr>
          <w:rFonts w:hint="eastAsia" w:ascii="宋体" w:hAnsi="宋体"/>
          <w:color w:val="auto"/>
          <w:szCs w:val="21"/>
          <w:highlight w:val="none"/>
        </w:rPr>
        <w:t>投标保证金的相关证明扫描件（可单独提交）</w:t>
      </w:r>
    </w:p>
    <w:p>
      <w:pPr>
        <w:snapToGrid w:val="0"/>
        <w:spacing w:before="50" w:after="156" w:afterLines="50" w:line="360" w:lineRule="exact"/>
        <w:ind w:firstLine="204" w:firstLineChars="97"/>
        <w:jc w:val="left"/>
        <w:rPr>
          <w:rFonts w:hint="eastAsia" w:ascii="宋体" w:hAnsi="宋体"/>
          <w:b/>
          <w:color w:val="auto"/>
          <w:szCs w:val="21"/>
          <w:highlight w:val="none"/>
        </w:rPr>
      </w:pPr>
      <w:r>
        <w:rPr>
          <w:rFonts w:hint="eastAsia" w:ascii="宋体" w:hAnsi="宋体"/>
          <w:b/>
          <w:color w:val="auto"/>
          <w:szCs w:val="21"/>
          <w:highlight w:val="none"/>
        </w:rPr>
        <w:t>（2）投标声明书格式：</w:t>
      </w:r>
    </w:p>
    <w:p>
      <w:pPr>
        <w:snapToGrid w:val="0"/>
        <w:spacing w:before="156" w:beforeLines="50" w:after="50" w:line="360" w:lineRule="exact"/>
        <w:jc w:val="center"/>
        <w:rPr>
          <w:rFonts w:hint="eastAsia" w:ascii="仿宋_GB2312" w:hAnsi="宋体" w:eastAsia="仿宋_GB2312"/>
          <w:b/>
          <w:color w:val="auto"/>
          <w:sz w:val="30"/>
          <w:szCs w:val="30"/>
          <w:highlight w:val="none"/>
        </w:rPr>
      </w:pPr>
      <w:r>
        <w:rPr>
          <w:rFonts w:hint="eastAsia" w:ascii="仿宋_GB2312" w:hAnsi="宋体" w:eastAsia="仿宋_GB2312"/>
          <w:b/>
          <w:color w:val="auto"/>
          <w:sz w:val="30"/>
          <w:szCs w:val="30"/>
          <w:highlight w:val="none"/>
        </w:rPr>
        <w:t>投标声明书</w:t>
      </w:r>
    </w:p>
    <w:p>
      <w:pPr>
        <w:snapToGrid w:val="0"/>
        <w:spacing w:before="156" w:beforeLines="50" w:after="50" w:line="340" w:lineRule="exact"/>
        <w:rPr>
          <w:rFonts w:hint="eastAsia" w:ascii="宋体" w:hAnsi="宋体"/>
          <w:color w:val="auto"/>
          <w:szCs w:val="21"/>
          <w:highlight w:val="none"/>
        </w:rPr>
      </w:pPr>
      <w:r>
        <w:rPr>
          <w:rFonts w:hint="eastAsia" w:ascii="宋体" w:hAnsi="宋体"/>
          <w:color w:val="auto"/>
          <w:szCs w:val="21"/>
          <w:highlight w:val="none"/>
        </w:rPr>
        <w:t>致：_</w:t>
      </w:r>
      <w:r>
        <w:rPr>
          <w:rFonts w:hint="eastAsia"/>
          <w:color w:val="auto"/>
          <w:highlight w:val="none"/>
          <w:u w:val="single"/>
        </w:rPr>
        <w:t>广西壮族自治区政府采购中心</w:t>
      </w:r>
      <w:r>
        <w:rPr>
          <w:rFonts w:hint="eastAsia" w:ascii="宋体" w:hAnsi="宋体"/>
          <w:color w:val="auto"/>
          <w:szCs w:val="21"/>
          <w:highlight w:val="none"/>
        </w:rPr>
        <w:t>：</w:t>
      </w:r>
    </w:p>
    <w:p>
      <w:pPr>
        <w:snapToGrid w:val="0"/>
        <w:spacing w:before="156" w:beforeLines="50" w:after="50" w:line="340" w:lineRule="exact"/>
        <w:ind w:firstLine="630" w:firstLineChars="300"/>
        <w:rPr>
          <w:rFonts w:hint="eastAsia" w:ascii="宋体" w:hAnsi="宋体"/>
          <w:color w:val="auto"/>
          <w:szCs w:val="21"/>
          <w:highlight w:val="none"/>
        </w:rPr>
      </w:pPr>
      <w:r>
        <w:rPr>
          <w:rFonts w:hint="eastAsia" w:ascii="宋体" w:hAnsi="宋体"/>
          <w:color w:val="auto"/>
          <w:szCs w:val="21"/>
          <w:highlight w:val="none"/>
        </w:rPr>
        <w:t>______</w:t>
      </w:r>
      <w:r>
        <w:rPr>
          <w:rFonts w:hint="eastAsia" w:ascii="宋体" w:hAnsi="宋体"/>
          <w:color w:val="auto"/>
          <w:szCs w:val="21"/>
          <w:highlight w:val="none"/>
          <w:u w:val="single"/>
        </w:rPr>
        <w:t>_     _</w:t>
      </w:r>
      <w:r>
        <w:rPr>
          <w:rFonts w:hint="eastAsia" w:ascii="宋体" w:hAnsi="宋体"/>
          <w:color w:val="auto"/>
          <w:szCs w:val="21"/>
          <w:highlight w:val="none"/>
        </w:rPr>
        <w:t>_（投标人名称）系中华人民共和国合法企业，经营地址</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snapToGrid w:val="0"/>
        <w:spacing w:before="156" w:beforeLines="50" w:after="50" w:line="340" w:lineRule="exact"/>
        <w:ind w:firstLine="645"/>
        <w:rPr>
          <w:rFonts w:hint="eastAsia" w:ascii="宋体" w:hAnsi="宋体"/>
          <w:color w:val="auto"/>
          <w:szCs w:val="21"/>
          <w:highlight w:val="none"/>
        </w:rPr>
      </w:pPr>
      <w:r>
        <w:rPr>
          <w:rFonts w:hint="eastAsia" w:ascii="宋体" w:hAnsi="宋体"/>
          <w:color w:val="auto"/>
          <w:szCs w:val="21"/>
          <w:highlight w:val="none"/>
        </w:rPr>
        <w:t>我___</w:t>
      </w:r>
      <w:r>
        <w:rPr>
          <w:rFonts w:hint="eastAsia" w:ascii="宋体" w:hAnsi="宋体"/>
          <w:color w:val="auto"/>
          <w:szCs w:val="21"/>
          <w:highlight w:val="none"/>
          <w:u w:val="single"/>
        </w:rPr>
        <w:t xml:space="preserve">    __  </w:t>
      </w:r>
      <w:r>
        <w:rPr>
          <w:rFonts w:hint="eastAsia" w:ascii="宋体" w:hAnsi="宋体"/>
          <w:color w:val="auto"/>
          <w:szCs w:val="21"/>
          <w:highlight w:val="none"/>
        </w:rPr>
        <w:t>（姓名）系______</w:t>
      </w:r>
      <w:r>
        <w:rPr>
          <w:rFonts w:hint="eastAsia" w:ascii="宋体" w:hAnsi="宋体"/>
          <w:color w:val="auto"/>
          <w:szCs w:val="21"/>
          <w:highlight w:val="none"/>
          <w:u w:val="single"/>
        </w:rPr>
        <w:t>_     _</w:t>
      </w:r>
      <w:r>
        <w:rPr>
          <w:rFonts w:hint="eastAsia" w:ascii="宋体" w:hAnsi="宋体"/>
          <w:color w:val="auto"/>
          <w:szCs w:val="21"/>
          <w:highlight w:val="none"/>
        </w:rPr>
        <w:t>_（投标人名称）的法定代表人，我方愿意参加贵方组织的_____</w:t>
      </w:r>
      <w:r>
        <w:rPr>
          <w:rFonts w:hint="eastAsia" w:ascii="宋体" w:hAnsi="宋体"/>
          <w:color w:val="auto"/>
          <w:szCs w:val="21"/>
          <w:highlight w:val="none"/>
          <w:u w:val="single"/>
        </w:rPr>
        <w:t>_              _     _</w:t>
      </w:r>
      <w:r>
        <w:rPr>
          <w:rFonts w:hint="eastAsia" w:ascii="宋体" w:hAnsi="宋体"/>
          <w:color w:val="auto"/>
          <w:szCs w:val="21"/>
          <w:highlight w:val="none"/>
        </w:rPr>
        <w:t>_项目的投标，为便于贵方公正、择优地确定中标人及其投标产品和服务，我方就本次投标有关事项郑重声明如下：</w:t>
      </w:r>
    </w:p>
    <w:p>
      <w:pPr>
        <w:snapToGrid w:val="0"/>
        <w:spacing w:line="3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1.我方向贵方提交的所有投标文件、资料都是准确的和真实的。</w:t>
      </w:r>
    </w:p>
    <w:p>
      <w:pPr>
        <w:snapToGrid w:val="0"/>
        <w:spacing w:before="156" w:beforeLines="50" w:line="3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2.我方不是采购人的附属机构；在获知本项目采购信息后，与采购人聘请的为此项目提供咨询服务的公司及其附属机构没有任何联系。</w:t>
      </w:r>
    </w:p>
    <w:p>
      <w:pPr>
        <w:snapToGrid w:val="0"/>
        <w:spacing w:before="156" w:beforeLines="50" w:line="3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3.我方此次向贵方提供的产品名称为：</w:t>
      </w:r>
      <w:r>
        <w:rPr>
          <w:rFonts w:hint="eastAsia" w:ascii="宋体" w:hAnsi="宋体"/>
          <w:color w:val="auto"/>
          <w:szCs w:val="21"/>
          <w:highlight w:val="none"/>
          <w:u w:val="single"/>
        </w:rPr>
        <w:t xml:space="preserve">                        </w:t>
      </w:r>
      <w:r>
        <w:rPr>
          <w:rFonts w:hint="eastAsia" w:ascii="宋体" w:hAnsi="宋体"/>
          <w:color w:val="auto"/>
          <w:szCs w:val="21"/>
          <w:highlight w:val="none"/>
        </w:rPr>
        <w:t>；规格型号：</w:t>
      </w:r>
      <w:r>
        <w:rPr>
          <w:rFonts w:hint="eastAsia" w:ascii="宋体" w:hAnsi="宋体"/>
          <w:color w:val="auto"/>
          <w:szCs w:val="21"/>
          <w:highlight w:val="none"/>
          <w:u w:val="single"/>
        </w:rPr>
        <w:t xml:space="preserve">                                     </w:t>
      </w:r>
      <w:r>
        <w:rPr>
          <w:rFonts w:hint="eastAsia" w:ascii="宋体" w:hAnsi="宋体"/>
          <w:color w:val="auto"/>
          <w:szCs w:val="21"/>
          <w:highlight w:val="none"/>
        </w:rPr>
        <w:t>；该型号产品我方有现货可供，并已于</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月生产完工或向　</w:t>
      </w:r>
      <w:r>
        <w:rPr>
          <w:rFonts w:hint="eastAsia" w:ascii="宋体" w:hAnsi="宋体"/>
          <w:color w:val="auto"/>
          <w:szCs w:val="21"/>
          <w:highlight w:val="none"/>
          <w:u w:val="single"/>
        </w:rPr>
        <w:t xml:space="preserve">　                   </w:t>
      </w:r>
      <w:r>
        <w:rPr>
          <w:rFonts w:hint="eastAsia" w:ascii="宋体" w:hAnsi="宋体"/>
          <w:color w:val="auto"/>
          <w:szCs w:val="21"/>
          <w:highlight w:val="none"/>
        </w:rPr>
        <w:t>（原厂商名称）购进［</w:t>
      </w:r>
      <w:r>
        <w:rPr>
          <w:rFonts w:hint="eastAsia" w:ascii="宋体" w:hAnsi="宋体"/>
          <w:b/>
          <w:bCs/>
          <w:color w:val="auto"/>
          <w:szCs w:val="21"/>
          <w:highlight w:val="none"/>
        </w:rPr>
        <w:t>或</w:t>
      </w:r>
      <w:r>
        <w:rPr>
          <w:rFonts w:hint="eastAsia" w:ascii="宋体" w:hAnsi="宋体"/>
          <w:color w:val="auto"/>
          <w:szCs w:val="21"/>
          <w:highlight w:val="none"/>
        </w:rPr>
        <w:t>需在中标后向</w:t>
      </w:r>
      <w:r>
        <w:rPr>
          <w:rFonts w:hint="eastAsia" w:ascii="宋体" w:hAnsi="宋体"/>
          <w:color w:val="auto"/>
          <w:szCs w:val="21"/>
          <w:highlight w:val="none"/>
          <w:u w:val="single"/>
        </w:rPr>
        <w:t xml:space="preserve">               </w:t>
      </w:r>
      <w:r>
        <w:rPr>
          <w:rFonts w:hint="eastAsia" w:ascii="宋体" w:hAnsi="宋体"/>
          <w:color w:val="auto"/>
          <w:szCs w:val="21"/>
          <w:highlight w:val="none"/>
        </w:rPr>
        <w:t>订购］。</w:t>
      </w:r>
    </w:p>
    <w:p>
      <w:pPr>
        <w:snapToGrid w:val="0"/>
        <w:spacing w:before="156" w:beforeLines="50" w:line="3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4.我方诚意提请贵方关注：近期有关该型号产品的生产、供货、售后服务以及性能等方面的重大决策和事项有：</w:t>
      </w:r>
    </w:p>
    <w:p>
      <w:pPr>
        <w:snapToGrid w:val="0"/>
        <w:spacing w:before="156" w:beforeLines="50" w:line="340" w:lineRule="exact"/>
        <w:ind w:firstLine="420" w:firstLineChars="200"/>
        <w:rPr>
          <w:rFonts w:hint="eastAsia" w:ascii="宋体" w:hAnsi="宋体"/>
          <w:color w:val="auto"/>
          <w:szCs w:val="21"/>
          <w:highlight w:val="none"/>
          <w:u w:val="single"/>
        </w:rPr>
      </w:pPr>
      <w:r>
        <w:rPr>
          <w:rFonts w:hint="eastAsia" w:ascii="宋体" w:hAnsi="宋体"/>
          <w:color w:val="auto"/>
          <w:szCs w:val="21"/>
          <w:highlight w:val="none"/>
          <w:u w:val="single"/>
        </w:rPr>
        <w:t>　　　　　　　　　　　　　　　　　　　　　　　　　　　</w:t>
      </w:r>
    </w:p>
    <w:p>
      <w:pPr>
        <w:snapToGrid w:val="0"/>
        <w:spacing w:before="156" w:beforeLines="50" w:line="340" w:lineRule="exact"/>
        <w:ind w:firstLine="420" w:firstLineChars="200"/>
        <w:rPr>
          <w:rFonts w:hint="eastAsia" w:ascii="宋体" w:hAnsi="宋体"/>
          <w:color w:val="auto"/>
          <w:szCs w:val="21"/>
          <w:highlight w:val="none"/>
        </w:rPr>
      </w:pPr>
      <w:r>
        <w:rPr>
          <w:rFonts w:hint="eastAsia" w:ascii="宋体" w:hAnsi="宋体"/>
          <w:color w:val="auto"/>
          <w:szCs w:val="21"/>
          <w:highlight w:val="none"/>
          <w:u w:val="single"/>
        </w:rPr>
        <w:t>　　　　　　　　　　　　　　　　　　　　　　　　　　　</w:t>
      </w:r>
    </w:p>
    <w:p>
      <w:pPr>
        <w:ind w:firstLine="420" w:firstLineChars="200"/>
        <w:rPr>
          <w:rFonts w:hint="eastAsia" w:ascii="宋体" w:hAnsi="宋体"/>
          <w:color w:val="auto"/>
          <w:szCs w:val="21"/>
          <w:highlight w:val="none"/>
        </w:rPr>
      </w:pPr>
      <w:r>
        <w:rPr>
          <w:rFonts w:hint="eastAsia" w:ascii="宋体" w:hAnsi="宋体"/>
          <w:color w:val="auto"/>
          <w:szCs w:val="21"/>
          <w:highlight w:val="none"/>
        </w:rPr>
        <w:t>5. 我方参加政府采购活动前三年内在经营活动中重大违法记录和不良信用记录情况：</w:t>
      </w:r>
    </w:p>
    <w:p>
      <w:pPr>
        <w:snapToGrid w:val="0"/>
        <w:spacing w:before="156" w:beforeLines="50" w:line="340" w:lineRule="exact"/>
        <w:ind w:firstLine="421" w:firstLineChars="200"/>
        <w:rPr>
          <w:rFonts w:hint="eastAsia" w:ascii="宋体" w:hAnsi="宋体"/>
          <w:color w:val="auto"/>
          <w:szCs w:val="21"/>
          <w:highlight w:val="none"/>
          <w:u w:val="single"/>
        </w:rPr>
      </w:pPr>
      <w:r>
        <w:rPr>
          <w:rFonts w:hint="eastAsia" w:ascii="宋体" w:hAnsi="宋体"/>
          <w:b/>
          <w:color w:val="auto"/>
          <w:szCs w:val="21"/>
          <w:highlight w:val="none"/>
          <w:u w:val="single"/>
        </w:rPr>
        <w:t>　　　　　　</w:t>
      </w:r>
      <w:r>
        <w:rPr>
          <w:rFonts w:hint="eastAsia" w:ascii="宋体" w:hAnsi="宋体"/>
          <w:color w:val="auto"/>
          <w:szCs w:val="21"/>
          <w:highlight w:val="none"/>
          <w:u w:val="single"/>
        </w:rPr>
        <w:t>　　　　　　　　　　　　　　　　　　　　　</w:t>
      </w:r>
    </w:p>
    <w:p>
      <w:pPr>
        <w:snapToGrid w:val="0"/>
        <w:spacing w:before="156" w:beforeLines="50" w:line="3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6.以上事项如有虚假或隐瞒，我方愿意承担一切后果。</w:t>
      </w:r>
    </w:p>
    <w:p>
      <w:pPr>
        <w:snapToGrid w:val="0"/>
        <w:spacing w:before="156" w:beforeLines="50" w:line="340" w:lineRule="exact"/>
        <w:ind w:firstLine="3509" w:firstLineChars="1671"/>
        <w:rPr>
          <w:rFonts w:hint="eastAsia" w:ascii="宋体" w:hAnsi="宋体"/>
          <w:color w:val="auto"/>
          <w:szCs w:val="21"/>
          <w:highlight w:val="none"/>
          <w:u w:val="single"/>
        </w:rPr>
      </w:pPr>
      <w:r>
        <w:rPr>
          <w:rFonts w:hint="eastAsia" w:ascii="宋体" w:hAnsi="宋体"/>
          <w:color w:val="auto"/>
          <w:szCs w:val="21"/>
          <w:highlight w:val="none"/>
        </w:rPr>
        <w:t>法定代表人</w:t>
      </w:r>
      <w:r>
        <w:rPr>
          <w:rFonts w:hint="eastAsia" w:ascii="宋体" w:hAnsi="宋体"/>
          <w:color w:val="auto"/>
          <w:szCs w:val="21"/>
          <w:highlight w:val="none"/>
          <w:lang w:eastAsia="zh-CN"/>
        </w:rPr>
        <w:t>签字或签章</w:t>
      </w:r>
      <w:r>
        <w:rPr>
          <w:rFonts w:hint="eastAsia" w:ascii="宋体" w:hAnsi="宋体"/>
          <w:color w:val="auto"/>
          <w:szCs w:val="21"/>
          <w:highlight w:val="none"/>
        </w:rPr>
        <w:t>：</w:t>
      </w:r>
      <w:r>
        <w:rPr>
          <w:rFonts w:hint="eastAsia" w:ascii="宋体" w:hAnsi="宋体"/>
          <w:color w:val="auto"/>
          <w:szCs w:val="21"/>
          <w:highlight w:val="none"/>
          <w:u w:val="single"/>
        </w:rPr>
        <w:t xml:space="preserve">             </w:t>
      </w:r>
    </w:p>
    <w:p>
      <w:pPr>
        <w:snapToGrid w:val="0"/>
        <w:spacing w:before="156" w:beforeLines="50" w:after="50" w:line="340" w:lineRule="exact"/>
        <w:ind w:firstLine="3570" w:firstLineChars="1700"/>
        <w:rPr>
          <w:rFonts w:hint="eastAsia" w:ascii="宋体" w:hAnsi="宋体"/>
          <w:color w:val="auto"/>
          <w:szCs w:val="21"/>
          <w:highlight w:val="none"/>
        </w:rPr>
      </w:pPr>
      <w:r>
        <w:rPr>
          <w:rFonts w:hint="eastAsia" w:ascii="宋体" w:hAnsi="宋体"/>
          <w:color w:val="auto"/>
          <w:szCs w:val="21"/>
          <w:highlight w:val="none"/>
        </w:rPr>
        <w:t>投标人公章：</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pPr>
        <w:snapToGrid w:val="0"/>
        <w:spacing w:before="156" w:beforeLines="50" w:after="50" w:line="340" w:lineRule="exact"/>
        <w:ind w:firstLine="210" w:firstLineChars="100"/>
        <w:rPr>
          <w:rFonts w:hint="eastAsia" w:ascii="宋体" w:hAnsi="宋体"/>
          <w:color w:val="auto"/>
          <w:szCs w:val="21"/>
          <w:highlight w:val="none"/>
        </w:rPr>
      </w:pPr>
      <w:r>
        <w:rPr>
          <w:rFonts w:hint="eastAsia" w:ascii="宋体" w:hAnsi="宋体"/>
          <w:color w:val="auto"/>
          <w:szCs w:val="21"/>
          <w:highlight w:val="none"/>
        </w:rPr>
        <w:t xml:space="preserve">                                          年    月    日</w:t>
      </w:r>
    </w:p>
    <w:p>
      <w:pPr>
        <w:widowControl/>
        <w:spacing w:before="100" w:beforeAutospacing="1" w:after="100" w:afterAutospacing="1" w:line="432" w:lineRule="auto"/>
        <w:jc w:val="left"/>
        <w:rPr>
          <w:rFonts w:hint="eastAsia" w:ascii="宋体" w:hAnsi="宋体"/>
          <w:b/>
          <w:color w:val="auto"/>
          <w:szCs w:val="21"/>
          <w:highlight w:val="none"/>
          <w:u w:val="single"/>
        </w:rPr>
      </w:pPr>
      <w:r>
        <w:rPr>
          <w:rFonts w:hint="eastAsia" w:ascii="宋体" w:hAnsi="宋体"/>
          <w:b/>
          <w:color w:val="auto"/>
          <w:szCs w:val="21"/>
          <w:highlight w:val="none"/>
          <w:u w:val="single"/>
        </w:rPr>
        <w:t>重大违法记录，是指供应商因违法经营受到刑事处罚或者责令停产停业、吊销许可证或者执照、较大数额罚款等行政处罚。</w:t>
      </w:r>
    </w:p>
    <w:p>
      <w:pPr>
        <w:snapToGrid w:val="0"/>
        <w:spacing w:before="50" w:after="156" w:afterLines="50" w:line="340" w:lineRule="exact"/>
        <w:jc w:val="left"/>
        <w:rPr>
          <w:rFonts w:hint="eastAsia" w:ascii="宋体" w:hAnsi="宋体"/>
          <w:b/>
          <w:color w:val="auto"/>
          <w:szCs w:val="21"/>
          <w:highlight w:val="none"/>
        </w:rPr>
      </w:pPr>
    </w:p>
    <w:p>
      <w:pPr>
        <w:snapToGrid w:val="0"/>
        <w:spacing w:before="50" w:after="156" w:afterLines="50" w:line="340" w:lineRule="exact"/>
        <w:jc w:val="left"/>
        <w:rPr>
          <w:rFonts w:hint="eastAsia" w:ascii="宋体" w:hAnsi="宋体"/>
          <w:b/>
          <w:color w:val="auto"/>
          <w:szCs w:val="21"/>
          <w:highlight w:val="none"/>
        </w:rPr>
      </w:pPr>
    </w:p>
    <w:p>
      <w:pPr>
        <w:snapToGrid w:val="0"/>
        <w:spacing w:before="50" w:after="156" w:afterLines="50" w:line="340" w:lineRule="exact"/>
        <w:jc w:val="left"/>
        <w:rPr>
          <w:rFonts w:hint="eastAsia" w:ascii="宋体" w:hAnsi="宋体"/>
          <w:b/>
          <w:color w:val="auto"/>
          <w:szCs w:val="21"/>
          <w:highlight w:val="none"/>
        </w:rPr>
      </w:pPr>
      <w:r>
        <w:rPr>
          <w:rFonts w:hint="eastAsia" w:ascii="宋体" w:hAnsi="宋体"/>
          <w:b/>
          <w:color w:val="auto"/>
          <w:szCs w:val="21"/>
          <w:highlight w:val="none"/>
        </w:rPr>
        <w:t>（3）法定代表人授权委托书格式：</w:t>
      </w:r>
    </w:p>
    <w:p>
      <w:pPr>
        <w:snapToGrid w:val="0"/>
        <w:spacing w:before="156" w:beforeLines="50" w:after="50" w:line="340" w:lineRule="exact"/>
        <w:jc w:val="center"/>
        <w:rPr>
          <w:rFonts w:hint="eastAsia" w:ascii="仿宋_GB2312" w:hAnsi="宋体" w:eastAsia="仿宋_GB2312"/>
          <w:b/>
          <w:color w:val="auto"/>
          <w:sz w:val="30"/>
          <w:szCs w:val="30"/>
          <w:highlight w:val="none"/>
        </w:rPr>
      </w:pPr>
    </w:p>
    <w:p>
      <w:pPr>
        <w:snapToGrid w:val="0"/>
        <w:spacing w:before="156" w:beforeLines="50" w:after="50" w:line="340" w:lineRule="exact"/>
        <w:jc w:val="center"/>
        <w:rPr>
          <w:rFonts w:hint="eastAsia" w:ascii="仿宋_GB2312" w:hAnsi="宋体" w:eastAsia="仿宋_GB2312"/>
          <w:b/>
          <w:color w:val="auto"/>
          <w:sz w:val="30"/>
          <w:szCs w:val="30"/>
          <w:highlight w:val="none"/>
        </w:rPr>
      </w:pPr>
      <w:r>
        <w:rPr>
          <w:rFonts w:hint="eastAsia" w:ascii="仿宋_GB2312" w:hAnsi="宋体" w:eastAsia="仿宋_GB2312"/>
          <w:b/>
          <w:color w:val="auto"/>
          <w:sz w:val="30"/>
          <w:szCs w:val="30"/>
          <w:highlight w:val="none"/>
        </w:rPr>
        <w:t>法定代表人授权委托书</w:t>
      </w:r>
    </w:p>
    <w:p>
      <w:pPr>
        <w:snapToGrid w:val="0"/>
        <w:spacing w:before="156" w:beforeLines="50" w:after="50" w:line="340" w:lineRule="exact"/>
        <w:rPr>
          <w:rFonts w:hint="eastAsia" w:ascii="宋体" w:hAnsi="宋体"/>
          <w:b/>
          <w:bCs/>
          <w:color w:val="auto"/>
          <w:szCs w:val="21"/>
          <w:highlight w:val="none"/>
        </w:rPr>
      </w:pPr>
      <w:r>
        <w:rPr>
          <w:rFonts w:hint="eastAsia" w:ascii="宋体" w:hAnsi="宋体"/>
          <w:bCs/>
          <w:color w:val="auto"/>
          <w:szCs w:val="21"/>
          <w:highlight w:val="none"/>
        </w:rPr>
        <w:t>致：</w:t>
      </w:r>
      <w:r>
        <w:rPr>
          <w:rFonts w:hint="eastAsia" w:ascii="宋体" w:hAnsi="宋体"/>
          <w:color w:val="auto"/>
          <w:szCs w:val="21"/>
          <w:highlight w:val="none"/>
        </w:rPr>
        <w:t>_</w:t>
      </w:r>
      <w:r>
        <w:rPr>
          <w:rFonts w:hint="eastAsia"/>
          <w:color w:val="auto"/>
          <w:highlight w:val="none"/>
          <w:u w:val="single"/>
        </w:rPr>
        <w:t>广西壮族自治区政府采购中心</w:t>
      </w:r>
      <w:r>
        <w:rPr>
          <w:rFonts w:hint="eastAsia" w:ascii="宋体" w:hAnsi="宋体"/>
          <w:color w:val="auto"/>
          <w:szCs w:val="21"/>
          <w:highlight w:val="none"/>
        </w:rPr>
        <w:t>：</w:t>
      </w:r>
    </w:p>
    <w:p>
      <w:pPr>
        <w:snapToGrid w:val="0"/>
        <w:spacing w:before="156" w:beforeLines="50" w:after="50" w:line="340" w:lineRule="exact"/>
        <w:ind w:firstLine="630" w:firstLineChars="300"/>
        <w:rPr>
          <w:rFonts w:hint="eastAsia" w:ascii="宋体" w:hAnsi="宋体"/>
          <w:color w:val="auto"/>
          <w:szCs w:val="21"/>
          <w:highlight w:val="none"/>
        </w:rPr>
      </w:pPr>
      <w:r>
        <w:rPr>
          <w:rFonts w:hint="eastAsia" w:ascii="宋体" w:hAnsi="宋体"/>
          <w:color w:val="auto"/>
          <w:szCs w:val="21"/>
          <w:highlight w:val="none"/>
        </w:rPr>
        <w:t>我______</w:t>
      </w:r>
      <w:r>
        <w:rPr>
          <w:rFonts w:hint="eastAsia" w:ascii="宋体" w:hAnsi="宋体"/>
          <w:color w:val="auto"/>
          <w:szCs w:val="21"/>
          <w:highlight w:val="none"/>
          <w:u w:val="single"/>
        </w:rPr>
        <w:t>_     _</w:t>
      </w:r>
      <w:r>
        <w:rPr>
          <w:rFonts w:hint="eastAsia" w:ascii="宋体" w:hAnsi="宋体"/>
          <w:color w:val="auto"/>
          <w:szCs w:val="21"/>
          <w:highlight w:val="none"/>
        </w:rPr>
        <w:t>_（姓名）系______</w:t>
      </w:r>
      <w:r>
        <w:rPr>
          <w:rFonts w:hint="eastAsia" w:ascii="宋体" w:hAnsi="宋体"/>
          <w:color w:val="auto"/>
          <w:szCs w:val="21"/>
          <w:highlight w:val="none"/>
          <w:u w:val="single"/>
        </w:rPr>
        <w:t>_     _</w:t>
      </w:r>
      <w:r>
        <w:rPr>
          <w:rFonts w:hint="eastAsia" w:ascii="宋体" w:hAnsi="宋体"/>
          <w:color w:val="auto"/>
          <w:szCs w:val="21"/>
          <w:highlight w:val="none"/>
        </w:rPr>
        <w:t xml:space="preserve">_（投标人名称）的法定代表人，现授权委托本单位在职职工 </w:t>
      </w:r>
      <w:r>
        <w:rPr>
          <w:rFonts w:hint="eastAsia" w:ascii="宋体" w:hAnsi="宋体"/>
          <w:color w:val="auto"/>
          <w:szCs w:val="21"/>
          <w:highlight w:val="none"/>
          <w:u w:val="single"/>
        </w:rPr>
        <w:t xml:space="preserve">              </w:t>
      </w:r>
      <w:r>
        <w:rPr>
          <w:rFonts w:hint="eastAsia" w:ascii="宋体" w:hAnsi="宋体"/>
          <w:color w:val="auto"/>
          <w:szCs w:val="21"/>
          <w:highlight w:val="none"/>
        </w:rPr>
        <w:t>（姓名）以我方的名义参加</w:t>
      </w:r>
      <w:r>
        <w:rPr>
          <w:rFonts w:hint="eastAsia" w:ascii="宋体" w:hAnsi="宋体"/>
          <w:color w:val="auto"/>
          <w:szCs w:val="21"/>
          <w:highlight w:val="none"/>
          <w:u w:val="single"/>
        </w:rPr>
        <w:t xml:space="preserve">             </w:t>
      </w:r>
      <w:r>
        <w:rPr>
          <w:rFonts w:hint="eastAsia" w:ascii="宋体" w:hAnsi="宋体"/>
          <w:color w:val="auto"/>
          <w:szCs w:val="21"/>
          <w:highlight w:val="none"/>
        </w:rPr>
        <w:t>项目的投标活动，并代表我方全权办理针对上述项目的投标、开标、评标、签约等具体事务和签署相关文件。</w:t>
      </w:r>
    </w:p>
    <w:p>
      <w:pPr>
        <w:snapToGrid w:val="0"/>
        <w:spacing w:before="156" w:beforeLines="50" w:after="50" w:line="340" w:lineRule="exact"/>
        <w:rPr>
          <w:rFonts w:hint="eastAsia" w:ascii="宋体" w:hAnsi="宋体"/>
          <w:color w:val="auto"/>
          <w:szCs w:val="21"/>
          <w:highlight w:val="none"/>
        </w:rPr>
      </w:pPr>
      <w:r>
        <w:rPr>
          <w:rFonts w:hint="eastAsia" w:ascii="宋体" w:hAnsi="宋体"/>
          <w:color w:val="auto"/>
          <w:szCs w:val="21"/>
          <w:highlight w:val="none"/>
        </w:rPr>
        <w:t xml:space="preserve">    我方对被授权人的签字事项负全部责任。</w:t>
      </w:r>
    </w:p>
    <w:p>
      <w:pPr>
        <w:snapToGrid w:val="0"/>
        <w:spacing w:before="156" w:beforeLines="50" w:after="50" w:line="340" w:lineRule="exact"/>
        <w:ind w:firstLine="480"/>
        <w:rPr>
          <w:rFonts w:hint="eastAsia" w:ascii="宋体" w:hAnsi="宋体"/>
          <w:color w:val="auto"/>
          <w:szCs w:val="21"/>
          <w:highlight w:val="none"/>
        </w:rPr>
      </w:pPr>
      <w:r>
        <w:rPr>
          <w:rFonts w:hint="eastAsia" w:ascii="宋体" w:hAnsi="宋体"/>
          <w:color w:val="auto"/>
          <w:szCs w:val="21"/>
          <w:highlight w:val="none"/>
          <w:u w:val="single"/>
        </w:rPr>
        <w:t>在撤销授权的书面通知以前，本授权书一直有效。</w:t>
      </w:r>
      <w:r>
        <w:rPr>
          <w:rFonts w:hint="eastAsia" w:ascii="宋体" w:hAnsi="宋体"/>
          <w:color w:val="auto"/>
          <w:szCs w:val="21"/>
          <w:highlight w:val="none"/>
        </w:rPr>
        <w:t>被授权人在授权书有效期内签署的所有文件不因授权的撤销而失效。</w:t>
      </w:r>
    </w:p>
    <w:p>
      <w:pPr>
        <w:snapToGrid w:val="0"/>
        <w:spacing w:before="156" w:beforeLines="50" w:after="50" w:line="340" w:lineRule="exact"/>
        <w:ind w:firstLine="480"/>
        <w:rPr>
          <w:rFonts w:hint="eastAsia" w:ascii="宋体" w:hAnsi="宋体"/>
          <w:color w:val="auto"/>
          <w:szCs w:val="21"/>
          <w:highlight w:val="none"/>
        </w:rPr>
      </w:pPr>
      <w:r>
        <w:rPr>
          <w:rFonts w:hint="eastAsia" w:ascii="宋体" w:hAnsi="宋体"/>
          <w:color w:val="auto"/>
          <w:szCs w:val="21"/>
          <w:highlight w:val="none"/>
        </w:rPr>
        <w:t>被授权人无转委托权，特此委托。</w:t>
      </w:r>
    </w:p>
    <w:p>
      <w:pPr>
        <w:snapToGrid w:val="0"/>
        <w:spacing w:before="156" w:beforeLines="50" w:after="50" w:line="340" w:lineRule="exact"/>
        <w:rPr>
          <w:rFonts w:hint="eastAsia" w:ascii="宋体" w:hAnsi="宋体"/>
          <w:color w:val="auto"/>
          <w:szCs w:val="21"/>
          <w:highlight w:val="none"/>
          <w:u w:val="single"/>
        </w:rPr>
      </w:pPr>
      <w:r>
        <w:rPr>
          <w:rFonts w:hint="eastAsia" w:ascii="宋体" w:hAnsi="宋体"/>
          <w:color w:val="auto"/>
          <w:szCs w:val="21"/>
          <w:highlight w:val="none"/>
        </w:rPr>
        <w:t>被授权人</w:t>
      </w:r>
      <w:r>
        <w:rPr>
          <w:rFonts w:hint="eastAsia" w:ascii="宋体" w:hAnsi="宋体"/>
          <w:color w:val="auto"/>
          <w:szCs w:val="21"/>
          <w:highlight w:val="none"/>
          <w:lang w:eastAsia="zh-CN"/>
        </w:rPr>
        <w:t>签字或签章</w:t>
      </w:r>
      <w:r>
        <w:rPr>
          <w:rFonts w:hint="eastAsia" w:ascii="宋体" w:hAnsi="宋体"/>
          <w:color w:val="auto"/>
          <w:szCs w:val="21"/>
          <w:highlight w:val="none"/>
        </w:rPr>
        <w:t>：</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法定代表人</w:t>
      </w:r>
      <w:r>
        <w:rPr>
          <w:rFonts w:hint="eastAsia" w:ascii="宋体" w:hAnsi="宋体"/>
          <w:color w:val="auto"/>
          <w:szCs w:val="21"/>
          <w:highlight w:val="none"/>
          <w:lang w:eastAsia="zh-CN"/>
        </w:rPr>
        <w:t>签字或签章</w:t>
      </w:r>
      <w:r>
        <w:rPr>
          <w:rFonts w:hint="eastAsia" w:ascii="宋体" w:hAnsi="宋体"/>
          <w:color w:val="auto"/>
          <w:szCs w:val="21"/>
          <w:highlight w:val="none"/>
        </w:rPr>
        <w:t>：</w:t>
      </w:r>
      <w:r>
        <w:rPr>
          <w:rFonts w:hint="eastAsia" w:ascii="宋体" w:hAnsi="宋体"/>
          <w:color w:val="auto"/>
          <w:szCs w:val="21"/>
          <w:highlight w:val="none"/>
          <w:u w:val="single"/>
        </w:rPr>
        <w:t xml:space="preserve">            </w:t>
      </w:r>
    </w:p>
    <w:p>
      <w:pPr>
        <w:snapToGrid w:val="0"/>
        <w:spacing w:before="156" w:beforeLines="50" w:after="50" w:line="340" w:lineRule="exact"/>
        <w:rPr>
          <w:rFonts w:hint="eastAsia" w:ascii="宋体" w:hAnsi="宋体"/>
          <w:color w:val="auto"/>
          <w:szCs w:val="21"/>
          <w:highlight w:val="none"/>
        </w:rPr>
      </w:pPr>
      <w:r>
        <w:rPr>
          <w:rFonts w:hint="eastAsia" w:ascii="宋体" w:hAnsi="宋体"/>
          <w:color w:val="auto"/>
          <w:szCs w:val="21"/>
          <w:highlight w:val="none"/>
        </w:rPr>
        <w:t>所在部门职务：</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职务：</w:t>
      </w:r>
      <w:r>
        <w:rPr>
          <w:rFonts w:hint="eastAsia" w:ascii="宋体" w:hAnsi="宋体"/>
          <w:color w:val="auto"/>
          <w:szCs w:val="21"/>
          <w:highlight w:val="none"/>
          <w:u w:val="single"/>
        </w:rPr>
        <w:t xml:space="preserve">           </w:t>
      </w:r>
    </w:p>
    <w:p>
      <w:pPr>
        <w:snapToGrid w:val="0"/>
        <w:spacing w:before="156" w:beforeLines="50" w:after="50" w:line="340" w:lineRule="exact"/>
        <w:rPr>
          <w:rFonts w:hint="eastAsia" w:ascii="宋体" w:hAnsi="宋体"/>
          <w:color w:val="auto"/>
          <w:szCs w:val="21"/>
          <w:highlight w:val="none"/>
        </w:rPr>
      </w:pPr>
      <w:r>
        <w:rPr>
          <w:rFonts w:hint="eastAsia" w:ascii="宋体" w:hAnsi="宋体"/>
          <w:color w:val="auto"/>
          <w:szCs w:val="21"/>
          <w:highlight w:val="none"/>
        </w:rPr>
        <w:t>被授权人身份证号码：</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pPr>
        <w:snapToGrid w:val="0"/>
        <w:spacing w:before="156" w:beforeLines="50" w:after="50" w:line="340" w:lineRule="exact"/>
        <w:rPr>
          <w:rFonts w:hint="eastAsia" w:ascii="宋体" w:hAnsi="宋体"/>
          <w:color w:val="auto"/>
          <w:szCs w:val="21"/>
          <w:highlight w:val="none"/>
        </w:rPr>
      </w:pPr>
      <w:r>
        <w:rPr>
          <w:rFonts w:hint="eastAsia" w:ascii="宋体" w:hAnsi="宋体"/>
          <w:color w:val="auto"/>
          <w:szCs w:val="21"/>
          <w:highlight w:val="none"/>
        </w:rPr>
        <w:t>贴附“委托代理人身份证扫描件或其他电子文件”（正反两面）</w:t>
      </w:r>
    </w:p>
    <w:p>
      <w:pPr>
        <w:snapToGrid w:val="0"/>
        <w:spacing w:before="156" w:beforeLines="50" w:after="50" w:line="340" w:lineRule="exact"/>
        <w:ind w:firstLine="4620" w:firstLineChars="2200"/>
        <w:rPr>
          <w:rFonts w:hint="eastAsia" w:ascii="宋体" w:hAnsi="宋体"/>
          <w:color w:val="auto"/>
          <w:szCs w:val="21"/>
          <w:highlight w:val="none"/>
        </w:rPr>
      </w:pPr>
      <w:r>
        <w:rPr>
          <w:rFonts w:hint="eastAsia" w:ascii="宋体" w:hAnsi="宋体"/>
          <w:color w:val="auto"/>
          <w:szCs w:val="21"/>
          <w:highlight w:val="none"/>
        </w:rPr>
        <w:t xml:space="preserve">  投标人公章：</w:t>
      </w:r>
    </w:p>
    <w:p>
      <w:pPr>
        <w:snapToGrid w:val="0"/>
        <w:spacing w:before="156" w:beforeLines="50" w:after="50" w:line="340" w:lineRule="exact"/>
        <w:jc w:val="center"/>
        <w:rPr>
          <w:rFonts w:hint="eastAsia" w:ascii="宋体" w:hAnsi="宋体"/>
          <w:color w:val="auto"/>
          <w:szCs w:val="21"/>
          <w:highlight w:val="none"/>
        </w:rPr>
      </w:pPr>
      <w:r>
        <w:rPr>
          <w:rFonts w:hint="eastAsia" w:ascii="宋体" w:hAnsi="宋体"/>
          <w:color w:val="auto"/>
          <w:szCs w:val="21"/>
          <w:highlight w:val="none"/>
        </w:rPr>
        <w:t xml:space="preserve">                                        年    月    日</w:t>
      </w:r>
    </w:p>
    <w:p>
      <w:pPr>
        <w:snapToGrid w:val="0"/>
        <w:spacing w:line="360" w:lineRule="exact"/>
        <w:jc w:val="left"/>
        <w:rPr>
          <w:rFonts w:hint="eastAsia" w:ascii="宋体" w:hAnsi="宋体"/>
          <w:b/>
          <w:color w:val="auto"/>
          <w:szCs w:val="21"/>
          <w:highlight w:val="none"/>
        </w:rPr>
      </w:pPr>
    </w:p>
    <w:p>
      <w:pPr>
        <w:snapToGrid w:val="0"/>
        <w:spacing w:before="50" w:after="156" w:afterLines="50" w:line="360" w:lineRule="exact"/>
        <w:jc w:val="left"/>
        <w:rPr>
          <w:rFonts w:ascii="宋体" w:hAnsi="宋体"/>
          <w:b/>
          <w:color w:val="auto"/>
          <w:szCs w:val="21"/>
          <w:highlight w:val="none"/>
        </w:rPr>
      </w:pPr>
      <w:r>
        <w:rPr>
          <w:rFonts w:hint="eastAsia" w:ascii="宋体" w:hAnsi="宋体"/>
          <w:b/>
          <w:color w:val="auto"/>
          <w:szCs w:val="21"/>
          <w:highlight w:val="none"/>
        </w:rPr>
        <w:t>（4）投标截止之日前半年内投标人连续三个月的依法缴纳税费或依法免缴税费的证明（扫描件或其他电子文件，原件备查，格式自拟）（</w:t>
      </w:r>
      <w:r>
        <w:rPr>
          <w:rFonts w:hint="eastAsia" w:ascii="宋体" w:hAnsi="宋体"/>
          <w:b/>
          <w:color w:val="auto"/>
          <w:szCs w:val="21"/>
          <w:highlight w:val="none"/>
          <w:u w:val="single"/>
        </w:rPr>
        <w:t>必须提供</w:t>
      </w:r>
      <w:r>
        <w:rPr>
          <w:rFonts w:hint="eastAsia" w:ascii="宋体" w:hAnsi="宋体"/>
          <w:b/>
          <w:color w:val="auto"/>
          <w:szCs w:val="21"/>
          <w:highlight w:val="none"/>
        </w:rPr>
        <w:t>）；</w:t>
      </w:r>
      <w:r>
        <w:rPr>
          <w:rFonts w:hint="eastAsia" w:ascii="宋体" w:hAnsi="宋体"/>
          <w:color w:val="auto"/>
          <w:szCs w:val="21"/>
          <w:highlight w:val="none"/>
        </w:rPr>
        <w:t>无纳税记录的，应提供由投标人所在地主管国税或地税部门出具的《依法纳税或依法免税证明》（格式自拟，扫描件或其他电子文件，原件备查）。</w:t>
      </w:r>
    </w:p>
    <w:p>
      <w:pPr>
        <w:snapToGrid w:val="0"/>
        <w:spacing w:before="50" w:after="156" w:afterLines="50" w:line="360" w:lineRule="exact"/>
        <w:jc w:val="left"/>
        <w:rPr>
          <w:rFonts w:hint="eastAsia" w:ascii="宋体" w:hAnsi="宋体"/>
          <w:color w:val="auto"/>
          <w:szCs w:val="21"/>
          <w:highlight w:val="none"/>
        </w:rPr>
      </w:pPr>
      <w:r>
        <w:rPr>
          <w:rFonts w:hint="eastAsia" w:ascii="宋体" w:hAnsi="宋体"/>
          <w:b/>
          <w:color w:val="auto"/>
          <w:szCs w:val="21"/>
          <w:highlight w:val="none"/>
        </w:rPr>
        <w:t>（5）投标截止之日前半年内投标人连续三个月的依法缴纳社保费的缴费凭证</w:t>
      </w:r>
      <w:r>
        <w:rPr>
          <w:rFonts w:hint="eastAsia" w:ascii="宋体" w:hAnsi="宋体"/>
          <w:color w:val="auto"/>
          <w:szCs w:val="21"/>
          <w:highlight w:val="none"/>
        </w:rPr>
        <w:t>（</w:t>
      </w:r>
      <w:r>
        <w:rPr>
          <w:rFonts w:hint="eastAsia" w:ascii="宋体" w:hAnsi="宋体"/>
          <w:b/>
          <w:color w:val="auto"/>
          <w:szCs w:val="21"/>
          <w:highlight w:val="none"/>
        </w:rPr>
        <w:t>扫描件或其他电子文件，原件备查，格式自拟）（</w:t>
      </w:r>
      <w:r>
        <w:rPr>
          <w:rFonts w:hint="eastAsia" w:ascii="宋体" w:hAnsi="宋体"/>
          <w:b/>
          <w:color w:val="auto"/>
          <w:szCs w:val="21"/>
          <w:highlight w:val="none"/>
          <w:u w:val="single"/>
        </w:rPr>
        <w:t>必须提供</w:t>
      </w:r>
      <w:r>
        <w:rPr>
          <w:rFonts w:hint="eastAsia" w:ascii="宋体" w:hAnsi="宋体"/>
          <w:b/>
          <w:color w:val="auto"/>
          <w:szCs w:val="21"/>
          <w:highlight w:val="none"/>
        </w:rPr>
        <w:t>）；</w:t>
      </w:r>
      <w:r>
        <w:rPr>
          <w:rFonts w:hint="eastAsia" w:ascii="宋体" w:hAnsi="宋体"/>
          <w:color w:val="auto"/>
          <w:szCs w:val="21"/>
          <w:highlight w:val="none"/>
        </w:rPr>
        <w:t>无缴费记录的，应提供由投标人所在地社保部门出具的《依法缴纳或依法免缴社保费证明》（格式自拟，扫描件或其他电子文件，原件备查）。</w:t>
      </w:r>
    </w:p>
    <w:p>
      <w:pPr>
        <w:snapToGrid w:val="0"/>
        <w:spacing w:before="50" w:after="156" w:afterLines="50" w:line="360" w:lineRule="exact"/>
        <w:jc w:val="left"/>
        <w:rPr>
          <w:rFonts w:hint="eastAsia" w:ascii="宋体" w:hAnsi="宋体"/>
          <w:b/>
          <w:color w:val="auto"/>
          <w:szCs w:val="21"/>
          <w:highlight w:val="none"/>
        </w:rPr>
      </w:pPr>
      <w:r>
        <w:rPr>
          <w:rFonts w:hint="eastAsia" w:ascii="宋体" w:hAnsi="宋体"/>
          <w:b/>
          <w:color w:val="auto"/>
          <w:szCs w:val="21"/>
          <w:highlight w:val="none"/>
        </w:rPr>
        <w:t>（6）</w:t>
      </w:r>
      <w:r>
        <w:rPr>
          <w:rFonts w:ascii="宋体" w:hAnsi="宋体"/>
          <w:b/>
          <w:color w:val="auto"/>
          <w:szCs w:val="21"/>
          <w:highlight w:val="none"/>
        </w:rPr>
        <w:t>财务状况报告</w:t>
      </w:r>
      <w:r>
        <w:rPr>
          <w:rFonts w:hint="eastAsia" w:ascii="宋体" w:hAnsi="宋体"/>
          <w:b/>
          <w:color w:val="auto"/>
          <w:szCs w:val="21"/>
          <w:highlight w:val="none"/>
        </w:rPr>
        <w:t>；（</w:t>
      </w:r>
      <w:r>
        <w:rPr>
          <w:rFonts w:hint="eastAsia" w:ascii="宋体" w:hAnsi="宋体"/>
          <w:b/>
          <w:color w:val="auto"/>
          <w:szCs w:val="21"/>
          <w:highlight w:val="none"/>
          <w:u w:val="single"/>
        </w:rPr>
        <w:t>格式自拟，必须提供</w:t>
      </w:r>
      <w:r>
        <w:rPr>
          <w:rFonts w:hint="eastAsia" w:ascii="宋体" w:hAnsi="宋体"/>
          <w:b/>
          <w:color w:val="auto"/>
          <w:szCs w:val="21"/>
          <w:highlight w:val="none"/>
        </w:rPr>
        <w:t>）</w:t>
      </w:r>
    </w:p>
    <w:p>
      <w:pPr>
        <w:snapToGrid w:val="0"/>
        <w:spacing w:before="50" w:after="156" w:afterLines="50" w:line="360" w:lineRule="exact"/>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（7）</w:t>
      </w:r>
      <w:r>
        <w:rPr>
          <w:rFonts w:ascii="宋体" w:hAnsi="宋体"/>
          <w:b/>
          <w:color w:val="auto"/>
          <w:szCs w:val="21"/>
          <w:highlight w:val="none"/>
        </w:rPr>
        <w:t>具备履行合同所必需的设备和专业技术能力的证明材料</w:t>
      </w:r>
      <w:r>
        <w:rPr>
          <w:rFonts w:hint="eastAsia" w:ascii="宋体" w:hAnsi="宋体" w:cs="宋体"/>
          <w:b/>
          <w:color w:val="auto"/>
          <w:kern w:val="0"/>
          <w:szCs w:val="21"/>
          <w:highlight w:val="none"/>
        </w:rPr>
        <w:t>；</w:t>
      </w:r>
      <w:r>
        <w:rPr>
          <w:rFonts w:hint="eastAsia" w:ascii="宋体" w:hAnsi="宋体"/>
          <w:b/>
          <w:color w:val="auto"/>
          <w:szCs w:val="21"/>
          <w:highlight w:val="none"/>
        </w:rPr>
        <w:t>（</w:t>
      </w:r>
      <w:r>
        <w:rPr>
          <w:rFonts w:hint="eastAsia" w:ascii="宋体" w:hAnsi="宋体"/>
          <w:b/>
          <w:color w:val="auto"/>
          <w:szCs w:val="21"/>
          <w:highlight w:val="none"/>
          <w:u w:val="single"/>
        </w:rPr>
        <w:t>内容、格式自拟，必须提供</w:t>
      </w:r>
      <w:r>
        <w:rPr>
          <w:rFonts w:hint="eastAsia" w:ascii="宋体" w:hAnsi="宋体"/>
          <w:b/>
          <w:color w:val="auto"/>
          <w:szCs w:val="21"/>
          <w:highlight w:val="none"/>
        </w:rPr>
        <w:t>）</w:t>
      </w:r>
    </w:p>
    <w:p>
      <w:pPr>
        <w:snapToGrid w:val="0"/>
        <w:spacing w:before="50" w:after="156" w:afterLines="50" w:line="360" w:lineRule="exact"/>
        <w:jc w:val="left"/>
        <w:rPr>
          <w:rFonts w:hint="eastAsia" w:ascii="宋体" w:hAnsi="宋体"/>
          <w:color w:val="auto"/>
          <w:szCs w:val="21"/>
          <w:highlight w:val="none"/>
        </w:rPr>
      </w:pPr>
      <w:r>
        <w:rPr>
          <w:rFonts w:hint="eastAsia" w:ascii="宋体" w:hAnsi="宋体"/>
          <w:b/>
          <w:color w:val="auto"/>
          <w:szCs w:val="21"/>
          <w:highlight w:val="none"/>
        </w:rPr>
        <w:t>（8）</w:t>
      </w:r>
      <w:r>
        <w:rPr>
          <w:rFonts w:hint="eastAsia" w:ascii="宋体" w:hAnsi="宋体"/>
          <w:color w:val="auto"/>
          <w:szCs w:val="21"/>
          <w:highlight w:val="none"/>
        </w:rPr>
        <w:t>税务登记证扫描件或其他电子文件（副本）（按要求提供）</w:t>
      </w:r>
    </w:p>
    <w:p>
      <w:pPr>
        <w:snapToGrid w:val="0"/>
        <w:spacing w:before="50" w:after="156" w:afterLines="50" w:line="360" w:lineRule="exact"/>
        <w:jc w:val="left"/>
        <w:rPr>
          <w:rFonts w:hint="eastAsia" w:ascii="宋体" w:hAnsi="宋体"/>
          <w:color w:val="auto"/>
          <w:szCs w:val="21"/>
          <w:highlight w:val="none"/>
        </w:rPr>
      </w:pPr>
      <w:r>
        <w:rPr>
          <w:rFonts w:hint="eastAsia" w:ascii="宋体" w:hAnsi="宋体"/>
          <w:b/>
          <w:color w:val="auto"/>
          <w:szCs w:val="21"/>
          <w:highlight w:val="none"/>
        </w:rPr>
        <w:t>（9）</w:t>
      </w:r>
      <w:r>
        <w:rPr>
          <w:rFonts w:hint="eastAsia" w:ascii="宋体" w:hAnsi="宋体"/>
          <w:color w:val="auto"/>
          <w:szCs w:val="21"/>
          <w:highlight w:val="none"/>
        </w:rPr>
        <w:t>产品销售许可证扫描件或其他电子文件（按要求提供）</w:t>
      </w:r>
    </w:p>
    <w:p>
      <w:pPr>
        <w:snapToGrid w:val="0"/>
        <w:spacing w:before="50" w:after="156" w:afterLines="50" w:line="360" w:lineRule="exact"/>
        <w:jc w:val="left"/>
        <w:rPr>
          <w:rFonts w:hint="eastAsia" w:ascii="宋体" w:hAnsi="宋体"/>
          <w:color w:val="auto"/>
          <w:szCs w:val="21"/>
          <w:highlight w:val="none"/>
        </w:rPr>
      </w:pPr>
      <w:r>
        <w:rPr>
          <w:rFonts w:hint="eastAsia" w:ascii="宋体" w:hAnsi="宋体"/>
          <w:b/>
          <w:color w:val="auto"/>
          <w:szCs w:val="21"/>
          <w:highlight w:val="none"/>
        </w:rPr>
        <w:t>（10）</w:t>
      </w:r>
      <w:r>
        <w:rPr>
          <w:rFonts w:hint="eastAsia" w:ascii="宋体" w:hAnsi="宋体"/>
          <w:color w:val="auto"/>
          <w:szCs w:val="21"/>
          <w:highlight w:val="none"/>
        </w:rPr>
        <w:t>安全生产许可证扫描件或其他电子文件、产品代理资格证明文件扫描件或其他电子文件；（按要求提供）</w:t>
      </w:r>
    </w:p>
    <w:p>
      <w:pPr>
        <w:snapToGrid w:val="0"/>
        <w:spacing w:before="156" w:beforeLines="50" w:after="50" w:line="360" w:lineRule="exact"/>
        <w:jc w:val="center"/>
        <w:outlineLvl w:val="1"/>
        <w:rPr>
          <w:rFonts w:hint="eastAsia" w:ascii="黑体" w:hAnsi="宋体" w:eastAsia="黑体"/>
          <w:bCs/>
          <w:color w:val="auto"/>
          <w:sz w:val="24"/>
          <w:highlight w:val="none"/>
        </w:rPr>
      </w:pPr>
    </w:p>
    <w:p>
      <w:pPr>
        <w:snapToGrid w:val="0"/>
        <w:spacing w:before="50" w:line="360" w:lineRule="exact"/>
        <w:jc w:val="left"/>
        <w:rPr>
          <w:rFonts w:hint="eastAsia" w:ascii="宋体" w:hAnsi="宋体"/>
          <w:b/>
          <w:color w:val="auto"/>
          <w:szCs w:val="21"/>
          <w:highlight w:val="none"/>
        </w:rPr>
      </w:pPr>
    </w:p>
    <w:p>
      <w:pPr>
        <w:snapToGrid w:val="0"/>
        <w:spacing w:before="50" w:line="360" w:lineRule="exact"/>
        <w:jc w:val="left"/>
        <w:rPr>
          <w:rFonts w:hint="eastAsia" w:ascii="宋体" w:hAnsi="宋体"/>
          <w:b/>
          <w:color w:val="auto"/>
          <w:szCs w:val="21"/>
          <w:highlight w:val="none"/>
        </w:rPr>
      </w:pPr>
      <w:r>
        <w:rPr>
          <w:rFonts w:hint="eastAsia" w:ascii="宋体" w:hAnsi="宋体"/>
          <w:b/>
          <w:color w:val="auto"/>
          <w:szCs w:val="21"/>
          <w:highlight w:val="none"/>
        </w:rPr>
        <w:t>（11）商务及其他要求响应表格式：</w:t>
      </w:r>
    </w:p>
    <w:p>
      <w:pPr>
        <w:snapToGrid w:val="0"/>
        <w:spacing w:before="50" w:line="360" w:lineRule="exact"/>
        <w:ind w:firstLine="3786" w:firstLineChars="1796"/>
        <w:jc w:val="left"/>
        <w:rPr>
          <w:rFonts w:hint="eastAsia" w:ascii="宋体" w:hAnsi="宋体"/>
          <w:color w:val="auto"/>
          <w:szCs w:val="21"/>
          <w:highlight w:val="none"/>
          <w:u w:val="single"/>
        </w:rPr>
      </w:pPr>
      <w:r>
        <w:rPr>
          <w:rFonts w:hint="eastAsia" w:ascii="宋体" w:hAnsi="宋体"/>
          <w:b/>
          <w:color w:val="auto"/>
          <w:szCs w:val="21"/>
          <w:highlight w:val="none"/>
        </w:rPr>
        <w:t xml:space="preserve">商务及其他要求响应表 </w:t>
      </w:r>
    </w:p>
    <w:tbl>
      <w:tblPr>
        <w:tblStyle w:val="50"/>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48"/>
        <w:gridCol w:w="2955"/>
        <w:gridCol w:w="2625"/>
        <w:gridCol w:w="234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548"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line="360" w:lineRule="exact"/>
              <w:jc w:val="center"/>
              <w:rPr>
                <w:rFonts w:ascii="宋体" w:hAnsi="宋体"/>
                <w:color w:val="auto"/>
                <w:szCs w:val="21"/>
                <w:highlight w:val="none"/>
              </w:rPr>
            </w:pPr>
            <w:r>
              <w:rPr>
                <w:rFonts w:hint="eastAsia" w:ascii="宋体" w:hAnsi="宋体"/>
                <w:color w:val="auto"/>
                <w:szCs w:val="21"/>
                <w:highlight w:val="none"/>
              </w:rPr>
              <w:t>项号</w:t>
            </w:r>
          </w:p>
        </w:tc>
        <w:tc>
          <w:tcPr>
            <w:tcW w:w="2955"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line="360" w:lineRule="exact"/>
              <w:jc w:val="center"/>
              <w:rPr>
                <w:rFonts w:ascii="宋体" w:hAnsi="宋体"/>
                <w:color w:val="auto"/>
                <w:szCs w:val="21"/>
                <w:highlight w:val="none"/>
              </w:rPr>
            </w:pPr>
            <w:r>
              <w:rPr>
                <w:rFonts w:hint="eastAsia" w:ascii="宋体" w:hAnsi="宋体"/>
                <w:color w:val="auto"/>
                <w:szCs w:val="21"/>
                <w:highlight w:val="none"/>
              </w:rPr>
              <w:t>招标文件要求</w:t>
            </w:r>
          </w:p>
        </w:tc>
        <w:tc>
          <w:tcPr>
            <w:tcW w:w="2625"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line="360" w:lineRule="exact"/>
              <w:jc w:val="center"/>
              <w:rPr>
                <w:rFonts w:ascii="宋体" w:hAnsi="宋体"/>
                <w:color w:val="auto"/>
                <w:szCs w:val="21"/>
                <w:highlight w:val="none"/>
              </w:rPr>
            </w:pPr>
            <w:r>
              <w:rPr>
                <w:rFonts w:hint="eastAsia" w:ascii="宋体" w:hAnsi="宋体"/>
                <w:color w:val="auto"/>
                <w:szCs w:val="21"/>
                <w:highlight w:val="none"/>
              </w:rPr>
              <w:t>是否提供并响应</w:t>
            </w:r>
          </w:p>
        </w:tc>
        <w:tc>
          <w:tcPr>
            <w:tcW w:w="2340"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line="360" w:lineRule="exact"/>
              <w:jc w:val="center"/>
              <w:rPr>
                <w:rFonts w:ascii="宋体" w:hAnsi="宋体"/>
                <w:color w:val="auto"/>
                <w:szCs w:val="21"/>
                <w:highlight w:val="none"/>
              </w:rPr>
            </w:pPr>
            <w:r>
              <w:rPr>
                <w:rFonts w:hint="eastAsia" w:ascii="宋体" w:hAnsi="宋体"/>
                <w:color w:val="auto"/>
                <w:szCs w:val="21"/>
                <w:highlight w:val="none"/>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3" w:hRule="atLeast"/>
        </w:trPr>
        <w:tc>
          <w:tcPr>
            <w:tcW w:w="154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olor w:val="auto"/>
                <w:szCs w:val="21"/>
                <w:highlight w:val="none"/>
              </w:rPr>
            </w:pPr>
            <w:r>
              <w:rPr>
                <w:rFonts w:hint="eastAsia" w:ascii="宋体" w:hAnsi="宋体"/>
                <w:color w:val="auto"/>
                <w:szCs w:val="21"/>
                <w:highlight w:val="none"/>
              </w:rPr>
              <w:t>1</w:t>
            </w:r>
          </w:p>
        </w:tc>
        <w:tc>
          <w:tcPr>
            <w:tcW w:w="295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olor w:val="auto"/>
                <w:szCs w:val="21"/>
                <w:highlight w:val="none"/>
              </w:rPr>
            </w:pPr>
          </w:p>
        </w:tc>
        <w:tc>
          <w:tcPr>
            <w:tcW w:w="2625" w:type="dxa"/>
            <w:tcBorders>
              <w:top w:val="single" w:color="auto" w:sz="4" w:space="0"/>
              <w:left w:val="single" w:color="auto" w:sz="4" w:space="0"/>
              <w:bottom w:val="single" w:color="auto" w:sz="4" w:space="0"/>
              <w:right w:val="single" w:color="auto" w:sz="4" w:space="0"/>
            </w:tcBorders>
            <w:noWrap w:val="0"/>
            <w:vAlign w:val="center"/>
          </w:tcPr>
          <w:p>
            <w:pPr>
              <w:snapToGrid w:val="0"/>
              <w:ind w:firstLine="315" w:firstLineChars="150"/>
              <w:rPr>
                <w:rFonts w:hint="eastAsia" w:ascii="宋体" w:hAnsi="宋体"/>
                <w:color w:val="auto"/>
                <w:szCs w:val="21"/>
                <w:highlight w:val="none"/>
              </w:rPr>
            </w:pPr>
          </w:p>
        </w:tc>
        <w:tc>
          <w:tcPr>
            <w:tcW w:w="2340"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3" w:hRule="atLeast"/>
        </w:trPr>
        <w:tc>
          <w:tcPr>
            <w:tcW w:w="154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295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olor w:val="auto"/>
                <w:szCs w:val="21"/>
                <w:highlight w:val="none"/>
              </w:rPr>
            </w:pPr>
          </w:p>
        </w:tc>
        <w:tc>
          <w:tcPr>
            <w:tcW w:w="2625"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olor w:val="auto"/>
                <w:szCs w:val="21"/>
                <w:highlight w:val="none"/>
              </w:rPr>
            </w:pPr>
          </w:p>
        </w:tc>
        <w:tc>
          <w:tcPr>
            <w:tcW w:w="2340"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3" w:hRule="atLeast"/>
        </w:trPr>
        <w:tc>
          <w:tcPr>
            <w:tcW w:w="154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295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olor w:val="auto"/>
                <w:szCs w:val="21"/>
                <w:highlight w:val="none"/>
              </w:rPr>
            </w:pPr>
          </w:p>
        </w:tc>
        <w:tc>
          <w:tcPr>
            <w:tcW w:w="2625" w:type="dxa"/>
            <w:tcBorders>
              <w:top w:val="single" w:color="auto" w:sz="4" w:space="0"/>
              <w:left w:val="single" w:color="auto" w:sz="4" w:space="0"/>
              <w:bottom w:val="single" w:color="auto" w:sz="4" w:space="0"/>
              <w:right w:val="single" w:color="auto" w:sz="4" w:space="0"/>
            </w:tcBorders>
            <w:noWrap w:val="0"/>
            <w:vAlign w:val="center"/>
          </w:tcPr>
          <w:p>
            <w:pPr>
              <w:snapToGrid w:val="0"/>
              <w:ind w:left="43"/>
              <w:rPr>
                <w:rFonts w:ascii="宋体" w:hAnsi="宋体"/>
                <w:color w:val="auto"/>
                <w:szCs w:val="21"/>
                <w:highlight w:val="none"/>
              </w:rPr>
            </w:pPr>
          </w:p>
        </w:tc>
        <w:tc>
          <w:tcPr>
            <w:tcW w:w="2340" w:type="dxa"/>
            <w:tcBorders>
              <w:top w:val="single" w:color="auto" w:sz="4" w:space="0"/>
              <w:left w:val="single" w:color="auto" w:sz="4" w:space="0"/>
              <w:bottom w:val="single" w:color="auto" w:sz="4" w:space="0"/>
              <w:right w:val="single" w:color="auto" w:sz="4" w:space="0"/>
            </w:tcBorders>
            <w:noWrap w:val="0"/>
            <w:vAlign w:val="center"/>
          </w:tcPr>
          <w:p>
            <w:pPr>
              <w:snapToGrid w:val="0"/>
              <w:ind w:left="43"/>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3" w:hRule="atLeast"/>
        </w:trPr>
        <w:tc>
          <w:tcPr>
            <w:tcW w:w="154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2955" w:type="dxa"/>
            <w:tcBorders>
              <w:top w:val="single" w:color="auto" w:sz="4" w:space="0"/>
              <w:left w:val="single" w:color="auto" w:sz="4" w:space="0"/>
              <w:bottom w:val="single" w:color="auto" w:sz="4" w:space="0"/>
              <w:right w:val="single" w:color="auto" w:sz="4" w:space="0"/>
            </w:tcBorders>
            <w:noWrap w:val="0"/>
            <w:vAlign w:val="center"/>
          </w:tcPr>
          <w:p>
            <w:pPr>
              <w:snapToGrid w:val="0"/>
              <w:ind w:left="105" w:hanging="105" w:hangingChars="50"/>
              <w:jc w:val="center"/>
              <w:rPr>
                <w:rFonts w:ascii="宋体" w:hAnsi="宋体"/>
                <w:color w:val="auto"/>
                <w:szCs w:val="21"/>
                <w:highlight w:val="none"/>
              </w:rPr>
            </w:pPr>
          </w:p>
        </w:tc>
        <w:tc>
          <w:tcPr>
            <w:tcW w:w="2625"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olor w:val="auto"/>
                <w:szCs w:val="21"/>
                <w:highlight w:val="none"/>
              </w:rPr>
            </w:pPr>
          </w:p>
        </w:tc>
        <w:tc>
          <w:tcPr>
            <w:tcW w:w="2340"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3" w:hRule="atLeast"/>
        </w:trPr>
        <w:tc>
          <w:tcPr>
            <w:tcW w:w="154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5</w:t>
            </w:r>
          </w:p>
        </w:tc>
        <w:tc>
          <w:tcPr>
            <w:tcW w:w="2955" w:type="dxa"/>
            <w:tcBorders>
              <w:top w:val="single" w:color="auto" w:sz="4" w:space="0"/>
              <w:left w:val="single" w:color="auto" w:sz="4" w:space="0"/>
              <w:bottom w:val="single" w:color="auto" w:sz="4" w:space="0"/>
              <w:right w:val="single" w:color="auto" w:sz="4" w:space="0"/>
            </w:tcBorders>
            <w:noWrap w:val="0"/>
            <w:vAlign w:val="center"/>
          </w:tcPr>
          <w:p>
            <w:pPr>
              <w:snapToGrid w:val="0"/>
              <w:ind w:left="105" w:hanging="105" w:hangingChars="50"/>
              <w:jc w:val="center"/>
              <w:rPr>
                <w:rFonts w:ascii="宋体" w:hAnsi="宋体"/>
                <w:color w:val="auto"/>
                <w:szCs w:val="21"/>
                <w:highlight w:val="none"/>
              </w:rPr>
            </w:pPr>
          </w:p>
        </w:tc>
        <w:tc>
          <w:tcPr>
            <w:tcW w:w="2625"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olor w:val="auto"/>
                <w:szCs w:val="21"/>
                <w:highlight w:val="none"/>
              </w:rPr>
            </w:pPr>
          </w:p>
        </w:tc>
        <w:tc>
          <w:tcPr>
            <w:tcW w:w="2340"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4" w:hRule="atLeast"/>
        </w:trPr>
        <w:tc>
          <w:tcPr>
            <w:tcW w:w="154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olor w:val="auto"/>
                <w:szCs w:val="21"/>
                <w:highlight w:val="none"/>
              </w:rPr>
            </w:pPr>
            <w:r>
              <w:rPr>
                <w:rFonts w:hint="eastAsia" w:ascii="宋体" w:hAnsi="宋体"/>
                <w:color w:val="auto"/>
                <w:szCs w:val="21"/>
                <w:highlight w:val="none"/>
              </w:rPr>
              <w:t>…</w:t>
            </w:r>
          </w:p>
        </w:tc>
        <w:tc>
          <w:tcPr>
            <w:tcW w:w="295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olor w:val="auto"/>
                <w:szCs w:val="21"/>
                <w:highlight w:val="none"/>
              </w:rPr>
            </w:pPr>
            <w:r>
              <w:rPr>
                <w:rFonts w:hint="eastAsia" w:ascii="宋体" w:hAnsi="宋体"/>
                <w:color w:val="auto"/>
                <w:szCs w:val="21"/>
                <w:highlight w:val="none"/>
              </w:rPr>
              <w:t>…</w:t>
            </w:r>
          </w:p>
        </w:tc>
        <w:tc>
          <w:tcPr>
            <w:tcW w:w="2625"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olor w:val="auto"/>
                <w:szCs w:val="21"/>
                <w:highlight w:val="none"/>
              </w:rPr>
            </w:pPr>
          </w:p>
        </w:tc>
        <w:tc>
          <w:tcPr>
            <w:tcW w:w="2340"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olor w:val="auto"/>
                <w:szCs w:val="21"/>
                <w:highlight w:val="none"/>
              </w:rPr>
            </w:pPr>
          </w:p>
        </w:tc>
      </w:tr>
    </w:tbl>
    <w:p>
      <w:pPr>
        <w:snapToGrid w:val="0"/>
        <w:spacing w:before="50" w:after="50" w:line="360" w:lineRule="exact"/>
        <w:rPr>
          <w:rFonts w:hint="eastAsia" w:ascii="宋体" w:hAnsi="宋体"/>
          <w:color w:val="auto"/>
          <w:spacing w:val="20"/>
          <w:szCs w:val="21"/>
          <w:highlight w:val="none"/>
        </w:rPr>
      </w:pPr>
    </w:p>
    <w:p>
      <w:pPr>
        <w:snapToGrid w:val="0"/>
        <w:spacing w:before="50" w:after="50" w:line="360" w:lineRule="exact"/>
        <w:ind w:firstLine="210" w:firstLineChars="100"/>
        <w:rPr>
          <w:rFonts w:hint="eastAsia" w:ascii="宋体" w:hAnsi="宋体"/>
          <w:color w:val="auto"/>
          <w:spacing w:val="20"/>
          <w:szCs w:val="21"/>
          <w:highlight w:val="none"/>
          <w:u w:val="single"/>
        </w:rPr>
      </w:pPr>
      <w:r>
        <w:rPr>
          <w:rFonts w:hint="eastAsia" w:ascii="宋体" w:hAnsi="宋体"/>
          <w:color w:val="auto"/>
          <w:szCs w:val="21"/>
          <w:highlight w:val="none"/>
        </w:rPr>
        <w:t>法定代表人或委托代理人签字（或签章）</w:t>
      </w:r>
      <w:r>
        <w:rPr>
          <w:rFonts w:hint="eastAsia" w:ascii="宋体" w:hAnsi="宋体"/>
          <w:color w:val="auto"/>
          <w:spacing w:val="20"/>
          <w:szCs w:val="21"/>
          <w:highlight w:val="none"/>
        </w:rPr>
        <w:t>：</w:t>
      </w:r>
      <w:r>
        <w:rPr>
          <w:rFonts w:hint="eastAsia" w:ascii="宋体" w:hAnsi="宋体"/>
          <w:color w:val="auto"/>
          <w:spacing w:val="20"/>
          <w:szCs w:val="21"/>
          <w:highlight w:val="none"/>
          <w:u w:val="single"/>
        </w:rPr>
        <w:t xml:space="preserve">        </w:t>
      </w:r>
    </w:p>
    <w:p>
      <w:pPr>
        <w:snapToGrid w:val="0"/>
        <w:spacing w:line="360" w:lineRule="exact"/>
        <w:ind w:firstLine="245" w:firstLineChars="98"/>
        <w:jc w:val="left"/>
        <w:rPr>
          <w:rFonts w:hint="eastAsia" w:ascii="宋体" w:hAnsi="宋体"/>
          <w:b/>
          <w:color w:val="auto"/>
          <w:szCs w:val="21"/>
          <w:highlight w:val="none"/>
        </w:rPr>
      </w:pPr>
      <w:r>
        <w:rPr>
          <w:rFonts w:hint="eastAsia" w:ascii="宋体" w:hAnsi="宋体"/>
          <w:color w:val="auto"/>
          <w:spacing w:val="20"/>
          <w:szCs w:val="21"/>
          <w:highlight w:val="none"/>
        </w:rPr>
        <w:t>投标人盖章：</w:t>
      </w:r>
      <w:r>
        <w:rPr>
          <w:rFonts w:hint="eastAsia" w:ascii="宋体" w:hAnsi="宋体"/>
          <w:color w:val="auto"/>
          <w:spacing w:val="20"/>
          <w:szCs w:val="21"/>
          <w:highlight w:val="none"/>
          <w:u w:val="single"/>
        </w:rPr>
        <w:t xml:space="preserve">            </w:t>
      </w:r>
      <w:r>
        <w:rPr>
          <w:rFonts w:hint="eastAsia" w:ascii="宋体" w:hAnsi="宋体"/>
          <w:color w:val="auto"/>
          <w:spacing w:val="20"/>
          <w:szCs w:val="21"/>
          <w:highlight w:val="none"/>
        </w:rPr>
        <w:t xml:space="preserve">              日 期：</w:t>
      </w:r>
      <w:r>
        <w:rPr>
          <w:rFonts w:hint="eastAsia" w:ascii="宋体" w:hAnsi="宋体"/>
          <w:color w:val="auto"/>
          <w:spacing w:val="20"/>
          <w:szCs w:val="21"/>
          <w:highlight w:val="none"/>
          <w:u w:val="single"/>
        </w:rPr>
        <w:t xml:space="preserve">          </w:t>
      </w:r>
    </w:p>
    <w:p>
      <w:pPr>
        <w:snapToGrid w:val="0"/>
        <w:spacing w:line="360" w:lineRule="exact"/>
        <w:ind w:firstLine="206" w:firstLineChars="98"/>
        <w:jc w:val="left"/>
        <w:rPr>
          <w:rFonts w:hint="eastAsia" w:ascii="宋体" w:hAnsi="宋体"/>
          <w:b/>
          <w:color w:val="auto"/>
          <w:szCs w:val="21"/>
          <w:highlight w:val="none"/>
        </w:rPr>
      </w:pPr>
    </w:p>
    <w:p>
      <w:pPr>
        <w:snapToGrid w:val="0"/>
        <w:spacing w:line="360" w:lineRule="exact"/>
        <w:ind w:left="840" w:hanging="840" w:hangingChars="400"/>
        <w:jc w:val="left"/>
        <w:rPr>
          <w:rFonts w:hAnsi="宋体"/>
          <w:color w:val="auto"/>
          <w:highlight w:val="none"/>
        </w:rPr>
      </w:pPr>
    </w:p>
    <w:p>
      <w:pPr>
        <w:snapToGrid w:val="0"/>
        <w:spacing w:line="360" w:lineRule="exact"/>
        <w:ind w:left="840" w:hanging="840" w:hangingChars="400"/>
        <w:jc w:val="left"/>
        <w:rPr>
          <w:rFonts w:ascii="宋体" w:hAnsi="宋体"/>
          <w:b/>
          <w:color w:val="auto"/>
          <w:szCs w:val="21"/>
          <w:highlight w:val="none"/>
        </w:rPr>
      </w:pPr>
      <w:r>
        <w:rPr>
          <w:rFonts w:hint="eastAsia" w:hAnsi="宋体"/>
          <w:color w:val="auto"/>
          <w:highlight w:val="none"/>
        </w:rPr>
        <w:t>▲</w:t>
      </w:r>
      <w:r>
        <w:rPr>
          <w:rFonts w:hint="eastAsia" w:ascii="宋体" w:hAnsi="宋体"/>
          <w:b/>
          <w:color w:val="auto"/>
          <w:szCs w:val="21"/>
          <w:highlight w:val="none"/>
        </w:rPr>
        <w:t>（12）招标项目采购需求中要求必须提供的材料等；</w:t>
      </w:r>
      <w:r>
        <w:rPr>
          <w:rFonts w:hint="eastAsia" w:ascii="宋体" w:hAnsi="宋体"/>
          <w:color w:val="auto"/>
          <w:szCs w:val="21"/>
          <w:highlight w:val="none"/>
        </w:rPr>
        <w:t>（招标项目采购需求中要求必须提供的材料，据实提供）</w:t>
      </w:r>
    </w:p>
    <w:p>
      <w:pPr>
        <w:snapToGrid w:val="0"/>
        <w:spacing w:line="360" w:lineRule="exact"/>
        <w:ind w:firstLine="206" w:firstLineChars="98"/>
        <w:jc w:val="left"/>
        <w:rPr>
          <w:rFonts w:hint="eastAsia" w:ascii="宋体" w:hAnsi="宋体"/>
          <w:color w:val="auto"/>
          <w:szCs w:val="21"/>
          <w:highlight w:val="none"/>
        </w:rPr>
      </w:pPr>
      <w:r>
        <w:rPr>
          <w:rFonts w:hint="eastAsia" w:ascii="宋体" w:hAnsi="宋体"/>
          <w:b/>
          <w:color w:val="auto"/>
          <w:szCs w:val="21"/>
          <w:highlight w:val="none"/>
        </w:rPr>
        <w:t>（13）</w:t>
      </w:r>
      <w:r>
        <w:rPr>
          <w:rFonts w:hint="eastAsia" w:ascii="宋体" w:hAnsi="宋体"/>
          <w:color w:val="auto"/>
          <w:szCs w:val="21"/>
          <w:highlight w:val="none"/>
        </w:rPr>
        <w:t>具备法律、行政法规规定的其他条件的证明材料</w:t>
      </w:r>
      <w:r>
        <w:rPr>
          <w:rFonts w:hint="eastAsia" w:ascii="宋体" w:hAnsi="宋体"/>
          <w:b/>
          <w:color w:val="auto"/>
          <w:szCs w:val="21"/>
          <w:highlight w:val="none"/>
        </w:rPr>
        <w:t>；</w:t>
      </w:r>
      <w:r>
        <w:rPr>
          <w:rFonts w:hint="eastAsia" w:ascii="宋体" w:hAnsi="宋体"/>
          <w:color w:val="auto"/>
          <w:szCs w:val="21"/>
          <w:highlight w:val="none"/>
        </w:rPr>
        <w:t>（格式自拟）</w:t>
      </w:r>
    </w:p>
    <w:p>
      <w:pPr>
        <w:snapToGrid w:val="0"/>
        <w:spacing w:before="50" w:after="156" w:afterLines="50" w:line="360" w:lineRule="exact"/>
        <w:ind w:firstLine="206" w:firstLineChars="98"/>
        <w:jc w:val="left"/>
        <w:rPr>
          <w:rFonts w:hint="eastAsia" w:ascii="宋体" w:hAnsi="宋体"/>
          <w:b/>
          <w:color w:val="auto"/>
          <w:szCs w:val="21"/>
          <w:highlight w:val="none"/>
        </w:rPr>
      </w:pPr>
      <w:r>
        <w:rPr>
          <w:rFonts w:hint="eastAsia" w:ascii="宋体" w:hAnsi="宋体"/>
          <w:b/>
          <w:color w:val="auto"/>
          <w:szCs w:val="21"/>
          <w:highlight w:val="none"/>
        </w:rPr>
        <w:t>（14）</w:t>
      </w:r>
      <w:r>
        <w:rPr>
          <w:rFonts w:hint="eastAsia" w:ascii="宋体" w:hAnsi="宋体"/>
          <w:color w:val="auto"/>
          <w:szCs w:val="21"/>
          <w:highlight w:val="none"/>
        </w:rPr>
        <w:t>投标人的类似成功案例的业绩证明文件：</w:t>
      </w:r>
    </w:p>
    <w:p>
      <w:pPr>
        <w:pStyle w:val="37"/>
        <w:snapToGrid w:val="0"/>
        <w:spacing w:line="360" w:lineRule="exact"/>
        <w:ind w:left="97" w:leftChars="46"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投标人同类项目实施情况一览表格式：（投标人同类项目合同扫描件、用户验收报告、用户评价意见格式自拟）</w:t>
      </w:r>
    </w:p>
    <w:tbl>
      <w:tblPr>
        <w:tblStyle w:val="50"/>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80"/>
        <w:gridCol w:w="900"/>
        <w:gridCol w:w="1620"/>
        <w:gridCol w:w="720"/>
        <w:gridCol w:w="900"/>
        <w:gridCol w:w="540"/>
        <w:gridCol w:w="720"/>
        <w:gridCol w:w="1080"/>
        <w:gridCol w:w="144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jc w:val="center"/>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ascii="宋体" w:hAnsi="宋体"/>
                <w:color w:val="auto"/>
                <w:szCs w:val="21"/>
                <w:highlight w:val="none"/>
              </w:rPr>
            </w:pPr>
            <w:r>
              <w:rPr>
                <w:rFonts w:hint="eastAsia" w:ascii="宋体" w:hAnsi="宋体"/>
                <w:color w:val="auto"/>
                <w:szCs w:val="21"/>
                <w:highlight w:val="none"/>
              </w:rPr>
              <w:t>采购单位名称</w:t>
            </w:r>
          </w:p>
        </w:tc>
        <w:tc>
          <w:tcPr>
            <w:tcW w:w="900" w:type="dxa"/>
            <w:vMerge w:val="restar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ascii="宋体" w:hAnsi="宋体"/>
                <w:color w:val="auto"/>
                <w:szCs w:val="21"/>
                <w:highlight w:val="none"/>
              </w:rPr>
            </w:pPr>
            <w:r>
              <w:rPr>
                <w:rFonts w:hint="eastAsia" w:ascii="宋体" w:hAnsi="宋体"/>
                <w:color w:val="auto"/>
                <w:szCs w:val="21"/>
                <w:highlight w:val="none"/>
              </w:rPr>
              <w:t>设备或项目名称</w:t>
            </w:r>
          </w:p>
        </w:tc>
        <w:tc>
          <w:tcPr>
            <w:tcW w:w="1620" w:type="dxa"/>
            <w:vMerge w:val="restar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ascii="宋体" w:hAnsi="宋体"/>
                <w:color w:val="auto"/>
                <w:szCs w:val="21"/>
                <w:highlight w:val="none"/>
              </w:rPr>
            </w:pPr>
            <w:r>
              <w:rPr>
                <w:rFonts w:hint="eastAsia" w:ascii="宋体" w:hAnsi="宋体"/>
                <w:color w:val="auto"/>
                <w:szCs w:val="21"/>
                <w:highlight w:val="none"/>
              </w:rPr>
              <w:t>采购</w:t>
            </w:r>
          </w:p>
          <w:p>
            <w:pPr>
              <w:snapToGrid w:val="0"/>
              <w:spacing w:line="360" w:lineRule="exact"/>
              <w:jc w:val="center"/>
              <w:rPr>
                <w:rFonts w:ascii="宋体" w:hAnsi="宋体"/>
                <w:color w:val="auto"/>
                <w:szCs w:val="21"/>
                <w:highlight w:val="none"/>
              </w:rPr>
            </w:pPr>
            <w:r>
              <w:rPr>
                <w:rFonts w:hint="eastAsia" w:ascii="宋体" w:hAnsi="宋体"/>
                <w:color w:val="auto"/>
                <w:szCs w:val="21"/>
                <w:highlight w:val="none"/>
              </w:rPr>
              <w:t>数量</w:t>
            </w:r>
          </w:p>
        </w:tc>
        <w:tc>
          <w:tcPr>
            <w:tcW w:w="720" w:type="dxa"/>
            <w:vMerge w:val="restar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ascii="宋体" w:hAnsi="宋体"/>
                <w:color w:val="auto"/>
                <w:szCs w:val="21"/>
                <w:highlight w:val="none"/>
              </w:rPr>
            </w:pPr>
            <w:r>
              <w:rPr>
                <w:rFonts w:hint="eastAsia" w:ascii="宋体" w:hAnsi="宋体"/>
                <w:color w:val="auto"/>
                <w:szCs w:val="21"/>
                <w:highlight w:val="none"/>
              </w:rPr>
              <w:t>单价</w:t>
            </w:r>
          </w:p>
        </w:tc>
        <w:tc>
          <w:tcPr>
            <w:tcW w:w="900" w:type="dxa"/>
            <w:vMerge w:val="restar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ascii="宋体" w:hAnsi="宋体"/>
                <w:color w:val="auto"/>
                <w:szCs w:val="21"/>
                <w:highlight w:val="none"/>
              </w:rPr>
            </w:pPr>
            <w:r>
              <w:rPr>
                <w:rFonts w:hint="eastAsia" w:ascii="宋体" w:hAnsi="宋体"/>
                <w:color w:val="auto"/>
                <w:szCs w:val="21"/>
                <w:highlight w:val="none"/>
              </w:rPr>
              <w:t>合同</w:t>
            </w:r>
          </w:p>
          <w:p>
            <w:pPr>
              <w:snapToGrid w:val="0"/>
              <w:spacing w:line="360" w:lineRule="exact"/>
              <w:jc w:val="center"/>
              <w:rPr>
                <w:rFonts w:hint="eastAsia" w:ascii="宋体" w:hAnsi="宋体"/>
                <w:color w:val="auto"/>
                <w:szCs w:val="21"/>
                <w:highlight w:val="none"/>
              </w:rPr>
            </w:pPr>
            <w:r>
              <w:rPr>
                <w:rFonts w:hint="eastAsia" w:ascii="宋体" w:hAnsi="宋体"/>
                <w:color w:val="auto"/>
                <w:szCs w:val="21"/>
                <w:highlight w:val="none"/>
              </w:rPr>
              <w:t>金额</w:t>
            </w:r>
          </w:p>
          <w:p>
            <w:pPr>
              <w:snapToGrid w:val="0"/>
              <w:spacing w:line="360" w:lineRule="exact"/>
              <w:jc w:val="center"/>
              <w:rPr>
                <w:rFonts w:ascii="宋体" w:hAnsi="宋体"/>
                <w:color w:val="auto"/>
                <w:szCs w:val="21"/>
                <w:highlight w:val="none"/>
              </w:rPr>
            </w:pPr>
            <w:r>
              <w:rPr>
                <w:rFonts w:hint="eastAsia" w:ascii="宋体" w:hAnsi="宋体"/>
                <w:color w:val="auto"/>
                <w:szCs w:val="21"/>
                <w:highlight w:val="none"/>
              </w:rPr>
              <w:t>（万元）</w:t>
            </w:r>
          </w:p>
        </w:tc>
        <w:tc>
          <w:tcPr>
            <w:tcW w:w="2340"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ascii="宋体" w:hAnsi="宋体"/>
                <w:color w:val="auto"/>
                <w:szCs w:val="21"/>
                <w:highlight w:val="none"/>
              </w:rPr>
            </w:pPr>
            <w:r>
              <w:rPr>
                <w:rFonts w:hint="eastAsia" w:ascii="宋体" w:hAnsi="宋体"/>
                <w:color w:val="auto"/>
                <w:szCs w:val="21"/>
                <w:highlight w:val="none"/>
              </w:rPr>
              <w:t>附件页码</w:t>
            </w:r>
          </w:p>
        </w:tc>
        <w:tc>
          <w:tcPr>
            <w:tcW w:w="1440" w:type="dxa"/>
            <w:vMerge w:val="restar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ascii="宋体" w:hAnsi="宋体"/>
                <w:color w:val="auto"/>
                <w:szCs w:val="21"/>
                <w:highlight w:val="none"/>
              </w:rPr>
            </w:pPr>
            <w:r>
              <w:rPr>
                <w:rFonts w:hint="eastAsia" w:ascii="宋体" w:hAnsi="宋体"/>
                <w:color w:val="auto"/>
                <w:szCs w:val="21"/>
                <w:highlight w:val="none"/>
              </w:rPr>
              <w:t>采购单位联系人及</w:t>
            </w:r>
          </w:p>
          <w:p>
            <w:pPr>
              <w:snapToGrid w:val="0"/>
              <w:spacing w:line="360" w:lineRule="exact"/>
              <w:jc w:val="center"/>
              <w:rPr>
                <w:rFonts w:ascii="宋体" w:hAnsi="宋体"/>
                <w:color w:val="auto"/>
                <w:szCs w:val="21"/>
                <w:highlight w:val="none"/>
              </w:rPr>
            </w:pPr>
            <w:r>
              <w:rPr>
                <w:rFonts w:hint="eastAsia" w:ascii="宋体" w:hAnsi="宋体"/>
                <w:color w:val="auto"/>
                <w:szCs w:val="21"/>
                <w:highlight w:val="none"/>
              </w:rPr>
              <w:t>联系电话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olor w:val="auto"/>
                <w:szCs w:val="21"/>
                <w:highlight w:val="none"/>
              </w:rPr>
            </w:pPr>
          </w:p>
        </w:tc>
        <w:tc>
          <w:tcPr>
            <w:tcW w:w="90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olor w:val="auto"/>
                <w:szCs w:val="21"/>
                <w:highlight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olor w:val="auto"/>
                <w:szCs w:val="21"/>
                <w:highlight w:val="none"/>
              </w:rPr>
            </w:pPr>
          </w:p>
        </w:tc>
        <w:tc>
          <w:tcPr>
            <w:tcW w:w="7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olor w:val="auto"/>
                <w:szCs w:val="21"/>
                <w:highlight w:val="none"/>
              </w:rPr>
            </w:pPr>
          </w:p>
        </w:tc>
        <w:tc>
          <w:tcPr>
            <w:tcW w:w="90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ascii="宋体" w:hAnsi="宋体"/>
                <w:color w:val="auto"/>
                <w:szCs w:val="21"/>
                <w:highlight w:val="none"/>
              </w:rPr>
            </w:pPr>
            <w:r>
              <w:rPr>
                <w:rFonts w:hint="eastAsia" w:ascii="宋体" w:hAnsi="宋体"/>
                <w:color w:val="auto"/>
                <w:szCs w:val="21"/>
                <w:highlight w:val="none"/>
              </w:rPr>
              <w:t>合同</w:t>
            </w:r>
          </w:p>
        </w:tc>
        <w:tc>
          <w:tcPr>
            <w:tcW w:w="720"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ascii="宋体" w:hAnsi="宋体"/>
                <w:color w:val="auto"/>
                <w:szCs w:val="21"/>
                <w:highlight w:val="none"/>
              </w:rPr>
            </w:pPr>
            <w:r>
              <w:rPr>
                <w:rFonts w:hint="eastAsia" w:ascii="宋体" w:hAnsi="宋体"/>
                <w:color w:val="auto"/>
                <w:szCs w:val="21"/>
                <w:highlight w:val="none"/>
              </w:rPr>
              <w:t>验收报告</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ascii="宋体" w:hAnsi="宋体"/>
                <w:color w:val="auto"/>
                <w:szCs w:val="21"/>
                <w:highlight w:val="none"/>
              </w:rPr>
            </w:pPr>
            <w:r>
              <w:rPr>
                <w:rFonts w:hint="eastAsia" w:ascii="宋体" w:hAnsi="宋体"/>
                <w:color w:val="auto"/>
                <w:szCs w:val="21"/>
                <w:highlight w:val="none"/>
              </w:rPr>
              <w:t>用户评价</w:t>
            </w:r>
          </w:p>
        </w:tc>
        <w:tc>
          <w:tcPr>
            <w:tcW w:w="14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top"/>
          </w:tcPr>
          <w:p>
            <w:pPr>
              <w:snapToGrid w:val="0"/>
              <w:spacing w:line="360" w:lineRule="exact"/>
              <w:jc w:val="left"/>
              <w:rPr>
                <w:rFonts w:ascii="宋体" w:hAnsi="宋体"/>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snapToGrid w:val="0"/>
              <w:spacing w:line="360" w:lineRule="exact"/>
              <w:jc w:val="left"/>
              <w:rPr>
                <w:rFonts w:ascii="宋体" w:hAnsi="宋体"/>
                <w:color w:val="auto"/>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snapToGrid w:val="0"/>
              <w:spacing w:line="360" w:lineRule="exact"/>
              <w:jc w:val="left"/>
              <w:rPr>
                <w:rFonts w:ascii="宋体" w:hAnsi="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top"/>
          </w:tcPr>
          <w:p>
            <w:pPr>
              <w:snapToGrid w:val="0"/>
              <w:spacing w:line="360" w:lineRule="exact"/>
              <w:jc w:val="left"/>
              <w:rPr>
                <w:rFonts w:ascii="宋体" w:hAnsi="宋体"/>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snapToGrid w:val="0"/>
              <w:spacing w:line="360" w:lineRule="exact"/>
              <w:jc w:val="left"/>
              <w:rPr>
                <w:rFonts w:ascii="宋体" w:hAnsi="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noWrap w:val="0"/>
            <w:vAlign w:val="top"/>
          </w:tcPr>
          <w:p>
            <w:pPr>
              <w:snapToGrid w:val="0"/>
              <w:spacing w:line="360" w:lineRule="exact"/>
              <w:jc w:val="left"/>
              <w:rPr>
                <w:rFonts w:ascii="宋体" w:hAnsi="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top"/>
          </w:tcPr>
          <w:p>
            <w:pPr>
              <w:snapToGrid w:val="0"/>
              <w:spacing w:line="360" w:lineRule="exact"/>
              <w:jc w:val="left"/>
              <w:rPr>
                <w:rFonts w:ascii="宋体" w:hAnsi="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snapToGrid w:val="0"/>
              <w:spacing w:line="360" w:lineRule="exact"/>
              <w:jc w:val="left"/>
              <w:rPr>
                <w:rFonts w:ascii="宋体" w:hAnsi="宋体"/>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snapToGrid w:val="0"/>
              <w:spacing w:line="360" w:lineRule="exact"/>
              <w:jc w:val="left"/>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56" w:afterLines="50" w:line="360" w:lineRule="exact"/>
              <w:jc w:val="left"/>
              <w:rPr>
                <w:rFonts w:ascii="宋体" w:hAnsi="宋体"/>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56" w:afterLines="50" w:line="360" w:lineRule="exact"/>
              <w:jc w:val="left"/>
              <w:rPr>
                <w:rFonts w:ascii="宋体" w:hAnsi="宋体"/>
                <w:color w:val="auto"/>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56" w:afterLines="50" w:line="360" w:lineRule="exact"/>
              <w:jc w:val="left"/>
              <w:rPr>
                <w:rFonts w:ascii="宋体" w:hAnsi="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56" w:afterLines="50" w:line="360" w:lineRule="exact"/>
              <w:jc w:val="left"/>
              <w:rPr>
                <w:rFonts w:ascii="宋体" w:hAnsi="宋体"/>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56" w:afterLines="50" w:line="360" w:lineRule="exact"/>
              <w:jc w:val="left"/>
              <w:rPr>
                <w:rFonts w:ascii="宋体" w:hAnsi="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56" w:afterLines="50" w:line="360" w:lineRule="exact"/>
              <w:jc w:val="left"/>
              <w:rPr>
                <w:rFonts w:ascii="宋体" w:hAnsi="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56" w:afterLines="50" w:line="360" w:lineRule="exact"/>
              <w:jc w:val="left"/>
              <w:rPr>
                <w:rFonts w:ascii="宋体" w:hAnsi="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56" w:afterLines="50" w:line="360" w:lineRule="exact"/>
              <w:jc w:val="left"/>
              <w:rPr>
                <w:rFonts w:ascii="宋体" w:hAnsi="宋体"/>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56" w:afterLines="50" w:line="360" w:lineRule="exact"/>
              <w:jc w:val="left"/>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56" w:afterLines="50" w:line="360" w:lineRule="exact"/>
              <w:jc w:val="left"/>
              <w:rPr>
                <w:rFonts w:ascii="宋体" w:hAnsi="宋体"/>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56" w:afterLines="50" w:line="360" w:lineRule="exact"/>
              <w:jc w:val="left"/>
              <w:rPr>
                <w:rFonts w:ascii="宋体" w:hAnsi="宋体"/>
                <w:color w:val="auto"/>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56" w:afterLines="50" w:line="360" w:lineRule="exact"/>
              <w:jc w:val="left"/>
              <w:rPr>
                <w:rFonts w:ascii="宋体" w:hAnsi="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56" w:afterLines="50" w:line="360" w:lineRule="exact"/>
              <w:jc w:val="left"/>
              <w:rPr>
                <w:rFonts w:ascii="宋体" w:hAnsi="宋体"/>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56" w:afterLines="50" w:line="360" w:lineRule="exact"/>
              <w:jc w:val="left"/>
              <w:rPr>
                <w:rFonts w:ascii="宋体" w:hAnsi="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56" w:afterLines="50" w:line="360" w:lineRule="exact"/>
              <w:jc w:val="left"/>
              <w:rPr>
                <w:rFonts w:ascii="宋体" w:hAnsi="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56" w:afterLines="50" w:line="360" w:lineRule="exact"/>
              <w:jc w:val="left"/>
              <w:rPr>
                <w:rFonts w:ascii="宋体" w:hAnsi="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56" w:afterLines="50" w:line="360" w:lineRule="exact"/>
              <w:jc w:val="left"/>
              <w:rPr>
                <w:rFonts w:ascii="宋体" w:hAnsi="宋体"/>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56" w:afterLines="50" w:line="360" w:lineRule="exact"/>
              <w:jc w:val="left"/>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56" w:afterLines="50" w:line="360" w:lineRule="exact"/>
              <w:jc w:val="left"/>
              <w:rPr>
                <w:rFonts w:ascii="宋体" w:hAnsi="宋体"/>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56" w:afterLines="50" w:line="360" w:lineRule="exact"/>
              <w:jc w:val="left"/>
              <w:rPr>
                <w:rFonts w:ascii="宋体" w:hAnsi="宋体"/>
                <w:color w:val="auto"/>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56" w:afterLines="50" w:line="360" w:lineRule="exact"/>
              <w:jc w:val="left"/>
              <w:rPr>
                <w:rFonts w:ascii="宋体" w:hAnsi="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56" w:afterLines="50" w:line="360" w:lineRule="exact"/>
              <w:jc w:val="left"/>
              <w:rPr>
                <w:rFonts w:ascii="宋体" w:hAnsi="宋体"/>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56" w:afterLines="50" w:line="360" w:lineRule="exact"/>
              <w:jc w:val="left"/>
              <w:rPr>
                <w:rFonts w:ascii="宋体" w:hAnsi="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56" w:afterLines="50" w:line="360" w:lineRule="exact"/>
              <w:jc w:val="left"/>
              <w:rPr>
                <w:rFonts w:ascii="宋体" w:hAnsi="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56" w:afterLines="50" w:line="360" w:lineRule="exact"/>
              <w:jc w:val="left"/>
              <w:rPr>
                <w:rFonts w:ascii="宋体" w:hAnsi="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56" w:afterLines="50" w:line="360" w:lineRule="exact"/>
              <w:jc w:val="left"/>
              <w:rPr>
                <w:rFonts w:ascii="宋体" w:hAnsi="宋体"/>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56" w:afterLines="50" w:line="360" w:lineRule="exact"/>
              <w:jc w:val="left"/>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56" w:afterLines="50" w:line="360" w:lineRule="exact"/>
              <w:jc w:val="left"/>
              <w:rPr>
                <w:rFonts w:ascii="宋体" w:hAnsi="宋体"/>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56" w:afterLines="50" w:line="360" w:lineRule="exact"/>
              <w:jc w:val="left"/>
              <w:rPr>
                <w:rFonts w:ascii="宋体" w:hAnsi="宋体"/>
                <w:color w:val="auto"/>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56" w:afterLines="50" w:line="360" w:lineRule="exact"/>
              <w:jc w:val="left"/>
              <w:rPr>
                <w:rFonts w:ascii="宋体" w:hAnsi="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56" w:afterLines="50" w:line="360" w:lineRule="exact"/>
              <w:jc w:val="left"/>
              <w:rPr>
                <w:rFonts w:ascii="宋体" w:hAnsi="宋体"/>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56" w:afterLines="50" w:line="360" w:lineRule="exact"/>
              <w:jc w:val="left"/>
              <w:rPr>
                <w:rFonts w:ascii="宋体" w:hAnsi="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56" w:afterLines="50" w:line="360" w:lineRule="exact"/>
              <w:jc w:val="left"/>
              <w:rPr>
                <w:rFonts w:ascii="宋体" w:hAnsi="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56" w:afterLines="50" w:line="360" w:lineRule="exact"/>
              <w:jc w:val="left"/>
              <w:rPr>
                <w:rFonts w:ascii="宋体" w:hAnsi="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56" w:afterLines="50" w:line="360" w:lineRule="exact"/>
              <w:jc w:val="left"/>
              <w:rPr>
                <w:rFonts w:ascii="宋体" w:hAnsi="宋体"/>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56" w:afterLines="50" w:line="360" w:lineRule="exact"/>
              <w:jc w:val="left"/>
              <w:rPr>
                <w:rFonts w:ascii="宋体" w:hAnsi="宋体"/>
                <w:color w:val="auto"/>
                <w:szCs w:val="21"/>
                <w:highlight w:val="none"/>
              </w:rPr>
            </w:pPr>
          </w:p>
        </w:tc>
      </w:tr>
    </w:tbl>
    <w:p>
      <w:pPr>
        <w:pStyle w:val="14"/>
        <w:snapToGrid w:val="0"/>
        <w:spacing w:line="360" w:lineRule="exact"/>
        <w:rPr>
          <w:rFonts w:hint="eastAsia" w:ascii="宋体" w:hAnsi="宋体" w:eastAsia="宋体"/>
          <w:color w:val="auto"/>
          <w:sz w:val="21"/>
          <w:szCs w:val="21"/>
          <w:highlight w:val="none"/>
        </w:rPr>
      </w:pPr>
    </w:p>
    <w:p>
      <w:pPr>
        <w:pStyle w:val="14"/>
        <w:snapToGrid w:val="0"/>
        <w:spacing w:line="360" w:lineRule="exact"/>
        <w:rPr>
          <w:rFonts w:hint="eastAsia" w:ascii="宋体" w:hAnsi="宋体" w:eastAsia="宋体"/>
          <w:color w:val="auto"/>
          <w:sz w:val="21"/>
          <w:szCs w:val="21"/>
          <w:highlight w:val="none"/>
          <w:u w:val="single"/>
        </w:rPr>
      </w:pPr>
      <w:r>
        <w:rPr>
          <w:rFonts w:hint="eastAsia" w:ascii="宋体" w:hAnsi="宋体"/>
          <w:color w:val="auto"/>
          <w:szCs w:val="21"/>
          <w:highlight w:val="none"/>
        </w:rPr>
        <w:t>法定代表人或委托代理人签字（或签章）</w:t>
      </w:r>
      <w:r>
        <w:rPr>
          <w:rFonts w:hint="eastAsia" w:ascii="宋体" w:hAnsi="宋体" w:eastAsia="宋体"/>
          <w:color w:val="auto"/>
          <w:sz w:val="21"/>
          <w:szCs w:val="21"/>
          <w:highlight w:val="none"/>
        </w:rPr>
        <w:t>：</w:t>
      </w:r>
      <w:r>
        <w:rPr>
          <w:rFonts w:hint="eastAsia" w:ascii="宋体" w:hAnsi="宋体" w:eastAsia="宋体"/>
          <w:color w:val="auto"/>
          <w:sz w:val="21"/>
          <w:szCs w:val="21"/>
          <w:highlight w:val="none"/>
          <w:u w:val="single"/>
        </w:rPr>
        <w:t>　　　　　</w:t>
      </w:r>
    </w:p>
    <w:p>
      <w:pPr>
        <w:snapToGrid w:val="0"/>
        <w:spacing w:before="50" w:line="360" w:lineRule="exact"/>
        <w:jc w:val="left"/>
        <w:rPr>
          <w:rFonts w:hint="eastAsia" w:ascii="宋体" w:hAnsi="宋体"/>
          <w:color w:val="auto"/>
          <w:szCs w:val="21"/>
          <w:highlight w:val="none"/>
        </w:rPr>
      </w:pPr>
      <w:r>
        <w:rPr>
          <w:rFonts w:hint="eastAsia" w:ascii="宋体" w:hAnsi="宋体"/>
          <w:color w:val="auto"/>
          <w:szCs w:val="21"/>
          <w:highlight w:val="none"/>
        </w:rPr>
        <w:t>投标人公章：</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年    月  日</w:t>
      </w:r>
    </w:p>
    <w:p>
      <w:pPr>
        <w:snapToGrid w:val="0"/>
        <w:spacing w:before="50" w:line="360" w:lineRule="exact"/>
        <w:ind w:firstLine="516" w:firstLineChars="245"/>
        <w:jc w:val="left"/>
        <w:rPr>
          <w:rFonts w:hint="eastAsia" w:ascii="宋体" w:hAnsi="宋体"/>
          <w:color w:val="auto"/>
          <w:szCs w:val="21"/>
          <w:highlight w:val="none"/>
        </w:rPr>
      </w:pPr>
      <w:r>
        <w:rPr>
          <w:rFonts w:hint="eastAsia" w:ascii="宋体" w:hAnsi="宋体"/>
          <w:b/>
          <w:color w:val="auto"/>
          <w:szCs w:val="21"/>
          <w:highlight w:val="none"/>
        </w:rPr>
        <w:t>（15）</w:t>
      </w:r>
      <w:r>
        <w:rPr>
          <w:rFonts w:hint="eastAsia" w:ascii="宋体" w:hAnsi="宋体"/>
          <w:color w:val="auto"/>
          <w:szCs w:val="21"/>
          <w:highlight w:val="none"/>
        </w:rPr>
        <w:t>其他特殊资质证书（如本地化服务能力等）；（按要求提供）</w:t>
      </w:r>
    </w:p>
    <w:p>
      <w:pPr>
        <w:snapToGrid w:val="0"/>
        <w:spacing w:line="360" w:lineRule="exact"/>
        <w:ind w:firstLine="516" w:firstLineChars="245"/>
        <w:jc w:val="left"/>
        <w:rPr>
          <w:rFonts w:hint="eastAsia" w:ascii="宋体" w:hAnsi="宋体"/>
          <w:b/>
          <w:color w:val="auto"/>
          <w:szCs w:val="21"/>
          <w:highlight w:val="none"/>
        </w:rPr>
      </w:pPr>
      <w:r>
        <w:rPr>
          <w:rFonts w:hint="eastAsia" w:ascii="宋体" w:hAnsi="宋体"/>
          <w:b/>
          <w:color w:val="auto"/>
          <w:szCs w:val="21"/>
          <w:highlight w:val="none"/>
        </w:rPr>
        <w:t>（16）</w:t>
      </w:r>
      <w:r>
        <w:rPr>
          <w:rFonts w:hint="eastAsia" w:ascii="宋体" w:hAnsi="宋体"/>
          <w:color w:val="auto"/>
          <w:szCs w:val="21"/>
          <w:highlight w:val="none"/>
        </w:rPr>
        <w:t>节能环保产品或政府强制采购节能产品清单证书；（按要求提供）</w:t>
      </w:r>
    </w:p>
    <w:p>
      <w:pPr>
        <w:snapToGrid w:val="0"/>
        <w:spacing w:line="360" w:lineRule="exact"/>
        <w:ind w:firstLine="516" w:firstLineChars="246"/>
        <w:jc w:val="left"/>
        <w:rPr>
          <w:rFonts w:hint="eastAsia" w:ascii="宋体" w:hAnsi="宋体"/>
          <w:color w:val="auto"/>
          <w:szCs w:val="21"/>
          <w:highlight w:val="none"/>
        </w:rPr>
      </w:pPr>
      <w:r>
        <w:rPr>
          <w:rFonts w:hint="eastAsia" w:ascii="宋体" w:hAnsi="宋体"/>
          <w:color w:val="auto"/>
          <w:szCs w:val="21"/>
          <w:highlight w:val="none"/>
        </w:rPr>
        <w:t>（17）投标人质量管理和质量保证体系等方面的认证证书；（按要求提供）</w:t>
      </w:r>
    </w:p>
    <w:p>
      <w:pPr>
        <w:snapToGrid w:val="0"/>
        <w:spacing w:line="360" w:lineRule="exact"/>
        <w:ind w:firstLine="516" w:firstLineChars="246"/>
        <w:jc w:val="left"/>
        <w:rPr>
          <w:rFonts w:hint="eastAsia" w:ascii="宋体" w:hAnsi="宋体"/>
          <w:color w:val="auto"/>
          <w:szCs w:val="21"/>
          <w:highlight w:val="none"/>
        </w:rPr>
      </w:pPr>
      <w:r>
        <w:rPr>
          <w:rFonts w:hint="eastAsia" w:ascii="宋体" w:hAnsi="宋体"/>
          <w:color w:val="auto"/>
          <w:szCs w:val="21"/>
          <w:highlight w:val="none"/>
        </w:rPr>
        <w:t>（18）投标人认为可以证明其能力或业绩的其他材料；格式自拟</w:t>
      </w:r>
    </w:p>
    <w:p>
      <w:pPr>
        <w:snapToGrid w:val="0"/>
        <w:spacing w:line="360" w:lineRule="exact"/>
        <w:ind w:left="1042" w:leftChars="246" w:hanging="525" w:hangingChars="250"/>
        <w:jc w:val="left"/>
        <w:rPr>
          <w:rFonts w:hint="eastAsia" w:ascii="宋体" w:hAnsi="宋体"/>
          <w:color w:val="auto"/>
          <w:szCs w:val="21"/>
          <w:highlight w:val="none"/>
        </w:rPr>
      </w:pPr>
      <w:r>
        <w:rPr>
          <w:rFonts w:hint="eastAsia" w:ascii="宋体" w:hAnsi="宋体"/>
          <w:color w:val="auto"/>
          <w:szCs w:val="21"/>
          <w:highlight w:val="none"/>
        </w:rPr>
        <w:t>（19）投标人关于产品生产时间、升级或者更新淘汰计划、配件供应以及本单位债务纠纷、违法违规记录等方面的情况（内容见投标声明书）；</w:t>
      </w:r>
    </w:p>
    <w:p>
      <w:pPr>
        <w:snapToGrid w:val="0"/>
        <w:spacing w:line="360" w:lineRule="exact"/>
        <w:ind w:firstLine="516" w:firstLineChars="246"/>
        <w:jc w:val="left"/>
        <w:rPr>
          <w:rFonts w:hint="eastAsia" w:ascii="宋体" w:hAnsi="宋体"/>
          <w:color w:val="auto"/>
          <w:szCs w:val="21"/>
          <w:highlight w:val="none"/>
        </w:rPr>
      </w:pPr>
      <w:r>
        <w:rPr>
          <w:rFonts w:hint="eastAsia" w:ascii="宋体" w:hAnsi="宋体"/>
          <w:color w:val="auto"/>
          <w:szCs w:val="21"/>
          <w:highlight w:val="none"/>
        </w:rPr>
        <w:t>（20）投标人情况介绍。（主要产品、技术力量、生产规模、经营业绩等，格式自拟）</w:t>
      </w:r>
    </w:p>
    <w:p>
      <w:pPr>
        <w:snapToGrid w:val="0"/>
        <w:spacing w:line="360" w:lineRule="exact"/>
        <w:ind w:firstLine="516" w:firstLineChars="246"/>
        <w:jc w:val="left"/>
        <w:rPr>
          <w:rFonts w:hint="eastAsia" w:ascii="宋体" w:hAnsi="宋体"/>
          <w:color w:val="auto"/>
          <w:szCs w:val="21"/>
          <w:highlight w:val="none"/>
        </w:rPr>
      </w:pPr>
      <w:r>
        <w:rPr>
          <w:rFonts w:hint="eastAsia" w:ascii="宋体" w:hAnsi="宋体"/>
          <w:color w:val="auto"/>
          <w:szCs w:val="21"/>
          <w:highlight w:val="none"/>
        </w:rPr>
        <w:t>（21）中小企业声明函（如有，请提供）</w:t>
      </w:r>
    </w:p>
    <w:p>
      <w:pPr>
        <w:snapToGrid w:val="0"/>
        <w:spacing w:line="360" w:lineRule="exact"/>
        <w:ind w:firstLine="518" w:firstLineChars="246"/>
        <w:jc w:val="left"/>
        <w:rPr>
          <w:rFonts w:hint="eastAsia" w:ascii="宋体" w:hAnsi="宋体" w:cs="宋体"/>
          <w:color w:val="auto"/>
          <w:kern w:val="0"/>
          <w:szCs w:val="21"/>
          <w:highlight w:val="none"/>
        </w:rPr>
      </w:pPr>
      <w:r>
        <w:rPr>
          <w:rFonts w:hint="eastAsia" w:ascii="宋体" w:hAnsi="宋体"/>
          <w:b/>
          <w:color w:val="auto"/>
          <w:szCs w:val="21"/>
          <w:highlight w:val="none"/>
        </w:rPr>
        <w:t xml:space="preserve"> </w:t>
      </w:r>
      <w:r>
        <w:rPr>
          <w:rFonts w:hint="eastAsia" w:ascii="宋体" w:hAnsi="宋体" w:cs="宋体"/>
          <w:color w:val="auto"/>
          <w:kern w:val="0"/>
          <w:szCs w:val="21"/>
          <w:highlight w:val="none"/>
        </w:rPr>
        <w:t xml:space="preserve">                             </w:t>
      </w:r>
    </w:p>
    <w:p>
      <w:pPr>
        <w:snapToGrid w:val="0"/>
        <w:spacing w:line="360" w:lineRule="exact"/>
        <w:ind w:firstLine="3141" w:firstLineChars="1496"/>
        <w:jc w:val="left"/>
        <w:rPr>
          <w:rFonts w:ascii="宋体" w:hAnsi="宋体"/>
          <w:color w:val="auto"/>
          <w:sz w:val="28"/>
          <w:szCs w:val="28"/>
          <w:highlight w:val="none"/>
        </w:rPr>
      </w:pPr>
      <w:r>
        <w:rPr>
          <w:rFonts w:hint="eastAsia" w:ascii="宋体" w:hAnsi="宋体" w:cs="宋体"/>
          <w:color w:val="auto"/>
          <w:kern w:val="0"/>
          <w:szCs w:val="21"/>
          <w:highlight w:val="none"/>
        </w:rPr>
        <w:t xml:space="preserve"> </w:t>
      </w:r>
      <w:r>
        <w:rPr>
          <w:rFonts w:ascii="宋体" w:hAnsi="宋体" w:cs="宋体"/>
          <w:color w:val="auto"/>
          <w:kern w:val="0"/>
          <w:sz w:val="28"/>
          <w:szCs w:val="28"/>
          <w:highlight w:val="none"/>
        </w:rPr>
        <w:t>中小企业声明函</w:t>
      </w:r>
    </w:p>
    <w:p>
      <w:pPr>
        <w:pStyle w:val="114"/>
        <w:spacing w:line="506" w:lineRule="exact"/>
        <w:ind w:firstLine="640"/>
        <w:jc w:val="both"/>
        <w:rPr>
          <w:color w:val="auto"/>
          <w:sz w:val="21"/>
          <w:szCs w:val="21"/>
          <w:highlight w:val="none"/>
        </w:rPr>
      </w:pPr>
      <w:r>
        <w:rPr>
          <w:color w:val="auto"/>
          <w:sz w:val="21"/>
          <w:szCs w:val="21"/>
          <w:highlight w:val="none"/>
        </w:rPr>
        <w:t>本公司（联合体）郑重声明，根据《政府采购促进中小企业发展管理办法》（财库〔2020〕46号）的规定，本公司 （联合体）参加</w:t>
      </w:r>
      <w:r>
        <w:rPr>
          <w:color w:val="auto"/>
          <w:sz w:val="21"/>
          <w:szCs w:val="21"/>
          <w:highlight w:val="none"/>
          <w:u w:val="single"/>
        </w:rPr>
        <w:t>（单位名称）</w:t>
      </w:r>
      <w:r>
        <w:rPr>
          <w:color w:val="auto"/>
          <w:sz w:val="21"/>
          <w:szCs w:val="21"/>
          <w:highlight w:val="none"/>
        </w:rPr>
        <w:t>的</w:t>
      </w:r>
      <w:r>
        <w:rPr>
          <w:color w:val="auto"/>
          <w:sz w:val="21"/>
          <w:szCs w:val="21"/>
          <w:highlight w:val="none"/>
          <w:u w:val="single"/>
        </w:rPr>
        <w:t>（项目名称）</w:t>
      </w:r>
      <w:r>
        <w:rPr>
          <w:color w:val="auto"/>
          <w:sz w:val="21"/>
          <w:szCs w:val="21"/>
          <w:highlight w:val="none"/>
        </w:rPr>
        <w:t>釆购活动,提供的货物全部由符合政策要求的中小企业制造。相关企业（含联合体中的中小企业、签订分包意向协议的中小企业）的具体情况如下</w:t>
      </w:r>
      <w:bookmarkStart w:id="323" w:name="bookmark1"/>
      <w:bookmarkEnd w:id="323"/>
      <w:r>
        <w:rPr>
          <w:rFonts w:hint="eastAsia"/>
          <w:color w:val="auto"/>
          <w:sz w:val="21"/>
          <w:szCs w:val="21"/>
          <w:highlight w:val="none"/>
        </w:rPr>
        <w:t>：</w:t>
      </w:r>
    </w:p>
    <w:p>
      <w:pPr>
        <w:pStyle w:val="114"/>
        <w:spacing w:line="506" w:lineRule="exact"/>
        <w:ind w:firstLine="640"/>
        <w:jc w:val="both"/>
        <w:rPr>
          <w:color w:val="auto"/>
          <w:sz w:val="21"/>
          <w:szCs w:val="21"/>
          <w:highlight w:val="none"/>
        </w:rPr>
      </w:pPr>
      <w:r>
        <w:rPr>
          <w:rFonts w:hint="eastAsia"/>
          <w:color w:val="auto"/>
          <w:sz w:val="21"/>
          <w:szCs w:val="21"/>
          <w:highlight w:val="none"/>
        </w:rPr>
        <w:t>1.</w:t>
      </w:r>
      <w:r>
        <w:rPr>
          <w:rFonts w:hint="eastAsia"/>
          <w:color w:val="auto"/>
          <w:sz w:val="21"/>
          <w:szCs w:val="21"/>
          <w:highlight w:val="none"/>
          <w:u w:val="single"/>
        </w:rPr>
        <w:t xml:space="preserve">     （</w:t>
      </w:r>
      <w:r>
        <w:rPr>
          <w:color w:val="auto"/>
          <w:sz w:val="21"/>
          <w:szCs w:val="21"/>
          <w:highlight w:val="none"/>
          <w:u w:val="single"/>
        </w:rPr>
        <w:t>标的名称</w:t>
      </w:r>
      <w:r>
        <w:rPr>
          <w:rFonts w:hint="eastAsia"/>
          <w:color w:val="auto"/>
          <w:sz w:val="21"/>
          <w:szCs w:val="21"/>
          <w:highlight w:val="none"/>
          <w:u w:val="single"/>
        </w:rPr>
        <w:t>）</w:t>
      </w:r>
      <w:r>
        <w:rPr>
          <w:rFonts w:hint="eastAsia"/>
          <w:color w:val="auto"/>
          <w:sz w:val="21"/>
          <w:szCs w:val="21"/>
          <w:highlight w:val="none"/>
        </w:rPr>
        <w:t>，</w:t>
      </w:r>
      <w:r>
        <w:rPr>
          <w:color w:val="auto"/>
          <w:sz w:val="21"/>
          <w:szCs w:val="21"/>
          <w:highlight w:val="none"/>
        </w:rPr>
        <w:t>属于</w:t>
      </w:r>
      <w:r>
        <w:rPr>
          <w:rFonts w:hint="eastAsia"/>
          <w:color w:val="auto"/>
          <w:sz w:val="21"/>
          <w:szCs w:val="21"/>
          <w:highlight w:val="none"/>
          <w:u w:val="single"/>
        </w:rPr>
        <w:t xml:space="preserve">     </w:t>
      </w:r>
      <w:r>
        <w:rPr>
          <w:color w:val="auto"/>
          <w:sz w:val="21"/>
          <w:szCs w:val="21"/>
          <w:highlight w:val="none"/>
          <w:u w:val="single"/>
        </w:rPr>
        <w:t>（釆购文件中明确的所属行业）行业</w:t>
      </w:r>
      <w:r>
        <w:rPr>
          <w:rFonts w:hint="eastAsia"/>
          <w:color w:val="auto"/>
          <w:sz w:val="21"/>
          <w:szCs w:val="21"/>
          <w:highlight w:val="none"/>
        </w:rPr>
        <w:t>；</w:t>
      </w:r>
      <w:r>
        <w:rPr>
          <w:color w:val="auto"/>
          <w:sz w:val="21"/>
          <w:szCs w:val="21"/>
          <w:highlight w:val="none"/>
        </w:rPr>
        <w:t>制造商为</w:t>
      </w:r>
      <w:r>
        <w:rPr>
          <w:color w:val="auto"/>
          <w:sz w:val="21"/>
          <w:szCs w:val="21"/>
          <w:highlight w:val="none"/>
          <w:u w:val="single"/>
        </w:rPr>
        <w:t>（企业名称）</w:t>
      </w:r>
      <w:r>
        <w:rPr>
          <w:rFonts w:hint="eastAsia"/>
          <w:color w:val="auto"/>
          <w:sz w:val="21"/>
          <w:szCs w:val="21"/>
          <w:highlight w:val="none"/>
        </w:rPr>
        <w:t>，</w:t>
      </w:r>
      <w:r>
        <w:rPr>
          <w:color w:val="auto"/>
          <w:sz w:val="21"/>
          <w:szCs w:val="21"/>
          <w:highlight w:val="none"/>
        </w:rPr>
        <w:t>从业人员</w:t>
      </w:r>
      <w:r>
        <w:rPr>
          <w:rFonts w:hint="eastAsia"/>
          <w:color w:val="auto"/>
          <w:sz w:val="21"/>
          <w:szCs w:val="21"/>
          <w:highlight w:val="none"/>
          <w:u w:val="single"/>
        </w:rPr>
        <w:t xml:space="preserve"> </w:t>
      </w:r>
      <w:r>
        <w:rPr>
          <w:color w:val="auto"/>
          <w:sz w:val="21"/>
          <w:szCs w:val="21"/>
          <w:highlight w:val="none"/>
          <w:u w:val="single"/>
        </w:rPr>
        <w:tab/>
      </w:r>
      <w:r>
        <w:rPr>
          <w:color w:val="auto"/>
          <w:sz w:val="21"/>
          <w:szCs w:val="21"/>
          <w:highlight w:val="none"/>
        </w:rPr>
        <w:t>人，营业收入为</w:t>
      </w:r>
      <w:r>
        <w:rPr>
          <w:rFonts w:hint="eastAsia"/>
          <w:color w:val="auto"/>
          <w:sz w:val="21"/>
          <w:szCs w:val="21"/>
          <w:highlight w:val="none"/>
          <w:u w:val="single"/>
        </w:rPr>
        <w:t xml:space="preserve">    </w:t>
      </w:r>
      <w:r>
        <w:rPr>
          <w:color w:val="auto"/>
          <w:sz w:val="21"/>
          <w:szCs w:val="21"/>
          <w:highlight w:val="none"/>
        </w:rPr>
        <w:t>万元，资产总额为</w:t>
      </w:r>
      <w:r>
        <w:rPr>
          <w:rFonts w:hint="eastAsia"/>
          <w:color w:val="auto"/>
          <w:sz w:val="21"/>
          <w:szCs w:val="21"/>
          <w:highlight w:val="none"/>
          <w:u w:val="single"/>
        </w:rPr>
        <w:t xml:space="preserve">     </w:t>
      </w:r>
      <w:r>
        <w:rPr>
          <w:color w:val="auto"/>
          <w:sz w:val="21"/>
          <w:szCs w:val="21"/>
          <w:highlight w:val="none"/>
        </w:rPr>
        <w:t>万元</w:t>
      </w:r>
      <w:r>
        <w:rPr>
          <w:rFonts w:hint="eastAsia"/>
          <w:color w:val="auto"/>
          <w:sz w:val="21"/>
          <w:szCs w:val="21"/>
          <w:highlight w:val="none"/>
        </w:rPr>
        <w:t>，</w:t>
      </w:r>
      <w:r>
        <w:rPr>
          <w:color w:val="auto"/>
          <w:sz w:val="21"/>
          <w:szCs w:val="21"/>
          <w:highlight w:val="none"/>
        </w:rPr>
        <w:t>属于</w:t>
      </w:r>
      <w:r>
        <w:rPr>
          <w:color w:val="auto"/>
          <w:sz w:val="21"/>
          <w:szCs w:val="21"/>
          <w:highlight w:val="none"/>
          <w:u w:val="single"/>
        </w:rPr>
        <w:t>（中型企业、小型企业、微型企业）</w:t>
      </w:r>
      <w:r>
        <w:rPr>
          <w:rFonts w:hint="eastAsia"/>
          <w:color w:val="auto"/>
          <w:sz w:val="21"/>
          <w:szCs w:val="21"/>
          <w:highlight w:val="none"/>
        </w:rPr>
        <w:t>；</w:t>
      </w:r>
      <w:r>
        <w:rPr>
          <w:color w:val="auto"/>
          <w:sz w:val="21"/>
          <w:szCs w:val="21"/>
          <w:highlight w:val="none"/>
        </w:rPr>
        <w:t xml:space="preserve"> </w:t>
      </w:r>
    </w:p>
    <w:p>
      <w:pPr>
        <w:pStyle w:val="114"/>
        <w:spacing w:line="506" w:lineRule="exact"/>
        <w:ind w:firstLine="640"/>
        <w:jc w:val="both"/>
        <w:rPr>
          <w:color w:val="auto"/>
          <w:sz w:val="21"/>
          <w:szCs w:val="21"/>
          <w:highlight w:val="none"/>
        </w:rPr>
      </w:pPr>
      <w:r>
        <w:rPr>
          <w:rFonts w:hint="eastAsia"/>
          <w:color w:val="auto"/>
          <w:sz w:val="21"/>
          <w:szCs w:val="21"/>
          <w:highlight w:val="none"/>
        </w:rPr>
        <w:t>2.</w:t>
      </w:r>
      <w:r>
        <w:rPr>
          <w:rFonts w:hint="eastAsia"/>
          <w:color w:val="auto"/>
          <w:sz w:val="21"/>
          <w:szCs w:val="21"/>
          <w:highlight w:val="none"/>
          <w:u w:val="single"/>
        </w:rPr>
        <w:t xml:space="preserve">    </w:t>
      </w:r>
      <w:r>
        <w:rPr>
          <w:color w:val="auto"/>
          <w:sz w:val="21"/>
          <w:szCs w:val="21"/>
          <w:highlight w:val="none"/>
          <w:u w:val="single"/>
        </w:rPr>
        <w:t>（标的名称）</w:t>
      </w:r>
      <w:r>
        <w:rPr>
          <w:rFonts w:hint="eastAsia"/>
          <w:color w:val="auto"/>
          <w:sz w:val="21"/>
          <w:szCs w:val="21"/>
          <w:highlight w:val="none"/>
        </w:rPr>
        <w:t>，</w:t>
      </w:r>
      <w:r>
        <w:rPr>
          <w:color w:val="auto"/>
          <w:sz w:val="21"/>
          <w:szCs w:val="21"/>
          <w:highlight w:val="none"/>
        </w:rPr>
        <w:t>属于</w:t>
      </w:r>
      <w:r>
        <w:rPr>
          <w:rFonts w:hint="eastAsia"/>
          <w:color w:val="auto"/>
          <w:sz w:val="21"/>
          <w:szCs w:val="21"/>
          <w:highlight w:val="none"/>
          <w:u w:val="single"/>
        </w:rPr>
        <w:t xml:space="preserve">     </w:t>
      </w:r>
      <w:r>
        <w:rPr>
          <w:color w:val="auto"/>
          <w:sz w:val="21"/>
          <w:szCs w:val="21"/>
          <w:highlight w:val="none"/>
          <w:u w:val="single"/>
        </w:rPr>
        <w:t>（釆购文件中明确的所属行业）行业</w:t>
      </w:r>
      <w:r>
        <w:rPr>
          <w:rFonts w:hint="eastAsia"/>
          <w:color w:val="auto"/>
          <w:sz w:val="21"/>
          <w:szCs w:val="21"/>
          <w:highlight w:val="none"/>
        </w:rPr>
        <w:t>；</w:t>
      </w:r>
      <w:r>
        <w:rPr>
          <w:color w:val="auto"/>
          <w:sz w:val="21"/>
          <w:szCs w:val="21"/>
          <w:highlight w:val="none"/>
        </w:rPr>
        <w:t>制造商为</w:t>
      </w:r>
      <w:r>
        <w:rPr>
          <w:color w:val="auto"/>
          <w:sz w:val="21"/>
          <w:szCs w:val="21"/>
          <w:highlight w:val="none"/>
          <w:u w:val="single"/>
        </w:rPr>
        <w:t>（企业名称）</w:t>
      </w:r>
      <w:r>
        <w:rPr>
          <w:color w:val="auto"/>
          <w:sz w:val="21"/>
          <w:szCs w:val="21"/>
          <w:highlight w:val="none"/>
        </w:rPr>
        <w:t>、从业人员</w:t>
      </w:r>
      <w:r>
        <w:rPr>
          <w:color w:val="auto"/>
          <w:sz w:val="21"/>
          <w:szCs w:val="21"/>
          <w:highlight w:val="none"/>
          <w:u w:val="single"/>
        </w:rPr>
        <w:tab/>
      </w:r>
      <w:r>
        <w:rPr>
          <w:color w:val="auto"/>
          <w:sz w:val="21"/>
          <w:szCs w:val="21"/>
          <w:highlight w:val="none"/>
        </w:rPr>
        <w:t>人，营业收入为</w:t>
      </w:r>
      <w:r>
        <w:rPr>
          <w:rFonts w:hint="eastAsia"/>
          <w:color w:val="auto"/>
          <w:sz w:val="21"/>
          <w:szCs w:val="21"/>
          <w:highlight w:val="none"/>
          <w:u w:val="single"/>
        </w:rPr>
        <w:t xml:space="preserve">    </w:t>
      </w:r>
      <w:r>
        <w:rPr>
          <w:color w:val="auto"/>
          <w:sz w:val="21"/>
          <w:szCs w:val="21"/>
          <w:highlight w:val="none"/>
        </w:rPr>
        <w:t>万元，资产总额为</w:t>
      </w:r>
      <w:r>
        <w:rPr>
          <w:rFonts w:hint="eastAsia"/>
          <w:color w:val="auto"/>
          <w:sz w:val="21"/>
          <w:szCs w:val="21"/>
          <w:highlight w:val="none"/>
          <w:u w:val="single"/>
        </w:rPr>
        <w:t xml:space="preserve">    </w:t>
      </w:r>
      <w:r>
        <w:rPr>
          <w:color w:val="auto"/>
          <w:sz w:val="21"/>
          <w:szCs w:val="21"/>
          <w:highlight w:val="none"/>
        </w:rPr>
        <w:t>万元，属于</w:t>
      </w:r>
      <w:r>
        <w:rPr>
          <w:color w:val="auto"/>
          <w:sz w:val="21"/>
          <w:szCs w:val="21"/>
          <w:highlight w:val="none"/>
          <w:u w:val="single"/>
        </w:rPr>
        <w:t>（中型企业、小型 企业、微型企业）</w:t>
      </w:r>
      <w:r>
        <w:rPr>
          <w:rFonts w:hint="eastAsia"/>
          <w:color w:val="auto"/>
          <w:sz w:val="21"/>
          <w:szCs w:val="21"/>
          <w:highlight w:val="none"/>
        </w:rPr>
        <w:t>；</w:t>
      </w:r>
    </w:p>
    <w:p>
      <w:pPr>
        <w:pStyle w:val="114"/>
        <w:spacing w:line="506" w:lineRule="exact"/>
        <w:ind w:firstLine="640"/>
        <w:jc w:val="both"/>
        <w:rPr>
          <w:color w:val="auto"/>
          <w:sz w:val="21"/>
          <w:szCs w:val="21"/>
          <w:highlight w:val="none"/>
        </w:rPr>
      </w:pPr>
      <w:r>
        <w:rPr>
          <w:rFonts w:hint="eastAsia"/>
          <w:color w:val="auto"/>
          <w:sz w:val="21"/>
          <w:szCs w:val="21"/>
          <w:highlight w:val="none"/>
        </w:rPr>
        <w:t>......</w:t>
      </w:r>
    </w:p>
    <w:p>
      <w:pPr>
        <w:pStyle w:val="114"/>
        <w:spacing w:line="499" w:lineRule="exact"/>
        <w:ind w:firstLine="640"/>
        <w:jc w:val="both"/>
        <w:rPr>
          <w:color w:val="auto"/>
          <w:sz w:val="21"/>
          <w:szCs w:val="21"/>
          <w:highlight w:val="none"/>
        </w:rPr>
      </w:pPr>
      <w:r>
        <w:rPr>
          <w:color w:val="auto"/>
          <w:sz w:val="21"/>
          <w:szCs w:val="21"/>
          <w:highlight w:val="none"/>
        </w:rPr>
        <w:t>以上企业，不属于大企业的分支机构，不存在控股股东为大企业的情形，也不存在与大企业的负责人为同一人的情形。</w:t>
      </w:r>
    </w:p>
    <w:p>
      <w:pPr>
        <w:pStyle w:val="114"/>
        <w:spacing w:after="40" w:line="499" w:lineRule="exact"/>
        <w:ind w:firstLine="640"/>
        <w:jc w:val="both"/>
        <w:rPr>
          <w:rFonts w:hint="eastAsia"/>
          <w:color w:val="auto"/>
          <w:sz w:val="21"/>
          <w:szCs w:val="21"/>
          <w:highlight w:val="none"/>
        </w:rPr>
      </w:pPr>
      <w:r>
        <w:rPr>
          <w:color w:val="auto"/>
          <w:sz w:val="21"/>
          <w:szCs w:val="21"/>
          <w:highlight w:val="none"/>
        </w:rPr>
        <w:t>本企业对上述声明内容的真实性</w:t>
      </w:r>
      <w:r>
        <w:rPr>
          <w:rFonts w:hint="eastAsia"/>
          <w:color w:val="auto"/>
          <w:sz w:val="21"/>
          <w:szCs w:val="21"/>
          <w:highlight w:val="none"/>
        </w:rPr>
        <w:t>负责</w:t>
      </w:r>
      <w:r>
        <w:rPr>
          <w:color w:val="auto"/>
          <w:sz w:val="21"/>
          <w:szCs w:val="21"/>
          <w:highlight w:val="none"/>
        </w:rPr>
        <w:t>。如有虚假，将依法承担相应责任。</w:t>
      </w:r>
    </w:p>
    <w:p>
      <w:pPr>
        <w:pStyle w:val="114"/>
        <w:spacing w:after="40" w:line="499" w:lineRule="exact"/>
        <w:ind w:firstLine="640"/>
        <w:jc w:val="both"/>
        <w:rPr>
          <w:color w:val="auto"/>
          <w:sz w:val="21"/>
          <w:szCs w:val="21"/>
          <w:highlight w:val="none"/>
        </w:rPr>
      </w:pPr>
    </w:p>
    <w:p>
      <w:pPr>
        <w:pStyle w:val="114"/>
        <w:spacing w:line="506" w:lineRule="exact"/>
        <w:ind w:firstLine="640"/>
        <w:jc w:val="both"/>
        <w:rPr>
          <w:color w:val="auto"/>
          <w:sz w:val="21"/>
          <w:szCs w:val="21"/>
          <w:highlight w:val="none"/>
        </w:rPr>
      </w:pPr>
      <w:r>
        <w:rPr>
          <w:rFonts w:hint="eastAsia"/>
          <w:color w:val="auto"/>
          <w:sz w:val="21"/>
          <w:szCs w:val="21"/>
          <w:highlight w:val="none"/>
        </w:rPr>
        <w:t xml:space="preserve">                          </w:t>
      </w:r>
      <w:r>
        <w:rPr>
          <w:color w:val="auto"/>
          <w:sz w:val="21"/>
          <w:szCs w:val="21"/>
          <w:highlight w:val="none"/>
        </w:rPr>
        <w:t>企业名称（盖章）：</w:t>
      </w:r>
    </w:p>
    <w:p>
      <w:pPr>
        <w:pStyle w:val="114"/>
        <w:spacing w:line="506" w:lineRule="exact"/>
        <w:ind w:firstLine="640"/>
        <w:jc w:val="both"/>
        <w:rPr>
          <w:color w:val="auto"/>
          <w:sz w:val="21"/>
          <w:szCs w:val="21"/>
          <w:highlight w:val="none"/>
        </w:rPr>
      </w:pPr>
      <w:r>
        <w:rPr>
          <w:rFonts w:hint="eastAsia"/>
          <w:color w:val="auto"/>
          <w:sz w:val="21"/>
          <w:szCs w:val="21"/>
          <w:highlight w:val="none"/>
        </w:rPr>
        <w:t xml:space="preserve">                          日期：</w:t>
      </w:r>
    </w:p>
    <w:p>
      <w:pPr>
        <w:pStyle w:val="131"/>
        <w:spacing w:after="0"/>
        <w:rPr>
          <w:rFonts w:hint="eastAsia"/>
          <w:color w:val="auto"/>
          <w:sz w:val="21"/>
          <w:szCs w:val="21"/>
          <w:highlight w:val="none"/>
        </w:rPr>
      </w:pPr>
    </w:p>
    <w:p>
      <w:pPr>
        <w:pStyle w:val="131"/>
        <w:spacing w:after="0"/>
        <w:rPr>
          <w:rFonts w:hint="eastAsia"/>
          <w:color w:val="auto"/>
          <w:highlight w:val="none"/>
        </w:rPr>
      </w:pPr>
    </w:p>
    <w:p>
      <w:pPr>
        <w:pStyle w:val="131"/>
        <w:adjustRightInd w:val="0"/>
        <w:snapToGrid w:val="0"/>
        <w:spacing w:after="0" w:line="360" w:lineRule="exact"/>
        <w:jc w:val="left"/>
        <w:rPr>
          <w:rFonts w:hint="eastAsia"/>
          <w:color w:val="auto"/>
          <w:sz w:val="21"/>
          <w:szCs w:val="21"/>
          <w:highlight w:val="none"/>
        </w:rPr>
      </w:pPr>
      <w:r>
        <w:rPr>
          <w:rFonts w:hint="eastAsia"/>
          <w:color w:val="auto"/>
          <w:sz w:val="21"/>
          <w:szCs w:val="21"/>
          <w:highlight w:val="none"/>
        </w:rPr>
        <w:t>备注：</w:t>
      </w:r>
    </w:p>
    <w:p>
      <w:pPr>
        <w:pStyle w:val="131"/>
        <w:adjustRightInd w:val="0"/>
        <w:snapToGrid w:val="0"/>
        <w:spacing w:after="0" w:line="360" w:lineRule="exact"/>
        <w:jc w:val="left"/>
        <w:rPr>
          <w:rFonts w:hint="eastAsia"/>
          <w:color w:val="auto"/>
          <w:sz w:val="21"/>
          <w:szCs w:val="21"/>
          <w:highlight w:val="none"/>
        </w:rPr>
      </w:pPr>
      <w:r>
        <w:rPr>
          <w:rFonts w:hint="eastAsia"/>
          <w:color w:val="auto"/>
          <w:sz w:val="21"/>
          <w:szCs w:val="21"/>
          <w:highlight w:val="none"/>
        </w:rPr>
        <w:t>1、从业人员、营业收入、资产总额填报上一年度数据，无上一年度数据的新成立企业可不填报。</w:t>
      </w:r>
    </w:p>
    <w:p>
      <w:pPr>
        <w:pStyle w:val="131"/>
        <w:adjustRightInd w:val="0"/>
        <w:snapToGrid w:val="0"/>
        <w:spacing w:after="0" w:line="360" w:lineRule="exact"/>
        <w:jc w:val="left"/>
        <w:rPr>
          <w:rFonts w:hint="eastAsia"/>
          <w:color w:val="auto"/>
          <w:sz w:val="21"/>
          <w:szCs w:val="21"/>
          <w:highlight w:val="none"/>
        </w:rPr>
      </w:pPr>
      <w:r>
        <w:rPr>
          <w:rFonts w:hint="eastAsia"/>
          <w:color w:val="auto"/>
          <w:sz w:val="21"/>
          <w:szCs w:val="21"/>
          <w:highlight w:val="none"/>
        </w:rPr>
        <w:t>2、采购文件中明确的所属行业名称是根据《关于印发中小企业划型标准规定的通知》（工信部联企业[2011]300号）规定确定。</w:t>
      </w:r>
    </w:p>
    <w:p>
      <w:pPr>
        <w:pStyle w:val="131"/>
        <w:spacing w:after="0"/>
        <w:rPr>
          <w:rFonts w:hint="eastAsia"/>
          <w:color w:val="auto"/>
          <w:sz w:val="21"/>
          <w:szCs w:val="21"/>
          <w:highlight w:val="none"/>
        </w:rPr>
      </w:pPr>
    </w:p>
    <w:p>
      <w:pPr>
        <w:snapToGrid w:val="0"/>
        <w:spacing w:line="360" w:lineRule="exact"/>
        <w:ind w:firstLine="206" w:firstLineChars="98"/>
        <w:jc w:val="left"/>
        <w:rPr>
          <w:rFonts w:hint="eastAsia" w:ascii="宋体" w:hAnsi="宋体"/>
          <w:b/>
          <w:color w:val="auto"/>
          <w:szCs w:val="21"/>
          <w:highlight w:val="none"/>
        </w:rPr>
      </w:pPr>
    </w:p>
    <w:p>
      <w:pPr>
        <w:snapToGrid w:val="0"/>
        <w:spacing w:line="360" w:lineRule="exact"/>
        <w:ind w:firstLine="206" w:firstLineChars="98"/>
        <w:jc w:val="left"/>
        <w:rPr>
          <w:rFonts w:hint="eastAsia" w:ascii="宋体" w:hAnsi="宋体"/>
          <w:b/>
          <w:color w:val="auto"/>
          <w:szCs w:val="21"/>
          <w:highlight w:val="none"/>
        </w:rPr>
      </w:pPr>
    </w:p>
    <w:p>
      <w:pPr>
        <w:snapToGrid w:val="0"/>
        <w:spacing w:line="360" w:lineRule="exact"/>
        <w:ind w:firstLine="206" w:firstLineChars="98"/>
        <w:jc w:val="left"/>
        <w:rPr>
          <w:rFonts w:hint="eastAsia" w:ascii="宋体" w:hAnsi="宋体"/>
          <w:b/>
          <w:color w:val="auto"/>
          <w:szCs w:val="21"/>
          <w:highlight w:val="none"/>
        </w:rPr>
      </w:pPr>
    </w:p>
    <w:p>
      <w:pPr>
        <w:snapToGrid w:val="0"/>
        <w:spacing w:line="360" w:lineRule="exact"/>
        <w:ind w:firstLine="206" w:firstLineChars="98"/>
        <w:jc w:val="left"/>
        <w:rPr>
          <w:rFonts w:hint="eastAsia" w:ascii="宋体" w:hAnsi="宋体"/>
          <w:b/>
          <w:color w:val="auto"/>
          <w:szCs w:val="21"/>
          <w:highlight w:val="none"/>
        </w:rPr>
      </w:pPr>
    </w:p>
    <w:p>
      <w:pPr>
        <w:snapToGrid w:val="0"/>
        <w:spacing w:line="360" w:lineRule="exact"/>
        <w:ind w:firstLine="206" w:firstLineChars="98"/>
        <w:jc w:val="left"/>
        <w:rPr>
          <w:rFonts w:hint="eastAsia" w:ascii="宋体" w:hAnsi="宋体"/>
          <w:b/>
          <w:color w:val="auto"/>
          <w:szCs w:val="21"/>
          <w:highlight w:val="none"/>
        </w:rPr>
      </w:pPr>
    </w:p>
    <w:p>
      <w:pPr>
        <w:snapToGrid w:val="0"/>
        <w:spacing w:line="360" w:lineRule="exact"/>
        <w:ind w:firstLine="206" w:firstLineChars="98"/>
        <w:jc w:val="left"/>
        <w:rPr>
          <w:rFonts w:hint="eastAsia" w:ascii="宋体" w:hAnsi="宋体"/>
          <w:b/>
          <w:color w:val="auto"/>
          <w:szCs w:val="21"/>
          <w:highlight w:val="none"/>
        </w:rPr>
      </w:pPr>
    </w:p>
    <w:p>
      <w:pPr>
        <w:snapToGrid w:val="0"/>
        <w:spacing w:line="360" w:lineRule="exact"/>
        <w:ind w:firstLine="206" w:firstLineChars="98"/>
        <w:jc w:val="left"/>
        <w:rPr>
          <w:rFonts w:hint="eastAsia" w:ascii="宋体" w:hAnsi="宋体"/>
          <w:b/>
          <w:color w:val="auto"/>
          <w:szCs w:val="21"/>
          <w:highlight w:val="none"/>
        </w:rPr>
      </w:pPr>
    </w:p>
    <w:p>
      <w:pPr>
        <w:snapToGrid w:val="0"/>
        <w:spacing w:line="360" w:lineRule="exact"/>
        <w:ind w:firstLine="206" w:firstLineChars="98"/>
        <w:jc w:val="left"/>
        <w:rPr>
          <w:rFonts w:hint="eastAsia" w:ascii="宋体" w:hAnsi="宋体"/>
          <w:b/>
          <w:color w:val="auto"/>
          <w:szCs w:val="21"/>
          <w:highlight w:val="none"/>
        </w:rPr>
      </w:pPr>
    </w:p>
    <w:p>
      <w:pPr>
        <w:snapToGrid w:val="0"/>
        <w:spacing w:line="360" w:lineRule="exact"/>
        <w:ind w:firstLine="206" w:firstLineChars="98"/>
        <w:jc w:val="left"/>
        <w:rPr>
          <w:rFonts w:hint="eastAsia" w:ascii="宋体" w:hAnsi="宋体"/>
          <w:b/>
          <w:color w:val="auto"/>
          <w:szCs w:val="21"/>
          <w:highlight w:val="none"/>
        </w:rPr>
      </w:pPr>
    </w:p>
    <w:p>
      <w:pPr>
        <w:snapToGrid w:val="0"/>
        <w:spacing w:line="360" w:lineRule="exact"/>
        <w:ind w:firstLine="206" w:firstLineChars="98"/>
        <w:jc w:val="left"/>
        <w:rPr>
          <w:rFonts w:hint="eastAsia" w:ascii="宋体" w:hAnsi="宋体"/>
          <w:b/>
          <w:color w:val="auto"/>
          <w:szCs w:val="21"/>
          <w:highlight w:val="none"/>
        </w:rPr>
      </w:pPr>
    </w:p>
    <w:p>
      <w:pPr>
        <w:snapToGrid w:val="0"/>
        <w:spacing w:line="360" w:lineRule="exact"/>
        <w:ind w:firstLine="206" w:firstLineChars="98"/>
        <w:jc w:val="left"/>
        <w:rPr>
          <w:rFonts w:hint="eastAsia" w:ascii="宋体" w:hAnsi="宋体"/>
          <w:b/>
          <w:color w:val="auto"/>
          <w:szCs w:val="21"/>
          <w:highlight w:val="none"/>
        </w:rPr>
      </w:pPr>
    </w:p>
    <w:p>
      <w:pPr>
        <w:snapToGrid w:val="0"/>
        <w:spacing w:line="360" w:lineRule="exact"/>
        <w:ind w:firstLine="206" w:firstLineChars="98"/>
        <w:jc w:val="left"/>
        <w:rPr>
          <w:rFonts w:hint="eastAsia" w:ascii="宋体" w:hAnsi="宋体"/>
          <w:b/>
          <w:color w:val="auto"/>
          <w:szCs w:val="21"/>
          <w:highlight w:val="none"/>
        </w:rPr>
      </w:pPr>
    </w:p>
    <w:p>
      <w:pPr>
        <w:snapToGrid w:val="0"/>
        <w:spacing w:line="360" w:lineRule="exact"/>
        <w:ind w:firstLine="206" w:firstLineChars="98"/>
        <w:jc w:val="left"/>
        <w:rPr>
          <w:rFonts w:hint="eastAsia" w:ascii="宋体" w:hAnsi="宋体"/>
          <w:b/>
          <w:color w:val="auto"/>
          <w:szCs w:val="21"/>
          <w:highlight w:val="none"/>
        </w:rPr>
      </w:pPr>
    </w:p>
    <w:p>
      <w:pPr>
        <w:snapToGrid w:val="0"/>
        <w:spacing w:line="360" w:lineRule="exact"/>
        <w:ind w:firstLine="206" w:firstLineChars="98"/>
        <w:jc w:val="left"/>
        <w:rPr>
          <w:rFonts w:hint="eastAsia" w:ascii="宋体" w:hAnsi="宋体"/>
          <w:b/>
          <w:color w:val="auto"/>
          <w:szCs w:val="21"/>
          <w:highlight w:val="none"/>
        </w:rPr>
      </w:pPr>
    </w:p>
    <w:p>
      <w:pPr>
        <w:snapToGrid w:val="0"/>
        <w:spacing w:line="360" w:lineRule="exact"/>
        <w:ind w:firstLine="206" w:firstLineChars="98"/>
        <w:jc w:val="left"/>
        <w:rPr>
          <w:rFonts w:hint="eastAsia" w:ascii="宋体" w:hAnsi="宋体"/>
          <w:b/>
          <w:color w:val="auto"/>
          <w:szCs w:val="21"/>
          <w:highlight w:val="none"/>
        </w:rPr>
      </w:pPr>
    </w:p>
    <w:p>
      <w:pPr>
        <w:snapToGrid w:val="0"/>
        <w:spacing w:line="360" w:lineRule="exact"/>
        <w:ind w:firstLine="516" w:firstLineChars="246"/>
        <w:jc w:val="left"/>
        <w:rPr>
          <w:rFonts w:hint="eastAsia" w:ascii="宋体" w:hAnsi="宋体"/>
          <w:color w:val="auto"/>
          <w:szCs w:val="21"/>
          <w:highlight w:val="none"/>
        </w:rPr>
      </w:pPr>
    </w:p>
    <w:p>
      <w:pPr>
        <w:snapToGrid w:val="0"/>
        <w:spacing w:line="360" w:lineRule="exact"/>
        <w:jc w:val="left"/>
        <w:rPr>
          <w:rFonts w:hint="eastAsia" w:ascii="宋体" w:hAnsi="宋体"/>
          <w:b/>
          <w:color w:val="auto"/>
          <w:szCs w:val="21"/>
          <w:highlight w:val="none"/>
        </w:rPr>
      </w:pPr>
      <w:r>
        <w:rPr>
          <w:rFonts w:hint="eastAsia" w:ascii="宋体" w:hAnsi="宋体"/>
          <w:color w:val="auto"/>
          <w:szCs w:val="21"/>
          <w:highlight w:val="none"/>
        </w:rPr>
        <w:br w:type="page"/>
      </w:r>
      <w:r>
        <w:rPr>
          <w:rFonts w:hint="eastAsia" w:ascii="宋体" w:hAnsi="宋体"/>
          <w:b/>
          <w:color w:val="auto"/>
          <w:szCs w:val="21"/>
          <w:highlight w:val="none"/>
        </w:rPr>
        <w:t>三）、技术文件部分（格式）</w:t>
      </w:r>
    </w:p>
    <w:p>
      <w:pPr>
        <w:snapToGrid w:val="0"/>
        <w:spacing w:before="50" w:after="156" w:afterLines="50" w:line="360" w:lineRule="exact"/>
        <w:ind w:firstLine="421" w:firstLineChars="200"/>
        <w:jc w:val="left"/>
        <w:rPr>
          <w:rFonts w:hint="eastAsia" w:ascii="宋体" w:hAnsi="宋体"/>
          <w:color w:val="auto"/>
          <w:szCs w:val="21"/>
          <w:highlight w:val="none"/>
        </w:rPr>
      </w:pPr>
      <w:r>
        <w:rPr>
          <w:rFonts w:hint="eastAsia" w:ascii="宋体" w:hAnsi="宋体"/>
          <w:b/>
          <w:color w:val="auto"/>
          <w:szCs w:val="21"/>
          <w:highlight w:val="none"/>
        </w:rPr>
        <w:t>（1）</w:t>
      </w:r>
      <w:r>
        <w:rPr>
          <w:rFonts w:hint="eastAsia" w:ascii="宋体" w:hAnsi="宋体"/>
          <w:color w:val="auto"/>
          <w:szCs w:val="21"/>
          <w:highlight w:val="none"/>
        </w:rPr>
        <w:t>对本项目系统总体要求的理解（包括：功能说明、性能指标、设备选型说明以及质量、性能、价格、外观、体积等方面进行比较和选择的理由和过程，格式自拟）</w:t>
      </w:r>
    </w:p>
    <w:p>
      <w:pPr>
        <w:snapToGrid w:val="0"/>
        <w:spacing w:before="50" w:after="156" w:afterLines="50" w:line="360" w:lineRule="exact"/>
        <w:ind w:firstLine="421" w:firstLineChars="200"/>
        <w:jc w:val="left"/>
        <w:rPr>
          <w:rFonts w:hint="eastAsia" w:ascii="宋体" w:hAnsi="宋体"/>
          <w:b/>
          <w:color w:val="auto"/>
          <w:szCs w:val="21"/>
          <w:highlight w:val="none"/>
        </w:rPr>
      </w:pPr>
      <w:r>
        <w:rPr>
          <w:rFonts w:hint="eastAsia" w:ascii="宋体" w:hAnsi="宋体"/>
          <w:b/>
          <w:color w:val="auto"/>
          <w:szCs w:val="21"/>
          <w:highlight w:val="none"/>
        </w:rPr>
        <w:t>（2）</w:t>
      </w:r>
      <w:r>
        <w:rPr>
          <w:rFonts w:hint="eastAsia" w:ascii="宋体" w:hAnsi="宋体"/>
          <w:color w:val="auto"/>
          <w:szCs w:val="21"/>
          <w:highlight w:val="none"/>
        </w:rPr>
        <w:t>技术响应表格式：</w:t>
      </w:r>
      <w:r>
        <w:rPr>
          <w:rFonts w:hint="eastAsia" w:ascii="宋体" w:hAnsi="宋体"/>
          <w:b/>
          <w:color w:val="auto"/>
          <w:szCs w:val="21"/>
          <w:highlight w:val="none"/>
        </w:rPr>
        <w:t xml:space="preserve"> </w:t>
      </w: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1"/>
        <w:gridCol w:w="3600"/>
        <w:gridCol w:w="3600"/>
        <w:gridCol w:w="15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01" w:type="dxa"/>
            <w:tcBorders>
              <w:top w:val="single" w:color="auto" w:sz="4" w:space="0"/>
              <w:left w:val="single" w:color="auto" w:sz="4" w:space="0"/>
              <w:bottom w:val="single" w:color="auto" w:sz="4" w:space="0"/>
              <w:right w:val="single" w:color="auto" w:sz="4" w:space="0"/>
            </w:tcBorders>
            <w:noWrap w:val="0"/>
            <w:vAlign w:val="center"/>
          </w:tcPr>
          <w:p>
            <w:pPr>
              <w:pStyle w:val="27"/>
              <w:spacing w:line="400" w:lineRule="exact"/>
              <w:jc w:val="center"/>
              <w:rPr>
                <w:rFonts w:hAnsi="宋体"/>
                <w:color w:val="auto"/>
                <w:highlight w:val="none"/>
              </w:rPr>
            </w:pPr>
            <w:r>
              <w:rPr>
                <w:rFonts w:hint="eastAsia" w:hAnsi="宋体"/>
                <w:color w:val="auto"/>
                <w:highlight w:val="none"/>
              </w:rPr>
              <w:t>项号</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pStyle w:val="27"/>
              <w:spacing w:line="400" w:lineRule="exact"/>
              <w:jc w:val="center"/>
              <w:rPr>
                <w:rFonts w:ascii="Times New Roman" w:hAnsi="Times New Roman"/>
                <w:color w:val="auto"/>
                <w:highlight w:val="none"/>
              </w:rPr>
            </w:pPr>
            <w:r>
              <w:rPr>
                <w:rFonts w:hint="eastAsia" w:ascii="Times New Roman" w:hAnsi="Times New Roman"/>
                <w:color w:val="auto"/>
                <w:highlight w:val="none"/>
              </w:rPr>
              <w:t>招标要求</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pStyle w:val="27"/>
              <w:spacing w:line="400" w:lineRule="exact"/>
              <w:jc w:val="center"/>
              <w:rPr>
                <w:rFonts w:ascii="Times New Roman" w:hAnsi="Times New Roman"/>
                <w:color w:val="auto"/>
                <w:highlight w:val="none"/>
              </w:rPr>
            </w:pPr>
            <w:r>
              <w:rPr>
                <w:rFonts w:hint="eastAsia" w:ascii="Times New Roman" w:hAnsi="Times New Roman"/>
                <w:color w:val="auto"/>
                <w:highlight w:val="none"/>
              </w:rPr>
              <w:t>应标情况</w:t>
            </w:r>
          </w:p>
        </w:tc>
        <w:tc>
          <w:tcPr>
            <w:tcW w:w="1573" w:type="dxa"/>
            <w:tcBorders>
              <w:top w:val="single" w:color="auto" w:sz="4" w:space="0"/>
              <w:left w:val="single" w:color="auto" w:sz="4" w:space="0"/>
              <w:bottom w:val="single" w:color="auto" w:sz="4" w:space="0"/>
              <w:right w:val="single" w:color="auto" w:sz="4" w:space="0"/>
            </w:tcBorders>
            <w:noWrap w:val="0"/>
            <w:vAlign w:val="center"/>
          </w:tcPr>
          <w:p>
            <w:pPr>
              <w:pStyle w:val="27"/>
              <w:spacing w:line="400" w:lineRule="exact"/>
              <w:jc w:val="center"/>
              <w:rPr>
                <w:rFonts w:ascii="Times New Roman" w:hAnsi="Times New Roman"/>
                <w:color w:val="auto"/>
                <w:highlight w:val="none"/>
              </w:rPr>
            </w:pPr>
            <w:r>
              <w:rPr>
                <w:rFonts w:hint="eastAsia" w:ascii="Times New Roman" w:hAnsi="Times New Roman"/>
                <w:color w:val="auto"/>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tcBorders>
              <w:top w:val="single" w:color="auto" w:sz="4" w:space="0"/>
              <w:left w:val="single" w:color="auto" w:sz="4" w:space="0"/>
              <w:bottom w:val="single" w:color="auto" w:sz="4" w:space="0"/>
              <w:right w:val="single" w:color="auto" w:sz="4" w:space="0"/>
            </w:tcBorders>
            <w:noWrap w:val="0"/>
            <w:vAlign w:val="top"/>
          </w:tcPr>
          <w:p>
            <w:pPr>
              <w:pStyle w:val="27"/>
              <w:spacing w:line="600" w:lineRule="exact"/>
              <w:ind w:left="5250"/>
              <w:jc w:val="center"/>
              <w:rPr>
                <w:rFonts w:ascii="Times New Roman" w:hAnsi="Times New Roman"/>
                <w:color w:val="auto"/>
                <w:highlight w:val="none"/>
              </w:rPr>
            </w:pPr>
          </w:p>
        </w:tc>
        <w:tc>
          <w:tcPr>
            <w:tcW w:w="3600" w:type="dxa"/>
            <w:tcBorders>
              <w:top w:val="single" w:color="auto" w:sz="4" w:space="0"/>
              <w:left w:val="single" w:color="auto" w:sz="4" w:space="0"/>
              <w:bottom w:val="single" w:color="auto" w:sz="4" w:space="0"/>
              <w:right w:val="single" w:color="auto" w:sz="4" w:space="0"/>
            </w:tcBorders>
            <w:noWrap w:val="0"/>
            <w:vAlign w:val="center"/>
          </w:tcPr>
          <w:p>
            <w:pPr>
              <w:pStyle w:val="27"/>
              <w:spacing w:line="600" w:lineRule="exact"/>
              <w:ind w:left="5250"/>
              <w:jc w:val="center"/>
              <w:rPr>
                <w:rFonts w:ascii="Times New Roman" w:hAnsi="Times New Roman"/>
                <w:color w:val="auto"/>
                <w:highlight w:val="none"/>
              </w:rPr>
            </w:pPr>
          </w:p>
        </w:tc>
        <w:tc>
          <w:tcPr>
            <w:tcW w:w="3600" w:type="dxa"/>
            <w:tcBorders>
              <w:top w:val="single" w:color="auto" w:sz="4" w:space="0"/>
              <w:left w:val="single" w:color="auto" w:sz="4" w:space="0"/>
              <w:bottom w:val="single" w:color="auto" w:sz="4" w:space="0"/>
              <w:right w:val="single" w:color="auto" w:sz="4" w:space="0"/>
            </w:tcBorders>
            <w:noWrap w:val="0"/>
            <w:vAlign w:val="center"/>
          </w:tcPr>
          <w:p>
            <w:pPr>
              <w:pStyle w:val="27"/>
              <w:spacing w:line="600" w:lineRule="exact"/>
              <w:ind w:left="5250"/>
              <w:jc w:val="center"/>
              <w:rPr>
                <w:rFonts w:ascii="Times New Roman" w:hAnsi="Times New Roman"/>
                <w:color w:val="auto"/>
                <w:highlight w:val="none"/>
              </w:rPr>
            </w:pPr>
          </w:p>
        </w:tc>
        <w:tc>
          <w:tcPr>
            <w:tcW w:w="1573" w:type="dxa"/>
            <w:tcBorders>
              <w:top w:val="single" w:color="auto" w:sz="4" w:space="0"/>
              <w:left w:val="single" w:color="auto" w:sz="4" w:space="0"/>
              <w:bottom w:val="single" w:color="auto" w:sz="4" w:space="0"/>
              <w:right w:val="single" w:color="auto" w:sz="4" w:space="0"/>
            </w:tcBorders>
            <w:noWrap w:val="0"/>
            <w:vAlign w:val="center"/>
          </w:tcPr>
          <w:p>
            <w:pPr>
              <w:pStyle w:val="27"/>
              <w:spacing w:line="600" w:lineRule="exact"/>
              <w:ind w:left="5250"/>
              <w:jc w:val="center"/>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tcBorders>
              <w:top w:val="single" w:color="auto" w:sz="4" w:space="0"/>
              <w:left w:val="single" w:color="auto" w:sz="4" w:space="0"/>
              <w:bottom w:val="single" w:color="auto" w:sz="4" w:space="0"/>
              <w:right w:val="single" w:color="auto" w:sz="4" w:space="0"/>
            </w:tcBorders>
            <w:noWrap w:val="0"/>
            <w:vAlign w:val="top"/>
          </w:tcPr>
          <w:p>
            <w:pPr>
              <w:pStyle w:val="27"/>
              <w:spacing w:line="600" w:lineRule="exact"/>
              <w:ind w:left="5250"/>
              <w:rPr>
                <w:rFonts w:ascii="Times New Roman" w:hAnsi="Times New Roman"/>
                <w:color w:val="auto"/>
                <w:highlight w:val="none"/>
              </w:rPr>
            </w:pPr>
          </w:p>
        </w:tc>
        <w:tc>
          <w:tcPr>
            <w:tcW w:w="3600" w:type="dxa"/>
            <w:tcBorders>
              <w:top w:val="single" w:color="auto" w:sz="4" w:space="0"/>
              <w:left w:val="single" w:color="auto" w:sz="4" w:space="0"/>
              <w:bottom w:val="single" w:color="auto" w:sz="4" w:space="0"/>
              <w:right w:val="single" w:color="auto" w:sz="4" w:space="0"/>
            </w:tcBorders>
            <w:noWrap w:val="0"/>
            <w:vAlign w:val="top"/>
          </w:tcPr>
          <w:p>
            <w:pPr>
              <w:pStyle w:val="27"/>
              <w:spacing w:line="600" w:lineRule="exact"/>
              <w:ind w:left="5250"/>
              <w:rPr>
                <w:rFonts w:ascii="Times New Roman" w:hAnsi="Times New Roman"/>
                <w:color w:val="auto"/>
                <w:highlight w:val="none"/>
              </w:rPr>
            </w:pPr>
          </w:p>
        </w:tc>
        <w:tc>
          <w:tcPr>
            <w:tcW w:w="3600" w:type="dxa"/>
            <w:tcBorders>
              <w:top w:val="single" w:color="auto" w:sz="4" w:space="0"/>
              <w:left w:val="single" w:color="auto" w:sz="4" w:space="0"/>
              <w:bottom w:val="single" w:color="auto" w:sz="4" w:space="0"/>
              <w:right w:val="single" w:color="auto" w:sz="4" w:space="0"/>
            </w:tcBorders>
            <w:noWrap w:val="0"/>
            <w:vAlign w:val="top"/>
          </w:tcPr>
          <w:p>
            <w:pPr>
              <w:pStyle w:val="27"/>
              <w:spacing w:line="600" w:lineRule="exact"/>
              <w:ind w:left="5250"/>
              <w:rPr>
                <w:rFonts w:ascii="Times New Roman" w:hAnsi="Times New Roman"/>
                <w:color w:val="auto"/>
                <w:highlight w:val="none"/>
              </w:rPr>
            </w:pPr>
          </w:p>
        </w:tc>
        <w:tc>
          <w:tcPr>
            <w:tcW w:w="1573" w:type="dxa"/>
            <w:tcBorders>
              <w:top w:val="single" w:color="auto" w:sz="4" w:space="0"/>
              <w:left w:val="single" w:color="auto" w:sz="4" w:space="0"/>
              <w:bottom w:val="single" w:color="auto" w:sz="4" w:space="0"/>
              <w:right w:val="single" w:color="auto" w:sz="4" w:space="0"/>
            </w:tcBorders>
            <w:noWrap w:val="0"/>
            <w:vAlign w:val="top"/>
          </w:tcPr>
          <w:p>
            <w:pPr>
              <w:pStyle w:val="27"/>
              <w:spacing w:line="600" w:lineRule="exact"/>
              <w:ind w:left="5250"/>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tcBorders>
              <w:top w:val="single" w:color="auto" w:sz="4" w:space="0"/>
              <w:left w:val="single" w:color="auto" w:sz="4" w:space="0"/>
              <w:bottom w:val="single" w:color="auto" w:sz="4" w:space="0"/>
              <w:right w:val="single" w:color="auto" w:sz="4" w:space="0"/>
            </w:tcBorders>
            <w:noWrap w:val="0"/>
            <w:vAlign w:val="top"/>
          </w:tcPr>
          <w:p>
            <w:pPr>
              <w:pStyle w:val="27"/>
              <w:spacing w:line="600" w:lineRule="exact"/>
              <w:ind w:left="5250"/>
              <w:rPr>
                <w:rFonts w:ascii="Times New Roman" w:hAnsi="Times New Roman"/>
                <w:color w:val="auto"/>
                <w:highlight w:val="none"/>
              </w:rPr>
            </w:pPr>
          </w:p>
        </w:tc>
        <w:tc>
          <w:tcPr>
            <w:tcW w:w="3600" w:type="dxa"/>
            <w:tcBorders>
              <w:top w:val="single" w:color="auto" w:sz="4" w:space="0"/>
              <w:left w:val="single" w:color="auto" w:sz="4" w:space="0"/>
              <w:bottom w:val="single" w:color="auto" w:sz="4" w:space="0"/>
              <w:right w:val="single" w:color="auto" w:sz="4" w:space="0"/>
            </w:tcBorders>
            <w:noWrap w:val="0"/>
            <w:vAlign w:val="top"/>
          </w:tcPr>
          <w:p>
            <w:pPr>
              <w:pStyle w:val="27"/>
              <w:spacing w:line="600" w:lineRule="exact"/>
              <w:ind w:left="5250"/>
              <w:rPr>
                <w:rFonts w:ascii="Times New Roman" w:hAnsi="Times New Roman"/>
                <w:color w:val="auto"/>
                <w:highlight w:val="none"/>
              </w:rPr>
            </w:pPr>
          </w:p>
        </w:tc>
        <w:tc>
          <w:tcPr>
            <w:tcW w:w="3600" w:type="dxa"/>
            <w:tcBorders>
              <w:top w:val="single" w:color="auto" w:sz="4" w:space="0"/>
              <w:left w:val="single" w:color="auto" w:sz="4" w:space="0"/>
              <w:bottom w:val="single" w:color="auto" w:sz="4" w:space="0"/>
              <w:right w:val="single" w:color="auto" w:sz="4" w:space="0"/>
            </w:tcBorders>
            <w:noWrap w:val="0"/>
            <w:vAlign w:val="top"/>
          </w:tcPr>
          <w:p>
            <w:pPr>
              <w:pStyle w:val="27"/>
              <w:spacing w:line="600" w:lineRule="exact"/>
              <w:ind w:left="5250"/>
              <w:rPr>
                <w:rFonts w:ascii="Times New Roman" w:hAnsi="Times New Roman"/>
                <w:color w:val="auto"/>
                <w:highlight w:val="none"/>
              </w:rPr>
            </w:pPr>
          </w:p>
        </w:tc>
        <w:tc>
          <w:tcPr>
            <w:tcW w:w="1573" w:type="dxa"/>
            <w:tcBorders>
              <w:top w:val="single" w:color="auto" w:sz="4" w:space="0"/>
              <w:left w:val="single" w:color="auto" w:sz="4" w:space="0"/>
              <w:bottom w:val="single" w:color="auto" w:sz="4" w:space="0"/>
              <w:right w:val="single" w:color="auto" w:sz="4" w:space="0"/>
            </w:tcBorders>
            <w:noWrap w:val="0"/>
            <w:vAlign w:val="top"/>
          </w:tcPr>
          <w:p>
            <w:pPr>
              <w:pStyle w:val="27"/>
              <w:spacing w:line="600" w:lineRule="exact"/>
              <w:ind w:left="5250"/>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tcBorders>
              <w:top w:val="single" w:color="auto" w:sz="4" w:space="0"/>
              <w:left w:val="single" w:color="auto" w:sz="4" w:space="0"/>
              <w:bottom w:val="single" w:color="auto" w:sz="4" w:space="0"/>
              <w:right w:val="single" w:color="auto" w:sz="4" w:space="0"/>
            </w:tcBorders>
            <w:noWrap w:val="0"/>
            <w:vAlign w:val="top"/>
          </w:tcPr>
          <w:p>
            <w:pPr>
              <w:pStyle w:val="27"/>
              <w:spacing w:line="600" w:lineRule="exact"/>
              <w:ind w:left="5250"/>
              <w:rPr>
                <w:rFonts w:ascii="Times New Roman" w:hAnsi="Times New Roman"/>
                <w:color w:val="auto"/>
                <w:highlight w:val="none"/>
              </w:rPr>
            </w:pPr>
          </w:p>
        </w:tc>
        <w:tc>
          <w:tcPr>
            <w:tcW w:w="3600" w:type="dxa"/>
            <w:tcBorders>
              <w:top w:val="single" w:color="auto" w:sz="4" w:space="0"/>
              <w:left w:val="single" w:color="auto" w:sz="4" w:space="0"/>
              <w:bottom w:val="single" w:color="auto" w:sz="4" w:space="0"/>
              <w:right w:val="single" w:color="auto" w:sz="4" w:space="0"/>
            </w:tcBorders>
            <w:noWrap w:val="0"/>
            <w:vAlign w:val="top"/>
          </w:tcPr>
          <w:p>
            <w:pPr>
              <w:pStyle w:val="27"/>
              <w:spacing w:line="600" w:lineRule="exact"/>
              <w:ind w:left="5250"/>
              <w:rPr>
                <w:rFonts w:ascii="Times New Roman" w:hAnsi="Times New Roman"/>
                <w:color w:val="auto"/>
                <w:highlight w:val="none"/>
              </w:rPr>
            </w:pPr>
          </w:p>
        </w:tc>
        <w:tc>
          <w:tcPr>
            <w:tcW w:w="3600" w:type="dxa"/>
            <w:tcBorders>
              <w:top w:val="single" w:color="auto" w:sz="4" w:space="0"/>
              <w:left w:val="single" w:color="auto" w:sz="4" w:space="0"/>
              <w:bottom w:val="single" w:color="auto" w:sz="4" w:space="0"/>
              <w:right w:val="single" w:color="auto" w:sz="4" w:space="0"/>
            </w:tcBorders>
            <w:noWrap w:val="0"/>
            <w:vAlign w:val="top"/>
          </w:tcPr>
          <w:p>
            <w:pPr>
              <w:pStyle w:val="27"/>
              <w:spacing w:line="600" w:lineRule="exact"/>
              <w:ind w:left="5250"/>
              <w:rPr>
                <w:rFonts w:ascii="Times New Roman" w:hAnsi="Times New Roman"/>
                <w:color w:val="auto"/>
                <w:highlight w:val="none"/>
              </w:rPr>
            </w:pPr>
          </w:p>
        </w:tc>
        <w:tc>
          <w:tcPr>
            <w:tcW w:w="1573" w:type="dxa"/>
            <w:tcBorders>
              <w:top w:val="single" w:color="auto" w:sz="4" w:space="0"/>
              <w:left w:val="single" w:color="auto" w:sz="4" w:space="0"/>
              <w:bottom w:val="single" w:color="auto" w:sz="4" w:space="0"/>
              <w:right w:val="single" w:color="auto" w:sz="4" w:space="0"/>
            </w:tcBorders>
            <w:noWrap w:val="0"/>
            <w:vAlign w:val="top"/>
          </w:tcPr>
          <w:p>
            <w:pPr>
              <w:pStyle w:val="27"/>
              <w:spacing w:line="600" w:lineRule="exact"/>
              <w:ind w:left="5250"/>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tcBorders>
              <w:top w:val="single" w:color="auto" w:sz="4" w:space="0"/>
              <w:left w:val="single" w:color="auto" w:sz="4" w:space="0"/>
              <w:bottom w:val="single" w:color="auto" w:sz="4" w:space="0"/>
              <w:right w:val="single" w:color="auto" w:sz="4" w:space="0"/>
            </w:tcBorders>
            <w:noWrap w:val="0"/>
            <w:vAlign w:val="top"/>
          </w:tcPr>
          <w:p>
            <w:pPr>
              <w:pStyle w:val="27"/>
              <w:spacing w:line="600" w:lineRule="exact"/>
              <w:ind w:left="5250"/>
              <w:rPr>
                <w:rFonts w:ascii="Times New Roman" w:hAnsi="Times New Roman"/>
                <w:color w:val="auto"/>
                <w:highlight w:val="none"/>
              </w:rPr>
            </w:pPr>
          </w:p>
        </w:tc>
        <w:tc>
          <w:tcPr>
            <w:tcW w:w="3600" w:type="dxa"/>
            <w:tcBorders>
              <w:top w:val="single" w:color="auto" w:sz="4" w:space="0"/>
              <w:left w:val="single" w:color="auto" w:sz="4" w:space="0"/>
              <w:bottom w:val="single" w:color="auto" w:sz="4" w:space="0"/>
              <w:right w:val="single" w:color="auto" w:sz="4" w:space="0"/>
            </w:tcBorders>
            <w:noWrap w:val="0"/>
            <w:vAlign w:val="top"/>
          </w:tcPr>
          <w:p>
            <w:pPr>
              <w:pStyle w:val="27"/>
              <w:spacing w:line="600" w:lineRule="exact"/>
              <w:ind w:left="5250"/>
              <w:rPr>
                <w:rFonts w:ascii="Times New Roman" w:hAnsi="Times New Roman"/>
                <w:color w:val="auto"/>
                <w:highlight w:val="none"/>
              </w:rPr>
            </w:pPr>
          </w:p>
        </w:tc>
        <w:tc>
          <w:tcPr>
            <w:tcW w:w="3600" w:type="dxa"/>
            <w:tcBorders>
              <w:top w:val="single" w:color="auto" w:sz="4" w:space="0"/>
              <w:left w:val="single" w:color="auto" w:sz="4" w:space="0"/>
              <w:bottom w:val="single" w:color="auto" w:sz="4" w:space="0"/>
              <w:right w:val="single" w:color="auto" w:sz="4" w:space="0"/>
            </w:tcBorders>
            <w:noWrap w:val="0"/>
            <w:vAlign w:val="top"/>
          </w:tcPr>
          <w:p>
            <w:pPr>
              <w:pStyle w:val="27"/>
              <w:spacing w:line="600" w:lineRule="exact"/>
              <w:ind w:left="5250"/>
              <w:rPr>
                <w:rFonts w:ascii="Times New Roman" w:hAnsi="Times New Roman"/>
                <w:color w:val="auto"/>
                <w:highlight w:val="none"/>
              </w:rPr>
            </w:pPr>
          </w:p>
        </w:tc>
        <w:tc>
          <w:tcPr>
            <w:tcW w:w="1573" w:type="dxa"/>
            <w:tcBorders>
              <w:top w:val="single" w:color="auto" w:sz="4" w:space="0"/>
              <w:left w:val="single" w:color="auto" w:sz="4" w:space="0"/>
              <w:bottom w:val="single" w:color="auto" w:sz="4" w:space="0"/>
              <w:right w:val="single" w:color="auto" w:sz="4" w:space="0"/>
            </w:tcBorders>
            <w:noWrap w:val="0"/>
            <w:vAlign w:val="top"/>
          </w:tcPr>
          <w:p>
            <w:pPr>
              <w:pStyle w:val="27"/>
              <w:spacing w:line="600" w:lineRule="exact"/>
              <w:ind w:left="5250"/>
              <w:rPr>
                <w:rFonts w:ascii="Times New Roman" w:hAnsi="Times New Roman"/>
                <w:color w:val="auto"/>
                <w:highlight w:val="none"/>
              </w:rPr>
            </w:pPr>
          </w:p>
        </w:tc>
      </w:tr>
    </w:tbl>
    <w:p>
      <w:pPr>
        <w:snapToGrid w:val="0"/>
        <w:spacing w:before="50" w:after="156" w:afterLines="50" w:line="360" w:lineRule="exact"/>
        <w:jc w:val="left"/>
        <w:rPr>
          <w:rFonts w:hint="eastAsia" w:ascii="宋体" w:hAnsi="宋体"/>
          <w:color w:val="auto"/>
          <w:szCs w:val="21"/>
          <w:highlight w:val="none"/>
          <w:u w:val="single"/>
        </w:rPr>
      </w:pPr>
    </w:p>
    <w:p>
      <w:pPr>
        <w:pStyle w:val="19"/>
        <w:spacing w:line="360" w:lineRule="exact"/>
        <w:rPr>
          <w:rFonts w:hint="eastAsia" w:ascii="宋体" w:hAnsi="宋体"/>
          <w:color w:val="auto"/>
          <w:sz w:val="21"/>
          <w:szCs w:val="21"/>
          <w:highlight w:val="none"/>
        </w:rPr>
      </w:pPr>
      <w:r>
        <w:rPr>
          <w:rFonts w:hint="eastAsia" w:ascii="宋体" w:hAnsi="宋体"/>
          <w:color w:val="auto"/>
          <w:sz w:val="21"/>
          <w:szCs w:val="21"/>
          <w:highlight w:val="none"/>
        </w:rPr>
        <w:t>注：投标人应根据投标设备的性能指标、对照招标文件要求在技术响应表中详细列明招标要求及投标设备技术规格的响应情况，并填写“</w:t>
      </w:r>
      <w:r>
        <w:rPr>
          <w:rFonts w:hint="eastAsia"/>
          <w:color w:val="auto"/>
          <w:highlight w:val="none"/>
        </w:rPr>
        <w:t>偏离说明”。</w:t>
      </w:r>
      <w:r>
        <w:rPr>
          <w:rFonts w:hint="eastAsia" w:ascii="宋体" w:hAnsi="宋体"/>
          <w:color w:val="auto"/>
          <w:sz w:val="21"/>
          <w:szCs w:val="21"/>
          <w:highlight w:val="none"/>
        </w:rPr>
        <w:t>“偏离</w:t>
      </w:r>
      <w:r>
        <w:rPr>
          <w:rFonts w:hint="eastAsia"/>
          <w:color w:val="auto"/>
          <w:highlight w:val="none"/>
        </w:rPr>
        <w:t>说明</w:t>
      </w:r>
      <w:r>
        <w:rPr>
          <w:rFonts w:hint="eastAsia" w:ascii="宋体" w:hAnsi="宋体"/>
          <w:color w:val="auto"/>
          <w:sz w:val="21"/>
          <w:szCs w:val="21"/>
          <w:highlight w:val="none"/>
        </w:rPr>
        <w:t>”栏注明“正偏离”、“负偏离”或“无偏离”。投标技术规格与招标要求相同的为无偏离，投标技术规格高于招标要求的为正偏离，低于招标要求的为负偏离。</w:t>
      </w:r>
    </w:p>
    <w:p>
      <w:pPr>
        <w:snapToGrid w:val="0"/>
        <w:spacing w:before="50" w:after="50" w:line="360" w:lineRule="exact"/>
        <w:rPr>
          <w:rFonts w:hint="eastAsia" w:ascii="宋体" w:hAnsi="宋体"/>
          <w:color w:val="auto"/>
          <w:spacing w:val="20"/>
          <w:szCs w:val="21"/>
          <w:highlight w:val="none"/>
        </w:rPr>
      </w:pPr>
    </w:p>
    <w:p>
      <w:pPr>
        <w:snapToGrid w:val="0"/>
        <w:spacing w:before="50" w:after="50" w:line="360" w:lineRule="exact"/>
        <w:rPr>
          <w:rFonts w:hint="eastAsia" w:ascii="宋体" w:hAnsi="宋体"/>
          <w:color w:val="auto"/>
          <w:spacing w:val="20"/>
          <w:szCs w:val="21"/>
          <w:highlight w:val="none"/>
          <w:u w:val="single"/>
        </w:rPr>
      </w:pPr>
      <w:r>
        <w:rPr>
          <w:rFonts w:hint="eastAsia" w:ascii="宋体" w:hAnsi="宋体"/>
          <w:color w:val="auto"/>
          <w:szCs w:val="21"/>
          <w:highlight w:val="none"/>
        </w:rPr>
        <w:t>法定代表人或委托代理人签字（或签章）</w:t>
      </w:r>
      <w:r>
        <w:rPr>
          <w:rFonts w:hint="eastAsia" w:ascii="宋体" w:hAnsi="宋体"/>
          <w:color w:val="auto"/>
          <w:spacing w:val="20"/>
          <w:szCs w:val="21"/>
          <w:highlight w:val="none"/>
        </w:rPr>
        <w:t>：</w:t>
      </w:r>
      <w:r>
        <w:rPr>
          <w:rFonts w:hint="eastAsia" w:ascii="宋体" w:hAnsi="宋体"/>
          <w:color w:val="auto"/>
          <w:spacing w:val="20"/>
          <w:szCs w:val="21"/>
          <w:highlight w:val="none"/>
          <w:u w:val="single"/>
        </w:rPr>
        <w:t xml:space="preserve">        </w:t>
      </w:r>
    </w:p>
    <w:p>
      <w:pPr>
        <w:snapToGrid w:val="0"/>
        <w:spacing w:before="50" w:after="50" w:line="360" w:lineRule="exact"/>
        <w:rPr>
          <w:rFonts w:hint="eastAsia" w:ascii="宋体" w:hAnsi="宋体"/>
          <w:color w:val="auto"/>
          <w:spacing w:val="20"/>
          <w:szCs w:val="21"/>
          <w:highlight w:val="none"/>
          <w:u w:val="single"/>
        </w:rPr>
      </w:pPr>
      <w:r>
        <w:rPr>
          <w:rFonts w:hint="eastAsia" w:ascii="宋体" w:hAnsi="宋体"/>
          <w:color w:val="auto"/>
          <w:spacing w:val="20"/>
          <w:szCs w:val="21"/>
          <w:highlight w:val="none"/>
        </w:rPr>
        <w:t>投标人盖章：</w:t>
      </w:r>
      <w:r>
        <w:rPr>
          <w:rFonts w:hint="eastAsia" w:ascii="宋体" w:hAnsi="宋体"/>
          <w:color w:val="auto"/>
          <w:spacing w:val="20"/>
          <w:szCs w:val="21"/>
          <w:highlight w:val="none"/>
          <w:u w:val="single"/>
        </w:rPr>
        <w:t xml:space="preserve">            </w:t>
      </w:r>
      <w:r>
        <w:rPr>
          <w:rFonts w:hint="eastAsia" w:ascii="宋体" w:hAnsi="宋体"/>
          <w:color w:val="auto"/>
          <w:spacing w:val="20"/>
          <w:szCs w:val="21"/>
          <w:highlight w:val="none"/>
        </w:rPr>
        <w:t xml:space="preserve">              日 期：</w:t>
      </w:r>
      <w:r>
        <w:rPr>
          <w:rFonts w:hint="eastAsia" w:ascii="宋体" w:hAnsi="宋体"/>
          <w:color w:val="auto"/>
          <w:spacing w:val="20"/>
          <w:szCs w:val="21"/>
          <w:highlight w:val="none"/>
          <w:u w:val="single"/>
        </w:rPr>
        <w:t xml:space="preserve">            </w:t>
      </w:r>
    </w:p>
    <w:p>
      <w:pPr>
        <w:pStyle w:val="27"/>
        <w:jc w:val="center"/>
        <w:rPr>
          <w:rFonts w:hint="eastAsia"/>
          <w:color w:val="auto"/>
          <w:highlight w:val="none"/>
        </w:rPr>
      </w:pPr>
    </w:p>
    <w:p>
      <w:pPr>
        <w:snapToGrid w:val="0"/>
        <w:spacing w:before="50" w:after="156" w:afterLines="50" w:line="360" w:lineRule="exact"/>
        <w:jc w:val="left"/>
        <w:rPr>
          <w:rFonts w:hint="eastAsia" w:ascii="宋体" w:hAnsi="宋体"/>
          <w:color w:val="auto"/>
          <w:szCs w:val="21"/>
          <w:highlight w:val="none"/>
        </w:rPr>
      </w:pPr>
      <w:r>
        <w:rPr>
          <w:rFonts w:hint="eastAsia" w:ascii="宋体" w:hAnsi="宋体"/>
          <w:b/>
          <w:color w:val="auto"/>
          <w:szCs w:val="21"/>
          <w:highlight w:val="none"/>
        </w:rPr>
        <w:t>（3）</w:t>
      </w:r>
      <w:r>
        <w:rPr>
          <w:rFonts w:hint="eastAsia" w:ascii="宋体" w:hAnsi="宋体"/>
          <w:color w:val="auto"/>
          <w:szCs w:val="21"/>
          <w:highlight w:val="none"/>
        </w:rPr>
        <w:t>设备配置清单格式：</w:t>
      </w:r>
    </w:p>
    <w:tbl>
      <w:tblPr>
        <w:tblStyle w:val="50"/>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92"/>
        <w:gridCol w:w="1443"/>
        <w:gridCol w:w="839"/>
        <w:gridCol w:w="1498"/>
        <w:gridCol w:w="1620"/>
        <w:gridCol w:w="1809"/>
        <w:gridCol w:w="91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792"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jc w:val="center"/>
              <w:rPr>
                <w:rFonts w:ascii="宋体" w:hAnsi="宋体"/>
                <w:color w:val="auto"/>
                <w:szCs w:val="21"/>
                <w:highlight w:val="none"/>
              </w:rPr>
            </w:pPr>
            <w:r>
              <w:rPr>
                <w:rFonts w:hint="eastAsia" w:ascii="宋体" w:hAnsi="宋体"/>
                <w:color w:val="auto"/>
                <w:szCs w:val="21"/>
                <w:highlight w:val="none"/>
              </w:rPr>
              <w:t>序号</w:t>
            </w:r>
          </w:p>
        </w:tc>
        <w:tc>
          <w:tcPr>
            <w:tcW w:w="1443"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jc w:val="center"/>
              <w:rPr>
                <w:rFonts w:ascii="宋体" w:hAnsi="宋体"/>
                <w:color w:val="auto"/>
                <w:szCs w:val="21"/>
                <w:highlight w:val="none"/>
              </w:rPr>
            </w:pPr>
            <w:r>
              <w:rPr>
                <w:rFonts w:hint="eastAsia" w:ascii="宋体" w:hAnsi="宋体"/>
                <w:color w:val="auto"/>
                <w:szCs w:val="21"/>
                <w:highlight w:val="none"/>
              </w:rPr>
              <w:t>设备名称</w:t>
            </w:r>
          </w:p>
        </w:tc>
        <w:tc>
          <w:tcPr>
            <w:tcW w:w="839"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jc w:val="center"/>
              <w:rPr>
                <w:rFonts w:ascii="宋体" w:hAnsi="宋体"/>
                <w:color w:val="auto"/>
                <w:szCs w:val="21"/>
                <w:highlight w:val="none"/>
              </w:rPr>
            </w:pPr>
            <w:r>
              <w:rPr>
                <w:rFonts w:hint="eastAsia" w:ascii="宋体" w:hAnsi="宋体"/>
                <w:color w:val="auto"/>
                <w:szCs w:val="21"/>
                <w:highlight w:val="none"/>
              </w:rPr>
              <w:t>品牌</w:t>
            </w:r>
          </w:p>
        </w:tc>
        <w:tc>
          <w:tcPr>
            <w:tcW w:w="149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jc w:val="center"/>
              <w:rPr>
                <w:rFonts w:ascii="宋体" w:hAnsi="宋体"/>
                <w:color w:val="auto"/>
                <w:szCs w:val="21"/>
                <w:highlight w:val="none"/>
              </w:rPr>
            </w:pPr>
            <w:r>
              <w:rPr>
                <w:rFonts w:hint="eastAsia" w:ascii="宋体" w:hAnsi="宋体"/>
                <w:color w:val="auto"/>
                <w:szCs w:val="21"/>
                <w:highlight w:val="none"/>
              </w:rPr>
              <w:t>规格型号</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jc w:val="center"/>
              <w:rPr>
                <w:rFonts w:ascii="宋体" w:hAnsi="宋体"/>
                <w:color w:val="auto"/>
                <w:szCs w:val="21"/>
                <w:highlight w:val="none"/>
              </w:rPr>
            </w:pPr>
            <w:r>
              <w:rPr>
                <w:rFonts w:hint="eastAsia" w:ascii="宋体" w:hAnsi="宋体"/>
                <w:color w:val="auto"/>
                <w:szCs w:val="21"/>
                <w:highlight w:val="none"/>
              </w:rPr>
              <w:t>单位及数量</w:t>
            </w:r>
          </w:p>
        </w:tc>
        <w:tc>
          <w:tcPr>
            <w:tcW w:w="1809"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jc w:val="center"/>
              <w:rPr>
                <w:rFonts w:ascii="宋体" w:hAnsi="宋体"/>
                <w:color w:val="auto"/>
                <w:szCs w:val="21"/>
                <w:highlight w:val="none"/>
              </w:rPr>
            </w:pPr>
            <w:r>
              <w:rPr>
                <w:rFonts w:hint="eastAsia" w:ascii="宋体" w:hAnsi="宋体"/>
                <w:color w:val="auto"/>
                <w:szCs w:val="21"/>
                <w:highlight w:val="none"/>
              </w:rPr>
              <w:t>性能及指标</w:t>
            </w:r>
          </w:p>
        </w:tc>
        <w:tc>
          <w:tcPr>
            <w:tcW w:w="912"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jc w:val="center"/>
              <w:rPr>
                <w:rFonts w:ascii="宋体" w:hAnsi="宋体"/>
                <w:color w:val="auto"/>
                <w:szCs w:val="21"/>
                <w:highlight w:val="none"/>
              </w:rPr>
            </w:pPr>
            <w:r>
              <w:rPr>
                <w:rFonts w:hint="eastAsia" w:ascii="宋体" w:hAnsi="宋体"/>
                <w:color w:val="auto"/>
                <w:szCs w:val="21"/>
                <w:highlight w:val="none"/>
              </w:rPr>
              <w:t>产地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792"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jc w:val="center"/>
              <w:rPr>
                <w:rFonts w:ascii="宋体" w:hAnsi="宋体"/>
                <w:color w:val="auto"/>
                <w:szCs w:val="21"/>
                <w:highlight w:val="none"/>
              </w:rPr>
            </w:pPr>
          </w:p>
        </w:tc>
        <w:tc>
          <w:tcPr>
            <w:tcW w:w="1443"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jc w:val="center"/>
              <w:rPr>
                <w:rFonts w:ascii="宋体" w:hAnsi="宋体"/>
                <w:color w:val="auto"/>
                <w:szCs w:val="21"/>
                <w:highlight w:val="none"/>
              </w:rPr>
            </w:pPr>
          </w:p>
        </w:tc>
        <w:tc>
          <w:tcPr>
            <w:tcW w:w="839"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jc w:val="center"/>
              <w:rPr>
                <w:rFonts w:ascii="宋体" w:hAnsi="宋体"/>
                <w:color w:val="auto"/>
                <w:szCs w:val="21"/>
                <w:highlight w:val="none"/>
              </w:rPr>
            </w:pPr>
          </w:p>
        </w:tc>
        <w:tc>
          <w:tcPr>
            <w:tcW w:w="149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jc w:val="center"/>
              <w:rPr>
                <w:rFonts w:ascii="宋体" w:hAnsi="宋体"/>
                <w:color w:val="auto"/>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jc w:val="center"/>
              <w:rPr>
                <w:rFonts w:ascii="宋体" w:hAnsi="宋体"/>
                <w:color w:val="auto"/>
                <w:szCs w:val="21"/>
                <w:highlight w:val="none"/>
              </w:rPr>
            </w:pPr>
          </w:p>
        </w:tc>
        <w:tc>
          <w:tcPr>
            <w:tcW w:w="1809"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jc w:val="center"/>
              <w:rPr>
                <w:rFonts w:ascii="宋体" w:hAnsi="宋体"/>
                <w:color w:val="auto"/>
                <w:szCs w:val="21"/>
                <w:highlight w:val="none"/>
              </w:rPr>
            </w:pPr>
          </w:p>
        </w:tc>
        <w:tc>
          <w:tcPr>
            <w:tcW w:w="912"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4" w:hRule="atLeast"/>
          <w:jc w:val="center"/>
        </w:trPr>
        <w:tc>
          <w:tcPr>
            <w:tcW w:w="792"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jc w:val="center"/>
              <w:rPr>
                <w:rFonts w:ascii="宋体" w:hAnsi="宋体"/>
                <w:color w:val="auto"/>
                <w:szCs w:val="21"/>
                <w:highlight w:val="none"/>
              </w:rPr>
            </w:pPr>
          </w:p>
        </w:tc>
        <w:tc>
          <w:tcPr>
            <w:tcW w:w="1443"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jc w:val="center"/>
              <w:rPr>
                <w:rFonts w:ascii="宋体" w:hAnsi="宋体"/>
                <w:color w:val="auto"/>
                <w:szCs w:val="21"/>
                <w:highlight w:val="none"/>
              </w:rPr>
            </w:pPr>
          </w:p>
        </w:tc>
        <w:tc>
          <w:tcPr>
            <w:tcW w:w="839"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jc w:val="center"/>
              <w:rPr>
                <w:rFonts w:ascii="宋体" w:hAnsi="宋体"/>
                <w:color w:val="auto"/>
                <w:szCs w:val="21"/>
                <w:highlight w:val="none"/>
              </w:rPr>
            </w:pPr>
          </w:p>
        </w:tc>
        <w:tc>
          <w:tcPr>
            <w:tcW w:w="149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jc w:val="center"/>
              <w:rPr>
                <w:rFonts w:ascii="宋体" w:hAnsi="宋体"/>
                <w:color w:val="auto"/>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jc w:val="center"/>
              <w:rPr>
                <w:rFonts w:ascii="宋体" w:hAnsi="宋体"/>
                <w:color w:val="auto"/>
                <w:szCs w:val="21"/>
                <w:highlight w:val="none"/>
              </w:rPr>
            </w:pPr>
          </w:p>
        </w:tc>
        <w:tc>
          <w:tcPr>
            <w:tcW w:w="1809"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jc w:val="center"/>
              <w:rPr>
                <w:rFonts w:ascii="宋体" w:hAnsi="宋体"/>
                <w:color w:val="auto"/>
                <w:szCs w:val="21"/>
                <w:highlight w:val="none"/>
              </w:rPr>
            </w:pPr>
          </w:p>
        </w:tc>
        <w:tc>
          <w:tcPr>
            <w:tcW w:w="912"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jc w:val="center"/>
              <w:rPr>
                <w:rFonts w:ascii="宋体" w:hAnsi="宋体"/>
                <w:color w:val="auto"/>
                <w:szCs w:val="21"/>
                <w:highlight w:val="none"/>
              </w:rPr>
            </w:pPr>
          </w:p>
        </w:tc>
      </w:tr>
    </w:tbl>
    <w:p>
      <w:pPr>
        <w:snapToGrid w:val="0"/>
        <w:spacing w:before="50" w:after="50" w:line="360" w:lineRule="exact"/>
        <w:rPr>
          <w:rFonts w:hint="eastAsia" w:ascii="宋体" w:hAnsi="宋体"/>
          <w:color w:val="auto"/>
          <w:spacing w:val="20"/>
          <w:szCs w:val="21"/>
          <w:highlight w:val="none"/>
          <w:u w:val="single"/>
        </w:rPr>
      </w:pPr>
      <w:r>
        <w:rPr>
          <w:rFonts w:hint="eastAsia" w:ascii="宋体" w:hAnsi="宋体"/>
          <w:color w:val="auto"/>
          <w:szCs w:val="21"/>
          <w:highlight w:val="none"/>
        </w:rPr>
        <w:t>法定代表人或委托代理人签字（或签章）</w:t>
      </w:r>
      <w:r>
        <w:rPr>
          <w:rFonts w:hint="eastAsia" w:ascii="宋体" w:hAnsi="宋体"/>
          <w:color w:val="auto"/>
          <w:spacing w:val="20"/>
          <w:szCs w:val="21"/>
          <w:highlight w:val="none"/>
        </w:rPr>
        <w:t>：</w:t>
      </w:r>
      <w:r>
        <w:rPr>
          <w:rFonts w:hint="eastAsia" w:ascii="宋体" w:hAnsi="宋体"/>
          <w:color w:val="auto"/>
          <w:spacing w:val="20"/>
          <w:szCs w:val="21"/>
          <w:highlight w:val="none"/>
          <w:u w:val="single"/>
        </w:rPr>
        <w:t xml:space="preserve">         </w:t>
      </w:r>
    </w:p>
    <w:p>
      <w:pPr>
        <w:snapToGrid w:val="0"/>
        <w:spacing w:before="50" w:after="156" w:afterLines="50" w:line="360" w:lineRule="exact"/>
        <w:jc w:val="left"/>
        <w:rPr>
          <w:rFonts w:hint="eastAsia" w:ascii="宋体" w:hAnsi="宋体"/>
          <w:color w:val="auto"/>
          <w:spacing w:val="20"/>
          <w:szCs w:val="21"/>
          <w:highlight w:val="none"/>
          <w:u w:val="single"/>
        </w:rPr>
      </w:pPr>
      <w:r>
        <w:rPr>
          <w:rFonts w:hint="eastAsia" w:ascii="宋体" w:hAnsi="宋体"/>
          <w:color w:val="auto"/>
          <w:spacing w:val="20"/>
          <w:szCs w:val="21"/>
          <w:highlight w:val="none"/>
        </w:rPr>
        <w:t>投标人盖章：</w:t>
      </w:r>
      <w:r>
        <w:rPr>
          <w:rFonts w:hint="eastAsia" w:ascii="宋体" w:hAnsi="宋体"/>
          <w:color w:val="auto"/>
          <w:spacing w:val="20"/>
          <w:szCs w:val="21"/>
          <w:highlight w:val="none"/>
          <w:u w:val="single"/>
        </w:rPr>
        <w:t xml:space="preserve">            </w:t>
      </w:r>
      <w:r>
        <w:rPr>
          <w:rFonts w:hint="eastAsia" w:ascii="宋体" w:hAnsi="宋体"/>
          <w:color w:val="auto"/>
          <w:spacing w:val="20"/>
          <w:szCs w:val="21"/>
          <w:highlight w:val="none"/>
        </w:rPr>
        <w:t xml:space="preserve">              日  期：</w:t>
      </w:r>
      <w:r>
        <w:rPr>
          <w:rFonts w:hint="eastAsia" w:ascii="宋体" w:hAnsi="宋体"/>
          <w:color w:val="auto"/>
          <w:spacing w:val="20"/>
          <w:szCs w:val="21"/>
          <w:highlight w:val="none"/>
          <w:u w:val="single"/>
        </w:rPr>
        <w:t xml:space="preserve">          </w:t>
      </w:r>
    </w:p>
    <w:p>
      <w:pPr>
        <w:snapToGrid w:val="0"/>
        <w:spacing w:before="50" w:after="156" w:afterLines="50" w:line="360" w:lineRule="exact"/>
        <w:jc w:val="left"/>
        <w:rPr>
          <w:rFonts w:hint="eastAsia" w:ascii="宋体" w:hAnsi="宋体"/>
          <w:color w:val="auto"/>
          <w:szCs w:val="21"/>
          <w:highlight w:val="none"/>
        </w:rPr>
      </w:pPr>
      <w:r>
        <w:rPr>
          <w:rFonts w:hint="eastAsia" w:ascii="宋体" w:hAnsi="宋体"/>
          <w:color w:val="auto"/>
          <w:szCs w:val="21"/>
          <w:highlight w:val="none"/>
        </w:rPr>
        <w:t>非招标文件必须要求时可附：①原厂出厂配置表及原厂中文使用说明书（格式自拟）</w:t>
      </w:r>
    </w:p>
    <w:p>
      <w:pPr>
        <w:snapToGrid w:val="0"/>
        <w:spacing w:before="50" w:after="156" w:afterLines="50" w:line="360" w:lineRule="exact"/>
        <w:ind w:firstLine="2730" w:firstLineChars="1300"/>
        <w:jc w:val="left"/>
        <w:rPr>
          <w:rFonts w:hint="eastAsia" w:ascii="宋体" w:hAnsi="宋体"/>
          <w:color w:val="auto"/>
          <w:szCs w:val="21"/>
          <w:highlight w:val="none"/>
        </w:rPr>
      </w:pPr>
      <w:r>
        <w:rPr>
          <w:rFonts w:hint="eastAsia" w:ascii="宋体" w:hAnsi="宋体"/>
          <w:color w:val="auto"/>
          <w:szCs w:val="21"/>
          <w:highlight w:val="none"/>
        </w:rPr>
        <w:t>②产品出厂标准、质量检测报告及精度检测报告或数据（格式自拟）</w:t>
      </w:r>
    </w:p>
    <w:p>
      <w:pPr>
        <w:snapToGrid w:val="0"/>
        <w:spacing w:before="50" w:after="156" w:afterLines="50" w:line="360" w:lineRule="exact"/>
        <w:jc w:val="left"/>
        <w:rPr>
          <w:rFonts w:hint="eastAsia" w:ascii="宋体" w:hAnsi="宋体"/>
          <w:b/>
          <w:color w:val="auto"/>
          <w:szCs w:val="21"/>
          <w:highlight w:val="none"/>
        </w:rPr>
      </w:pPr>
    </w:p>
    <w:p>
      <w:pPr>
        <w:snapToGrid w:val="0"/>
        <w:spacing w:before="50" w:after="156" w:afterLines="50" w:line="360" w:lineRule="exact"/>
        <w:ind w:left="517" w:hanging="516" w:hangingChars="245"/>
        <w:jc w:val="left"/>
        <w:rPr>
          <w:rFonts w:hint="eastAsia" w:ascii="宋体" w:hAnsi="宋体"/>
          <w:color w:val="auto"/>
          <w:szCs w:val="21"/>
          <w:highlight w:val="none"/>
        </w:rPr>
      </w:pPr>
      <w:r>
        <w:rPr>
          <w:rFonts w:hint="eastAsia" w:ascii="宋体" w:hAnsi="宋体"/>
          <w:b/>
          <w:color w:val="auto"/>
          <w:szCs w:val="21"/>
          <w:highlight w:val="none"/>
        </w:rPr>
        <w:t>（4）</w:t>
      </w:r>
      <w:r>
        <w:rPr>
          <w:rFonts w:hint="eastAsia" w:ascii="宋体" w:hAnsi="宋体"/>
          <w:color w:val="auto"/>
          <w:szCs w:val="21"/>
          <w:highlight w:val="none"/>
        </w:rPr>
        <w:t>售后服务承诺书</w:t>
      </w:r>
      <w:r>
        <w:rPr>
          <w:rFonts w:hint="eastAsia"/>
          <w:color w:val="auto"/>
          <w:highlight w:val="none"/>
        </w:rPr>
        <w:t>（应据项目实际要求描述如：</w:t>
      </w:r>
      <w:r>
        <w:rPr>
          <w:rFonts w:hint="eastAsia" w:ascii="宋体" w:hAnsi="宋体"/>
          <w:color w:val="auto"/>
          <w:szCs w:val="21"/>
          <w:highlight w:val="none"/>
        </w:rPr>
        <w:t>投标人建议的安装、调试、验收方法或方案；技术服务、技术培训、售后服务的内容和措施等）</w:t>
      </w:r>
      <w:r>
        <w:rPr>
          <w:rFonts w:hint="eastAsia" w:ascii="宋体" w:hAnsi="宋体"/>
          <w:b/>
          <w:color w:val="auto"/>
          <w:szCs w:val="21"/>
          <w:highlight w:val="none"/>
          <w:u w:val="single"/>
        </w:rPr>
        <w:t>(格式自拟,必须提供）</w:t>
      </w:r>
      <w:r>
        <w:rPr>
          <w:rFonts w:hint="eastAsia" w:ascii="宋体" w:hAnsi="宋体"/>
          <w:color w:val="auto"/>
          <w:szCs w:val="21"/>
          <w:highlight w:val="none"/>
        </w:rPr>
        <w:t>；</w:t>
      </w:r>
    </w:p>
    <w:p>
      <w:pPr>
        <w:snapToGrid w:val="0"/>
        <w:spacing w:before="50" w:after="156" w:afterLines="50" w:line="360" w:lineRule="exact"/>
        <w:ind w:left="517" w:hanging="516" w:hangingChars="245"/>
        <w:jc w:val="left"/>
        <w:rPr>
          <w:rFonts w:hint="eastAsia" w:ascii="宋体" w:hAnsi="宋体"/>
          <w:color w:val="auto"/>
          <w:szCs w:val="21"/>
          <w:highlight w:val="none"/>
        </w:rPr>
      </w:pPr>
      <w:r>
        <w:rPr>
          <w:rFonts w:hint="eastAsia" w:ascii="宋体" w:hAnsi="宋体"/>
          <w:b/>
          <w:color w:val="auto"/>
          <w:szCs w:val="21"/>
          <w:highlight w:val="none"/>
        </w:rPr>
        <w:t>（5）</w:t>
      </w:r>
      <w:r>
        <w:rPr>
          <w:rFonts w:hint="eastAsia" w:ascii="宋体" w:hAnsi="宋体"/>
          <w:color w:val="auto"/>
          <w:szCs w:val="21"/>
          <w:highlight w:val="none"/>
        </w:rPr>
        <w:t>投标人拥有主要装备和检测设施的情况和现状（格式自拟）及项目实施人员一览表</w:t>
      </w:r>
    </w:p>
    <w:p>
      <w:pPr>
        <w:snapToGrid w:val="0"/>
        <w:spacing w:before="156" w:beforeLines="50" w:after="50" w:line="360" w:lineRule="exact"/>
        <w:jc w:val="center"/>
        <w:rPr>
          <w:rFonts w:hint="eastAsia" w:ascii="宋体" w:hAnsi="宋体"/>
          <w:b/>
          <w:color w:val="auto"/>
          <w:szCs w:val="21"/>
          <w:highlight w:val="none"/>
        </w:rPr>
      </w:pPr>
      <w:r>
        <w:rPr>
          <w:rFonts w:hint="eastAsia" w:ascii="宋体" w:hAnsi="宋体"/>
          <w:b/>
          <w:color w:val="auto"/>
          <w:szCs w:val="21"/>
          <w:highlight w:val="none"/>
        </w:rPr>
        <w:t>项目实施人员（主要从业人员及其技术资格）一览表</w:t>
      </w:r>
    </w:p>
    <w:tbl>
      <w:tblPr>
        <w:tblStyle w:val="50"/>
        <w:tblW w:w="0" w:type="auto"/>
        <w:tblInd w:w="-14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71"/>
        <w:gridCol w:w="900"/>
        <w:gridCol w:w="2160"/>
        <w:gridCol w:w="1516"/>
        <w:gridCol w:w="2084"/>
        <w:gridCol w:w="198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1"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after="50" w:line="360" w:lineRule="exact"/>
              <w:jc w:val="center"/>
              <w:rPr>
                <w:rFonts w:ascii="宋体" w:hAnsi="宋体"/>
                <w:color w:val="auto"/>
                <w:szCs w:val="21"/>
                <w:highlight w:val="none"/>
              </w:rPr>
            </w:pPr>
            <w:r>
              <w:rPr>
                <w:rFonts w:hint="eastAsia" w:ascii="宋体" w:hAnsi="宋体"/>
                <w:color w:val="auto"/>
                <w:szCs w:val="21"/>
                <w:highlight w:val="none"/>
              </w:rPr>
              <w:t>姓名</w:t>
            </w:r>
          </w:p>
        </w:tc>
        <w:tc>
          <w:tcPr>
            <w:tcW w:w="900"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after="50" w:line="360" w:lineRule="exact"/>
              <w:jc w:val="center"/>
              <w:rPr>
                <w:rFonts w:ascii="宋体" w:hAnsi="宋体"/>
                <w:color w:val="auto"/>
                <w:szCs w:val="21"/>
                <w:highlight w:val="none"/>
              </w:rPr>
            </w:pPr>
            <w:r>
              <w:rPr>
                <w:rFonts w:hint="eastAsia" w:ascii="宋体" w:hAnsi="宋体"/>
                <w:color w:val="auto"/>
                <w:szCs w:val="21"/>
                <w:highlight w:val="none"/>
              </w:rPr>
              <w:t>职务</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after="50" w:line="360" w:lineRule="exact"/>
              <w:jc w:val="center"/>
              <w:rPr>
                <w:rFonts w:ascii="宋体" w:hAnsi="宋体"/>
                <w:color w:val="auto"/>
                <w:szCs w:val="21"/>
                <w:highlight w:val="none"/>
              </w:rPr>
            </w:pPr>
            <w:r>
              <w:rPr>
                <w:rFonts w:hint="eastAsia" w:ascii="宋体" w:hAnsi="宋体"/>
                <w:color w:val="auto"/>
                <w:szCs w:val="21"/>
                <w:highlight w:val="none"/>
              </w:rPr>
              <w:t>专业技术资格</w:t>
            </w:r>
          </w:p>
        </w:tc>
        <w:tc>
          <w:tcPr>
            <w:tcW w:w="1516"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after="50" w:line="360" w:lineRule="exact"/>
              <w:jc w:val="center"/>
              <w:rPr>
                <w:rFonts w:ascii="宋体" w:hAnsi="宋体"/>
                <w:color w:val="auto"/>
                <w:szCs w:val="21"/>
                <w:highlight w:val="none"/>
              </w:rPr>
            </w:pPr>
            <w:r>
              <w:rPr>
                <w:rFonts w:hint="eastAsia" w:ascii="宋体" w:hAnsi="宋体"/>
                <w:color w:val="auto"/>
                <w:szCs w:val="21"/>
                <w:highlight w:val="none"/>
              </w:rPr>
              <w:t>证书编号</w:t>
            </w:r>
          </w:p>
        </w:tc>
        <w:tc>
          <w:tcPr>
            <w:tcW w:w="2084"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after="50" w:line="360" w:lineRule="exact"/>
              <w:jc w:val="center"/>
              <w:rPr>
                <w:rFonts w:ascii="宋体" w:hAnsi="宋体"/>
                <w:bCs/>
                <w:color w:val="auto"/>
                <w:szCs w:val="21"/>
                <w:highlight w:val="none"/>
              </w:rPr>
            </w:pPr>
            <w:r>
              <w:rPr>
                <w:rFonts w:hint="eastAsia" w:ascii="宋体" w:hAnsi="宋体"/>
                <w:bCs/>
                <w:color w:val="auto"/>
                <w:szCs w:val="21"/>
                <w:highlight w:val="none"/>
              </w:rPr>
              <w:t>参加本单位</w:t>
            </w:r>
          </w:p>
          <w:p>
            <w:pPr>
              <w:snapToGrid w:val="0"/>
              <w:spacing w:before="156" w:beforeLines="50" w:after="50" w:line="360" w:lineRule="exact"/>
              <w:jc w:val="center"/>
              <w:rPr>
                <w:rFonts w:ascii="宋体" w:hAnsi="宋体"/>
                <w:bCs/>
                <w:color w:val="auto"/>
                <w:szCs w:val="21"/>
                <w:highlight w:val="none"/>
              </w:rPr>
            </w:pPr>
            <w:r>
              <w:rPr>
                <w:rFonts w:hint="eastAsia" w:ascii="宋体" w:hAnsi="宋体"/>
                <w:bCs/>
                <w:color w:val="auto"/>
                <w:szCs w:val="21"/>
                <w:highlight w:val="none"/>
              </w:rPr>
              <w:t>工作时间</w:t>
            </w:r>
          </w:p>
        </w:tc>
        <w:tc>
          <w:tcPr>
            <w:tcW w:w="1980"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after="50" w:line="360" w:lineRule="exact"/>
              <w:jc w:val="center"/>
              <w:rPr>
                <w:rFonts w:ascii="宋体" w:hAnsi="宋体"/>
                <w:bCs/>
                <w:color w:val="auto"/>
                <w:szCs w:val="21"/>
                <w:highlight w:val="none"/>
              </w:rPr>
            </w:pPr>
            <w:r>
              <w:rPr>
                <w:rFonts w:hint="eastAsia" w:ascii="宋体" w:hAnsi="宋体"/>
                <w:bCs/>
                <w:color w:val="auto"/>
                <w:szCs w:val="21"/>
                <w:highlight w:val="none"/>
              </w:rPr>
              <w:t>劳动合同编号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1"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after="50" w:line="360" w:lineRule="exact"/>
              <w:rPr>
                <w:rFonts w:ascii="宋体" w:hAnsi="宋体"/>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after="50" w:line="360" w:lineRule="exact"/>
              <w:rPr>
                <w:rFonts w:ascii="宋体" w:hAnsi="宋体"/>
                <w:color w:val="auto"/>
                <w:szCs w:val="21"/>
                <w:highlight w:val="none"/>
              </w:rPr>
            </w:pPr>
          </w:p>
        </w:tc>
        <w:tc>
          <w:tcPr>
            <w:tcW w:w="2160"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after="50" w:line="360" w:lineRule="exact"/>
              <w:rPr>
                <w:rFonts w:ascii="宋体" w:hAnsi="宋体"/>
                <w:color w:val="auto"/>
                <w:szCs w:val="21"/>
                <w:highlight w:val="none"/>
              </w:rPr>
            </w:pPr>
          </w:p>
        </w:tc>
        <w:tc>
          <w:tcPr>
            <w:tcW w:w="1516"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after="50" w:line="360" w:lineRule="exact"/>
              <w:rPr>
                <w:rFonts w:ascii="宋体" w:hAnsi="宋体"/>
                <w:color w:val="auto"/>
                <w:szCs w:val="21"/>
                <w:highlight w:val="none"/>
              </w:rPr>
            </w:pPr>
          </w:p>
        </w:tc>
        <w:tc>
          <w:tcPr>
            <w:tcW w:w="2084"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after="50" w:line="360" w:lineRule="exact"/>
              <w:rPr>
                <w:rFonts w:ascii="宋体" w:hAnsi="宋体"/>
                <w:color w:val="auto"/>
                <w:szCs w:val="21"/>
                <w:highlight w:val="none"/>
              </w:rPr>
            </w:pPr>
          </w:p>
        </w:tc>
        <w:tc>
          <w:tcPr>
            <w:tcW w:w="1980"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after="50" w:line="360" w:lineRule="exact"/>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1"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after="50" w:line="360" w:lineRule="exact"/>
              <w:rPr>
                <w:rFonts w:ascii="宋体" w:hAnsi="宋体"/>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after="50" w:line="360" w:lineRule="exact"/>
              <w:rPr>
                <w:rFonts w:ascii="宋体" w:hAnsi="宋体"/>
                <w:color w:val="auto"/>
                <w:szCs w:val="21"/>
                <w:highlight w:val="none"/>
              </w:rPr>
            </w:pPr>
          </w:p>
        </w:tc>
        <w:tc>
          <w:tcPr>
            <w:tcW w:w="2160"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after="50" w:line="360" w:lineRule="exact"/>
              <w:rPr>
                <w:rFonts w:ascii="宋体" w:hAnsi="宋体"/>
                <w:color w:val="auto"/>
                <w:szCs w:val="21"/>
                <w:highlight w:val="none"/>
              </w:rPr>
            </w:pPr>
          </w:p>
        </w:tc>
        <w:tc>
          <w:tcPr>
            <w:tcW w:w="1516"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after="50" w:line="360" w:lineRule="exact"/>
              <w:rPr>
                <w:rFonts w:ascii="宋体" w:hAnsi="宋体"/>
                <w:color w:val="auto"/>
                <w:szCs w:val="21"/>
                <w:highlight w:val="none"/>
              </w:rPr>
            </w:pPr>
          </w:p>
        </w:tc>
        <w:tc>
          <w:tcPr>
            <w:tcW w:w="2084"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after="50" w:line="360" w:lineRule="exact"/>
              <w:rPr>
                <w:rFonts w:ascii="宋体" w:hAnsi="宋体"/>
                <w:color w:val="auto"/>
                <w:szCs w:val="21"/>
                <w:highlight w:val="none"/>
              </w:rPr>
            </w:pPr>
          </w:p>
        </w:tc>
        <w:tc>
          <w:tcPr>
            <w:tcW w:w="1980"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after="50" w:line="360" w:lineRule="exact"/>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971"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after="50" w:line="360" w:lineRule="exact"/>
              <w:rPr>
                <w:rFonts w:ascii="宋体" w:hAnsi="宋体"/>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after="50" w:line="360" w:lineRule="exact"/>
              <w:rPr>
                <w:rFonts w:ascii="宋体" w:hAnsi="宋体"/>
                <w:color w:val="auto"/>
                <w:szCs w:val="21"/>
                <w:highlight w:val="none"/>
              </w:rPr>
            </w:pPr>
          </w:p>
        </w:tc>
        <w:tc>
          <w:tcPr>
            <w:tcW w:w="2160" w:type="dxa"/>
            <w:tcBorders>
              <w:top w:val="single" w:color="auto" w:sz="4" w:space="0"/>
              <w:left w:val="single" w:color="auto" w:sz="4" w:space="0"/>
              <w:bottom w:val="single" w:color="auto" w:sz="4" w:space="0"/>
              <w:right w:val="single" w:color="auto" w:sz="4" w:space="0"/>
            </w:tcBorders>
            <w:noWrap w:val="0"/>
            <w:vAlign w:val="top"/>
          </w:tcPr>
          <w:p>
            <w:pPr>
              <w:pStyle w:val="29"/>
              <w:snapToGrid w:val="0"/>
              <w:spacing w:before="156" w:beforeLines="50" w:after="50" w:line="360" w:lineRule="exact"/>
              <w:ind w:left="5250"/>
              <w:rPr>
                <w:rFonts w:hAnsi="宋体"/>
                <w:color w:val="auto"/>
                <w:highlight w:val="none"/>
              </w:rPr>
            </w:pPr>
          </w:p>
        </w:tc>
        <w:tc>
          <w:tcPr>
            <w:tcW w:w="1516"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after="50" w:line="360" w:lineRule="exact"/>
              <w:rPr>
                <w:rFonts w:ascii="宋体" w:hAnsi="宋体"/>
                <w:color w:val="auto"/>
                <w:szCs w:val="21"/>
                <w:highlight w:val="none"/>
              </w:rPr>
            </w:pPr>
          </w:p>
        </w:tc>
        <w:tc>
          <w:tcPr>
            <w:tcW w:w="2084"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after="50" w:line="360" w:lineRule="exact"/>
              <w:rPr>
                <w:rFonts w:ascii="宋体" w:hAnsi="宋体"/>
                <w:color w:val="auto"/>
                <w:szCs w:val="21"/>
                <w:highlight w:val="none"/>
              </w:rPr>
            </w:pPr>
          </w:p>
        </w:tc>
        <w:tc>
          <w:tcPr>
            <w:tcW w:w="1980"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after="50" w:line="360" w:lineRule="exact"/>
              <w:rPr>
                <w:rFonts w:ascii="宋体" w:hAnsi="宋体"/>
                <w:color w:val="auto"/>
                <w:szCs w:val="21"/>
                <w:highlight w:val="none"/>
              </w:rPr>
            </w:pPr>
          </w:p>
        </w:tc>
      </w:tr>
    </w:tbl>
    <w:p>
      <w:pPr>
        <w:snapToGrid w:val="0"/>
        <w:spacing w:before="50" w:after="50" w:line="360" w:lineRule="exact"/>
        <w:rPr>
          <w:rFonts w:hint="eastAsia" w:ascii="宋体" w:hAnsi="宋体"/>
          <w:color w:val="auto"/>
          <w:spacing w:val="20"/>
          <w:szCs w:val="21"/>
          <w:highlight w:val="none"/>
          <w:u w:val="single"/>
        </w:rPr>
      </w:pPr>
      <w:r>
        <w:rPr>
          <w:rFonts w:hint="eastAsia" w:ascii="宋体" w:hAnsi="宋体"/>
          <w:color w:val="auto"/>
          <w:szCs w:val="21"/>
          <w:highlight w:val="none"/>
        </w:rPr>
        <w:t>法定代表人或委托代理人签字（或签章）</w:t>
      </w:r>
      <w:r>
        <w:rPr>
          <w:rFonts w:hint="eastAsia" w:ascii="宋体" w:hAnsi="宋体"/>
          <w:color w:val="auto"/>
          <w:spacing w:val="20"/>
          <w:szCs w:val="21"/>
          <w:highlight w:val="none"/>
        </w:rPr>
        <w:t>：</w:t>
      </w:r>
      <w:r>
        <w:rPr>
          <w:rFonts w:hint="eastAsia" w:ascii="宋体" w:hAnsi="宋体"/>
          <w:color w:val="auto"/>
          <w:spacing w:val="20"/>
          <w:szCs w:val="21"/>
          <w:highlight w:val="none"/>
          <w:u w:val="single"/>
        </w:rPr>
        <w:t xml:space="preserve">        </w:t>
      </w:r>
    </w:p>
    <w:p>
      <w:pPr>
        <w:snapToGrid w:val="0"/>
        <w:spacing w:before="50" w:after="50" w:line="360" w:lineRule="exact"/>
        <w:rPr>
          <w:rFonts w:hint="eastAsia" w:ascii="宋体" w:hAnsi="宋体"/>
          <w:color w:val="auto"/>
          <w:szCs w:val="21"/>
          <w:highlight w:val="none"/>
        </w:rPr>
      </w:pPr>
      <w:r>
        <w:rPr>
          <w:rFonts w:hint="eastAsia" w:ascii="宋体" w:hAnsi="宋体"/>
          <w:color w:val="auto"/>
          <w:spacing w:val="20"/>
          <w:szCs w:val="21"/>
          <w:highlight w:val="none"/>
        </w:rPr>
        <w:t>投标人盖章：</w:t>
      </w:r>
      <w:r>
        <w:rPr>
          <w:rFonts w:hint="eastAsia" w:ascii="宋体" w:hAnsi="宋体"/>
          <w:color w:val="auto"/>
          <w:spacing w:val="20"/>
          <w:szCs w:val="21"/>
          <w:highlight w:val="none"/>
          <w:u w:val="single"/>
        </w:rPr>
        <w:t xml:space="preserve">            </w:t>
      </w:r>
      <w:r>
        <w:rPr>
          <w:rFonts w:hint="eastAsia" w:ascii="宋体" w:hAnsi="宋体"/>
          <w:color w:val="auto"/>
          <w:spacing w:val="20"/>
          <w:szCs w:val="21"/>
          <w:highlight w:val="none"/>
        </w:rPr>
        <w:t xml:space="preserve">            日 期：</w:t>
      </w:r>
      <w:r>
        <w:rPr>
          <w:rFonts w:hint="eastAsia" w:ascii="宋体" w:hAnsi="宋体"/>
          <w:color w:val="auto"/>
          <w:spacing w:val="20"/>
          <w:szCs w:val="21"/>
          <w:highlight w:val="none"/>
          <w:u w:val="single"/>
        </w:rPr>
        <w:t xml:space="preserve">            </w:t>
      </w:r>
    </w:p>
    <w:p>
      <w:pPr>
        <w:snapToGrid w:val="0"/>
        <w:spacing w:before="50" w:after="156" w:afterLines="50" w:line="360" w:lineRule="exact"/>
        <w:jc w:val="left"/>
        <w:rPr>
          <w:rFonts w:hint="eastAsia" w:ascii="宋体" w:hAnsi="宋体"/>
          <w:b/>
          <w:color w:val="auto"/>
          <w:szCs w:val="21"/>
          <w:highlight w:val="none"/>
        </w:rPr>
      </w:pPr>
    </w:p>
    <w:p>
      <w:pPr>
        <w:snapToGrid w:val="0"/>
        <w:spacing w:before="50" w:after="156" w:afterLines="50" w:line="360" w:lineRule="exact"/>
        <w:jc w:val="left"/>
        <w:rPr>
          <w:rFonts w:hint="eastAsia" w:ascii="宋体" w:hAnsi="宋体"/>
          <w:color w:val="auto"/>
          <w:szCs w:val="21"/>
          <w:highlight w:val="none"/>
        </w:rPr>
      </w:pPr>
      <w:r>
        <w:rPr>
          <w:rFonts w:hint="eastAsia" w:ascii="宋体" w:hAnsi="宋体"/>
          <w:b/>
          <w:color w:val="auto"/>
          <w:szCs w:val="21"/>
          <w:highlight w:val="none"/>
        </w:rPr>
        <w:t>（6）</w:t>
      </w:r>
      <w:r>
        <w:rPr>
          <w:rFonts w:hint="eastAsia" w:ascii="宋体" w:hAnsi="宋体"/>
          <w:color w:val="auto"/>
          <w:szCs w:val="21"/>
          <w:highlight w:val="none"/>
        </w:rPr>
        <w:t>优惠条件：投标人承诺给予招标人的各种优惠条件，包括备品备件、专用耗材、售后服务等方面的优惠；</w:t>
      </w:r>
    </w:p>
    <w:p>
      <w:pPr>
        <w:snapToGrid w:val="0"/>
        <w:spacing w:before="50" w:after="156" w:afterLines="50" w:line="360" w:lineRule="exact"/>
        <w:jc w:val="left"/>
        <w:rPr>
          <w:rFonts w:hint="eastAsia" w:ascii="宋体" w:hAnsi="宋体"/>
          <w:color w:val="auto"/>
          <w:szCs w:val="21"/>
          <w:highlight w:val="none"/>
        </w:rPr>
      </w:pPr>
      <w:r>
        <w:rPr>
          <w:rFonts w:hint="eastAsia" w:ascii="宋体" w:hAnsi="宋体"/>
          <w:color w:val="auto"/>
          <w:szCs w:val="21"/>
          <w:highlight w:val="none"/>
        </w:rPr>
        <w:t>备品备件、专用耗材、售后服务优惠表格式：</w:t>
      </w:r>
    </w:p>
    <w:tbl>
      <w:tblPr>
        <w:tblStyle w:val="50"/>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35"/>
        <w:gridCol w:w="2700"/>
        <w:gridCol w:w="1440"/>
        <w:gridCol w:w="1440"/>
        <w:gridCol w:w="1530"/>
        <w:gridCol w:w="153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01" w:hRule="atLeast"/>
        </w:trPr>
        <w:tc>
          <w:tcPr>
            <w:tcW w:w="73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pStyle w:val="27"/>
              <w:snapToGrid w:val="0"/>
              <w:spacing w:before="295" w:after="295" w:line="360" w:lineRule="exact"/>
              <w:jc w:val="center"/>
              <w:rPr>
                <w:rFonts w:hAnsi="宋体"/>
                <w:color w:val="auto"/>
                <w:highlight w:val="none"/>
              </w:rPr>
            </w:pPr>
            <w:r>
              <w:rPr>
                <w:rFonts w:hint="eastAsia" w:hAnsi="宋体"/>
                <w:color w:val="auto"/>
                <w:highlight w:val="none"/>
              </w:rPr>
              <w:t>序号</w:t>
            </w:r>
          </w:p>
        </w:tc>
        <w:tc>
          <w:tcPr>
            <w:tcW w:w="2700" w:type="dxa"/>
            <w:tcBorders>
              <w:top w:val="single" w:color="auto" w:sz="4" w:space="0"/>
              <w:left w:val="single" w:color="auto" w:sz="4" w:space="0"/>
              <w:bottom w:val="single" w:color="auto" w:sz="2" w:space="0"/>
              <w:right w:val="single" w:color="auto" w:sz="4" w:space="0"/>
            </w:tcBorders>
            <w:noWrap w:val="0"/>
            <w:vAlign w:val="center"/>
          </w:tcPr>
          <w:p>
            <w:pPr>
              <w:pStyle w:val="27"/>
              <w:snapToGrid w:val="0"/>
              <w:spacing w:before="295" w:after="295" w:line="360" w:lineRule="exact"/>
              <w:jc w:val="center"/>
              <w:rPr>
                <w:rFonts w:hAnsi="宋体"/>
                <w:color w:val="auto"/>
                <w:highlight w:val="none"/>
              </w:rPr>
            </w:pPr>
            <w:r>
              <w:rPr>
                <w:rFonts w:hint="eastAsia" w:hAnsi="宋体"/>
                <w:color w:val="auto"/>
                <w:highlight w:val="none"/>
              </w:rPr>
              <w:t>优惠内容</w:t>
            </w:r>
          </w:p>
        </w:tc>
        <w:tc>
          <w:tcPr>
            <w:tcW w:w="1440" w:type="dxa"/>
            <w:tcBorders>
              <w:top w:val="single" w:color="auto" w:sz="4" w:space="0"/>
              <w:left w:val="single" w:color="auto" w:sz="4" w:space="0"/>
              <w:bottom w:val="single" w:color="auto" w:sz="2" w:space="0"/>
              <w:right w:val="single" w:color="auto" w:sz="4" w:space="0"/>
            </w:tcBorders>
            <w:noWrap w:val="0"/>
            <w:vAlign w:val="center"/>
          </w:tcPr>
          <w:p>
            <w:pPr>
              <w:pStyle w:val="27"/>
              <w:snapToGrid w:val="0"/>
              <w:spacing w:before="295" w:after="295" w:line="360" w:lineRule="exact"/>
              <w:jc w:val="center"/>
              <w:rPr>
                <w:rFonts w:hAnsi="宋体"/>
                <w:color w:val="auto"/>
                <w:highlight w:val="none"/>
              </w:rPr>
            </w:pPr>
            <w:r>
              <w:rPr>
                <w:rFonts w:hint="eastAsia" w:hAnsi="宋体"/>
                <w:color w:val="auto"/>
                <w:highlight w:val="none"/>
              </w:rPr>
              <w:t>适用机型</w:t>
            </w:r>
          </w:p>
        </w:tc>
        <w:tc>
          <w:tcPr>
            <w:tcW w:w="1440" w:type="dxa"/>
            <w:tcBorders>
              <w:top w:val="single" w:color="auto" w:sz="4" w:space="0"/>
              <w:left w:val="single" w:color="auto" w:sz="4" w:space="0"/>
              <w:bottom w:val="single" w:color="auto" w:sz="2" w:space="0"/>
              <w:right w:val="single" w:color="auto" w:sz="4" w:space="0"/>
            </w:tcBorders>
            <w:noWrap w:val="0"/>
            <w:tcMar>
              <w:top w:w="15" w:type="dxa"/>
              <w:left w:w="15" w:type="dxa"/>
              <w:bottom w:w="0" w:type="dxa"/>
              <w:right w:w="15" w:type="dxa"/>
            </w:tcMar>
            <w:vAlign w:val="center"/>
          </w:tcPr>
          <w:p>
            <w:pPr>
              <w:pStyle w:val="27"/>
              <w:snapToGrid w:val="0"/>
              <w:spacing w:before="295" w:after="295" w:line="360" w:lineRule="exact"/>
              <w:jc w:val="center"/>
              <w:rPr>
                <w:rFonts w:hAnsi="宋体"/>
                <w:color w:val="auto"/>
                <w:highlight w:val="none"/>
              </w:rPr>
            </w:pPr>
            <w:r>
              <w:rPr>
                <w:rFonts w:hint="eastAsia" w:hAnsi="宋体"/>
                <w:color w:val="auto"/>
                <w:highlight w:val="none"/>
              </w:rPr>
              <w:t>单价</w:t>
            </w:r>
          </w:p>
        </w:tc>
        <w:tc>
          <w:tcPr>
            <w:tcW w:w="1530" w:type="dxa"/>
            <w:tcBorders>
              <w:top w:val="single" w:color="auto" w:sz="4" w:space="0"/>
              <w:left w:val="single" w:color="auto" w:sz="4" w:space="0"/>
              <w:bottom w:val="single" w:color="auto" w:sz="2" w:space="0"/>
              <w:right w:val="single" w:color="auto" w:sz="4" w:space="0"/>
            </w:tcBorders>
            <w:noWrap w:val="0"/>
            <w:vAlign w:val="center"/>
          </w:tcPr>
          <w:p>
            <w:pPr>
              <w:pStyle w:val="27"/>
              <w:snapToGrid w:val="0"/>
              <w:spacing w:before="295" w:after="295" w:line="360" w:lineRule="exact"/>
              <w:jc w:val="center"/>
              <w:rPr>
                <w:rFonts w:hAnsi="宋体"/>
                <w:color w:val="auto"/>
                <w:highlight w:val="none"/>
              </w:rPr>
            </w:pPr>
            <w:r>
              <w:rPr>
                <w:rFonts w:hint="eastAsia" w:hAnsi="宋体"/>
                <w:color w:val="auto"/>
                <w:highlight w:val="none"/>
              </w:rPr>
              <w:t>比投标报价优惠率</w:t>
            </w:r>
          </w:p>
        </w:tc>
        <w:tc>
          <w:tcPr>
            <w:tcW w:w="1530" w:type="dxa"/>
            <w:tcBorders>
              <w:top w:val="single" w:color="auto" w:sz="4" w:space="0"/>
              <w:left w:val="single" w:color="auto" w:sz="4" w:space="0"/>
              <w:bottom w:val="single" w:color="auto" w:sz="2" w:space="0"/>
              <w:right w:val="single" w:color="auto" w:sz="4" w:space="0"/>
            </w:tcBorders>
            <w:noWrap w:val="0"/>
            <w:vAlign w:val="center"/>
          </w:tcPr>
          <w:p>
            <w:pPr>
              <w:pStyle w:val="27"/>
              <w:snapToGrid w:val="0"/>
              <w:spacing w:before="295" w:after="295" w:line="360" w:lineRule="exact"/>
              <w:jc w:val="center"/>
              <w:rPr>
                <w:rFonts w:hAnsi="宋体"/>
                <w:color w:val="auto"/>
                <w:highlight w:val="none"/>
              </w:rPr>
            </w:pPr>
            <w:r>
              <w:rPr>
                <w:rFonts w:hint="eastAsia" w:hAnsi="宋体"/>
                <w:color w:val="auto"/>
                <w:highlight w:val="none"/>
              </w:rPr>
              <w:t>比招标要求提供更优售后服务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65" w:hRule="atLeast"/>
        </w:trPr>
        <w:tc>
          <w:tcPr>
            <w:tcW w:w="735" w:type="dxa"/>
            <w:tcBorders>
              <w:top w:val="single" w:color="auto" w:sz="4" w:space="0"/>
              <w:left w:val="single" w:color="auto" w:sz="4" w:space="0"/>
              <w:bottom w:val="single" w:color="auto" w:sz="4" w:space="0"/>
              <w:right w:val="single" w:color="auto" w:sz="2" w:space="0"/>
            </w:tcBorders>
            <w:noWrap w:val="0"/>
            <w:tcMar>
              <w:top w:w="15" w:type="dxa"/>
              <w:left w:w="15" w:type="dxa"/>
              <w:bottom w:w="0" w:type="dxa"/>
              <w:right w:w="15" w:type="dxa"/>
            </w:tcMar>
            <w:vAlign w:val="center"/>
          </w:tcPr>
          <w:p>
            <w:pPr>
              <w:pStyle w:val="27"/>
              <w:snapToGrid w:val="0"/>
              <w:spacing w:before="295" w:after="295" w:line="360" w:lineRule="exact"/>
              <w:jc w:val="center"/>
              <w:rPr>
                <w:rFonts w:hAnsi="宋体"/>
                <w:color w:val="auto"/>
                <w:highlight w:val="none"/>
              </w:rPr>
            </w:pPr>
          </w:p>
        </w:tc>
        <w:tc>
          <w:tcPr>
            <w:tcW w:w="2700" w:type="dxa"/>
            <w:tcBorders>
              <w:top w:val="single" w:color="auto" w:sz="2" w:space="0"/>
              <w:left w:val="single" w:color="auto" w:sz="2" w:space="0"/>
              <w:bottom w:val="single" w:color="auto" w:sz="6" w:space="0"/>
              <w:right w:val="single" w:color="auto" w:sz="4" w:space="0"/>
            </w:tcBorders>
            <w:noWrap w:val="0"/>
            <w:vAlign w:val="center"/>
          </w:tcPr>
          <w:p>
            <w:pPr>
              <w:pStyle w:val="27"/>
              <w:snapToGrid w:val="0"/>
              <w:spacing w:before="295" w:after="295" w:line="360" w:lineRule="exact"/>
              <w:jc w:val="center"/>
              <w:rPr>
                <w:rFonts w:hAnsi="宋体"/>
                <w:color w:val="auto"/>
                <w:highlight w:val="none"/>
              </w:rPr>
            </w:pPr>
          </w:p>
        </w:tc>
        <w:tc>
          <w:tcPr>
            <w:tcW w:w="1440" w:type="dxa"/>
            <w:tcBorders>
              <w:top w:val="single" w:color="auto" w:sz="2" w:space="0"/>
              <w:left w:val="single" w:color="auto" w:sz="4" w:space="0"/>
              <w:bottom w:val="single" w:color="auto" w:sz="6" w:space="0"/>
              <w:right w:val="single" w:color="auto" w:sz="6" w:space="0"/>
            </w:tcBorders>
            <w:noWrap w:val="0"/>
            <w:vAlign w:val="center"/>
          </w:tcPr>
          <w:p>
            <w:pPr>
              <w:pStyle w:val="27"/>
              <w:snapToGrid w:val="0"/>
              <w:spacing w:before="295" w:after="295" w:line="360" w:lineRule="exact"/>
              <w:jc w:val="center"/>
              <w:rPr>
                <w:rFonts w:hAnsi="宋体"/>
                <w:color w:val="auto"/>
                <w:highlight w:val="none"/>
              </w:rPr>
            </w:pPr>
          </w:p>
        </w:tc>
        <w:tc>
          <w:tcPr>
            <w:tcW w:w="1440" w:type="dxa"/>
            <w:tcBorders>
              <w:top w:val="single" w:color="auto" w:sz="2" w:space="0"/>
              <w:left w:val="single" w:color="auto" w:sz="6" w:space="0"/>
              <w:bottom w:val="single" w:color="auto" w:sz="6" w:space="0"/>
              <w:right w:val="single" w:color="auto" w:sz="6" w:space="0"/>
            </w:tcBorders>
            <w:noWrap w:val="0"/>
            <w:tcMar>
              <w:top w:w="15" w:type="dxa"/>
              <w:left w:w="15" w:type="dxa"/>
              <w:bottom w:w="0" w:type="dxa"/>
              <w:right w:w="15" w:type="dxa"/>
            </w:tcMar>
            <w:vAlign w:val="center"/>
          </w:tcPr>
          <w:p>
            <w:pPr>
              <w:pStyle w:val="27"/>
              <w:snapToGrid w:val="0"/>
              <w:spacing w:before="295" w:after="295" w:line="360" w:lineRule="exact"/>
              <w:jc w:val="center"/>
              <w:rPr>
                <w:rFonts w:hAnsi="宋体"/>
                <w:color w:val="auto"/>
                <w:highlight w:val="none"/>
              </w:rPr>
            </w:pPr>
          </w:p>
        </w:tc>
        <w:tc>
          <w:tcPr>
            <w:tcW w:w="1530" w:type="dxa"/>
            <w:tcBorders>
              <w:top w:val="single" w:color="auto" w:sz="2" w:space="0"/>
              <w:left w:val="single" w:color="auto" w:sz="6" w:space="0"/>
              <w:bottom w:val="single" w:color="auto" w:sz="6" w:space="0"/>
              <w:right w:val="single" w:color="auto" w:sz="2" w:space="0"/>
            </w:tcBorders>
            <w:noWrap w:val="0"/>
            <w:vAlign w:val="center"/>
          </w:tcPr>
          <w:p>
            <w:pPr>
              <w:pStyle w:val="27"/>
              <w:snapToGrid w:val="0"/>
              <w:spacing w:before="295" w:after="295" w:line="360" w:lineRule="exact"/>
              <w:jc w:val="center"/>
              <w:rPr>
                <w:rFonts w:hAnsi="宋体"/>
                <w:color w:val="auto"/>
                <w:highlight w:val="none"/>
              </w:rPr>
            </w:pPr>
            <w:r>
              <w:rPr>
                <w:rFonts w:hint="eastAsia" w:hAnsi="宋体"/>
                <w:color w:val="auto"/>
                <w:highlight w:val="none"/>
                <w:u w:val="single"/>
              </w:rPr>
              <w:t xml:space="preserve">            </w:t>
            </w:r>
            <w:r>
              <w:rPr>
                <w:rFonts w:hint="eastAsia" w:hAnsi="宋体"/>
                <w:color w:val="auto"/>
                <w:highlight w:val="none"/>
              </w:rPr>
              <w:t>%</w:t>
            </w:r>
          </w:p>
        </w:tc>
        <w:tc>
          <w:tcPr>
            <w:tcW w:w="1530" w:type="dxa"/>
            <w:tcBorders>
              <w:top w:val="single" w:color="auto" w:sz="2" w:space="0"/>
              <w:left w:val="single" w:color="auto" w:sz="6" w:space="0"/>
              <w:bottom w:val="single" w:color="auto" w:sz="6" w:space="0"/>
              <w:right w:val="single" w:color="auto" w:sz="2" w:space="0"/>
            </w:tcBorders>
            <w:noWrap w:val="0"/>
            <w:vAlign w:val="center"/>
          </w:tcPr>
          <w:p>
            <w:pPr>
              <w:pStyle w:val="27"/>
              <w:snapToGrid w:val="0"/>
              <w:spacing w:before="295" w:after="295" w:line="360" w:lineRule="exact"/>
              <w:jc w:val="center"/>
              <w:rPr>
                <w:rFonts w:hAnsi="宋体"/>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13" w:hRule="atLeast"/>
        </w:trPr>
        <w:tc>
          <w:tcPr>
            <w:tcW w:w="735" w:type="dxa"/>
            <w:tcBorders>
              <w:top w:val="single" w:color="auto" w:sz="4" w:space="0"/>
              <w:left w:val="single" w:color="auto" w:sz="4" w:space="0"/>
              <w:bottom w:val="single" w:color="auto" w:sz="4" w:space="0"/>
              <w:right w:val="single" w:color="auto" w:sz="2" w:space="0"/>
            </w:tcBorders>
            <w:noWrap w:val="0"/>
            <w:tcMar>
              <w:top w:w="15" w:type="dxa"/>
              <w:left w:w="15" w:type="dxa"/>
              <w:bottom w:w="0" w:type="dxa"/>
              <w:right w:w="15" w:type="dxa"/>
            </w:tcMar>
            <w:vAlign w:val="center"/>
          </w:tcPr>
          <w:p>
            <w:pPr>
              <w:pStyle w:val="27"/>
              <w:snapToGrid w:val="0"/>
              <w:spacing w:before="295" w:after="295" w:line="360" w:lineRule="exact"/>
              <w:jc w:val="center"/>
              <w:rPr>
                <w:rFonts w:hAnsi="宋体"/>
                <w:color w:val="auto"/>
                <w:highlight w:val="none"/>
              </w:rPr>
            </w:pPr>
          </w:p>
        </w:tc>
        <w:tc>
          <w:tcPr>
            <w:tcW w:w="2700" w:type="dxa"/>
            <w:tcBorders>
              <w:top w:val="single" w:color="auto" w:sz="6" w:space="0"/>
              <w:left w:val="single" w:color="auto" w:sz="2" w:space="0"/>
              <w:bottom w:val="single" w:color="auto" w:sz="6" w:space="0"/>
              <w:right w:val="single" w:color="auto" w:sz="4" w:space="0"/>
            </w:tcBorders>
            <w:noWrap w:val="0"/>
            <w:vAlign w:val="center"/>
          </w:tcPr>
          <w:p>
            <w:pPr>
              <w:pStyle w:val="27"/>
              <w:snapToGrid w:val="0"/>
              <w:spacing w:before="295" w:after="295" w:line="360" w:lineRule="exact"/>
              <w:jc w:val="center"/>
              <w:rPr>
                <w:rFonts w:hAnsi="宋体"/>
                <w:color w:val="auto"/>
                <w:highlight w:val="none"/>
              </w:rPr>
            </w:pPr>
          </w:p>
        </w:tc>
        <w:tc>
          <w:tcPr>
            <w:tcW w:w="1440" w:type="dxa"/>
            <w:tcBorders>
              <w:top w:val="single" w:color="auto" w:sz="6" w:space="0"/>
              <w:left w:val="single" w:color="auto" w:sz="4" w:space="0"/>
              <w:bottom w:val="single" w:color="auto" w:sz="6" w:space="0"/>
              <w:right w:val="single" w:color="auto" w:sz="6" w:space="0"/>
            </w:tcBorders>
            <w:noWrap w:val="0"/>
            <w:vAlign w:val="center"/>
          </w:tcPr>
          <w:p>
            <w:pPr>
              <w:pStyle w:val="27"/>
              <w:snapToGrid w:val="0"/>
              <w:spacing w:before="295" w:after="295" w:line="360" w:lineRule="exact"/>
              <w:jc w:val="center"/>
              <w:rPr>
                <w:rFonts w:hAnsi="宋体"/>
                <w:color w:val="auto"/>
                <w:highlight w:val="none"/>
              </w:rPr>
            </w:pPr>
          </w:p>
        </w:tc>
        <w:tc>
          <w:tcPr>
            <w:tcW w:w="1440" w:type="dxa"/>
            <w:tcBorders>
              <w:top w:val="single" w:color="auto" w:sz="6" w:space="0"/>
              <w:left w:val="single" w:color="auto" w:sz="6" w:space="0"/>
              <w:bottom w:val="single" w:color="auto" w:sz="6" w:space="0"/>
              <w:right w:val="single" w:color="auto" w:sz="6" w:space="0"/>
            </w:tcBorders>
            <w:noWrap w:val="0"/>
            <w:tcMar>
              <w:top w:w="15" w:type="dxa"/>
              <w:left w:w="15" w:type="dxa"/>
              <w:bottom w:w="0" w:type="dxa"/>
              <w:right w:w="15" w:type="dxa"/>
            </w:tcMar>
            <w:vAlign w:val="center"/>
          </w:tcPr>
          <w:p>
            <w:pPr>
              <w:pStyle w:val="27"/>
              <w:snapToGrid w:val="0"/>
              <w:spacing w:before="295" w:after="295" w:line="360" w:lineRule="exact"/>
              <w:jc w:val="center"/>
              <w:rPr>
                <w:rFonts w:hAnsi="宋体"/>
                <w:color w:val="auto"/>
                <w:highlight w:val="none"/>
              </w:rPr>
            </w:pPr>
          </w:p>
        </w:tc>
        <w:tc>
          <w:tcPr>
            <w:tcW w:w="1530" w:type="dxa"/>
            <w:tcBorders>
              <w:top w:val="single" w:color="auto" w:sz="6" w:space="0"/>
              <w:left w:val="single" w:color="auto" w:sz="6" w:space="0"/>
              <w:bottom w:val="single" w:color="auto" w:sz="6" w:space="0"/>
              <w:right w:val="single" w:color="auto" w:sz="2" w:space="0"/>
            </w:tcBorders>
            <w:noWrap w:val="0"/>
            <w:vAlign w:val="center"/>
          </w:tcPr>
          <w:p>
            <w:pPr>
              <w:pStyle w:val="27"/>
              <w:snapToGrid w:val="0"/>
              <w:spacing w:before="295" w:after="295" w:line="360" w:lineRule="exact"/>
              <w:jc w:val="center"/>
              <w:rPr>
                <w:rFonts w:hAnsi="宋体"/>
                <w:color w:val="auto"/>
                <w:highlight w:val="none"/>
              </w:rPr>
            </w:pPr>
            <w:r>
              <w:rPr>
                <w:rFonts w:hint="eastAsia" w:hAnsi="宋体"/>
                <w:color w:val="auto"/>
                <w:highlight w:val="none"/>
                <w:u w:val="single"/>
              </w:rPr>
              <w:t xml:space="preserve">            </w:t>
            </w:r>
            <w:r>
              <w:rPr>
                <w:rFonts w:hint="eastAsia" w:hAnsi="宋体"/>
                <w:color w:val="auto"/>
                <w:highlight w:val="none"/>
              </w:rPr>
              <w:t>%</w:t>
            </w:r>
          </w:p>
        </w:tc>
        <w:tc>
          <w:tcPr>
            <w:tcW w:w="1530" w:type="dxa"/>
            <w:tcBorders>
              <w:top w:val="single" w:color="auto" w:sz="6" w:space="0"/>
              <w:left w:val="single" w:color="auto" w:sz="6" w:space="0"/>
              <w:bottom w:val="single" w:color="auto" w:sz="6" w:space="0"/>
              <w:right w:val="single" w:color="auto" w:sz="2" w:space="0"/>
            </w:tcBorders>
            <w:noWrap w:val="0"/>
            <w:vAlign w:val="center"/>
          </w:tcPr>
          <w:p>
            <w:pPr>
              <w:pStyle w:val="27"/>
              <w:snapToGrid w:val="0"/>
              <w:spacing w:before="295" w:after="295" w:line="360" w:lineRule="exact"/>
              <w:jc w:val="center"/>
              <w:rPr>
                <w:rFonts w:hAnsi="宋体"/>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4" w:hRule="atLeast"/>
        </w:trPr>
        <w:tc>
          <w:tcPr>
            <w:tcW w:w="735" w:type="dxa"/>
            <w:tcBorders>
              <w:top w:val="single" w:color="auto" w:sz="4" w:space="0"/>
              <w:left w:val="single" w:color="auto" w:sz="4" w:space="0"/>
              <w:bottom w:val="single" w:color="auto" w:sz="4" w:space="0"/>
              <w:right w:val="single" w:color="auto" w:sz="2" w:space="0"/>
            </w:tcBorders>
            <w:noWrap w:val="0"/>
            <w:tcMar>
              <w:top w:w="15" w:type="dxa"/>
              <w:left w:w="15" w:type="dxa"/>
              <w:bottom w:w="0" w:type="dxa"/>
              <w:right w:w="15" w:type="dxa"/>
            </w:tcMar>
            <w:vAlign w:val="center"/>
          </w:tcPr>
          <w:p>
            <w:pPr>
              <w:pStyle w:val="27"/>
              <w:snapToGrid w:val="0"/>
              <w:spacing w:before="295" w:after="295" w:line="360" w:lineRule="exact"/>
              <w:jc w:val="center"/>
              <w:rPr>
                <w:rFonts w:hAnsi="宋体"/>
                <w:color w:val="auto"/>
                <w:highlight w:val="none"/>
              </w:rPr>
            </w:pPr>
          </w:p>
        </w:tc>
        <w:tc>
          <w:tcPr>
            <w:tcW w:w="2700" w:type="dxa"/>
            <w:tcBorders>
              <w:top w:val="single" w:color="auto" w:sz="6" w:space="0"/>
              <w:left w:val="single" w:color="auto" w:sz="2" w:space="0"/>
              <w:bottom w:val="single" w:color="auto" w:sz="6" w:space="0"/>
              <w:right w:val="single" w:color="auto" w:sz="4" w:space="0"/>
            </w:tcBorders>
            <w:noWrap w:val="0"/>
            <w:vAlign w:val="center"/>
          </w:tcPr>
          <w:p>
            <w:pPr>
              <w:pStyle w:val="27"/>
              <w:snapToGrid w:val="0"/>
              <w:spacing w:before="295" w:after="295" w:line="360" w:lineRule="exact"/>
              <w:jc w:val="center"/>
              <w:rPr>
                <w:rFonts w:hAnsi="宋体"/>
                <w:color w:val="auto"/>
                <w:highlight w:val="none"/>
              </w:rPr>
            </w:pPr>
          </w:p>
        </w:tc>
        <w:tc>
          <w:tcPr>
            <w:tcW w:w="1440" w:type="dxa"/>
            <w:tcBorders>
              <w:top w:val="single" w:color="auto" w:sz="6" w:space="0"/>
              <w:left w:val="single" w:color="auto" w:sz="4" w:space="0"/>
              <w:bottom w:val="single" w:color="auto" w:sz="6" w:space="0"/>
              <w:right w:val="single" w:color="auto" w:sz="6" w:space="0"/>
            </w:tcBorders>
            <w:noWrap w:val="0"/>
            <w:vAlign w:val="center"/>
          </w:tcPr>
          <w:p>
            <w:pPr>
              <w:pStyle w:val="27"/>
              <w:snapToGrid w:val="0"/>
              <w:spacing w:before="295" w:after="295" w:line="360" w:lineRule="exact"/>
              <w:jc w:val="center"/>
              <w:rPr>
                <w:rFonts w:hAnsi="宋体"/>
                <w:color w:val="auto"/>
                <w:highlight w:val="none"/>
              </w:rPr>
            </w:pPr>
          </w:p>
        </w:tc>
        <w:tc>
          <w:tcPr>
            <w:tcW w:w="1440" w:type="dxa"/>
            <w:tcBorders>
              <w:top w:val="single" w:color="auto" w:sz="6" w:space="0"/>
              <w:left w:val="single" w:color="auto" w:sz="6" w:space="0"/>
              <w:bottom w:val="single" w:color="auto" w:sz="6" w:space="0"/>
              <w:right w:val="single" w:color="auto" w:sz="6" w:space="0"/>
            </w:tcBorders>
            <w:noWrap w:val="0"/>
            <w:tcMar>
              <w:top w:w="15" w:type="dxa"/>
              <w:left w:w="15" w:type="dxa"/>
              <w:bottom w:w="0" w:type="dxa"/>
              <w:right w:w="15" w:type="dxa"/>
            </w:tcMar>
            <w:vAlign w:val="center"/>
          </w:tcPr>
          <w:p>
            <w:pPr>
              <w:pStyle w:val="27"/>
              <w:snapToGrid w:val="0"/>
              <w:spacing w:before="295" w:after="295" w:line="360" w:lineRule="exact"/>
              <w:jc w:val="center"/>
              <w:rPr>
                <w:rFonts w:hAnsi="宋体"/>
                <w:color w:val="auto"/>
                <w:highlight w:val="none"/>
              </w:rPr>
            </w:pPr>
          </w:p>
        </w:tc>
        <w:tc>
          <w:tcPr>
            <w:tcW w:w="1530" w:type="dxa"/>
            <w:tcBorders>
              <w:top w:val="single" w:color="auto" w:sz="6" w:space="0"/>
              <w:left w:val="single" w:color="auto" w:sz="6" w:space="0"/>
              <w:bottom w:val="single" w:color="auto" w:sz="6" w:space="0"/>
              <w:right w:val="single" w:color="auto" w:sz="2" w:space="0"/>
            </w:tcBorders>
            <w:noWrap w:val="0"/>
            <w:vAlign w:val="center"/>
          </w:tcPr>
          <w:p>
            <w:pPr>
              <w:pStyle w:val="27"/>
              <w:snapToGrid w:val="0"/>
              <w:spacing w:before="295" w:after="295" w:line="360" w:lineRule="exact"/>
              <w:jc w:val="center"/>
              <w:rPr>
                <w:rFonts w:hAnsi="宋体"/>
                <w:color w:val="auto"/>
                <w:highlight w:val="none"/>
              </w:rPr>
            </w:pPr>
            <w:r>
              <w:rPr>
                <w:rFonts w:hint="eastAsia" w:hAnsi="宋体"/>
                <w:color w:val="auto"/>
                <w:highlight w:val="none"/>
                <w:u w:val="single"/>
              </w:rPr>
              <w:t xml:space="preserve">            </w:t>
            </w:r>
            <w:r>
              <w:rPr>
                <w:rFonts w:hint="eastAsia" w:hAnsi="宋体"/>
                <w:color w:val="auto"/>
                <w:highlight w:val="none"/>
              </w:rPr>
              <w:t>%</w:t>
            </w:r>
          </w:p>
        </w:tc>
        <w:tc>
          <w:tcPr>
            <w:tcW w:w="1530" w:type="dxa"/>
            <w:tcBorders>
              <w:top w:val="single" w:color="auto" w:sz="6" w:space="0"/>
              <w:left w:val="single" w:color="auto" w:sz="6" w:space="0"/>
              <w:bottom w:val="single" w:color="auto" w:sz="6" w:space="0"/>
              <w:right w:val="single" w:color="auto" w:sz="2" w:space="0"/>
            </w:tcBorders>
            <w:noWrap w:val="0"/>
            <w:vAlign w:val="center"/>
          </w:tcPr>
          <w:p>
            <w:pPr>
              <w:pStyle w:val="27"/>
              <w:snapToGrid w:val="0"/>
              <w:spacing w:before="295" w:after="295" w:line="360" w:lineRule="exact"/>
              <w:jc w:val="center"/>
              <w:rPr>
                <w:rFonts w:hAnsi="宋体"/>
                <w:color w:val="auto"/>
                <w:highlight w:val="none"/>
              </w:rPr>
            </w:pPr>
          </w:p>
        </w:tc>
      </w:tr>
    </w:tbl>
    <w:p>
      <w:pPr>
        <w:snapToGrid w:val="0"/>
        <w:spacing w:before="50" w:after="50" w:line="360" w:lineRule="exact"/>
        <w:rPr>
          <w:rFonts w:hint="eastAsia" w:ascii="宋体" w:hAnsi="宋体"/>
          <w:color w:val="auto"/>
          <w:spacing w:val="20"/>
          <w:szCs w:val="21"/>
          <w:highlight w:val="none"/>
        </w:rPr>
      </w:pPr>
    </w:p>
    <w:p>
      <w:pPr>
        <w:snapToGrid w:val="0"/>
        <w:spacing w:before="50" w:after="50" w:line="360" w:lineRule="exact"/>
        <w:rPr>
          <w:rFonts w:hint="eastAsia" w:ascii="宋体" w:hAnsi="宋体"/>
          <w:color w:val="auto"/>
          <w:spacing w:val="20"/>
          <w:szCs w:val="21"/>
          <w:highlight w:val="none"/>
          <w:u w:val="single"/>
        </w:rPr>
      </w:pPr>
      <w:r>
        <w:rPr>
          <w:rFonts w:hint="eastAsia" w:ascii="宋体" w:hAnsi="宋体"/>
          <w:color w:val="auto"/>
          <w:szCs w:val="21"/>
          <w:highlight w:val="none"/>
        </w:rPr>
        <w:t>法定代表人或委托代理人签字（或签章）</w:t>
      </w:r>
      <w:r>
        <w:rPr>
          <w:rFonts w:hint="eastAsia" w:ascii="宋体" w:hAnsi="宋体"/>
          <w:color w:val="auto"/>
          <w:spacing w:val="20"/>
          <w:szCs w:val="21"/>
          <w:highlight w:val="none"/>
        </w:rPr>
        <w:t>：</w:t>
      </w:r>
      <w:r>
        <w:rPr>
          <w:rFonts w:hint="eastAsia" w:ascii="宋体" w:hAnsi="宋体"/>
          <w:color w:val="auto"/>
          <w:spacing w:val="20"/>
          <w:szCs w:val="21"/>
          <w:highlight w:val="none"/>
          <w:u w:val="single"/>
        </w:rPr>
        <w:t xml:space="preserve">        </w:t>
      </w:r>
    </w:p>
    <w:p>
      <w:pPr>
        <w:snapToGrid w:val="0"/>
        <w:spacing w:before="50" w:after="50" w:line="360" w:lineRule="exact"/>
        <w:rPr>
          <w:rFonts w:hint="eastAsia" w:ascii="宋体" w:hAnsi="宋体"/>
          <w:color w:val="auto"/>
          <w:szCs w:val="21"/>
          <w:highlight w:val="none"/>
        </w:rPr>
      </w:pPr>
      <w:r>
        <w:rPr>
          <w:rFonts w:hint="eastAsia" w:ascii="宋体" w:hAnsi="宋体"/>
          <w:color w:val="auto"/>
          <w:spacing w:val="20"/>
          <w:szCs w:val="21"/>
          <w:highlight w:val="none"/>
        </w:rPr>
        <w:t>投标人盖章：</w:t>
      </w:r>
      <w:r>
        <w:rPr>
          <w:rFonts w:hint="eastAsia" w:ascii="宋体" w:hAnsi="宋体"/>
          <w:color w:val="auto"/>
          <w:spacing w:val="20"/>
          <w:szCs w:val="21"/>
          <w:highlight w:val="none"/>
          <w:u w:val="single"/>
        </w:rPr>
        <w:t xml:space="preserve">            </w:t>
      </w:r>
      <w:r>
        <w:rPr>
          <w:rFonts w:hint="eastAsia" w:ascii="宋体" w:hAnsi="宋体"/>
          <w:color w:val="auto"/>
          <w:spacing w:val="20"/>
          <w:szCs w:val="21"/>
          <w:highlight w:val="none"/>
        </w:rPr>
        <w:t xml:space="preserve">            日 期：</w:t>
      </w:r>
      <w:r>
        <w:rPr>
          <w:rFonts w:hint="eastAsia" w:ascii="宋体" w:hAnsi="宋体"/>
          <w:color w:val="auto"/>
          <w:spacing w:val="20"/>
          <w:szCs w:val="21"/>
          <w:highlight w:val="none"/>
          <w:u w:val="single"/>
        </w:rPr>
        <w:t xml:space="preserve">            </w:t>
      </w:r>
    </w:p>
    <w:p>
      <w:pPr>
        <w:snapToGrid w:val="0"/>
        <w:spacing w:before="50" w:after="156" w:afterLines="50" w:line="360" w:lineRule="exact"/>
        <w:jc w:val="left"/>
        <w:rPr>
          <w:rFonts w:hint="eastAsia" w:ascii="宋体" w:hAnsi="宋体"/>
          <w:color w:val="auto"/>
          <w:szCs w:val="21"/>
          <w:highlight w:val="none"/>
        </w:rPr>
      </w:pPr>
    </w:p>
    <w:p>
      <w:pPr>
        <w:snapToGrid w:val="0"/>
        <w:spacing w:before="50" w:after="156" w:afterLines="50" w:line="360" w:lineRule="exact"/>
        <w:jc w:val="left"/>
        <w:rPr>
          <w:rFonts w:hint="eastAsia" w:ascii="宋体" w:hAnsi="宋体"/>
          <w:color w:val="auto"/>
          <w:szCs w:val="21"/>
          <w:highlight w:val="none"/>
        </w:rPr>
      </w:pPr>
      <w:r>
        <w:rPr>
          <w:rFonts w:hint="eastAsia" w:ascii="宋体" w:hAnsi="宋体"/>
          <w:color w:val="auto"/>
          <w:szCs w:val="21"/>
          <w:highlight w:val="none"/>
        </w:rPr>
        <w:t>（7）投标人对本项目的合理化建议和改进措施（格式自拟）</w:t>
      </w:r>
    </w:p>
    <w:p>
      <w:pPr>
        <w:snapToGrid w:val="0"/>
        <w:spacing w:before="50" w:after="156" w:afterLines="50" w:line="360" w:lineRule="exact"/>
        <w:jc w:val="left"/>
        <w:rPr>
          <w:rFonts w:hint="eastAsia" w:ascii="宋体" w:hAnsi="宋体"/>
          <w:color w:val="auto"/>
          <w:szCs w:val="21"/>
          <w:highlight w:val="none"/>
        </w:rPr>
      </w:pPr>
      <w:r>
        <w:rPr>
          <w:rFonts w:hint="eastAsia" w:ascii="宋体" w:hAnsi="宋体"/>
          <w:b/>
          <w:color w:val="auto"/>
          <w:szCs w:val="21"/>
          <w:highlight w:val="none"/>
        </w:rPr>
        <w:t>（8）</w:t>
      </w:r>
      <w:r>
        <w:rPr>
          <w:rFonts w:hint="eastAsia" w:ascii="宋体" w:hAnsi="宋体"/>
          <w:color w:val="auto"/>
          <w:szCs w:val="21"/>
          <w:highlight w:val="none"/>
        </w:rPr>
        <w:t>投标人需要说明的其他文件和说明（格式自拟）</w:t>
      </w:r>
    </w:p>
    <w:p>
      <w:pPr>
        <w:snapToGrid w:val="0"/>
        <w:spacing w:line="360" w:lineRule="exact"/>
        <w:jc w:val="left"/>
        <w:rPr>
          <w:rFonts w:hint="eastAsia" w:ascii="宋体" w:hAnsi="宋体"/>
          <w:color w:val="auto"/>
          <w:szCs w:val="21"/>
          <w:highlight w:val="none"/>
        </w:rPr>
      </w:pPr>
      <w:r>
        <w:rPr>
          <w:rFonts w:hint="eastAsia" w:hAnsi="宋体"/>
          <w:color w:val="auto"/>
          <w:highlight w:val="none"/>
        </w:rPr>
        <w:t>▲</w:t>
      </w:r>
      <w:r>
        <w:rPr>
          <w:rFonts w:hint="eastAsia" w:ascii="宋体" w:hAnsi="宋体"/>
          <w:color w:val="auto"/>
          <w:szCs w:val="21"/>
          <w:highlight w:val="none"/>
        </w:rPr>
        <w:t>（9）招标项目采购需求中要求必须提供的材料。（招标项目采购需求中要求必须提供的材料，据实提供）</w:t>
      </w:r>
    </w:p>
    <w:p>
      <w:pPr>
        <w:snapToGrid w:val="0"/>
        <w:spacing w:before="50" w:line="360" w:lineRule="exact"/>
        <w:jc w:val="left"/>
        <w:rPr>
          <w:rFonts w:hint="eastAsia" w:ascii="宋体" w:hAnsi="宋体"/>
          <w:b/>
          <w:color w:val="auto"/>
          <w:szCs w:val="21"/>
          <w:highlight w:val="none"/>
        </w:rPr>
      </w:pPr>
    </w:p>
    <w:p>
      <w:pPr>
        <w:snapToGrid w:val="0"/>
        <w:spacing w:before="156" w:beforeLines="50" w:after="50" w:line="360" w:lineRule="exact"/>
        <w:outlineLvl w:val="0"/>
        <w:rPr>
          <w:rFonts w:hint="eastAsia" w:ascii="宋体" w:hAnsi="宋体"/>
          <w:b/>
          <w:color w:val="auto"/>
          <w:szCs w:val="21"/>
          <w:highlight w:val="none"/>
        </w:rPr>
      </w:pPr>
      <w:bookmarkStart w:id="324" w:name="_Toc40865012"/>
      <w:bookmarkStart w:id="325" w:name="_Toc40864736"/>
      <w:bookmarkStart w:id="326" w:name="_Toc40865128"/>
      <w:r>
        <w:rPr>
          <w:rFonts w:hint="eastAsia" w:ascii="宋体" w:hAnsi="宋体"/>
          <w:b/>
          <w:color w:val="auto"/>
          <w:szCs w:val="21"/>
          <w:highlight w:val="none"/>
        </w:rPr>
        <w:t>四）报价文件部分 （格式）</w:t>
      </w:r>
      <w:bookmarkEnd w:id="324"/>
      <w:bookmarkEnd w:id="325"/>
      <w:bookmarkEnd w:id="326"/>
    </w:p>
    <w:p>
      <w:pPr>
        <w:snapToGrid w:val="0"/>
        <w:spacing w:before="156" w:beforeLines="50" w:after="50" w:line="360" w:lineRule="exact"/>
        <w:rPr>
          <w:rFonts w:hint="eastAsia" w:ascii="宋体" w:hAnsi="宋体"/>
          <w:b/>
          <w:color w:val="auto"/>
          <w:szCs w:val="21"/>
          <w:highlight w:val="none"/>
        </w:rPr>
      </w:pPr>
      <w:r>
        <w:rPr>
          <w:rFonts w:hint="eastAsia" w:ascii="宋体" w:hAnsi="宋体"/>
          <w:b/>
          <w:color w:val="auto"/>
          <w:szCs w:val="21"/>
          <w:highlight w:val="none"/>
        </w:rPr>
        <w:t>（1）投标函格式：</w:t>
      </w:r>
    </w:p>
    <w:p>
      <w:pPr>
        <w:snapToGrid w:val="0"/>
        <w:spacing w:before="156" w:beforeLines="50" w:after="50" w:line="360" w:lineRule="exact"/>
        <w:jc w:val="center"/>
        <w:rPr>
          <w:rFonts w:hint="eastAsia" w:ascii="宋体" w:hAnsi="宋体"/>
          <w:b/>
          <w:color w:val="auto"/>
          <w:szCs w:val="21"/>
          <w:highlight w:val="none"/>
        </w:rPr>
      </w:pPr>
      <w:r>
        <w:rPr>
          <w:rFonts w:hint="eastAsia" w:ascii="宋体" w:hAnsi="宋体"/>
          <w:b/>
          <w:color w:val="auto"/>
          <w:szCs w:val="21"/>
          <w:highlight w:val="none"/>
        </w:rPr>
        <w:t>投 标 函</w:t>
      </w:r>
    </w:p>
    <w:p>
      <w:pPr>
        <w:snapToGrid w:val="0"/>
        <w:spacing w:line="360" w:lineRule="exact"/>
        <w:rPr>
          <w:rFonts w:hint="eastAsia" w:ascii="宋体" w:hAnsi="宋体"/>
          <w:color w:val="auto"/>
          <w:szCs w:val="21"/>
          <w:highlight w:val="none"/>
        </w:rPr>
      </w:pPr>
      <w:r>
        <w:rPr>
          <w:rFonts w:hint="eastAsia" w:ascii="宋体" w:hAnsi="宋体"/>
          <w:color w:val="auto"/>
          <w:szCs w:val="21"/>
          <w:highlight w:val="none"/>
        </w:rPr>
        <w:t>致：</w:t>
      </w:r>
      <w:r>
        <w:rPr>
          <w:rFonts w:hint="eastAsia"/>
          <w:color w:val="auto"/>
          <w:highlight w:val="none"/>
          <w:u w:val="single"/>
        </w:rPr>
        <w:t>广西壮族自治区政府采购中心</w:t>
      </w:r>
      <w:r>
        <w:rPr>
          <w:rFonts w:hint="eastAsia" w:ascii="宋体" w:hAnsi="宋体"/>
          <w:color w:val="auto"/>
          <w:szCs w:val="21"/>
          <w:highlight w:val="none"/>
        </w:rPr>
        <w:t>：</w:t>
      </w:r>
    </w:p>
    <w:p>
      <w:pPr>
        <w:snapToGrid w:val="0"/>
        <w:spacing w:line="360" w:lineRule="exact"/>
        <w:ind w:firstLine="480"/>
        <w:rPr>
          <w:rFonts w:hint="eastAsia" w:ascii="宋体" w:hAnsi="宋体"/>
          <w:color w:val="auto"/>
          <w:szCs w:val="21"/>
          <w:highlight w:val="none"/>
        </w:rPr>
      </w:pPr>
      <w:r>
        <w:rPr>
          <w:rFonts w:hint="eastAsia" w:ascii="宋体" w:hAnsi="宋体"/>
          <w:color w:val="auto"/>
          <w:szCs w:val="21"/>
          <w:highlight w:val="none"/>
        </w:rPr>
        <w:t>根据贵方为</w:t>
      </w:r>
      <w:r>
        <w:rPr>
          <w:rFonts w:hint="eastAsia" w:ascii="宋体" w:hAnsi="宋体"/>
          <w:color w:val="auto"/>
          <w:szCs w:val="21"/>
          <w:highlight w:val="none"/>
          <w:u w:val="single"/>
        </w:rPr>
        <w:t xml:space="preserve">                             </w:t>
      </w:r>
      <w:r>
        <w:rPr>
          <w:rFonts w:hint="eastAsia" w:ascii="宋体" w:hAnsi="宋体"/>
          <w:color w:val="auto"/>
          <w:szCs w:val="21"/>
          <w:highlight w:val="none"/>
        </w:rPr>
        <w:t>项目的招标公告（项目编号：____</w:t>
      </w:r>
      <w:r>
        <w:rPr>
          <w:rFonts w:hint="eastAsia" w:ascii="宋体" w:hAnsi="宋体"/>
          <w:color w:val="auto"/>
          <w:szCs w:val="21"/>
          <w:highlight w:val="none"/>
          <w:u w:val="single"/>
        </w:rPr>
        <w:t>_     _</w:t>
      </w:r>
      <w:r>
        <w:rPr>
          <w:rFonts w:hint="eastAsia" w:ascii="宋体" w:hAnsi="宋体"/>
          <w:color w:val="auto"/>
          <w:szCs w:val="21"/>
          <w:highlight w:val="none"/>
        </w:rPr>
        <w:t>_），签字代表______</w:t>
      </w:r>
      <w:r>
        <w:rPr>
          <w:rFonts w:hint="eastAsia" w:ascii="宋体" w:hAnsi="宋体"/>
          <w:color w:val="auto"/>
          <w:szCs w:val="21"/>
          <w:highlight w:val="none"/>
          <w:u w:val="single"/>
        </w:rPr>
        <w:t xml:space="preserve">_     </w:t>
      </w:r>
      <w:r>
        <w:rPr>
          <w:rFonts w:hint="eastAsia" w:ascii="宋体" w:hAnsi="宋体"/>
          <w:color w:val="auto"/>
          <w:szCs w:val="21"/>
          <w:highlight w:val="none"/>
        </w:rPr>
        <w:t>（全名）经正式授权并代表投标人_____</w:t>
      </w:r>
      <w:r>
        <w:rPr>
          <w:rFonts w:hint="eastAsia" w:ascii="宋体" w:hAnsi="宋体"/>
          <w:color w:val="auto"/>
          <w:szCs w:val="21"/>
          <w:highlight w:val="none"/>
          <w:u w:val="single"/>
        </w:rPr>
        <w:t>__                    __</w:t>
      </w:r>
      <w:r>
        <w:rPr>
          <w:rFonts w:hint="eastAsia" w:ascii="宋体" w:hAnsi="宋体"/>
          <w:color w:val="auto"/>
          <w:szCs w:val="21"/>
          <w:highlight w:val="none"/>
        </w:rPr>
        <w:t>（投标人名称）上传并提交加密的电子投标文件一份。</w:t>
      </w:r>
    </w:p>
    <w:p>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据此函，签字代表宣布同意如下：</w:t>
      </w:r>
    </w:p>
    <w:p>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1.投标人已详细审查全部“招标文件”，包括修改文件（如有的话）以及全部参考资料和有关附件，已经了解我方对于招标文件、采购过程、采购结果有依法进行询问、质疑、投诉的权利及相关渠道和要求。</w:t>
      </w:r>
    </w:p>
    <w:p>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2.投标人在投标之前已经与贵方进行了充分的沟通，完全理解并接受招标文件的各项规定和要求，对招标文件的合理性、合法性不再有异议。</w:t>
      </w:r>
    </w:p>
    <w:p>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3.本投标有效期自开标日起 ______个</w:t>
      </w:r>
      <w:r>
        <w:rPr>
          <w:rFonts w:hint="eastAsia" w:ascii="宋体" w:hAnsi="宋体"/>
          <w:color w:val="auto"/>
          <w:szCs w:val="21"/>
          <w:highlight w:val="none"/>
          <w:u w:val="single"/>
        </w:rPr>
        <w:t xml:space="preserve">     </w:t>
      </w:r>
      <w:r>
        <w:rPr>
          <w:rFonts w:hint="eastAsia" w:ascii="宋体" w:hAnsi="宋体"/>
          <w:color w:val="auto"/>
          <w:szCs w:val="21"/>
          <w:highlight w:val="none"/>
        </w:rPr>
        <w:t>日（自然日）。</w:t>
      </w:r>
    </w:p>
    <w:p>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4.如中标，本投标文件至本项目合同履行完毕止均保持有效，本投标人将按“招标文件”及政府采购法律、法规的规定履行合同责任和义务。</w:t>
      </w:r>
    </w:p>
    <w:p>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5.投标人同意按照贵方要求提供与投标有关的一切数据或资料。</w:t>
      </w:r>
    </w:p>
    <w:p>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6.与本投标有关的一切正式往来信函请寄：</w:t>
      </w:r>
    </w:p>
    <w:p>
      <w:pPr>
        <w:snapToGrid w:val="0"/>
        <w:spacing w:line="360" w:lineRule="exact"/>
        <w:rPr>
          <w:rFonts w:hint="eastAsia" w:ascii="宋体" w:hAnsi="宋体"/>
          <w:color w:val="auto"/>
          <w:szCs w:val="21"/>
          <w:highlight w:val="none"/>
        </w:rPr>
      </w:pPr>
      <w:r>
        <w:rPr>
          <w:rFonts w:hint="eastAsia" w:ascii="宋体" w:hAnsi="宋体"/>
          <w:color w:val="auto"/>
          <w:szCs w:val="21"/>
          <w:highlight w:val="none"/>
        </w:rPr>
        <w:t>地址：__________</w:t>
      </w:r>
      <w:r>
        <w:rPr>
          <w:rFonts w:hint="eastAsia" w:ascii="宋体" w:hAnsi="宋体"/>
          <w:color w:val="auto"/>
          <w:szCs w:val="21"/>
          <w:highlight w:val="none"/>
          <w:u w:val="single"/>
        </w:rPr>
        <w:t xml:space="preserve">        _</w:t>
      </w:r>
      <w:r>
        <w:rPr>
          <w:rFonts w:hint="eastAsia" w:ascii="宋体" w:hAnsi="宋体"/>
          <w:color w:val="auto"/>
          <w:szCs w:val="21"/>
          <w:highlight w:val="none"/>
        </w:rPr>
        <w:t>____邮编：__________   电话：______________</w:t>
      </w:r>
    </w:p>
    <w:p>
      <w:pPr>
        <w:snapToGrid w:val="0"/>
        <w:spacing w:line="360" w:lineRule="exact"/>
        <w:rPr>
          <w:rFonts w:hint="eastAsia" w:ascii="宋体" w:hAnsi="宋体"/>
          <w:color w:val="auto"/>
          <w:szCs w:val="21"/>
          <w:highlight w:val="none"/>
        </w:rPr>
      </w:pPr>
      <w:r>
        <w:rPr>
          <w:rFonts w:hint="eastAsia" w:ascii="宋体" w:hAnsi="宋体"/>
          <w:color w:val="auto"/>
          <w:szCs w:val="21"/>
          <w:highlight w:val="none"/>
        </w:rPr>
        <w:t>传真：______________投标人代表姓名 ___________  职务：______</w:t>
      </w:r>
      <w:r>
        <w:rPr>
          <w:rFonts w:hint="eastAsia" w:ascii="宋体" w:hAnsi="宋体"/>
          <w:color w:val="auto"/>
          <w:szCs w:val="21"/>
          <w:highlight w:val="none"/>
          <w:u w:val="single"/>
        </w:rPr>
        <w:t xml:space="preserve"> </w:t>
      </w:r>
      <w:r>
        <w:rPr>
          <w:rFonts w:hint="eastAsia" w:ascii="宋体" w:hAnsi="宋体"/>
          <w:color w:val="auto"/>
          <w:szCs w:val="21"/>
          <w:highlight w:val="none"/>
        </w:rPr>
        <w:t>_______</w:t>
      </w:r>
    </w:p>
    <w:p>
      <w:pPr>
        <w:snapToGrid w:val="0"/>
        <w:spacing w:line="360" w:lineRule="exact"/>
        <w:rPr>
          <w:rFonts w:hint="eastAsia" w:ascii="宋体" w:hAnsi="宋体"/>
          <w:color w:val="auto"/>
          <w:szCs w:val="21"/>
          <w:highlight w:val="none"/>
        </w:rPr>
      </w:pPr>
      <w:r>
        <w:rPr>
          <w:rFonts w:hint="eastAsia" w:ascii="宋体" w:hAnsi="宋体"/>
          <w:color w:val="auto"/>
          <w:szCs w:val="21"/>
          <w:highlight w:val="none"/>
        </w:rPr>
        <w:t>投标人名称(公章):___________________</w:t>
      </w:r>
    </w:p>
    <w:p>
      <w:pPr>
        <w:snapToGrid w:val="0"/>
        <w:spacing w:line="360" w:lineRule="exact"/>
        <w:rPr>
          <w:rFonts w:hint="eastAsia" w:ascii="宋体" w:hAnsi="宋体"/>
          <w:color w:val="auto"/>
          <w:szCs w:val="21"/>
          <w:highlight w:val="none"/>
        </w:rPr>
      </w:pPr>
      <w:r>
        <w:rPr>
          <w:rFonts w:hint="eastAsia" w:ascii="宋体" w:hAnsi="宋体"/>
          <w:color w:val="auto"/>
          <w:szCs w:val="21"/>
          <w:highlight w:val="none"/>
        </w:rPr>
        <w:t>开户银行：</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银行账号：</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pPr>
        <w:snapToGrid w:val="0"/>
        <w:spacing w:line="360" w:lineRule="exact"/>
        <w:rPr>
          <w:rFonts w:hint="eastAsia" w:ascii="宋体" w:hAnsi="宋体"/>
          <w:color w:val="auto"/>
          <w:szCs w:val="21"/>
          <w:highlight w:val="none"/>
        </w:rPr>
      </w:pPr>
      <w:r>
        <w:rPr>
          <w:rFonts w:hint="eastAsia" w:ascii="宋体" w:hAnsi="宋体"/>
          <w:color w:val="auto"/>
          <w:szCs w:val="21"/>
          <w:highlight w:val="none"/>
        </w:rPr>
        <w:t>法定代表人或委托代理人</w:t>
      </w:r>
      <w:r>
        <w:rPr>
          <w:rFonts w:hint="eastAsia" w:ascii="宋体" w:hAnsi="宋体"/>
          <w:color w:val="auto"/>
          <w:szCs w:val="21"/>
          <w:highlight w:val="none"/>
          <w:lang w:eastAsia="zh-CN"/>
        </w:rPr>
        <w:t>签字或签章</w:t>
      </w:r>
      <w:r>
        <w:rPr>
          <w:rFonts w:hint="eastAsia" w:ascii="宋体" w:hAnsi="宋体"/>
          <w:color w:val="auto"/>
          <w:szCs w:val="21"/>
          <w:highlight w:val="none"/>
        </w:rPr>
        <w:t>:___________                 日期:_____年___月___日</w:t>
      </w:r>
    </w:p>
    <w:p>
      <w:pPr>
        <w:pStyle w:val="27"/>
        <w:snapToGrid w:val="0"/>
        <w:spacing w:before="295" w:after="295" w:line="360" w:lineRule="exact"/>
        <w:ind w:firstLine="5670" w:firstLineChars="2700"/>
        <w:rPr>
          <w:rFonts w:hint="eastAsia" w:hAnsi="宋体"/>
          <w:color w:val="auto"/>
          <w:highlight w:val="none"/>
        </w:rPr>
      </w:pPr>
    </w:p>
    <w:p>
      <w:pPr>
        <w:pStyle w:val="27"/>
        <w:snapToGrid w:val="0"/>
        <w:spacing w:before="295" w:after="295" w:line="360" w:lineRule="exact"/>
        <w:ind w:firstLine="5670" w:firstLineChars="2700"/>
        <w:rPr>
          <w:rFonts w:hint="eastAsia" w:hAnsi="宋体"/>
          <w:color w:val="auto"/>
          <w:highlight w:val="none"/>
        </w:rPr>
      </w:pPr>
      <w:r>
        <w:rPr>
          <w:rFonts w:hint="eastAsia" w:hAnsi="宋体"/>
          <w:color w:val="auto"/>
          <w:highlight w:val="none"/>
        </w:rPr>
        <w:t>(公章)</w:t>
      </w:r>
    </w:p>
    <w:p>
      <w:pPr>
        <w:pStyle w:val="27"/>
        <w:snapToGrid w:val="0"/>
        <w:spacing w:before="295" w:after="295" w:line="360" w:lineRule="exact"/>
        <w:ind w:firstLine="5565" w:firstLineChars="2650"/>
        <w:rPr>
          <w:rFonts w:hint="eastAsia" w:hAnsi="宋体"/>
          <w:color w:val="auto"/>
          <w:highlight w:val="none"/>
        </w:rPr>
      </w:pPr>
      <w:r>
        <w:rPr>
          <w:rFonts w:hint="eastAsia" w:hAnsi="宋体"/>
          <w:color w:val="auto"/>
          <w:highlight w:val="none"/>
        </w:rPr>
        <w:t>年___月___日</w:t>
      </w:r>
    </w:p>
    <w:p>
      <w:pPr>
        <w:snapToGrid w:val="0"/>
        <w:spacing w:before="156" w:beforeLines="50" w:after="50" w:line="360" w:lineRule="exact"/>
        <w:rPr>
          <w:rFonts w:hint="eastAsia" w:ascii="宋体" w:hAnsi="宋体"/>
          <w:b/>
          <w:color w:val="auto"/>
          <w:szCs w:val="21"/>
          <w:highlight w:val="none"/>
        </w:rPr>
      </w:pPr>
    </w:p>
    <w:p>
      <w:pPr>
        <w:snapToGrid w:val="0"/>
        <w:spacing w:before="156" w:beforeLines="50" w:after="50" w:line="360" w:lineRule="exact"/>
        <w:rPr>
          <w:rFonts w:hint="eastAsia" w:ascii="宋体" w:hAnsi="宋体"/>
          <w:b/>
          <w:color w:val="auto"/>
          <w:szCs w:val="21"/>
          <w:highlight w:val="none"/>
        </w:rPr>
      </w:pPr>
    </w:p>
    <w:p>
      <w:pPr>
        <w:snapToGrid w:val="0"/>
        <w:spacing w:before="156" w:beforeLines="50" w:after="50" w:line="360" w:lineRule="exact"/>
        <w:rPr>
          <w:rFonts w:hint="eastAsia" w:ascii="宋体" w:hAnsi="宋体"/>
          <w:b/>
          <w:color w:val="auto"/>
          <w:szCs w:val="21"/>
          <w:highlight w:val="none"/>
        </w:rPr>
      </w:pPr>
    </w:p>
    <w:p>
      <w:pPr>
        <w:snapToGrid w:val="0"/>
        <w:spacing w:before="156" w:beforeLines="50" w:after="50" w:line="360" w:lineRule="exact"/>
        <w:rPr>
          <w:rFonts w:hint="eastAsia" w:ascii="宋体" w:hAnsi="宋体"/>
          <w:b/>
          <w:color w:val="auto"/>
          <w:szCs w:val="21"/>
          <w:highlight w:val="none"/>
        </w:rPr>
      </w:pPr>
    </w:p>
    <w:p>
      <w:pPr>
        <w:snapToGrid w:val="0"/>
        <w:spacing w:before="156" w:beforeLines="50" w:after="50" w:line="360" w:lineRule="exact"/>
        <w:rPr>
          <w:rFonts w:hint="eastAsia" w:ascii="宋体" w:hAnsi="宋体"/>
          <w:b/>
          <w:color w:val="auto"/>
          <w:szCs w:val="21"/>
          <w:highlight w:val="none"/>
        </w:rPr>
      </w:pPr>
      <w:r>
        <w:rPr>
          <w:rFonts w:hint="eastAsia" w:ascii="宋体" w:hAnsi="宋体"/>
          <w:b/>
          <w:color w:val="auto"/>
          <w:szCs w:val="21"/>
          <w:highlight w:val="none"/>
        </w:rPr>
        <w:t>（2）投标报价明细表格式</w:t>
      </w:r>
    </w:p>
    <w:p>
      <w:pPr>
        <w:pStyle w:val="27"/>
        <w:snapToGrid w:val="0"/>
        <w:spacing w:before="295" w:after="295" w:line="360" w:lineRule="exact"/>
        <w:ind w:firstLine="105" w:firstLineChars="50"/>
        <w:rPr>
          <w:rFonts w:hint="eastAsia" w:hAnsi="宋体"/>
          <w:color w:val="auto"/>
          <w:highlight w:val="none"/>
        </w:rPr>
      </w:pPr>
      <w:r>
        <w:rPr>
          <w:rFonts w:hint="eastAsia" w:hAnsi="宋体"/>
          <w:color w:val="auto"/>
          <w:highlight w:val="none"/>
        </w:rPr>
        <w:t xml:space="preserve">                                                金额单位：人民币（元）</w:t>
      </w:r>
    </w:p>
    <w:tbl>
      <w:tblPr>
        <w:tblStyle w:val="50"/>
        <w:tblW w:w="0" w:type="auto"/>
        <w:tblInd w:w="-25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0"/>
        <w:gridCol w:w="1260"/>
        <w:gridCol w:w="1260"/>
        <w:gridCol w:w="1080"/>
        <w:gridCol w:w="1080"/>
        <w:gridCol w:w="1620"/>
        <w:gridCol w:w="900"/>
        <w:gridCol w:w="162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line="360" w:lineRule="exact"/>
              <w:jc w:val="center"/>
              <w:rPr>
                <w:rFonts w:ascii="宋体" w:hAnsi="宋体"/>
                <w:color w:val="auto"/>
                <w:spacing w:val="20"/>
                <w:szCs w:val="21"/>
                <w:highlight w:val="none"/>
              </w:rPr>
            </w:pPr>
            <w:r>
              <w:rPr>
                <w:rFonts w:hint="eastAsia" w:ascii="宋体" w:hAnsi="宋体"/>
                <w:color w:val="auto"/>
                <w:szCs w:val="21"/>
                <w:highlight w:val="none"/>
              </w:rPr>
              <w:t>序号</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line="360" w:lineRule="exact"/>
              <w:jc w:val="center"/>
              <w:rPr>
                <w:rFonts w:ascii="宋体" w:hAnsi="宋体"/>
                <w:color w:val="auto"/>
                <w:szCs w:val="21"/>
                <w:highlight w:val="none"/>
              </w:rPr>
            </w:pPr>
            <w:r>
              <w:rPr>
                <w:rFonts w:hint="eastAsia" w:ascii="宋体" w:hAnsi="宋体"/>
                <w:color w:val="auto"/>
                <w:szCs w:val="21"/>
                <w:highlight w:val="none"/>
              </w:rPr>
              <w:t>设备名称</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pStyle w:val="181"/>
              <w:jc w:val="center"/>
              <w:rPr>
                <w:color w:val="auto"/>
                <w:highlight w:val="none"/>
              </w:rPr>
            </w:pPr>
            <w:r>
              <w:rPr>
                <w:rFonts w:hint="eastAsia"/>
                <w:color w:val="auto"/>
                <w:highlight w:val="none"/>
              </w:rPr>
              <w:t>品牌</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line="260" w:lineRule="exact"/>
              <w:jc w:val="center"/>
              <w:rPr>
                <w:rFonts w:ascii="宋体" w:hAnsi="宋体"/>
                <w:color w:val="auto"/>
                <w:szCs w:val="21"/>
                <w:highlight w:val="none"/>
              </w:rPr>
            </w:pPr>
            <w:r>
              <w:rPr>
                <w:rFonts w:hint="eastAsia" w:ascii="宋体" w:hAnsi="宋体"/>
                <w:color w:val="auto"/>
                <w:szCs w:val="21"/>
                <w:highlight w:val="none"/>
              </w:rPr>
              <w:t>规格型号</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line="260" w:lineRule="exact"/>
              <w:jc w:val="center"/>
              <w:rPr>
                <w:rFonts w:ascii="宋体" w:hAnsi="宋体"/>
                <w:color w:val="auto"/>
                <w:szCs w:val="21"/>
                <w:highlight w:val="none"/>
              </w:rPr>
            </w:pPr>
            <w:r>
              <w:rPr>
                <w:rFonts w:hint="eastAsia" w:ascii="宋体" w:hAnsi="宋体"/>
                <w:color w:val="auto"/>
                <w:szCs w:val="21"/>
                <w:highlight w:val="none"/>
              </w:rPr>
              <w:t>生产厂家</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line="360" w:lineRule="exact"/>
              <w:jc w:val="center"/>
              <w:rPr>
                <w:rFonts w:ascii="宋体" w:hAnsi="宋体"/>
                <w:color w:val="auto"/>
                <w:szCs w:val="21"/>
                <w:highlight w:val="none"/>
              </w:rPr>
            </w:pPr>
            <w:r>
              <w:rPr>
                <w:rFonts w:hint="eastAsia" w:ascii="宋体" w:hAnsi="宋体"/>
                <w:color w:val="auto"/>
                <w:szCs w:val="21"/>
                <w:highlight w:val="none"/>
              </w:rPr>
              <w:t>单位及数量</w:t>
            </w:r>
          </w:p>
        </w:tc>
        <w:tc>
          <w:tcPr>
            <w:tcW w:w="900"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line="360" w:lineRule="exact"/>
              <w:jc w:val="center"/>
              <w:rPr>
                <w:rFonts w:ascii="宋体" w:hAnsi="宋体"/>
                <w:color w:val="auto"/>
                <w:szCs w:val="21"/>
                <w:highlight w:val="none"/>
              </w:rPr>
            </w:pPr>
            <w:r>
              <w:rPr>
                <w:rFonts w:hint="eastAsia" w:ascii="宋体" w:hAnsi="宋体"/>
                <w:color w:val="auto"/>
                <w:szCs w:val="21"/>
                <w:highlight w:val="none"/>
              </w:rPr>
              <w:t>单价</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line="360" w:lineRule="exact"/>
              <w:jc w:val="center"/>
              <w:rPr>
                <w:rFonts w:ascii="宋体" w:hAnsi="宋体"/>
                <w:color w:val="auto"/>
                <w:szCs w:val="21"/>
                <w:highlight w:val="none"/>
              </w:rPr>
            </w:pPr>
            <w:r>
              <w:rPr>
                <w:rFonts w:hint="eastAsia" w:ascii="宋体" w:hAnsi="宋体"/>
                <w:color w:val="auto"/>
                <w:szCs w:val="21"/>
                <w:highlight w:val="none"/>
              </w:rPr>
              <w:t>金额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900"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line="360" w:lineRule="exact"/>
              <w:jc w:val="center"/>
              <w:rPr>
                <w:rFonts w:ascii="宋体" w:hAnsi="宋体"/>
                <w:color w:val="auto"/>
                <w:spacing w:val="20"/>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line="360" w:lineRule="exact"/>
              <w:jc w:val="center"/>
              <w:rPr>
                <w:rFonts w:ascii="宋体" w:hAnsi="宋体"/>
                <w:color w:val="auto"/>
                <w:spacing w:val="20"/>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line="360" w:lineRule="exact"/>
              <w:jc w:val="center"/>
              <w:rPr>
                <w:rFonts w:ascii="宋体" w:hAnsi="宋体"/>
                <w:color w:val="auto"/>
                <w:spacing w:val="20"/>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line="360" w:lineRule="exact"/>
              <w:jc w:val="center"/>
              <w:rPr>
                <w:rFonts w:ascii="宋体" w:hAnsi="宋体"/>
                <w:color w:val="auto"/>
                <w:spacing w:val="20"/>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line="360" w:lineRule="exact"/>
              <w:jc w:val="center"/>
              <w:rPr>
                <w:rFonts w:ascii="宋体" w:hAnsi="宋体"/>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line="360" w:lineRule="exact"/>
              <w:jc w:val="center"/>
              <w:rPr>
                <w:rFonts w:ascii="宋体" w:hAnsi="宋体"/>
                <w:color w:val="auto"/>
                <w:spacing w:val="20"/>
                <w:szCs w:val="21"/>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line="360" w:lineRule="exact"/>
              <w:jc w:val="center"/>
              <w:rPr>
                <w:rFonts w:ascii="宋体" w:hAnsi="宋体"/>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line="360" w:lineRule="exact"/>
              <w:jc w:val="center"/>
              <w:rPr>
                <w:rFonts w:ascii="宋体" w:hAnsi="宋体"/>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900"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line="360" w:lineRule="exact"/>
              <w:jc w:val="center"/>
              <w:rPr>
                <w:rFonts w:ascii="宋体" w:hAnsi="宋体"/>
                <w:color w:val="auto"/>
                <w:spacing w:val="20"/>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line="360" w:lineRule="exact"/>
              <w:jc w:val="center"/>
              <w:rPr>
                <w:rFonts w:ascii="宋体" w:hAnsi="宋体"/>
                <w:color w:val="auto"/>
                <w:spacing w:val="20"/>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line="360" w:lineRule="exact"/>
              <w:jc w:val="center"/>
              <w:rPr>
                <w:rFonts w:ascii="宋体" w:hAnsi="宋体"/>
                <w:color w:val="auto"/>
                <w:spacing w:val="20"/>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line="360" w:lineRule="exact"/>
              <w:jc w:val="center"/>
              <w:rPr>
                <w:rFonts w:ascii="宋体" w:hAnsi="宋体"/>
                <w:color w:val="auto"/>
                <w:spacing w:val="20"/>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line="360" w:lineRule="exact"/>
              <w:jc w:val="center"/>
              <w:rPr>
                <w:rFonts w:ascii="宋体" w:hAnsi="宋体"/>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line="360" w:lineRule="exact"/>
              <w:jc w:val="center"/>
              <w:rPr>
                <w:rFonts w:ascii="宋体" w:hAnsi="宋体"/>
                <w:color w:val="auto"/>
                <w:spacing w:val="20"/>
                <w:szCs w:val="21"/>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line="360" w:lineRule="exact"/>
              <w:jc w:val="center"/>
              <w:rPr>
                <w:rFonts w:ascii="宋体" w:hAnsi="宋体"/>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line="360" w:lineRule="exact"/>
              <w:jc w:val="center"/>
              <w:rPr>
                <w:rFonts w:ascii="宋体" w:hAnsi="宋体"/>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1" w:hRule="atLeast"/>
        </w:trPr>
        <w:tc>
          <w:tcPr>
            <w:tcW w:w="900"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line="360" w:lineRule="exact"/>
              <w:jc w:val="center"/>
              <w:rPr>
                <w:rFonts w:ascii="宋体" w:hAnsi="宋体"/>
                <w:color w:val="auto"/>
                <w:spacing w:val="20"/>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line="360" w:lineRule="exact"/>
              <w:jc w:val="center"/>
              <w:rPr>
                <w:rFonts w:ascii="宋体" w:hAnsi="宋体"/>
                <w:color w:val="auto"/>
                <w:spacing w:val="20"/>
                <w:szCs w:val="21"/>
                <w:highlight w:val="none"/>
              </w:rPr>
            </w:pPr>
            <w:r>
              <w:rPr>
                <w:rFonts w:hint="eastAsia" w:ascii="宋体" w:hAnsi="宋体"/>
                <w:color w:val="auto"/>
                <w:spacing w:val="20"/>
                <w:szCs w:val="21"/>
                <w:highlight w:val="none"/>
              </w:rPr>
              <w:t>……</w:t>
            </w:r>
          </w:p>
        </w:tc>
        <w:tc>
          <w:tcPr>
            <w:tcW w:w="1260"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line="360" w:lineRule="exact"/>
              <w:jc w:val="center"/>
              <w:rPr>
                <w:rFonts w:ascii="宋体" w:hAnsi="宋体"/>
                <w:color w:val="auto"/>
                <w:spacing w:val="20"/>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line="360" w:lineRule="exact"/>
              <w:jc w:val="center"/>
              <w:rPr>
                <w:rFonts w:ascii="宋体" w:hAnsi="宋体"/>
                <w:color w:val="auto"/>
                <w:spacing w:val="20"/>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line="360" w:lineRule="exact"/>
              <w:jc w:val="center"/>
              <w:rPr>
                <w:rFonts w:ascii="宋体" w:hAnsi="宋体"/>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line="360" w:lineRule="exact"/>
              <w:jc w:val="center"/>
              <w:rPr>
                <w:rFonts w:ascii="宋体" w:hAnsi="宋体"/>
                <w:color w:val="auto"/>
                <w:spacing w:val="20"/>
                <w:szCs w:val="21"/>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line="360" w:lineRule="exact"/>
              <w:jc w:val="center"/>
              <w:rPr>
                <w:rFonts w:ascii="宋体" w:hAnsi="宋体"/>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line="360" w:lineRule="exact"/>
              <w:jc w:val="center"/>
              <w:rPr>
                <w:rFonts w:ascii="宋体" w:hAnsi="宋体"/>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100" w:type="dxa"/>
            <w:gridSpan w:val="7"/>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line="360" w:lineRule="exact"/>
              <w:rPr>
                <w:rFonts w:ascii="宋体" w:hAnsi="宋体"/>
                <w:color w:val="auto"/>
                <w:spacing w:val="20"/>
                <w:szCs w:val="21"/>
                <w:highlight w:val="none"/>
              </w:rPr>
            </w:pPr>
            <w:r>
              <w:rPr>
                <w:rFonts w:hint="eastAsia" w:hAnsi="宋体"/>
                <w:color w:val="auto"/>
                <w:highlight w:val="none"/>
              </w:rPr>
              <w:t>本项目</w:t>
            </w:r>
            <w:r>
              <w:rPr>
                <w:rFonts w:hint="eastAsia" w:ascii="宋体" w:hAnsi="宋体"/>
                <w:color w:val="auto"/>
                <w:szCs w:val="21"/>
                <w:highlight w:val="none"/>
              </w:rPr>
              <w:t xml:space="preserve">合计金额大写：                                             </w:t>
            </w:r>
          </w:p>
        </w:tc>
        <w:tc>
          <w:tcPr>
            <w:tcW w:w="1620"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line="360" w:lineRule="exact"/>
              <w:rPr>
                <w:rFonts w:ascii="宋体" w:hAnsi="宋体"/>
                <w:color w:val="auto"/>
                <w:spacing w:val="20"/>
                <w:szCs w:val="21"/>
                <w:highlight w:val="none"/>
              </w:rPr>
            </w:pPr>
            <w:r>
              <w:rPr>
                <w:rFonts w:hint="eastAsia" w:ascii="宋体" w:hAnsi="宋体"/>
                <w:color w:val="auto"/>
                <w:szCs w:val="21"/>
                <w:highlight w:val="none"/>
              </w:rPr>
              <w:t>￥</w:t>
            </w:r>
            <w:r>
              <w:rPr>
                <w:rFonts w:hint="eastAsia" w:ascii="宋体" w:hAnsi="宋体"/>
                <w:color w:val="auto"/>
                <w:szCs w:val="21"/>
                <w:highlight w:val="none"/>
                <w:u w:val="single"/>
              </w:rPr>
              <w:t xml:space="preserve">            </w:t>
            </w:r>
          </w:p>
        </w:tc>
      </w:tr>
    </w:tbl>
    <w:p>
      <w:pPr>
        <w:tabs>
          <w:tab w:val="left" w:pos="1418"/>
        </w:tabs>
        <w:snapToGrid w:val="0"/>
        <w:spacing w:before="50" w:after="50" w:line="360" w:lineRule="exact"/>
        <w:ind w:left="1418" w:hanging="567"/>
        <w:jc w:val="center"/>
        <w:rPr>
          <w:rFonts w:hint="eastAsia" w:ascii="宋体" w:hAnsi="宋体"/>
          <w:color w:val="auto"/>
          <w:spacing w:val="20"/>
          <w:szCs w:val="21"/>
          <w:highlight w:val="none"/>
          <w:u w:val="single"/>
        </w:rPr>
      </w:pPr>
    </w:p>
    <w:p>
      <w:pPr>
        <w:snapToGrid w:val="0"/>
        <w:spacing w:before="50" w:after="50" w:line="360" w:lineRule="exact"/>
        <w:rPr>
          <w:rFonts w:hint="eastAsia" w:ascii="宋体" w:hAnsi="宋体"/>
          <w:color w:val="auto"/>
          <w:spacing w:val="20"/>
          <w:szCs w:val="21"/>
          <w:highlight w:val="none"/>
          <w:u w:val="single"/>
        </w:rPr>
      </w:pPr>
      <w:r>
        <w:rPr>
          <w:rFonts w:hint="eastAsia" w:ascii="宋体" w:hAnsi="宋体"/>
          <w:color w:val="auto"/>
          <w:szCs w:val="21"/>
          <w:highlight w:val="none"/>
        </w:rPr>
        <w:t>法定代表人或委托代理人签字（或签章）</w:t>
      </w:r>
      <w:r>
        <w:rPr>
          <w:rFonts w:hint="eastAsia" w:ascii="宋体" w:hAnsi="宋体"/>
          <w:color w:val="auto"/>
          <w:spacing w:val="20"/>
          <w:szCs w:val="21"/>
          <w:highlight w:val="none"/>
        </w:rPr>
        <w:t>：</w:t>
      </w:r>
      <w:r>
        <w:rPr>
          <w:rFonts w:hint="eastAsia" w:ascii="宋体" w:hAnsi="宋体"/>
          <w:color w:val="auto"/>
          <w:spacing w:val="20"/>
          <w:szCs w:val="21"/>
          <w:highlight w:val="none"/>
          <w:u w:val="single"/>
        </w:rPr>
        <w:t xml:space="preserve">          </w:t>
      </w:r>
    </w:p>
    <w:p>
      <w:pPr>
        <w:snapToGrid w:val="0"/>
        <w:spacing w:before="50" w:after="50" w:line="360" w:lineRule="exact"/>
        <w:rPr>
          <w:rFonts w:hint="eastAsia" w:ascii="宋体" w:hAnsi="宋体"/>
          <w:color w:val="auto"/>
          <w:szCs w:val="21"/>
          <w:highlight w:val="none"/>
        </w:rPr>
      </w:pPr>
      <w:r>
        <w:rPr>
          <w:rFonts w:hint="eastAsia" w:ascii="宋体" w:hAnsi="宋体"/>
          <w:color w:val="auto"/>
          <w:szCs w:val="21"/>
          <w:highlight w:val="none"/>
        </w:rPr>
        <w:t xml:space="preserve">投标人盖章：                               日  期：         </w:t>
      </w:r>
    </w:p>
    <w:p>
      <w:pPr>
        <w:snapToGrid w:val="0"/>
        <w:spacing w:before="156" w:beforeLines="50" w:after="50" w:line="360" w:lineRule="exact"/>
        <w:rPr>
          <w:rFonts w:hint="eastAsia" w:ascii="宋体" w:hAnsi="宋体"/>
          <w:color w:val="auto"/>
          <w:szCs w:val="21"/>
          <w:highlight w:val="none"/>
        </w:rPr>
      </w:pPr>
      <w:r>
        <w:rPr>
          <w:rFonts w:hint="eastAsia" w:ascii="宋体" w:hAnsi="宋体"/>
          <w:b/>
          <w:color w:val="auto"/>
          <w:szCs w:val="21"/>
          <w:highlight w:val="none"/>
        </w:rPr>
        <w:t>（3）</w:t>
      </w:r>
      <w:r>
        <w:rPr>
          <w:rFonts w:hint="eastAsia" w:ascii="宋体" w:hAnsi="宋体"/>
          <w:color w:val="auto"/>
          <w:szCs w:val="21"/>
          <w:highlight w:val="none"/>
        </w:rPr>
        <w:t>投标人针对报价需要说明的其他文件和说明（格式自拟）</w:t>
      </w:r>
    </w:p>
    <w:p>
      <w:pPr>
        <w:snapToGrid w:val="0"/>
        <w:spacing w:before="50" w:after="50" w:line="360" w:lineRule="exact"/>
        <w:rPr>
          <w:rFonts w:hint="eastAsia" w:ascii="宋体" w:hAnsi="宋体"/>
          <w:b/>
          <w:color w:val="auto"/>
          <w:szCs w:val="21"/>
          <w:highlight w:val="none"/>
        </w:rPr>
      </w:pPr>
      <w:r>
        <w:rPr>
          <w:rFonts w:hint="eastAsia" w:ascii="宋体" w:hAnsi="宋体"/>
          <w:b/>
          <w:color w:val="auto"/>
          <w:szCs w:val="21"/>
          <w:highlight w:val="none"/>
        </w:rPr>
        <w:br w:type="page"/>
      </w:r>
      <w:r>
        <w:rPr>
          <w:rFonts w:hint="eastAsia" w:ascii="宋体" w:hAnsi="宋体"/>
          <w:b/>
          <w:color w:val="auto"/>
          <w:szCs w:val="21"/>
          <w:highlight w:val="none"/>
        </w:rPr>
        <w:t>（4）开标一览表</w:t>
      </w:r>
    </w:p>
    <w:p>
      <w:pPr>
        <w:snapToGrid w:val="0"/>
        <w:spacing w:before="50" w:after="50" w:line="360" w:lineRule="exact"/>
        <w:jc w:val="center"/>
        <w:rPr>
          <w:rFonts w:hint="eastAsia" w:ascii="宋体" w:hAnsi="宋体"/>
          <w:b/>
          <w:color w:val="auto"/>
          <w:szCs w:val="21"/>
          <w:highlight w:val="none"/>
        </w:rPr>
      </w:pPr>
      <w:r>
        <w:rPr>
          <w:rFonts w:hint="eastAsia" w:ascii="宋体" w:hAnsi="宋体"/>
          <w:b/>
          <w:color w:val="auto"/>
          <w:szCs w:val="21"/>
          <w:highlight w:val="none"/>
        </w:rPr>
        <w:t>开标一览表</w:t>
      </w:r>
    </w:p>
    <w:p>
      <w:pPr>
        <w:snapToGrid w:val="0"/>
        <w:spacing w:before="50" w:after="156" w:afterLines="50" w:line="360" w:lineRule="exact"/>
        <w:jc w:val="left"/>
        <w:rPr>
          <w:rFonts w:hint="eastAsia"/>
          <w:color w:val="auto"/>
          <w:highlight w:val="none"/>
        </w:rPr>
      </w:pPr>
      <w:r>
        <w:rPr>
          <w:rFonts w:hint="eastAsia" w:hAnsi="宋体"/>
          <w:color w:val="auto"/>
          <w:highlight w:val="none"/>
        </w:rPr>
        <w:t>项目名称：</w:t>
      </w:r>
    </w:p>
    <w:p>
      <w:pPr>
        <w:snapToGrid w:val="0"/>
        <w:spacing w:before="50" w:after="156" w:afterLines="50" w:line="360" w:lineRule="exact"/>
        <w:jc w:val="left"/>
        <w:rPr>
          <w:rFonts w:hint="eastAsia" w:ascii="宋体" w:hAnsi="宋体"/>
          <w:b/>
          <w:color w:val="auto"/>
          <w:szCs w:val="21"/>
          <w:highlight w:val="none"/>
        </w:rPr>
      </w:pPr>
      <w:r>
        <w:rPr>
          <w:rFonts w:hint="eastAsia"/>
          <w:color w:val="auto"/>
          <w:highlight w:val="none"/>
        </w:rPr>
        <w:t>项目编号：</w:t>
      </w:r>
      <w:r>
        <w:rPr>
          <w:color w:val="auto"/>
          <w:highlight w:val="none"/>
        </w:rPr>
        <w:t xml:space="preserve">                                        </w:t>
      </w:r>
    </w:p>
    <w:p>
      <w:pPr>
        <w:snapToGrid w:val="0"/>
        <w:spacing w:before="50" w:after="156" w:afterLines="50" w:line="360" w:lineRule="exact"/>
        <w:ind w:firstLine="102" w:firstLineChars="49"/>
        <w:jc w:val="left"/>
        <w:rPr>
          <w:rFonts w:hint="eastAsia" w:ascii="宋体" w:hAnsi="宋体"/>
          <w:b/>
          <w:color w:val="auto"/>
          <w:szCs w:val="21"/>
          <w:highlight w:val="none"/>
        </w:rPr>
      </w:pPr>
      <w:r>
        <w:rPr>
          <w:rFonts w:hint="eastAsia"/>
          <w:color w:val="auto"/>
          <w:highlight w:val="none"/>
        </w:rPr>
        <w:t xml:space="preserve">                                                金额单位：人民币（元）</w:t>
      </w:r>
    </w:p>
    <w:tbl>
      <w:tblPr>
        <w:tblStyle w:val="50"/>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47"/>
        <w:gridCol w:w="1542"/>
        <w:gridCol w:w="850"/>
        <w:gridCol w:w="749"/>
        <w:gridCol w:w="1855"/>
        <w:gridCol w:w="1381"/>
        <w:gridCol w:w="751"/>
        <w:gridCol w:w="124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847"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rPr>
                <w:rFonts w:ascii="宋体" w:hAnsi="宋体"/>
                <w:color w:val="auto"/>
                <w:szCs w:val="21"/>
                <w:highlight w:val="none"/>
              </w:rPr>
            </w:pPr>
            <w:r>
              <w:rPr>
                <w:rFonts w:hint="eastAsia" w:ascii="宋体" w:hAnsi="宋体"/>
                <w:color w:val="auto"/>
                <w:szCs w:val="21"/>
                <w:highlight w:val="none"/>
              </w:rPr>
              <w:t>序号</w:t>
            </w:r>
          </w:p>
        </w:tc>
        <w:tc>
          <w:tcPr>
            <w:tcW w:w="1542"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jc w:val="center"/>
              <w:rPr>
                <w:rFonts w:ascii="宋体" w:hAnsi="宋体"/>
                <w:color w:val="auto"/>
                <w:szCs w:val="21"/>
                <w:highlight w:val="none"/>
              </w:rPr>
            </w:pPr>
            <w:r>
              <w:rPr>
                <w:rFonts w:hint="eastAsia" w:ascii="宋体" w:hAnsi="宋体"/>
                <w:color w:val="auto"/>
                <w:szCs w:val="21"/>
                <w:highlight w:val="none"/>
              </w:rPr>
              <w:t>设备名称</w:t>
            </w:r>
          </w:p>
        </w:tc>
        <w:tc>
          <w:tcPr>
            <w:tcW w:w="850"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jc w:val="center"/>
              <w:rPr>
                <w:rFonts w:ascii="宋体" w:hAnsi="宋体"/>
                <w:color w:val="auto"/>
                <w:szCs w:val="21"/>
                <w:highlight w:val="none"/>
              </w:rPr>
            </w:pPr>
            <w:r>
              <w:rPr>
                <w:rFonts w:hint="eastAsia" w:ascii="宋体" w:hAnsi="宋体"/>
                <w:color w:val="auto"/>
                <w:szCs w:val="21"/>
                <w:highlight w:val="none"/>
              </w:rPr>
              <w:t>数量</w:t>
            </w:r>
          </w:p>
        </w:tc>
        <w:tc>
          <w:tcPr>
            <w:tcW w:w="749"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jc w:val="center"/>
              <w:rPr>
                <w:rFonts w:ascii="宋体" w:hAnsi="宋体"/>
                <w:color w:val="auto"/>
                <w:szCs w:val="21"/>
                <w:highlight w:val="none"/>
              </w:rPr>
            </w:pPr>
            <w:r>
              <w:rPr>
                <w:rFonts w:hint="eastAsia" w:ascii="宋体" w:hAnsi="宋体"/>
                <w:color w:val="auto"/>
                <w:szCs w:val="21"/>
                <w:highlight w:val="none"/>
              </w:rPr>
              <w:t>产地</w:t>
            </w:r>
          </w:p>
        </w:tc>
        <w:tc>
          <w:tcPr>
            <w:tcW w:w="1855"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jc w:val="center"/>
              <w:rPr>
                <w:rFonts w:ascii="宋体" w:hAnsi="宋体"/>
                <w:color w:val="auto"/>
                <w:szCs w:val="21"/>
                <w:highlight w:val="none"/>
              </w:rPr>
            </w:pPr>
            <w:r>
              <w:rPr>
                <w:rFonts w:hint="eastAsia" w:ascii="宋体" w:hAnsi="宋体"/>
                <w:color w:val="auto"/>
                <w:szCs w:val="21"/>
                <w:highlight w:val="none"/>
              </w:rPr>
              <w:t>品牌及厂家</w:t>
            </w:r>
          </w:p>
        </w:tc>
        <w:tc>
          <w:tcPr>
            <w:tcW w:w="1381"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jc w:val="center"/>
              <w:rPr>
                <w:rFonts w:ascii="宋体" w:hAnsi="宋体"/>
                <w:color w:val="auto"/>
                <w:szCs w:val="21"/>
                <w:highlight w:val="none"/>
              </w:rPr>
            </w:pPr>
            <w:r>
              <w:rPr>
                <w:rFonts w:hint="eastAsia" w:ascii="宋体" w:hAnsi="宋体"/>
                <w:color w:val="auto"/>
                <w:szCs w:val="21"/>
                <w:highlight w:val="none"/>
              </w:rPr>
              <w:t>规格型号</w:t>
            </w:r>
          </w:p>
        </w:tc>
        <w:tc>
          <w:tcPr>
            <w:tcW w:w="751"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jc w:val="center"/>
              <w:rPr>
                <w:rFonts w:ascii="宋体" w:hAnsi="宋体"/>
                <w:color w:val="auto"/>
                <w:szCs w:val="21"/>
                <w:highlight w:val="none"/>
              </w:rPr>
            </w:pPr>
            <w:r>
              <w:rPr>
                <w:rFonts w:hint="eastAsia" w:ascii="宋体" w:hAnsi="宋体"/>
                <w:color w:val="auto"/>
                <w:szCs w:val="21"/>
                <w:highlight w:val="none"/>
              </w:rPr>
              <w:t>单价</w:t>
            </w:r>
          </w:p>
        </w:tc>
        <w:tc>
          <w:tcPr>
            <w:tcW w:w="1241"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jc w:val="center"/>
              <w:rPr>
                <w:rFonts w:ascii="宋体" w:hAnsi="宋体"/>
                <w:color w:val="auto"/>
                <w:szCs w:val="21"/>
                <w:highlight w:val="none"/>
              </w:rPr>
            </w:pPr>
            <w:r>
              <w:rPr>
                <w:rFonts w:hint="eastAsia" w:ascii="宋体" w:hAnsi="宋体"/>
                <w:color w:val="auto"/>
                <w:szCs w:val="21"/>
                <w:highlight w:val="none"/>
              </w:rPr>
              <w:t>投标报价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jc w:val="center"/>
        </w:trPr>
        <w:tc>
          <w:tcPr>
            <w:tcW w:w="847"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jc w:val="center"/>
              <w:rPr>
                <w:rFonts w:ascii="宋体" w:hAnsi="宋体"/>
                <w:color w:val="auto"/>
                <w:szCs w:val="21"/>
                <w:highlight w:val="none"/>
              </w:rPr>
            </w:pPr>
          </w:p>
        </w:tc>
        <w:tc>
          <w:tcPr>
            <w:tcW w:w="1542"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jc w:val="left"/>
              <w:rPr>
                <w:rFonts w:ascii="宋体" w:hAnsi="宋体"/>
                <w:bCs/>
                <w:color w:val="auto"/>
                <w:szCs w:val="21"/>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jc w:val="left"/>
              <w:rPr>
                <w:rFonts w:ascii="宋体" w:hAnsi="宋体"/>
                <w:bCs/>
                <w:color w:val="auto"/>
                <w:szCs w:val="21"/>
                <w:highlight w:val="none"/>
              </w:rPr>
            </w:pPr>
          </w:p>
        </w:tc>
        <w:tc>
          <w:tcPr>
            <w:tcW w:w="749"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jc w:val="center"/>
              <w:rPr>
                <w:rFonts w:ascii="宋体" w:hAnsi="宋体"/>
                <w:color w:val="auto"/>
                <w:szCs w:val="21"/>
                <w:highlight w:val="none"/>
              </w:rPr>
            </w:pPr>
          </w:p>
        </w:tc>
        <w:tc>
          <w:tcPr>
            <w:tcW w:w="1855"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jc w:val="center"/>
              <w:rPr>
                <w:rFonts w:ascii="宋体" w:hAnsi="宋体"/>
                <w:color w:val="auto"/>
                <w:szCs w:val="21"/>
                <w:highlight w:val="none"/>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rPr>
                <w:rFonts w:ascii="宋体" w:hAnsi="宋体"/>
                <w:color w:val="auto"/>
                <w:szCs w:val="21"/>
                <w:highlight w:val="none"/>
              </w:rPr>
            </w:pPr>
          </w:p>
        </w:tc>
        <w:tc>
          <w:tcPr>
            <w:tcW w:w="751"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rPr>
                <w:rFonts w:ascii="宋体" w:hAnsi="宋体"/>
                <w:color w:val="auto"/>
                <w:szCs w:val="21"/>
                <w:highlight w:val="none"/>
              </w:rPr>
            </w:pPr>
          </w:p>
        </w:tc>
        <w:tc>
          <w:tcPr>
            <w:tcW w:w="1241"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jc w:val="center"/>
        </w:trPr>
        <w:tc>
          <w:tcPr>
            <w:tcW w:w="847"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jc w:val="center"/>
              <w:rPr>
                <w:rFonts w:ascii="宋体" w:hAnsi="宋体"/>
                <w:color w:val="auto"/>
                <w:szCs w:val="21"/>
                <w:highlight w:val="none"/>
              </w:rPr>
            </w:pPr>
          </w:p>
        </w:tc>
        <w:tc>
          <w:tcPr>
            <w:tcW w:w="1542"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jc w:val="left"/>
              <w:rPr>
                <w:rFonts w:ascii="宋体" w:hAnsi="宋体"/>
                <w:bCs/>
                <w:color w:val="auto"/>
                <w:szCs w:val="21"/>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jc w:val="left"/>
              <w:rPr>
                <w:rFonts w:ascii="宋体" w:hAnsi="宋体"/>
                <w:bCs/>
                <w:color w:val="auto"/>
                <w:szCs w:val="21"/>
                <w:highlight w:val="none"/>
              </w:rPr>
            </w:pPr>
          </w:p>
        </w:tc>
        <w:tc>
          <w:tcPr>
            <w:tcW w:w="749"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jc w:val="center"/>
              <w:rPr>
                <w:rFonts w:ascii="宋体" w:hAnsi="宋体"/>
                <w:color w:val="auto"/>
                <w:szCs w:val="21"/>
                <w:highlight w:val="none"/>
              </w:rPr>
            </w:pPr>
          </w:p>
        </w:tc>
        <w:tc>
          <w:tcPr>
            <w:tcW w:w="1855"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jc w:val="center"/>
              <w:rPr>
                <w:rFonts w:ascii="宋体" w:hAnsi="宋体"/>
                <w:color w:val="auto"/>
                <w:szCs w:val="21"/>
                <w:highlight w:val="none"/>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rPr>
                <w:rFonts w:ascii="宋体" w:hAnsi="宋体"/>
                <w:color w:val="auto"/>
                <w:szCs w:val="21"/>
                <w:highlight w:val="none"/>
              </w:rPr>
            </w:pPr>
          </w:p>
        </w:tc>
        <w:tc>
          <w:tcPr>
            <w:tcW w:w="751"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rPr>
                <w:rFonts w:ascii="宋体" w:hAnsi="宋体"/>
                <w:color w:val="auto"/>
                <w:szCs w:val="21"/>
                <w:highlight w:val="none"/>
              </w:rPr>
            </w:pPr>
          </w:p>
        </w:tc>
        <w:tc>
          <w:tcPr>
            <w:tcW w:w="1241"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jc w:val="center"/>
        </w:trPr>
        <w:tc>
          <w:tcPr>
            <w:tcW w:w="847"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jc w:val="center"/>
              <w:rPr>
                <w:rFonts w:ascii="宋体" w:hAnsi="宋体"/>
                <w:color w:val="auto"/>
                <w:szCs w:val="21"/>
                <w:highlight w:val="none"/>
              </w:rPr>
            </w:pPr>
          </w:p>
        </w:tc>
        <w:tc>
          <w:tcPr>
            <w:tcW w:w="1542"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jc w:val="left"/>
              <w:rPr>
                <w:rFonts w:ascii="宋体" w:hAnsi="宋体"/>
                <w:bCs/>
                <w:color w:val="auto"/>
                <w:szCs w:val="21"/>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jc w:val="left"/>
              <w:rPr>
                <w:rFonts w:ascii="宋体" w:hAnsi="宋体"/>
                <w:bCs/>
                <w:color w:val="auto"/>
                <w:szCs w:val="21"/>
                <w:highlight w:val="none"/>
              </w:rPr>
            </w:pPr>
          </w:p>
        </w:tc>
        <w:tc>
          <w:tcPr>
            <w:tcW w:w="749"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jc w:val="center"/>
              <w:rPr>
                <w:rFonts w:ascii="宋体" w:hAnsi="宋体"/>
                <w:color w:val="auto"/>
                <w:szCs w:val="21"/>
                <w:highlight w:val="none"/>
              </w:rPr>
            </w:pPr>
          </w:p>
        </w:tc>
        <w:tc>
          <w:tcPr>
            <w:tcW w:w="1855"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jc w:val="center"/>
              <w:rPr>
                <w:rFonts w:ascii="宋体" w:hAnsi="宋体"/>
                <w:color w:val="auto"/>
                <w:szCs w:val="21"/>
                <w:highlight w:val="none"/>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rPr>
                <w:rFonts w:ascii="宋体" w:hAnsi="宋体"/>
                <w:color w:val="auto"/>
                <w:szCs w:val="21"/>
                <w:highlight w:val="none"/>
              </w:rPr>
            </w:pPr>
          </w:p>
        </w:tc>
        <w:tc>
          <w:tcPr>
            <w:tcW w:w="751"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rPr>
                <w:rFonts w:ascii="宋体" w:hAnsi="宋体"/>
                <w:color w:val="auto"/>
                <w:szCs w:val="21"/>
                <w:highlight w:val="none"/>
              </w:rPr>
            </w:pPr>
          </w:p>
        </w:tc>
        <w:tc>
          <w:tcPr>
            <w:tcW w:w="1241"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3" w:hRule="atLeast"/>
          <w:jc w:val="center"/>
        </w:trPr>
        <w:tc>
          <w:tcPr>
            <w:tcW w:w="9216" w:type="dxa"/>
            <w:gridSpan w:val="8"/>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rPr>
                <w:rFonts w:ascii="宋体" w:hAnsi="宋体"/>
                <w:color w:val="auto"/>
                <w:szCs w:val="21"/>
                <w:highlight w:val="none"/>
                <w:u w:val="single"/>
              </w:rPr>
            </w:pPr>
            <w:r>
              <w:rPr>
                <w:rFonts w:hint="eastAsia" w:hAnsi="宋体"/>
                <w:color w:val="auto"/>
                <w:highlight w:val="none"/>
              </w:rPr>
              <w:t>本项目</w:t>
            </w:r>
            <w:r>
              <w:rPr>
                <w:rFonts w:hint="eastAsia" w:ascii="宋体" w:hAnsi="宋体"/>
                <w:color w:val="auto"/>
                <w:szCs w:val="21"/>
                <w:highlight w:val="none"/>
              </w:rPr>
              <w:t>合计金额大写：                                              ￥</w:t>
            </w:r>
            <w:r>
              <w:rPr>
                <w:rFonts w:hint="eastAsia" w:ascii="宋体" w:hAnsi="宋体"/>
                <w:color w:val="auto"/>
                <w:szCs w:val="21"/>
                <w:highlight w:val="none"/>
                <w:u w:val="single"/>
              </w:rPr>
              <w:t xml:space="preserve">            </w:t>
            </w:r>
          </w:p>
        </w:tc>
      </w:tr>
    </w:tbl>
    <w:p>
      <w:pPr>
        <w:snapToGrid w:val="0"/>
        <w:spacing w:before="50" w:after="50" w:line="360" w:lineRule="exact"/>
        <w:jc w:val="left"/>
        <w:rPr>
          <w:rFonts w:hint="eastAsia" w:ascii="宋体" w:hAnsi="宋体"/>
          <w:color w:val="auto"/>
          <w:szCs w:val="21"/>
          <w:highlight w:val="none"/>
        </w:rPr>
      </w:pPr>
      <w:r>
        <w:rPr>
          <w:rFonts w:hint="eastAsia" w:ascii="宋体" w:hAnsi="宋体"/>
          <w:color w:val="auto"/>
          <w:szCs w:val="21"/>
          <w:highlight w:val="none"/>
        </w:rPr>
        <w:t>注: 1、报价一经涂改，应在涂改处加盖单位公章或者由法定代表人或授权委托人签字或</w:t>
      </w:r>
      <w:r>
        <w:rPr>
          <w:rFonts w:hint="eastAsia" w:ascii="宋体" w:hAnsi="宋体"/>
          <w:color w:val="auto"/>
          <w:szCs w:val="21"/>
          <w:highlight w:val="none"/>
          <w:lang w:eastAsia="zh-CN"/>
        </w:rPr>
        <w:t>签</w:t>
      </w:r>
      <w:r>
        <w:rPr>
          <w:rFonts w:hint="eastAsia" w:ascii="宋体" w:hAnsi="宋体"/>
          <w:color w:val="auto"/>
          <w:szCs w:val="21"/>
          <w:highlight w:val="none"/>
        </w:rPr>
        <w:t>章，否则其投标作无效标处理。</w:t>
      </w:r>
    </w:p>
    <w:p>
      <w:pPr>
        <w:snapToGrid w:val="0"/>
        <w:spacing w:before="50" w:after="50"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2、凡需用专用耗材的专用设备类采购项目，应按招标文件规定的耗材量或按耗材的常规试用量提供报价。</w:t>
      </w:r>
    </w:p>
    <w:p>
      <w:pPr>
        <w:snapToGrid w:val="0"/>
        <w:spacing w:before="50" w:after="50" w:line="360" w:lineRule="exact"/>
        <w:jc w:val="left"/>
        <w:rPr>
          <w:rFonts w:hint="eastAsia" w:ascii="宋体" w:hAnsi="宋体"/>
          <w:color w:val="auto"/>
          <w:szCs w:val="21"/>
          <w:highlight w:val="none"/>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rPr>
        <w:t>3、投标费用包括项目实施所需的人工费、运输费、安装调试费、制作投标文件费、税费及其他一切费用。</w:t>
      </w:r>
    </w:p>
    <w:p>
      <w:pPr>
        <w:snapToGrid w:val="0"/>
        <w:spacing w:before="50" w:after="50"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4、以上报价应与“投标设备报价明细表”中的“投标总价”相一致。</w:t>
      </w:r>
    </w:p>
    <w:p>
      <w:pPr>
        <w:snapToGrid w:val="0"/>
        <w:spacing w:before="50" w:after="50" w:line="360" w:lineRule="exact"/>
        <w:ind w:left="-2" w:leftChars="-1" w:right="-817" w:rightChars="-389" w:firstLine="420" w:firstLineChars="200"/>
        <w:rPr>
          <w:rFonts w:hint="eastAsia" w:ascii="宋体" w:hAnsi="宋体"/>
          <w:color w:val="auto"/>
          <w:szCs w:val="21"/>
          <w:highlight w:val="none"/>
        </w:rPr>
      </w:pPr>
      <w:r>
        <w:rPr>
          <w:rFonts w:hint="eastAsia" w:ascii="宋体" w:hAnsi="宋体"/>
          <w:color w:val="auto"/>
          <w:szCs w:val="21"/>
          <w:highlight w:val="none"/>
        </w:rPr>
        <w:t>法定代表人或委托代理人</w:t>
      </w:r>
      <w:r>
        <w:rPr>
          <w:rFonts w:hint="eastAsia" w:ascii="宋体" w:hAnsi="宋体"/>
          <w:color w:val="auto"/>
          <w:szCs w:val="21"/>
          <w:highlight w:val="none"/>
          <w:lang w:eastAsia="zh-CN"/>
        </w:rPr>
        <w:t>签字或签章</w:t>
      </w:r>
      <w:r>
        <w:rPr>
          <w:rFonts w:hint="eastAsia" w:ascii="宋体" w:hAnsi="宋体"/>
          <w:color w:val="auto"/>
          <w:szCs w:val="21"/>
          <w:highlight w:val="none"/>
        </w:rPr>
        <w:t xml:space="preserve">：                    </w:t>
      </w:r>
    </w:p>
    <w:p>
      <w:pPr>
        <w:snapToGrid w:val="0"/>
        <w:spacing w:before="50" w:after="50" w:line="360" w:lineRule="exact"/>
        <w:ind w:right="-817" w:rightChars="-389" w:firstLine="420" w:firstLineChars="200"/>
        <w:rPr>
          <w:rFonts w:hint="eastAsia" w:ascii="宋体" w:hAnsi="宋体"/>
          <w:color w:val="auto"/>
          <w:szCs w:val="21"/>
          <w:highlight w:val="none"/>
        </w:rPr>
      </w:pPr>
      <w:r>
        <w:rPr>
          <w:rFonts w:hint="eastAsia" w:ascii="宋体" w:hAnsi="宋体"/>
          <w:color w:val="auto"/>
          <w:szCs w:val="21"/>
          <w:highlight w:val="none"/>
        </w:rPr>
        <w:t xml:space="preserve">投标人名称（盖章）：                               </w:t>
      </w:r>
    </w:p>
    <w:p>
      <w:pPr>
        <w:snapToGrid w:val="0"/>
        <w:spacing w:before="50" w:after="50" w:line="360" w:lineRule="exact"/>
        <w:ind w:right="-817" w:rightChars="-389" w:firstLine="420" w:firstLineChars="200"/>
        <w:rPr>
          <w:rFonts w:hint="eastAsia"/>
          <w:color w:val="auto"/>
          <w:highlight w:val="none"/>
        </w:rPr>
      </w:pPr>
      <w:r>
        <w:rPr>
          <w:rFonts w:hint="eastAsia" w:ascii="宋体" w:hAnsi="宋体"/>
          <w:color w:val="auto"/>
          <w:szCs w:val="21"/>
          <w:highlight w:val="none"/>
        </w:rPr>
        <w:t>日期：    年   月   日</w:t>
      </w:r>
    </w:p>
    <w:sectPr>
      <w:type w:val="evenPage"/>
      <w:pgSz w:w="11906" w:h="16838"/>
      <w:pgMar w:top="1247" w:right="1247" w:bottom="1247" w:left="124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Verdana">
    <w:altName w:val="Ubuntu"/>
    <w:panose1 w:val="020B0604030504040204"/>
    <w:charset w:val="00"/>
    <w:family w:val="swiss"/>
    <w:pitch w:val="default"/>
    <w:sig w:usb0="00000000" w:usb1="00000000"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方正中等线简体 Regular">
    <w:altName w:val="黑体"/>
    <w:panose1 w:val="00000000000000000000"/>
    <w:charset w:val="86"/>
    <w:family w:val="auto"/>
    <w:pitch w:val="default"/>
    <w:sig w:usb0="00000000" w:usb1="00000000" w:usb2="00000010" w:usb3="00000000" w:csb0="00040000" w:csb1="00000000"/>
  </w:font>
  <w:font w:name="Tahoma">
    <w:altName w:val="Droid Sans"/>
    <w:panose1 w:val="020B0604030504040204"/>
    <w:charset w:val="00"/>
    <w:family w:val="swiss"/>
    <w:pitch w:val="default"/>
    <w:sig w:usb0="00000000" w:usb1="00000000" w:usb2="00000029" w:usb3="00000000" w:csb0="200101FF" w:csb1="20280000"/>
  </w:font>
  <w:font w:name="创艺简黑体">
    <w:altName w:val="黑体"/>
    <w:panose1 w:val="00000000000000000000"/>
    <w:charset w:val="00"/>
    <w:family w:val="auto"/>
    <w:pitch w:val="default"/>
    <w:sig w:usb0="00000000" w:usb1="00000000" w:usb2="00000000" w:usb3="00000000" w:csb0="00040001" w:csb1="00000000"/>
  </w:font>
  <w:font w:name="汉仪大黑简 regular">
    <w:altName w:val="黑体"/>
    <w:panose1 w:val="00000000000000000000"/>
    <w:charset w:val="86"/>
    <w:family w:val="auto"/>
    <w:pitch w:val="default"/>
    <w:sig w:usb0="00000000" w:usb1="00000000" w:usb2="00000010" w:usb3="00000000" w:csb0="00040000" w:csb1="00000000"/>
  </w:font>
  <w:font w:name="隶书">
    <w:altName w:val="宋体"/>
    <w:panose1 w:val="0201050906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汉仪书宋二S">
    <w:altName w:val="宋体"/>
    <w:panose1 w:val="00000000000000000000"/>
    <w:charset w:val="00"/>
    <w:family w:val="auto"/>
    <w:pitch w:val="default"/>
    <w:sig w:usb0="00000000" w:usb1="00000000" w:usb2="00000000" w:usb3="00000000" w:csb0="00040001"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framePr w:wrap="around" w:vAnchor="text" w:hAnchor="margin" w:xAlign="center" w:y="1"/>
      <w:rPr>
        <w:rStyle w:val="53"/>
      </w:rPr>
    </w:pPr>
    <w:r>
      <w:fldChar w:fldCharType="begin"/>
    </w:r>
    <w:r>
      <w:rPr>
        <w:rStyle w:val="53"/>
      </w:rPr>
      <w:instrText xml:space="preserve">PAGE  </w:instrText>
    </w:r>
    <w:r>
      <w:fldChar w:fldCharType="separate"/>
    </w:r>
    <w:r>
      <w:rPr>
        <w:rStyle w:val="53"/>
      </w:rPr>
      <w:t>54</w:t>
    </w:r>
    <w:r>
      <w:fldChar w:fldCharType="end"/>
    </w:r>
  </w:p>
  <w:p>
    <w:pPr>
      <w:pStyle w:val="3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framePr w:wrap="around" w:vAnchor="text" w:hAnchor="margin" w:xAlign="center" w:y="1"/>
      <w:rPr>
        <w:rStyle w:val="53"/>
      </w:rPr>
    </w:pPr>
    <w:r>
      <w:fldChar w:fldCharType="begin"/>
    </w:r>
    <w:r>
      <w:rPr>
        <w:rStyle w:val="53"/>
      </w:rPr>
      <w:instrText xml:space="preserve">PAGE  </w:instrText>
    </w:r>
    <w:r>
      <w:fldChar w:fldCharType="separate"/>
    </w:r>
    <w:r>
      <w:fldChar w:fldCharType="end"/>
    </w:r>
  </w:p>
  <w:p>
    <w:pPr>
      <w:pStyle w:val="3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ind w:right="360"/>
      <w:jc w:val="both"/>
      <w:rPr>
        <w:rFonts w:hint="eastAsia"/>
      </w:rPr>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wordWrap w:val="0"/>
      <w:jc w:val="right"/>
    </w:pPr>
    <w:r>
      <w:rPr>
        <w:rFonts w:hint="eastAsia"/>
      </w:rPr>
      <w:t>广西艺术学院相思湖校区电梯采购及安装（GXZC2025-G1-002826-CGZX）</w:t>
    </w:r>
  </w:p>
  <w:p>
    <w:pPr>
      <w:jc w:val="right"/>
      <w:rPr>
        <w:rFonts w:hint="eastAsia"/>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F41B32"/>
    <w:multiLevelType w:val="singleLevel"/>
    <w:tmpl w:val="00F41B32"/>
    <w:lvl w:ilvl="0" w:tentative="0">
      <w:start w:val="7"/>
      <w:numFmt w:val="decimal"/>
      <w:lvlText w:val="%1."/>
      <w:lvlJc w:val="left"/>
      <w:pPr>
        <w:tabs>
          <w:tab w:val="left" w:pos="312"/>
        </w:tabs>
      </w:pPr>
    </w:lvl>
  </w:abstractNum>
  <w:abstractNum w:abstractNumId="1">
    <w:nsid w:val="54CB48CB"/>
    <w:multiLevelType w:val="multilevel"/>
    <w:tmpl w:val="54CB48CB"/>
    <w:lvl w:ilvl="0" w:tentative="0">
      <w:start w:val="3"/>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583"/>
    <w:rsid w:val="000019AB"/>
    <w:rsid w:val="000053FE"/>
    <w:rsid w:val="00007365"/>
    <w:rsid w:val="00011AD2"/>
    <w:rsid w:val="0001687C"/>
    <w:rsid w:val="0002034C"/>
    <w:rsid w:val="00020FBF"/>
    <w:rsid w:val="00023147"/>
    <w:rsid w:val="00023E86"/>
    <w:rsid w:val="00025BBD"/>
    <w:rsid w:val="00027888"/>
    <w:rsid w:val="000300FD"/>
    <w:rsid w:val="00030A89"/>
    <w:rsid w:val="000342CF"/>
    <w:rsid w:val="00034A87"/>
    <w:rsid w:val="00034F20"/>
    <w:rsid w:val="00036A22"/>
    <w:rsid w:val="00040090"/>
    <w:rsid w:val="0004169D"/>
    <w:rsid w:val="00041C55"/>
    <w:rsid w:val="00042250"/>
    <w:rsid w:val="0004284C"/>
    <w:rsid w:val="00044DA1"/>
    <w:rsid w:val="00045C4F"/>
    <w:rsid w:val="000523F9"/>
    <w:rsid w:val="000549AC"/>
    <w:rsid w:val="00054A03"/>
    <w:rsid w:val="00064A98"/>
    <w:rsid w:val="00070E6E"/>
    <w:rsid w:val="000742BF"/>
    <w:rsid w:val="00076B9E"/>
    <w:rsid w:val="00077099"/>
    <w:rsid w:val="00080307"/>
    <w:rsid w:val="00081973"/>
    <w:rsid w:val="00082F9E"/>
    <w:rsid w:val="000832D6"/>
    <w:rsid w:val="000838CF"/>
    <w:rsid w:val="000854EF"/>
    <w:rsid w:val="0008613F"/>
    <w:rsid w:val="00087650"/>
    <w:rsid w:val="00087A4A"/>
    <w:rsid w:val="000923DF"/>
    <w:rsid w:val="000943A9"/>
    <w:rsid w:val="000A5EDB"/>
    <w:rsid w:val="000C2614"/>
    <w:rsid w:val="000C43BF"/>
    <w:rsid w:val="000C4A9C"/>
    <w:rsid w:val="000C50F8"/>
    <w:rsid w:val="000D09AB"/>
    <w:rsid w:val="000D09E9"/>
    <w:rsid w:val="000D1329"/>
    <w:rsid w:val="000D4886"/>
    <w:rsid w:val="000D5803"/>
    <w:rsid w:val="000D7866"/>
    <w:rsid w:val="000E0261"/>
    <w:rsid w:val="000E4C10"/>
    <w:rsid w:val="000E6D41"/>
    <w:rsid w:val="000F1C05"/>
    <w:rsid w:val="000F22D5"/>
    <w:rsid w:val="000F2305"/>
    <w:rsid w:val="000F2717"/>
    <w:rsid w:val="000F4392"/>
    <w:rsid w:val="000F44AA"/>
    <w:rsid w:val="001015FD"/>
    <w:rsid w:val="00101B39"/>
    <w:rsid w:val="00101F1C"/>
    <w:rsid w:val="00107FAF"/>
    <w:rsid w:val="00110F99"/>
    <w:rsid w:val="00116BC0"/>
    <w:rsid w:val="0011700C"/>
    <w:rsid w:val="00120F06"/>
    <w:rsid w:val="00121FD8"/>
    <w:rsid w:val="00122BA3"/>
    <w:rsid w:val="00125159"/>
    <w:rsid w:val="00126360"/>
    <w:rsid w:val="00126C61"/>
    <w:rsid w:val="00127AE4"/>
    <w:rsid w:val="001309EB"/>
    <w:rsid w:val="0013168C"/>
    <w:rsid w:val="001358EC"/>
    <w:rsid w:val="001402BC"/>
    <w:rsid w:val="00141F9A"/>
    <w:rsid w:val="00142DD5"/>
    <w:rsid w:val="00144528"/>
    <w:rsid w:val="00144A59"/>
    <w:rsid w:val="00145BE0"/>
    <w:rsid w:val="001472FE"/>
    <w:rsid w:val="00147BDC"/>
    <w:rsid w:val="00150628"/>
    <w:rsid w:val="00150916"/>
    <w:rsid w:val="00150F02"/>
    <w:rsid w:val="00152AD7"/>
    <w:rsid w:val="00152FBF"/>
    <w:rsid w:val="00153351"/>
    <w:rsid w:val="00153894"/>
    <w:rsid w:val="001542F4"/>
    <w:rsid w:val="001544A4"/>
    <w:rsid w:val="00155D27"/>
    <w:rsid w:val="00157B2B"/>
    <w:rsid w:val="00160D7A"/>
    <w:rsid w:val="00161187"/>
    <w:rsid w:val="00161F35"/>
    <w:rsid w:val="00162C9F"/>
    <w:rsid w:val="00162F8D"/>
    <w:rsid w:val="001633EA"/>
    <w:rsid w:val="0016484E"/>
    <w:rsid w:val="00166FDA"/>
    <w:rsid w:val="001736D1"/>
    <w:rsid w:val="00174CE7"/>
    <w:rsid w:val="00176270"/>
    <w:rsid w:val="001813F1"/>
    <w:rsid w:val="00184B5D"/>
    <w:rsid w:val="001853FC"/>
    <w:rsid w:val="001933F1"/>
    <w:rsid w:val="001939B2"/>
    <w:rsid w:val="001952FD"/>
    <w:rsid w:val="00195477"/>
    <w:rsid w:val="00195E86"/>
    <w:rsid w:val="0019684B"/>
    <w:rsid w:val="001A04C1"/>
    <w:rsid w:val="001A154D"/>
    <w:rsid w:val="001A5ED0"/>
    <w:rsid w:val="001A70F6"/>
    <w:rsid w:val="001A7742"/>
    <w:rsid w:val="001B33F5"/>
    <w:rsid w:val="001B3E57"/>
    <w:rsid w:val="001B4098"/>
    <w:rsid w:val="001B4360"/>
    <w:rsid w:val="001B5297"/>
    <w:rsid w:val="001B6367"/>
    <w:rsid w:val="001C05B5"/>
    <w:rsid w:val="001C086A"/>
    <w:rsid w:val="001C2BD6"/>
    <w:rsid w:val="001C322F"/>
    <w:rsid w:val="001D2633"/>
    <w:rsid w:val="001D4AB0"/>
    <w:rsid w:val="001E303D"/>
    <w:rsid w:val="001E3A87"/>
    <w:rsid w:val="001E3E13"/>
    <w:rsid w:val="001E4D60"/>
    <w:rsid w:val="001F1CF9"/>
    <w:rsid w:val="001F1DEF"/>
    <w:rsid w:val="001F2D59"/>
    <w:rsid w:val="001F3DB7"/>
    <w:rsid w:val="001F7A12"/>
    <w:rsid w:val="001F7D02"/>
    <w:rsid w:val="00202063"/>
    <w:rsid w:val="00207CB8"/>
    <w:rsid w:val="00215E6E"/>
    <w:rsid w:val="00221419"/>
    <w:rsid w:val="00221856"/>
    <w:rsid w:val="00226BDD"/>
    <w:rsid w:val="00226ECD"/>
    <w:rsid w:val="0022764F"/>
    <w:rsid w:val="0023127E"/>
    <w:rsid w:val="00231C26"/>
    <w:rsid w:val="00233C95"/>
    <w:rsid w:val="002351D2"/>
    <w:rsid w:val="002358FF"/>
    <w:rsid w:val="002359E1"/>
    <w:rsid w:val="002412FA"/>
    <w:rsid w:val="00243101"/>
    <w:rsid w:val="002461B8"/>
    <w:rsid w:val="00254EEA"/>
    <w:rsid w:val="00262BB7"/>
    <w:rsid w:val="00263941"/>
    <w:rsid w:val="00263EEC"/>
    <w:rsid w:val="00263F04"/>
    <w:rsid w:val="00270A57"/>
    <w:rsid w:val="002713ED"/>
    <w:rsid w:val="00271653"/>
    <w:rsid w:val="002732F0"/>
    <w:rsid w:val="00273711"/>
    <w:rsid w:val="002748C3"/>
    <w:rsid w:val="00274DD9"/>
    <w:rsid w:val="002755FA"/>
    <w:rsid w:val="002767DD"/>
    <w:rsid w:val="00276EBA"/>
    <w:rsid w:val="00277F69"/>
    <w:rsid w:val="00280AFA"/>
    <w:rsid w:val="00280E24"/>
    <w:rsid w:val="00281FDE"/>
    <w:rsid w:val="00285F06"/>
    <w:rsid w:val="00294744"/>
    <w:rsid w:val="002955F9"/>
    <w:rsid w:val="002A4757"/>
    <w:rsid w:val="002A591E"/>
    <w:rsid w:val="002B1D18"/>
    <w:rsid w:val="002B3B63"/>
    <w:rsid w:val="002B3EB3"/>
    <w:rsid w:val="002B452D"/>
    <w:rsid w:val="002B54F9"/>
    <w:rsid w:val="002B5600"/>
    <w:rsid w:val="002B6227"/>
    <w:rsid w:val="002B6B69"/>
    <w:rsid w:val="002C1122"/>
    <w:rsid w:val="002C2BCC"/>
    <w:rsid w:val="002C52D6"/>
    <w:rsid w:val="002C5B47"/>
    <w:rsid w:val="002D372A"/>
    <w:rsid w:val="002D3FF1"/>
    <w:rsid w:val="002D5611"/>
    <w:rsid w:val="002E0650"/>
    <w:rsid w:val="002E255B"/>
    <w:rsid w:val="002E50CA"/>
    <w:rsid w:val="002E5349"/>
    <w:rsid w:val="002E6F58"/>
    <w:rsid w:val="002F1020"/>
    <w:rsid w:val="002F3B2B"/>
    <w:rsid w:val="002F3CCF"/>
    <w:rsid w:val="002F46EB"/>
    <w:rsid w:val="0030545C"/>
    <w:rsid w:val="00306EFB"/>
    <w:rsid w:val="003077B0"/>
    <w:rsid w:val="003078CC"/>
    <w:rsid w:val="003105FB"/>
    <w:rsid w:val="00310906"/>
    <w:rsid w:val="003118EA"/>
    <w:rsid w:val="003131EE"/>
    <w:rsid w:val="00313CEA"/>
    <w:rsid w:val="00317D85"/>
    <w:rsid w:val="00320534"/>
    <w:rsid w:val="00323596"/>
    <w:rsid w:val="00323CC8"/>
    <w:rsid w:val="003320EA"/>
    <w:rsid w:val="00336242"/>
    <w:rsid w:val="00337026"/>
    <w:rsid w:val="00337163"/>
    <w:rsid w:val="003373EC"/>
    <w:rsid w:val="003534A9"/>
    <w:rsid w:val="003631A4"/>
    <w:rsid w:val="003662C2"/>
    <w:rsid w:val="00366F17"/>
    <w:rsid w:val="00371327"/>
    <w:rsid w:val="00373C3E"/>
    <w:rsid w:val="00376E73"/>
    <w:rsid w:val="0038061E"/>
    <w:rsid w:val="00383537"/>
    <w:rsid w:val="003840FA"/>
    <w:rsid w:val="0038491B"/>
    <w:rsid w:val="003862F8"/>
    <w:rsid w:val="0038692B"/>
    <w:rsid w:val="00387A62"/>
    <w:rsid w:val="00387B16"/>
    <w:rsid w:val="003902A7"/>
    <w:rsid w:val="003913FE"/>
    <w:rsid w:val="003927B2"/>
    <w:rsid w:val="0039445C"/>
    <w:rsid w:val="00396C44"/>
    <w:rsid w:val="00397393"/>
    <w:rsid w:val="003A3CA0"/>
    <w:rsid w:val="003A6ED4"/>
    <w:rsid w:val="003B1509"/>
    <w:rsid w:val="003B3341"/>
    <w:rsid w:val="003B3DB4"/>
    <w:rsid w:val="003B46E5"/>
    <w:rsid w:val="003B6F22"/>
    <w:rsid w:val="003B7BD6"/>
    <w:rsid w:val="003C3478"/>
    <w:rsid w:val="003C3A7E"/>
    <w:rsid w:val="003C534F"/>
    <w:rsid w:val="003C772C"/>
    <w:rsid w:val="003D108A"/>
    <w:rsid w:val="003D12AA"/>
    <w:rsid w:val="003D2774"/>
    <w:rsid w:val="003D4082"/>
    <w:rsid w:val="003D47BD"/>
    <w:rsid w:val="003D4C5B"/>
    <w:rsid w:val="003D55E7"/>
    <w:rsid w:val="003D5CCA"/>
    <w:rsid w:val="003D61CA"/>
    <w:rsid w:val="003E12F8"/>
    <w:rsid w:val="003E34D4"/>
    <w:rsid w:val="003E439A"/>
    <w:rsid w:val="003E5C60"/>
    <w:rsid w:val="003E7CB4"/>
    <w:rsid w:val="003F0CF9"/>
    <w:rsid w:val="003F20E1"/>
    <w:rsid w:val="003F33A8"/>
    <w:rsid w:val="003F435D"/>
    <w:rsid w:val="003F52BD"/>
    <w:rsid w:val="003F61A4"/>
    <w:rsid w:val="003F7498"/>
    <w:rsid w:val="00402655"/>
    <w:rsid w:val="00406CD2"/>
    <w:rsid w:val="004124CC"/>
    <w:rsid w:val="00413681"/>
    <w:rsid w:val="00413B0D"/>
    <w:rsid w:val="00417C1F"/>
    <w:rsid w:val="004228A8"/>
    <w:rsid w:val="00422D65"/>
    <w:rsid w:val="00423128"/>
    <w:rsid w:val="004231FF"/>
    <w:rsid w:val="00425143"/>
    <w:rsid w:val="0042729D"/>
    <w:rsid w:val="00431284"/>
    <w:rsid w:val="0043362B"/>
    <w:rsid w:val="00434ADA"/>
    <w:rsid w:val="00436846"/>
    <w:rsid w:val="004419E0"/>
    <w:rsid w:val="00445824"/>
    <w:rsid w:val="00445D77"/>
    <w:rsid w:val="00446EE6"/>
    <w:rsid w:val="0044701D"/>
    <w:rsid w:val="00450F72"/>
    <w:rsid w:val="004574E8"/>
    <w:rsid w:val="00462C92"/>
    <w:rsid w:val="004642A2"/>
    <w:rsid w:val="00473CD1"/>
    <w:rsid w:val="004755ED"/>
    <w:rsid w:val="004770D5"/>
    <w:rsid w:val="00482611"/>
    <w:rsid w:val="0048722E"/>
    <w:rsid w:val="00492AC4"/>
    <w:rsid w:val="00493666"/>
    <w:rsid w:val="004978B3"/>
    <w:rsid w:val="00497C6E"/>
    <w:rsid w:val="004A15ED"/>
    <w:rsid w:val="004A265A"/>
    <w:rsid w:val="004A2CEB"/>
    <w:rsid w:val="004A7E15"/>
    <w:rsid w:val="004B17CD"/>
    <w:rsid w:val="004B2058"/>
    <w:rsid w:val="004B2B07"/>
    <w:rsid w:val="004B712A"/>
    <w:rsid w:val="004C046C"/>
    <w:rsid w:val="004C15AB"/>
    <w:rsid w:val="004C2E81"/>
    <w:rsid w:val="004C4C7D"/>
    <w:rsid w:val="004C4F99"/>
    <w:rsid w:val="004C5BC4"/>
    <w:rsid w:val="004D1251"/>
    <w:rsid w:val="004D1D34"/>
    <w:rsid w:val="004D4BF2"/>
    <w:rsid w:val="004D6692"/>
    <w:rsid w:val="004D7DEE"/>
    <w:rsid w:val="004E0784"/>
    <w:rsid w:val="004E07E7"/>
    <w:rsid w:val="004E586F"/>
    <w:rsid w:val="004E5D4B"/>
    <w:rsid w:val="004E6B1A"/>
    <w:rsid w:val="004F4D59"/>
    <w:rsid w:val="004F6B48"/>
    <w:rsid w:val="00504A90"/>
    <w:rsid w:val="00510222"/>
    <w:rsid w:val="0051105E"/>
    <w:rsid w:val="00511EF1"/>
    <w:rsid w:val="0051462C"/>
    <w:rsid w:val="0051524C"/>
    <w:rsid w:val="00515F49"/>
    <w:rsid w:val="0051647F"/>
    <w:rsid w:val="005178F9"/>
    <w:rsid w:val="00520C33"/>
    <w:rsid w:val="00522D1B"/>
    <w:rsid w:val="005230EC"/>
    <w:rsid w:val="005242B3"/>
    <w:rsid w:val="00524392"/>
    <w:rsid w:val="00532B9F"/>
    <w:rsid w:val="00534CE9"/>
    <w:rsid w:val="005358A8"/>
    <w:rsid w:val="005362BD"/>
    <w:rsid w:val="005409A3"/>
    <w:rsid w:val="00540EE2"/>
    <w:rsid w:val="00541DE2"/>
    <w:rsid w:val="00542B66"/>
    <w:rsid w:val="005441E2"/>
    <w:rsid w:val="0055097C"/>
    <w:rsid w:val="00550C8D"/>
    <w:rsid w:val="005534B5"/>
    <w:rsid w:val="00553D8C"/>
    <w:rsid w:val="005578F9"/>
    <w:rsid w:val="005604FE"/>
    <w:rsid w:val="005612DD"/>
    <w:rsid w:val="00563B94"/>
    <w:rsid w:val="00574EE6"/>
    <w:rsid w:val="00575DA0"/>
    <w:rsid w:val="005810A0"/>
    <w:rsid w:val="00582000"/>
    <w:rsid w:val="00583163"/>
    <w:rsid w:val="0058478A"/>
    <w:rsid w:val="00585F2B"/>
    <w:rsid w:val="00590ECE"/>
    <w:rsid w:val="00591AAE"/>
    <w:rsid w:val="005934C6"/>
    <w:rsid w:val="00593EDA"/>
    <w:rsid w:val="00596F3C"/>
    <w:rsid w:val="0059771A"/>
    <w:rsid w:val="005A0EDE"/>
    <w:rsid w:val="005A0EE1"/>
    <w:rsid w:val="005A37B3"/>
    <w:rsid w:val="005A4AF0"/>
    <w:rsid w:val="005A6C4F"/>
    <w:rsid w:val="005A7E22"/>
    <w:rsid w:val="005B1261"/>
    <w:rsid w:val="005B4DD3"/>
    <w:rsid w:val="005B6C77"/>
    <w:rsid w:val="005C0628"/>
    <w:rsid w:val="005C1FAF"/>
    <w:rsid w:val="005C31FF"/>
    <w:rsid w:val="005C3DDA"/>
    <w:rsid w:val="005C4533"/>
    <w:rsid w:val="005C5119"/>
    <w:rsid w:val="005C54D2"/>
    <w:rsid w:val="005C57E9"/>
    <w:rsid w:val="005C5964"/>
    <w:rsid w:val="005C701E"/>
    <w:rsid w:val="005C7A31"/>
    <w:rsid w:val="005C7FA8"/>
    <w:rsid w:val="005E34F5"/>
    <w:rsid w:val="005E3D0C"/>
    <w:rsid w:val="005E3D56"/>
    <w:rsid w:val="005F391A"/>
    <w:rsid w:val="005F50C1"/>
    <w:rsid w:val="005F7318"/>
    <w:rsid w:val="005F79B7"/>
    <w:rsid w:val="00600BB3"/>
    <w:rsid w:val="00601712"/>
    <w:rsid w:val="00604293"/>
    <w:rsid w:val="00605147"/>
    <w:rsid w:val="0060694B"/>
    <w:rsid w:val="00610FC8"/>
    <w:rsid w:val="0062135C"/>
    <w:rsid w:val="00623D38"/>
    <w:rsid w:val="006259FE"/>
    <w:rsid w:val="00625C92"/>
    <w:rsid w:val="0063242A"/>
    <w:rsid w:val="006359F8"/>
    <w:rsid w:val="00642A84"/>
    <w:rsid w:val="0064390F"/>
    <w:rsid w:val="00644349"/>
    <w:rsid w:val="00647897"/>
    <w:rsid w:val="00651ECB"/>
    <w:rsid w:val="00663D02"/>
    <w:rsid w:val="0066403C"/>
    <w:rsid w:val="0066542A"/>
    <w:rsid w:val="0066785B"/>
    <w:rsid w:val="00667E50"/>
    <w:rsid w:val="00670E37"/>
    <w:rsid w:val="00673FA3"/>
    <w:rsid w:val="006742CE"/>
    <w:rsid w:val="006764EE"/>
    <w:rsid w:val="00676683"/>
    <w:rsid w:val="00677AF1"/>
    <w:rsid w:val="006809F6"/>
    <w:rsid w:val="0068321A"/>
    <w:rsid w:val="0069036C"/>
    <w:rsid w:val="0069677A"/>
    <w:rsid w:val="006A18C7"/>
    <w:rsid w:val="006A347C"/>
    <w:rsid w:val="006A6FAC"/>
    <w:rsid w:val="006B13E7"/>
    <w:rsid w:val="006B26C2"/>
    <w:rsid w:val="006B4E09"/>
    <w:rsid w:val="006B5808"/>
    <w:rsid w:val="006C1D39"/>
    <w:rsid w:val="006C314B"/>
    <w:rsid w:val="006C38DF"/>
    <w:rsid w:val="006C4A51"/>
    <w:rsid w:val="006C4FEA"/>
    <w:rsid w:val="006D65C0"/>
    <w:rsid w:val="006E03A2"/>
    <w:rsid w:val="006E0DE1"/>
    <w:rsid w:val="006E6108"/>
    <w:rsid w:val="006F0069"/>
    <w:rsid w:val="006F15F5"/>
    <w:rsid w:val="006F54D4"/>
    <w:rsid w:val="00700806"/>
    <w:rsid w:val="00701F1B"/>
    <w:rsid w:val="00702071"/>
    <w:rsid w:val="00702EDB"/>
    <w:rsid w:val="00704308"/>
    <w:rsid w:val="00705F69"/>
    <w:rsid w:val="007066CA"/>
    <w:rsid w:val="007117C3"/>
    <w:rsid w:val="00711F24"/>
    <w:rsid w:val="00715981"/>
    <w:rsid w:val="00717AF2"/>
    <w:rsid w:val="00722EC3"/>
    <w:rsid w:val="00732B34"/>
    <w:rsid w:val="00735CA0"/>
    <w:rsid w:val="0074027C"/>
    <w:rsid w:val="0074265B"/>
    <w:rsid w:val="00742810"/>
    <w:rsid w:val="007435CB"/>
    <w:rsid w:val="00743BB0"/>
    <w:rsid w:val="00746744"/>
    <w:rsid w:val="00746CB5"/>
    <w:rsid w:val="00747FEB"/>
    <w:rsid w:val="00750026"/>
    <w:rsid w:val="0075053E"/>
    <w:rsid w:val="0075125E"/>
    <w:rsid w:val="0075145A"/>
    <w:rsid w:val="007518C3"/>
    <w:rsid w:val="00752343"/>
    <w:rsid w:val="0075308C"/>
    <w:rsid w:val="00760B52"/>
    <w:rsid w:val="007644F2"/>
    <w:rsid w:val="007653EF"/>
    <w:rsid w:val="00765CFE"/>
    <w:rsid w:val="007666B9"/>
    <w:rsid w:val="0076781B"/>
    <w:rsid w:val="007678C4"/>
    <w:rsid w:val="00770C0E"/>
    <w:rsid w:val="00774512"/>
    <w:rsid w:val="00777A91"/>
    <w:rsid w:val="00780017"/>
    <w:rsid w:val="00780609"/>
    <w:rsid w:val="0078149D"/>
    <w:rsid w:val="00782EBC"/>
    <w:rsid w:val="00783158"/>
    <w:rsid w:val="00785F6C"/>
    <w:rsid w:val="0078781D"/>
    <w:rsid w:val="00793146"/>
    <w:rsid w:val="007A20A4"/>
    <w:rsid w:val="007A7572"/>
    <w:rsid w:val="007B09FC"/>
    <w:rsid w:val="007B3E0F"/>
    <w:rsid w:val="007B4DF9"/>
    <w:rsid w:val="007B7D4B"/>
    <w:rsid w:val="007C6DFC"/>
    <w:rsid w:val="007D0566"/>
    <w:rsid w:val="007D23C1"/>
    <w:rsid w:val="007D3ED6"/>
    <w:rsid w:val="007D68B6"/>
    <w:rsid w:val="007D79CE"/>
    <w:rsid w:val="007E10E1"/>
    <w:rsid w:val="007E13D4"/>
    <w:rsid w:val="007E2DDC"/>
    <w:rsid w:val="007E471C"/>
    <w:rsid w:val="007E4D75"/>
    <w:rsid w:val="007E680A"/>
    <w:rsid w:val="007E7B88"/>
    <w:rsid w:val="007F1016"/>
    <w:rsid w:val="007F2D1D"/>
    <w:rsid w:val="007F4313"/>
    <w:rsid w:val="007F5D7D"/>
    <w:rsid w:val="007F711C"/>
    <w:rsid w:val="008149D9"/>
    <w:rsid w:val="00815DBB"/>
    <w:rsid w:val="008164AF"/>
    <w:rsid w:val="008175BC"/>
    <w:rsid w:val="008178DB"/>
    <w:rsid w:val="00817A1A"/>
    <w:rsid w:val="00820D6C"/>
    <w:rsid w:val="008259C2"/>
    <w:rsid w:val="00825BA3"/>
    <w:rsid w:val="008260BD"/>
    <w:rsid w:val="00826660"/>
    <w:rsid w:val="00826C71"/>
    <w:rsid w:val="00830013"/>
    <w:rsid w:val="0083116F"/>
    <w:rsid w:val="00831853"/>
    <w:rsid w:val="008326B6"/>
    <w:rsid w:val="00832A5B"/>
    <w:rsid w:val="008340EC"/>
    <w:rsid w:val="0083470D"/>
    <w:rsid w:val="00837138"/>
    <w:rsid w:val="00841D39"/>
    <w:rsid w:val="00841D8A"/>
    <w:rsid w:val="00843095"/>
    <w:rsid w:val="0084388F"/>
    <w:rsid w:val="00843DB4"/>
    <w:rsid w:val="00850962"/>
    <w:rsid w:val="00853609"/>
    <w:rsid w:val="00853FB2"/>
    <w:rsid w:val="00854C2A"/>
    <w:rsid w:val="008557AC"/>
    <w:rsid w:val="008574FE"/>
    <w:rsid w:val="00861532"/>
    <w:rsid w:val="008625B0"/>
    <w:rsid w:val="0086275C"/>
    <w:rsid w:val="00865302"/>
    <w:rsid w:val="008654D5"/>
    <w:rsid w:val="00866A85"/>
    <w:rsid w:val="008714CB"/>
    <w:rsid w:val="00871767"/>
    <w:rsid w:val="00871D0B"/>
    <w:rsid w:val="00875649"/>
    <w:rsid w:val="008810A3"/>
    <w:rsid w:val="00881421"/>
    <w:rsid w:val="00882E34"/>
    <w:rsid w:val="008830E6"/>
    <w:rsid w:val="00884DB8"/>
    <w:rsid w:val="008856B7"/>
    <w:rsid w:val="00885DB2"/>
    <w:rsid w:val="00885FEF"/>
    <w:rsid w:val="00891011"/>
    <w:rsid w:val="008939C9"/>
    <w:rsid w:val="0089416F"/>
    <w:rsid w:val="008951CB"/>
    <w:rsid w:val="008963A8"/>
    <w:rsid w:val="008A2BDC"/>
    <w:rsid w:val="008A69C8"/>
    <w:rsid w:val="008B09E3"/>
    <w:rsid w:val="008B3529"/>
    <w:rsid w:val="008B40A9"/>
    <w:rsid w:val="008B5B02"/>
    <w:rsid w:val="008B7423"/>
    <w:rsid w:val="008C0502"/>
    <w:rsid w:val="008C0D22"/>
    <w:rsid w:val="008C262C"/>
    <w:rsid w:val="008C4AC0"/>
    <w:rsid w:val="008C699E"/>
    <w:rsid w:val="008C78AF"/>
    <w:rsid w:val="008D29EA"/>
    <w:rsid w:val="008D56AC"/>
    <w:rsid w:val="008D601C"/>
    <w:rsid w:val="008D68F5"/>
    <w:rsid w:val="008D702A"/>
    <w:rsid w:val="008D74AF"/>
    <w:rsid w:val="008E2CEA"/>
    <w:rsid w:val="008E732A"/>
    <w:rsid w:val="008F0C9D"/>
    <w:rsid w:val="008F2092"/>
    <w:rsid w:val="008F3CD8"/>
    <w:rsid w:val="008F4D02"/>
    <w:rsid w:val="0090135E"/>
    <w:rsid w:val="00901B3A"/>
    <w:rsid w:val="00905359"/>
    <w:rsid w:val="00905DD3"/>
    <w:rsid w:val="0090610B"/>
    <w:rsid w:val="0091104A"/>
    <w:rsid w:val="0091126F"/>
    <w:rsid w:val="00913D93"/>
    <w:rsid w:val="00922A86"/>
    <w:rsid w:val="00924B05"/>
    <w:rsid w:val="00924DBA"/>
    <w:rsid w:val="00924FEC"/>
    <w:rsid w:val="0092517F"/>
    <w:rsid w:val="009273C4"/>
    <w:rsid w:val="0093005A"/>
    <w:rsid w:val="0093144F"/>
    <w:rsid w:val="00932C92"/>
    <w:rsid w:val="009372CA"/>
    <w:rsid w:val="009420ED"/>
    <w:rsid w:val="009438BE"/>
    <w:rsid w:val="00950DAA"/>
    <w:rsid w:val="009515E9"/>
    <w:rsid w:val="00951E7A"/>
    <w:rsid w:val="00952261"/>
    <w:rsid w:val="009531FF"/>
    <w:rsid w:val="009534A5"/>
    <w:rsid w:val="009642D0"/>
    <w:rsid w:val="00964604"/>
    <w:rsid w:val="0097345F"/>
    <w:rsid w:val="00976297"/>
    <w:rsid w:val="00977EB1"/>
    <w:rsid w:val="009836E0"/>
    <w:rsid w:val="00984A1A"/>
    <w:rsid w:val="00986118"/>
    <w:rsid w:val="00987B6C"/>
    <w:rsid w:val="009909EE"/>
    <w:rsid w:val="00994D72"/>
    <w:rsid w:val="00995D1C"/>
    <w:rsid w:val="00995D48"/>
    <w:rsid w:val="009A193D"/>
    <w:rsid w:val="009A1B3C"/>
    <w:rsid w:val="009A26AD"/>
    <w:rsid w:val="009A410D"/>
    <w:rsid w:val="009B2A93"/>
    <w:rsid w:val="009B4111"/>
    <w:rsid w:val="009B47B7"/>
    <w:rsid w:val="009B5E17"/>
    <w:rsid w:val="009C00E4"/>
    <w:rsid w:val="009C0CFC"/>
    <w:rsid w:val="009C1692"/>
    <w:rsid w:val="009D014A"/>
    <w:rsid w:val="009D1D3F"/>
    <w:rsid w:val="009E05F8"/>
    <w:rsid w:val="009E0FF2"/>
    <w:rsid w:val="009E20BA"/>
    <w:rsid w:val="009E36F3"/>
    <w:rsid w:val="009E40CE"/>
    <w:rsid w:val="009E5258"/>
    <w:rsid w:val="009E57FE"/>
    <w:rsid w:val="009E6BD2"/>
    <w:rsid w:val="009F11E3"/>
    <w:rsid w:val="009F3D05"/>
    <w:rsid w:val="009F6244"/>
    <w:rsid w:val="009F650D"/>
    <w:rsid w:val="009F669B"/>
    <w:rsid w:val="00A03234"/>
    <w:rsid w:val="00A03602"/>
    <w:rsid w:val="00A0427B"/>
    <w:rsid w:val="00A04C22"/>
    <w:rsid w:val="00A121AF"/>
    <w:rsid w:val="00A1294B"/>
    <w:rsid w:val="00A12A97"/>
    <w:rsid w:val="00A1521C"/>
    <w:rsid w:val="00A16EA5"/>
    <w:rsid w:val="00A20FFD"/>
    <w:rsid w:val="00A237EA"/>
    <w:rsid w:val="00A239AA"/>
    <w:rsid w:val="00A2456E"/>
    <w:rsid w:val="00A25876"/>
    <w:rsid w:val="00A26C02"/>
    <w:rsid w:val="00A27AF2"/>
    <w:rsid w:val="00A34778"/>
    <w:rsid w:val="00A3535F"/>
    <w:rsid w:val="00A355CD"/>
    <w:rsid w:val="00A40A0F"/>
    <w:rsid w:val="00A40CB7"/>
    <w:rsid w:val="00A41B40"/>
    <w:rsid w:val="00A41EF9"/>
    <w:rsid w:val="00A43D78"/>
    <w:rsid w:val="00A45FC6"/>
    <w:rsid w:val="00A50204"/>
    <w:rsid w:val="00A51657"/>
    <w:rsid w:val="00A52964"/>
    <w:rsid w:val="00A55826"/>
    <w:rsid w:val="00A56427"/>
    <w:rsid w:val="00A56995"/>
    <w:rsid w:val="00A577A6"/>
    <w:rsid w:val="00A57F71"/>
    <w:rsid w:val="00A65EB4"/>
    <w:rsid w:val="00A66C4C"/>
    <w:rsid w:val="00A67C62"/>
    <w:rsid w:val="00A70D3A"/>
    <w:rsid w:val="00A7124C"/>
    <w:rsid w:val="00A732EA"/>
    <w:rsid w:val="00A83A4B"/>
    <w:rsid w:val="00A84639"/>
    <w:rsid w:val="00A84780"/>
    <w:rsid w:val="00A865F0"/>
    <w:rsid w:val="00A913A6"/>
    <w:rsid w:val="00A9444D"/>
    <w:rsid w:val="00A97537"/>
    <w:rsid w:val="00A9777A"/>
    <w:rsid w:val="00A97C92"/>
    <w:rsid w:val="00AA3154"/>
    <w:rsid w:val="00AA41B0"/>
    <w:rsid w:val="00AA462C"/>
    <w:rsid w:val="00AA5703"/>
    <w:rsid w:val="00AB1067"/>
    <w:rsid w:val="00AB10D9"/>
    <w:rsid w:val="00AB20C5"/>
    <w:rsid w:val="00AB2F7F"/>
    <w:rsid w:val="00AB3176"/>
    <w:rsid w:val="00AB68D7"/>
    <w:rsid w:val="00AC14B0"/>
    <w:rsid w:val="00AC1C81"/>
    <w:rsid w:val="00AC1FF9"/>
    <w:rsid w:val="00AC2B76"/>
    <w:rsid w:val="00AC7EF6"/>
    <w:rsid w:val="00AD0325"/>
    <w:rsid w:val="00AD04FE"/>
    <w:rsid w:val="00AD1347"/>
    <w:rsid w:val="00AD31FD"/>
    <w:rsid w:val="00AD347B"/>
    <w:rsid w:val="00AD631E"/>
    <w:rsid w:val="00AD72EE"/>
    <w:rsid w:val="00AE252C"/>
    <w:rsid w:val="00AE2F5A"/>
    <w:rsid w:val="00AE484D"/>
    <w:rsid w:val="00AE5642"/>
    <w:rsid w:val="00AE66A4"/>
    <w:rsid w:val="00AE76A9"/>
    <w:rsid w:val="00AF0B76"/>
    <w:rsid w:val="00AF29BA"/>
    <w:rsid w:val="00AF5DF2"/>
    <w:rsid w:val="00AF7E2E"/>
    <w:rsid w:val="00B06620"/>
    <w:rsid w:val="00B152E4"/>
    <w:rsid w:val="00B224F0"/>
    <w:rsid w:val="00B22859"/>
    <w:rsid w:val="00B24628"/>
    <w:rsid w:val="00B249BF"/>
    <w:rsid w:val="00B25695"/>
    <w:rsid w:val="00B25F64"/>
    <w:rsid w:val="00B26CDF"/>
    <w:rsid w:val="00B27496"/>
    <w:rsid w:val="00B30F9B"/>
    <w:rsid w:val="00B310F8"/>
    <w:rsid w:val="00B32401"/>
    <w:rsid w:val="00B33CC5"/>
    <w:rsid w:val="00B3616E"/>
    <w:rsid w:val="00B3654B"/>
    <w:rsid w:val="00B3758E"/>
    <w:rsid w:val="00B4592B"/>
    <w:rsid w:val="00B45AB4"/>
    <w:rsid w:val="00B471DC"/>
    <w:rsid w:val="00B51DE7"/>
    <w:rsid w:val="00B56098"/>
    <w:rsid w:val="00B57C74"/>
    <w:rsid w:val="00B62B95"/>
    <w:rsid w:val="00B633BE"/>
    <w:rsid w:val="00B64A7E"/>
    <w:rsid w:val="00B64D88"/>
    <w:rsid w:val="00B70C23"/>
    <w:rsid w:val="00B70D43"/>
    <w:rsid w:val="00B72299"/>
    <w:rsid w:val="00B737BC"/>
    <w:rsid w:val="00B7556F"/>
    <w:rsid w:val="00B77A4F"/>
    <w:rsid w:val="00B80ABD"/>
    <w:rsid w:val="00B8321A"/>
    <w:rsid w:val="00B855F6"/>
    <w:rsid w:val="00B9061C"/>
    <w:rsid w:val="00B918EC"/>
    <w:rsid w:val="00B925F6"/>
    <w:rsid w:val="00B94E6E"/>
    <w:rsid w:val="00B96B1B"/>
    <w:rsid w:val="00BA23FF"/>
    <w:rsid w:val="00BA2B50"/>
    <w:rsid w:val="00BA2DFD"/>
    <w:rsid w:val="00BA72E4"/>
    <w:rsid w:val="00BB00B9"/>
    <w:rsid w:val="00BB2F96"/>
    <w:rsid w:val="00BB506B"/>
    <w:rsid w:val="00BB60C2"/>
    <w:rsid w:val="00BB69F2"/>
    <w:rsid w:val="00BB7615"/>
    <w:rsid w:val="00BD0434"/>
    <w:rsid w:val="00BD045C"/>
    <w:rsid w:val="00BD0A44"/>
    <w:rsid w:val="00BD14B5"/>
    <w:rsid w:val="00BD2472"/>
    <w:rsid w:val="00BD42D7"/>
    <w:rsid w:val="00BD7A1D"/>
    <w:rsid w:val="00BE0ACF"/>
    <w:rsid w:val="00BE2DF8"/>
    <w:rsid w:val="00BE32AD"/>
    <w:rsid w:val="00BE37E4"/>
    <w:rsid w:val="00BE3823"/>
    <w:rsid w:val="00BE5006"/>
    <w:rsid w:val="00BF08CF"/>
    <w:rsid w:val="00BF3832"/>
    <w:rsid w:val="00BF3CD7"/>
    <w:rsid w:val="00BF4020"/>
    <w:rsid w:val="00BF4663"/>
    <w:rsid w:val="00BF4C9C"/>
    <w:rsid w:val="00BF4F38"/>
    <w:rsid w:val="00BF6273"/>
    <w:rsid w:val="00C0316C"/>
    <w:rsid w:val="00C04F80"/>
    <w:rsid w:val="00C055B6"/>
    <w:rsid w:val="00C06AD5"/>
    <w:rsid w:val="00C07D19"/>
    <w:rsid w:val="00C111EC"/>
    <w:rsid w:val="00C117CB"/>
    <w:rsid w:val="00C13649"/>
    <w:rsid w:val="00C1419C"/>
    <w:rsid w:val="00C21C68"/>
    <w:rsid w:val="00C21F03"/>
    <w:rsid w:val="00C24713"/>
    <w:rsid w:val="00C2566C"/>
    <w:rsid w:val="00C26F55"/>
    <w:rsid w:val="00C2772F"/>
    <w:rsid w:val="00C35AAF"/>
    <w:rsid w:val="00C35B2D"/>
    <w:rsid w:val="00C36F8F"/>
    <w:rsid w:val="00C375DC"/>
    <w:rsid w:val="00C402AE"/>
    <w:rsid w:val="00C409B9"/>
    <w:rsid w:val="00C43654"/>
    <w:rsid w:val="00C448B6"/>
    <w:rsid w:val="00C47E7E"/>
    <w:rsid w:val="00C50765"/>
    <w:rsid w:val="00C52235"/>
    <w:rsid w:val="00C526A3"/>
    <w:rsid w:val="00C5304D"/>
    <w:rsid w:val="00C536DB"/>
    <w:rsid w:val="00C53DB1"/>
    <w:rsid w:val="00C54146"/>
    <w:rsid w:val="00C54C6A"/>
    <w:rsid w:val="00C552AE"/>
    <w:rsid w:val="00C56160"/>
    <w:rsid w:val="00C56782"/>
    <w:rsid w:val="00C56859"/>
    <w:rsid w:val="00C57049"/>
    <w:rsid w:val="00C6152B"/>
    <w:rsid w:val="00C61D67"/>
    <w:rsid w:val="00C64255"/>
    <w:rsid w:val="00C653B1"/>
    <w:rsid w:val="00C66AE9"/>
    <w:rsid w:val="00C66B17"/>
    <w:rsid w:val="00C71A7B"/>
    <w:rsid w:val="00C71BF7"/>
    <w:rsid w:val="00C775E0"/>
    <w:rsid w:val="00C77DDC"/>
    <w:rsid w:val="00C84768"/>
    <w:rsid w:val="00C86B35"/>
    <w:rsid w:val="00C87746"/>
    <w:rsid w:val="00C87BE8"/>
    <w:rsid w:val="00C92DFA"/>
    <w:rsid w:val="00C93029"/>
    <w:rsid w:val="00C94E32"/>
    <w:rsid w:val="00C97B49"/>
    <w:rsid w:val="00CA1F87"/>
    <w:rsid w:val="00CA3211"/>
    <w:rsid w:val="00CA3578"/>
    <w:rsid w:val="00CA40E3"/>
    <w:rsid w:val="00CA4EE3"/>
    <w:rsid w:val="00CA567F"/>
    <w:rsid w:val="00CA6597"/>
    <w:rsid w:val="00CB201F"/>
    <w:rsid w:val="00CB2E64"/>
    <w:rsid w:val="00CB337A"/>
    <w:rsid w:val="00CB57E8"/>
    <w:rsid w:val="00CC0132"/>
    <w:rsid w:val="00CC6831"/>
    <w:rsid w:val="00CC7B07"/>
    <w:rsid w:val="00CD0EE8"/>
    <w:rsid w:val="00CD2D26"/>
    <w:rsid w:val="00CD33AC"/>
    <w:rsid w:val="00CD6B13"/>
    <w:rsid w:val="00CD6E4E"/>
    <w:rsid w:val="00CE3B1F"/>
    <w:rsid w:val="00CE3FC1"/>
    <w:rsid w:val="00CE51D5"/>
    <w:rsid w:val="00CF0816"/>
    <w:rsid w:val="00CF0C27"/>
    <w:rsid w:val="00CF22E8"/>
    <w:rsid w:val="00CF429E"/>
    <w:rsid w:val="00CF4347"/>
    <w:rsid w:val="00CF5DCE"/>
    <w:rsid w:val="00CF6009"/>
    <w:rsid w:val="00CF739B"/>
    <w:rsid w:val="00CF7E19"/>
    <w:rsid w:val="00D01B04"/>
    <w:rsid w:val="00D02945"/>
    <w:rsid w:val="00D040C2"/>
    <w:rsid w:val="00D0412E"/>
    <w:rsid w:val="00D109F7"/>
    <w:rsid w:val="00D1288F"/>
    <w:rsid w:val="00D1423B"/>
    <w:rsid w:val="00D16357"/>
    <w:rsid w:val="00D231AD"/>
    <w:rsid w:val="00D2349D"/>
    <w:rsid w:val="00D237EE"/>
    <w:rsid w:val="00D23F4E"/>
    <w:rsid w:val="00D24BD6"/>
    <w:rsid w:val="00D24C32"/>
    <w:rsid w:val="00D26D6E"/>
    <w:rsid w:val="00D27B78"/>
    <w:rsid w:val="00D27E2C"/>
    <w:rsid w:val="00D3012D"/>
    <w:rsid w:val="00D30F01"/>
    <w:rsid w:val="00D318CE"/>
    <w:rsid w:val="00D32651"/>
    <w:rsid w:val="00D32C27"/>
    <w:rsid w:val="00D33D46"/>
    <w:rsid w:val="00D3514D"/>
    <w:rsid w:val="00D366AD"/>
    <w:rsid w:val="00D36C4B"/>
    <w:rsid w:val="00D3769B"/>
    <w:rsid w:val="00D4011B"/>
    <w:rsid w:val="00D4069A"/>
    <w:rsid w:val="00D41D1C"/>
    <w:rsid w:val="00D4324D"/>
    <w:rsid w:val="00D469A0"/>
    <w:rsid w:val="00D4735E"/>
    <w:rsid w:val="00D510C6"/>
    <w:rsid w:val="00D51BB0"/>
    <w:rsid w:val="00D51FD6"/>
    <w:rsid w:val="00D553FC"/>
    <w:rsid w:val="00D55BE3"/>
    <w:rsid w:val="00D60203"/>
    <w:rsid w:val="00D619B8"/>
    <w:rsid w:val="00D65737"/>
    <w:rsid w:val="00D66A45"/>
    <w:rsid w:val="00D702F1"/>
    <w:rsid w:val="00D70D85"/>
    <w:rsid w:val="00D71662"/>
    <w:rsid w:val="00D7444D"/>
    <w:rsid w:val="00D76CD6"/>
    <w:rsid w:val="00D805A1"/>
    <w:rsid w:val="00D8174F"/>
    <w:rsid w:val="00D82275"/>
    <w:rsid w:val="00D8310D"/>
    <w:rsid w:val="00D86422"/>
    <w:rsid w:val="00D86634"/>
    <w:rsid w:val="00D951E0"/>
    <w:rsid w:val="00D9590D"/>
    <w:rsid w:val="00DA1D1D"/>
    <w:rsid w:val="00DA4AE3"/>
    <w:rsid w:val="00DA528D"/>
    <w:rsid w:val="00DA53CA"/>
    <w:rsid w:val="00DB1B85"/>
    <w:rsid w:val="00DB58C3"/>
    <w:rsid w:val="00DB6EF8"/>
    <w:rsid w:val="00DB7A78"/>
    <w:rsid w:val="00DC0580"/>
    <w:rsid w:val="00DC2F62"/>
    <w:rsid w:val="00DC4786"/>
    <w:rsid w:val="00DC491C"/>
    <w:rsid w:val="00DC7CB5"/>
    <w:rsid w:val="00DD1195"/>
    <w:rsid w:val="00DD6FDE"/>
    <w:rsid w:val="00DD70C6"/>
    <w:rsid w:val="00DE1CA3"/>
    <w:rsid w:val="00DE28DF"/>
    <w:rsid w:val="00DE2C1E"/>
    <w:rsid w:val="00DE30F1"/>
    <w:rsid w:val="00DE4BA2"/>
    <w:rsid w:val="00DF22D8"/>
    <w:rsid w:val="00DF2461"/>
    <w:rsid w:val="00DF3E98"/>
    <w:rsid w:val="00DF7FEC"/>
    <w:rsid w:val="00E007EE"/>
    <w:rsid w:val="00E01589"/>
    <w:rsid w:val="00E01A23"/>
    <w:rsid w:val="00E021DD"/>
    <w:rsid w:val="00E02EDA"/>
    <w:rsid w:val="00E03166"/>
    <w:rsid w:val="00E10C77"/>
    <w:rsid w:val="00E125CE"/>
    <w:rsid w:val="00E15CC2"/>
    <w:rsid w:val="00E228B4"/>
    <w:rsid w:val="00E257FB"/>
    <w:rsid w:val="00E267A7"/>
    <w:rsid w:val="00E30977"/>
    <w:rsid w:val="00E30CDC"/>
    <w:rsid w:val="00E3145B"/>
    <w:rsid w:val="00E33C3E"/>
    <w:rsid w:val="00E351DC"/>
    <w:rsid w:val="00E358A4"/>
    <w:rsid w:val="00E37BB9"/>
    <w:rsid w:val="00E40B12"/>
    <w:rsid w:val="00E40C79"/>
    <w:rsid w:val="00E415C9"/>
    <w:rsid w:val="00E434F3"/>
    <w:rsid w:val="00E475D1"/>
    <w:rsid w:val="00E47CA3"/>
    <w:rsid w:val="00E525AB"/>
    <w:rsid w:val="00E526A0"/>
    <w:rsid w:val="00E53A74"/>
    <w:rsid w:val="00E53E71"/>
    <w:rsid w:val="00E551A5"/>
    <w:rsid w:val="00E56197"/>
    <w:rsid w:val="00E5632B"/>
    <w:rsid w:val="00E608BF"/>
    <w:rsid w:val="00E62174"/>
    <w:rsid w:val="00E66A46"/>
    <w:rsid w:val="00E67DE7"/>
    <w:rsid w:val="00E70C9F"/>
    <w:rsid w:val="00E71800"/>
    <w:rsid w:val="00E720E2"/>
    <w:rsid w:val="00E771DE"/>
    <w:rsid w:val="00E87FE2"/>
    <w:rsid w:val="00E928FE"/>
    <w:rsid w:val="00E92FB0"/>
    <w:rsid w:val="00E94D9A"/>
    <w:rsid w:val="00E96594"/>
    <w:rsid w:val="00E9667C"/>
    <w:rsid w:val="00EA236D"/>
    <w:rsid w:val="00EA23C9"/>
    <w:rsid w:val="00EA2B7E"/>
    <w:rsid w:val="00EA3C1B"/>
    <w:rsid w:val="00EA69F5"/>
    <w:rsid w:val="00EB280E"/>
    <w:rsid w:val="00EB2E32"/>
    <w:rsid w:val="00EB319B"/>
    <w:rsid w:val="00EB3A2C"/>
    <w:rsid w:val="00EB48D3"/>
    <w:rsid w:val="00EB4B95"/>
    <w:rsid w:val="00EB5EB2"/>
    <w:rsid w:val="00EC0596"/>
    <w:rsid w:val="00EC07B8"/>
    <w:rsid w:val="00EC1A18"/>
    <w:rsid w:val="00EC1EC0"/>
    <w:rsid w:val="00EC23EB"/>
    <w:rsid w:val="00EC2514"/>
    <w:rsid w:val="00EC42E2"/>
    <w:rsid w:val="00EC6DCF"/>
    <w:rsid w:val="00EC7827"/>
    <w:rsid w:val="00ED066A"/>
    <w:rsid w:val="00ED605D"/>
    <w:rsid w:val="00ED74C8"/>
    <w:rsid w:val="00EE2A37"/>
    <w:rsid w:val="00EE3020"/>
    <w:rsid w:val="00EE3AC8"/>
    <w:rsid w:val="00EE6ED2"/>
    <w:rsid w:val="00EE7AAC"/>
    <w:rsid w:val="00EF4492"/>
    <w:rsid w:val="00F02AAA"/>
    <w:rsid w:val="00F04170"/>
    <w:rsid w:val="00F13B09"/>
    <w:rsid w:val="00F13CBB"/>
    <w:rsid w:val="00F156BA"/>
    <w:rsid w:val="00F20B20"/>
    <w:rsid w:val="00F24A02"/>
    <w:rsid w:val="00F24B62"/>
    <w:rsid w:val="00F25268"/>
    <w:rsid w:val="00F25312"/>
    <w:rsid w:val="00F25847"/>
    <w:rsid w:val="00F35755"/>
    <w:rsid w:val="00F3786F"/>
    <w:rsid w:val="00F4079C"/>
    <w:rsid w:val="00F41CC9"/>
    <w:rsid w:val="00F41DBF"/>
    <w:rsid w:val="00F427FD"/>
    <w:rsid w:val="00F63A27"/>
    <w:rsid w:val="00F643ED"/>
    <w:rsid w:val="00F65054"/>
    <w:rsid w:val="00F6514D"/>
    <w:rsid w:val="00F67451"/>
    <w:rsid w:val="00F72420"/>
    <w:rsid w:val="00F72423"/>
    <w:rsid w:val="00F7334F"/>
    <w:rsid w:val="00F7335B"/>
    <w:rsid w:val="00F7449C"/>
    <w:rsid w:val="00F757F2"/>
    <w:rsid w:val="00F76F96"/>
    <w:rsid w:val="00F7750D"/>
    <w:rsid w:val="00F80281"/>
    <w:rsid w:val="00F83B1B"/>
    <w:rsid w:val="00F90009"/>
    <w:rsid w:val="00F900FE"/>
    <w:rsid w:val="00F917F8"/>
    <w:rsid w:val="00F91FED"/>
    <w:rsid w:val="00F92857"/>
    <w:rsid w:val="00F92B84"/>
    <w:rsid w:val="00F93B55"/>
    <w:rsid w:val="00F94012"/>
    <w:rsid w:val="00F95A8B"/>
    <w:rsid w:val="00F95C59"/>
    <w:rsid w:val="00F97E4B"/>
    <w:rsid w:val="00FA4BFA"/>
    <w:rsid w:val="00FA6087"/>
    <w:rsid w:val="00FB08C2"/>
    <w:rsid w:val="00FB1D85"/>
    <w:rsid w:val="00FB1F7C"/>
    <w:rsid w:val="00FB26DE"/>
    <w:rsid w:val="00FB5F06"/>
    <w:rsid w:val="00FB6AB5"/>
    <w:rsid w:val="00FB7991"/>
    <w:rsid w:val="00FC16F0"/>
    <w:rsid w:val="00FC2738"/>
    <w:rsid w:val="00FC750B"/>
    <w:rsid w:val="00FC7953"/>
    <w:rsid w:val="00FD0609"/>
    <w:rsid w:val="00FD0FEC"/>
    <w:rsid w:val="00FD7D25"/>
    <w:rsid w:val="00FE623F"/>
    <w:rsid w:val="00FE6357"/>
    <w:rsid w:val="00FE653D"/>
    <w:rsid w:val="00FE7251"/>
    <w:rsid w:val="00FE7F3E"/>
    <w:rsid w:val="00FF0132"/>
    <w:rsid w:val="00FF198D"/>
    <w:rsid w:val="00FF20D1"/>
    <w:rsid w:val="00FF63B3"/>
    <w:rsid w:val="00FF7C66"/>
    <w:rsid w:val="013B2B96"/>
    <w:rsid w:val="020715C0"/>
    <w:rsid w:val="05AD3936"/>
    <w:rsid w:val="07A04291"/>
    <w:rsid w:val="08670714"/>
    <w:rsid w:val="088023BD"/>
    <w:rsid w:val="093D1153"/>
    <w:rsid w:val="09664528"/>
    <w:rsid w:val="0C12569B"/>
    <w:rsid w:val="0CBE2D51"/>
    <w:rsid w:val="0D056A05"/>
    <w:rsid w:val="0D523741"/>
    <w:rsid w:val="0D7D31C3"/>
    <w:rsid w:val="0DE45DFB"/>
    <w:rsid w:val="0F2C5A73"/>
    <w:rsid w:val="0F7C2CF7"/>
    <w:rsid w:val="0FFDCCB5"/>
    <w:rsid w:val="117A537F"/>
    <w:rsid w:val="11FFE630"/>
    <w:rsid w:val="136E1484"/>
    <w:rsid w:val="13BB2FEB"/>
    <w:rsid w:val="13E56991"/>
    <w:rsid w:val="140A0BAB"/>
    <w:rsid w:val="161F262E"/>
    <w:rsid w:val="16B52250"/>
    <w:rsid w:val="170304C7"/>
    <w:rsid w:val="17DEA5CA"/>
    <w:rsid w:val="182A3CED"/>
    <w:rsid w:val="18506ACF"/>
    <w:rsid w:val="18A1557C"/>
    <w:rsid w:val="1A507BFA"/>
    <w:rsid w:val="1A545102"/>
    <w:rsid w:val="1AFD611F"/>
    <w:rsid w:val="1B0D0CA7"/>
    <w:rsid w:val="1B3B1702"/>
    <w:rsid w:val="1C2A1496"/>
    <w:rsid w:val="1C691D84"/>
    <w:rsid w:val="1C7B4607"/>
    <w:rsid w:val="1C980A44"/>
    <w:rsid w:val="1CDF526E"/>
    <w:rsid w:val="1D444093"/>
    <w:rsid w:val="1D484FBE"/>
    <w:rsid w:val="1D843B53"/>
    <w:rsid w:val="1DB7BC13"/>
    <w:rsid w:val="1DD61F71"/>
    <w:rsid w:val="1E426D29"/>
    <w:rsid w:val="1E782078"/>
    <w:rsid w:val="1EB1403F"/>
    <w:rsid w:val="1ED938CF"/>
    <w:rsid w:val="1FCF3BAA"/>
    <w:rsid w:val="1FED8B6D"/>
    <w:rsid w:val="203D7BB8"/>
    <w:rsid w:val="205253AE"/>
    <w:rsid w:val="20BD54C4"/>
    <w:rsid w:val="22C02AA3"/>
    <w:rsid w:val="244E02F8"/>
    <w:rsid w:val="25907FDA"/>
    <w:rsid w:val="25CF1A65"/>
    <w:rsid w:val="27431C21"/>
    <w:rsid w:val="27B801ED"/>
    <w:rsid w:val="28341F69"/>
    <w:rsid w:val="283961E8"/>
    <w:rsid w:val="2BA11AC9"/>
    <w:rsid w:val="2BC401B1"/>
    <w:rsid w:val="2C584DB5"/>
    <w:rsid w:val="2D094BEA"/>
    <w:rsid w:val="2D6B28DF"/>
    <w:rsid w:val="2D737A97"/>
    <w:rsid w:val="2E750BE6"/>
    <w:rsid w:val="2E9B41EB"/>
    <w:rsid w:val="2EBB078D"/>
    <w:rsid w:val="30613D37"/>
    <w:rsid w:val="311F11EB"/>
    <w:rsid w:val="32DDDB76"/>
    <w:rsid w:val="3324525D"/>
    <w:rsid w:val="333F35FA"/>
    <w:rsid w:val="33E674DB"/>
    <w:rsid w:val="350D4074"/>
    <w:rsid w:val="35B73DD5"/>
    <w:rsid w:val="35D85D64"/>
    <w:rsid w:val="35E0314D"/>
    <w:rsid w:val="35E30B2B"/>
    <w:rsid w:val="36BF9FB9"/>
    <w:rsid w:val="36C72EE0"/>
    <w:rsid w:val="373F0476"/>
    <w:rsid w:val="37E40528"/>
    <w:rsid w:val="37F95339"/>
    <w:rsid w:val="38606E5F"/>
    <w:rsid w:val="3C022A83"/>
    <w:rsid w:val="3D2459A4"/>
    <w:rsid w:val="3D6667FC"/>
    <w:rsid w:val="3D7D7BF2"/>
    <w:rsid w:val="3DBBC3A8"/>
    <w:rsid w:val="3E7FF5B8"/>
    <w:rsid w:val="3F310B59"/>
    <w:rsid w:val="3FCD2C0E"/>
    <w:rsid w:val="4000208A"/>
    <w:rsid w:val="42537038"/>
    <w:rsid w:val="4274326D"/>
    <w:rsid w:val="43CF6B92"/>
    <w:rsid w:val="45684BA8"/>
    <w:rsid w:val="467C42AB"/>
    <w:rsid w:val="472A4B3C"/>
    <w:rsid w:val="47FA1CB7"/>
    <w:rsid w:val="488D0686"/>
    <w:rsid w:val="496438F9"/>
    <w:rsid w:val="4A6A75B5"/>
    <w:rsid w:val="4A754FD1"/>
    <w:rsid w:val="4AFC77EC"/>
    <w:rsid w:val="4F730D1A"/>
    <w:rsid w:val="4F8F5ACD"/>
    <w:rsid w:val="50E177D2"/>
    <w:rsid w:val="51025EB1"/>
    <w:rsid w:val="52400735"/>
    <w:rsid w:val="52F67C97"/>
    <w:rsid w:val="53055472"/>
    <w:rsid w:val="55186B92"/>
    <w:rsid w:val="559F9402"/>
    <w:rsid w:val="55EEC73E"/>
    <w:rsid w:val="56941399"/>
    <w:rsid w:val="56C00C02"/>
    <w:rsid w:val="56F76119"/>
    <w:rsid w:val="57027685"/>
    <w:rsid w:val="57530CC1"/>
    <w:rsid w:val="57AFBD42"/>
    <w:rsid w:val="59D16D68"/>
    <w:rsid w:val="5A094E5F"/>
    <w:rsid w:val="5A236576"/>
    <w:rsid w:val="5B9F72DB"/>
    <w:rsid w:val="5BFB5090"/>
    <w:rsid w:val="5C8E20D5"/>
    <w:rsid w:val="5CE1CB0B"/>
    <w:rsid w:val="5CED0783"/>
    <w:rsid w:val="5CF3979A"/>
    <w:rsid w:val="5D612BFA"/>
    <w:rsid w:val="5D786D1A"/>
    <w:rsid w:val="5D7A034C"/>
    <w:rsid w:val="5DB8200B"/>
    <w:rsid w:val="5E0126E4"/>
    <w:rsid w:val="5E9C2CBB"/>
    <w:rsid w:val="5F2E2567"/>
    <w:rsid w:val="5F6BB944"/>
    <w:rsid w:val="5FBA204D"/>
    <w:rsid w:val="5FBC5A5F"/>
    <w:rsid w:val="603C37E4"/>
    <w:rsid w:val="62092682"/>
    <w:rsid w:val="62974979"/>
    <w:rsid w:val="63224191"/>
    <w:rsid w:val="637F6013"/>
    <w:rsid w:val="63ABC27A"/>
    <w:rsid w:val="63FE69AC"/>
    <w:rsid w:val="644C49D8"/>
    <w:rsid w:val="65C549A2"/>
    <w:rsid w:val="661F3D3B"/>
    <w:rsid w:val="66A028D2"/>
    <w:rsid w:val="67FF21EC"/>
    <w:rsid w:val="69DD7064"/>
    <w:rsid w:val="69DF4B8A"/>
    <w:rsid w:val="6BEC358E"/>
    <w:rsid w:val="6BF77F74"/>
    <w:rsid w:val="6C022EBF"/>
    <w:rsid w:val="6D093471"/>
    <w:rsid w:val="6D3646B4"/>
    <w:rsid w:val="6D75C60A"/>
    <w:rsid w:val="6DED81BC"/>
    <w:rsid w:val="6E0E1EE1"/>
    <w:rsid w:val="6E1164A3"/>
    <w:rsid w:val="6EBFCABF"/>
    <w:rsid w:val="6F3ADAE3"/>
    <w:rsid w:val="6F9C52CB"/>
    <w:rsid w:val="6FC92365"/>
    <w:rsid w:val="6FE3B939"/>
    <w:rsid w:val="6FF30C85"/>
    <w:rsid w:val="6FF7396A"/>
    <w:rsid w:val="6FFE67C3"/>
    <w:rsid w:val="715A543E"/>
    <w:rsid w:val="717E50F6"/>
    <w:rsid w:val="72062ED0"/>
    <w:rsid w:val="73041B05"/>
    <w:rsid w:val="73C3E33E"/>
    <w:rsid w:val="73D632D3"/>
    <w:rsid w:val="73E77090"/>
    <w:rsid w:val="74634609"/>
    <w:rsid w:val="75595A43"/>
    <w:rsid w:val="75BE1374"/>
    <w:rsid w:val="75D27C98"/>
    <w:rsid w:val="76760624"/>
    <w:rsid w:val="774133D1"/>
    <w:rsid w:val="776F2D65"/>
    <w:rsid w:val="77F74D70"/>
    <w:rsid w:val="77FFA90F"/>
    <w:rsid w:val="78EE6132"/>
    <w:rsid w:val="79EE3BDB"/>
    <w:rsid w:val="7ABF3ABC"/>
    <w:rsid w:val="7ACD6498"/>
    <w:rsid w:val="7ADC792A"/>
    <w:rsid w:val="7B626D6A"/>
    <w:rsid w:val="7BF2A750"/>
    <w:rsid w:val="7C39281F"/>
    <w:rsid w:val="7C77AFAE"/>
    <w:rsid w:val="7CA57EB5"/>
    <w:rsid w:val="7CF36478"/>
    <w:rsid w:val="7CFF83E0"/>
    <w:rsid w:val="7D0F8CD6"/>
    <w:rsid w:val="7D7F51D7"/>
    <w:rsid w:val="7DA79B8C"/>
    <w:rsid w:val="7DEF2A94"/>
    <w:rsid w:val="7E6069BE"/>
    <w:rsid w:val="7E7C26B3"/>
    <w:rsid w:val="7EEB0D4A"/>
    <w:rsid w:val="7EEF35AC"/>
    <w:rsid w:val="7F037C9B"/>
    <w:rsid w:val="7F5F95A3"/>
    <w:rsid w:val="7F6556D9"/>
    <w:rsid w:val="7F7A29E5"/>
    <w:rsid w:val="7F7A54D2"/>
    <w:rsid w:val="7F7DE161"/>
    <w:rsid w:val="7FB722F5"/>
    <w:rsid w:val="7FBFC1B8"/>
    <w:rsid w:val="7FCFA518"/>
    <w:rsid w:val="7FD42291"/>
    <w:rsid w:val="7FDD74C8"/>
    <w:rsid w:val="7FEC746B"/>
    <w:rsid w:val="7FEF5F90"/>
    <w:rsid w:val="7FF37173"/>
    <w:rsid w:val="7FF65390"/>
    <w:rsid w:val="7FF75D17"/>
    <w:rsid w:val="7FF89277"/>
    <w:rsid w:val="7FFA6DFB"/>
    <w:rsid w:val="7FFBD1A0"/>
    <w:rsid w:val="7FFDCA0E"/>
    <w:rsid w:val="7FFF5275"/>
    <w:rsid w:val="90FD082C"/>
    <w:rsid w:val="91F63866"/>
    <w:rsid w:val="96BF2C5F"/>
    <w:rsid w:val="97FC8E99"/>
    <w:rsid w:val="97FE5235"/>
    <w:rsid w:val="99FF98B6"/>
    <w:rsid w:val="9BD39D91"/>
    <w:rsid w:val="9FFF6AA1"/>
    <w:rsid w:val="ABF7A9AE"/>
    <w:rsid w:val="AC5DE84B"/>
    <w:rsid w:val="AFFD75A0"/>
    <w:rsid w:val="B573BDE1"/>
    <w:rsid w:val="B77FE3A2"/>
    <w:rsid w:val="B9F79DB9"/>
    <w:rsid w:val="BB3C9CED"/>
    <w:rsid w:val="BBF3E2F5"/>
    <w:rsid w:val="BC952D40"/>
    <w:rsid w:val="BCFB9A75"/>
    <w:rsid w:val="BDFB1D5A"/>
    <w:rsid w:val="BF7FA171"/>
    <w:rsid w:val="BF7FB56A"/>
    <w:rsid w:val="BFDF0CA2"/>
    <w:rsid w:val="BFEFFBB5"/>
    <w:rsid w:val="BFF35216"/>
    <w:rsid w:val="BFF7845E"/>
    <w:rsid w:val="BFFF4185"/>
    <w:rsid w:val="BFFF424E"/>
    <w:rsid w:val="BFFF89FE"/>
    <w:rsid w:val="C95F81F2"/>
    <w:rsid w:val="CBBD3943"/>
    <w:rsid w:val="CEEDBAC5"/>
    <w:rsid w:val="CFBB08FF"/>
    <w:rsid w:val="CFEF131A"/>
    <w:rsid w:val="CFFF4300"/>
    <w:rsid w:val="D6EFC4A6"/>
    <w:rsid w:val="D7BEECA6"/>
    <w:rsid w:val="DBEFCBF2"/>
    <w:rsid w:val="DEDFD677"/>
    <w:rsid w:val="DF2FEEDA"/>
    <w:rsid w:val="DF3EDB44"/>
    <w:rsid w:val="DF6B92FC"/>
    <w:rsid w:val="DFDF43D9"/>
    <w:rsid w:val="DFEB1F32"/>
    <w:rsid w:val="E5F7E18B"/>
    <w:rsid w:val="E6FEC38C"/>
    <w:rsid w:val="E6FFB0E7"/>
    <w:rsid w:val="E753E411"/>
    <w:rsid w:val="E7B37CB0"/>
    <w:rsid w:val="E7DE427A"/>
    <w:rsid w:val="E9F7A741"/>
    <w:rsid w:val="EAA4ADBC"/>
    <w:rsid w:val="EAFE6928"/>
    <w:rsid w:val="EEF323AA"/>
    <w:rsid w:val="EEFBDFC5"/>
    <w:rsid w:val="EF7547F1"/>
    <w:rsid w:val="EFEF6C00"/>
    <w:rsid w:val="EFFD419B"/>
    <w:rsid w:val="F1F719D1"/>
    <w:rsid w:val="F2BBE2D8"/>
    <w:rsid w:val="F47AB5F1"/>
    <w:rsid w:val="F5AFB3DC"/>
    <w:rsid w:val="F6E05FF9"/>
    <w:rsid w:val="F7BB3CD8"/>
    <w:rsid w:val="F7DFB8FF"/>
    <w:rsid w:val="FA96D9B1"/>
    <w:rsid w:val="FADFE0D9"/>
    <w:rsid w:val="FAF8CC41"/>
    <w:rsid w:val="FAFFEB8C"/>
    <w:rsid w:val="FC2752B2"/>
    <w:rsid w:val="FCDDFD0C"/>
    <w:rsid w:val="FCF5D21B"/>
    <w:rsid w:val="FD6E6184"/>
    <w:rsid w:val="FDB72F05"/>
    <w:rsid w:val="FDFA19EF"/>
    <w:rsid w:val="FDFF0D20"/>
    <w:rsid w:val="FE9DD55C"/>
    <w:rsid w:val="FEDFA447"/>
    <w:rsid w:val="FF57061A"/>
    <w:rsid w:val="FF6314BE"/>
    <w:rsid w:val="FF7DBCDA"/>
    <w:rsid w:val="FF7EF0B7"/>
    <w:rsid w:val="FF7FC451"/>
    <w:rsid w:val="FFB7447C"/>
    <w:rsid w:val="FFBF6DEB"/>
    <w:rsid w:val="FFD32428"/>
    <w:rsid w:val="FFD7494A"/>
    <w:rsid w:val="FFE6510C"/>
    <w:rsid w:val="FFEFCFF3"/>
    <w:rsid w:val="FFFA06AA"/>
    <w:rsid w:val="FFFEB1E2"/>
    <w:rsid w:val="FFFF85AD"/>
    <w:rsid w:val="FFFFE2A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iPriority="99"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8"/>
    <w:qFormat/>
    <w:uiPriority w:val="0"/>
    <w:pPr>
      <w:keepNext/>
      <w:keepLines/>
      <w:spacing w:before="340" w:beforeLines="0" w:after="330" w:afterLines="0" w:line="578" w:lineRule="auto"/>
      <w:outlineLvl w:val="0"/>
    </w:pPr>
    <w:rPr>
      <w:b/>
      <w:bCs/>
      <w:kern w:val="44"/>
      <w:sz w:val="44"/>
      <w:szCs w:val="44"/>
    </w:rPr>
  </w:style>
  <w:style w:type="paragraph" w:styleId="3">
    <w:name w:val="heading 2"/>
    <w:basedOn w:val="1"/>
    <w:next w:val="1"/>
    <w:link w:val="59"/>
    <w:qFormat/>
    <w:uiPriority w:val="0"/>
    <w:pPr>
      <w:keepNext/>
      <w:keepLines/>
      <w:spacing w:before="260" w:beforeLines="0" w:after="260" w:afterLines="0" w:line="416" w:lineRule="auto"/>
      <w:outlineLvl w:val="1"/>
    </w:pPr>
    <w:rPr>
      <w:rFonts w:ascii="Arial" w:hAnsi="Arial" w:eastAsia="黑体"/>
      <w:b/>
      <w:bCs/>
      <w:kern w:val="0"/>
      <w:sz w:val="32"/>
      <w:szCs w:val="32"/>
    </w:rPr>
  </w:style>
  <w:style w:type="paragraph" w:styleId="4">
    <w:name w:val="heading 3"/>
    <w:basedOn w:val="1"/>
    <w:next w:val="1"/>
    <w:link w:val="60"/>
    <w:qFormat/>
    <w:uiPriority w:val="0"/>
    <w:pPr>
      <w:keepNext/>
      <w:keepLines/>
      <w:spacing w:before="260" w:beforeLines="0" w:after="260" w:afterLines="0" w:line="416" w:lineRule="auto"/>
      <w:outlineLvl w:val="2"/>
    </w:pPr>
    <w:rPr>
      <w:b/>
      <w:bCs/>
      <w:kern w:val="0"/>
      <w:sz w:val="32"/>
      <w:szCs w:val="32"/>
    </w:rPr>
  </w:style>
  <w:style w:type="paragraph" w:styleId="5">
    <w:name w:val="heading 4"/>
    <w:basedOn w:val="1"/>
    <w:next w:val="1"/>
    <w:link w:val="61"/>
    <w:qFormat/>
    <w:uiPriority w:val="0"/>
    <w:pPr>
      <w:keepNext/>
      <w:keepLines/>
      <w:widowControl/>
      <w:spacing w:before="120" w:beforeLines="0" w:after="120" w:afterLines="0" w:line="360" w:lineRule="auto"/>
      <w:jc w:val="center"/>
      <w:outlineLvl w:val="3"/>
    </w:pPr>
    <w:rPr>
      <w:rFonts w:ascii="Arial" w:hAnsi="Arial" w:eastAsia="黑体"/>
      <w:kern w:val="0"/>
      <w:sz w:val="28"/>
      <w:szCs w:val="20"/>
    </w:rPr>
  </w:style>
  <w:style w:type="paragraph" w:styleId="6">
    <w:name w:val="heading 5"/>
    <w:basedOn w:val="1"/>
    <w:next w:val="7"/>
    <w:link w:val="62"/>
    <w:qFormat/>
    <w:uiPriority w:val="0"/>
    <w:pPr>
      <w:keepNext/>
      <w:keepLines/>
      <w:spacing w:before="280" w:beforeLines="0" w:after="290" w:afterLines="0" w:line="376" w:lineRule="auto"/>
      <w:outlineLvl w:val="4"/>
    </w:pPr>
    <w:rPr>
      <w:b/>
      <w:sz w:val="28"/>
    </w:rPr>
  </w:style>
  <w:style w:type="paragraph" w:styleId="8">
    <w:name w:val="heading 6"/>
    <w:basedOn w:val="1"/>
    <w:next w:val="7"/>
    <w:link w:val="63"/>
    <w:qFormat/>
    <w:uiPriority w:val="0"/>
    <w:pPr>
      <w:keepNext/>
      <w:keepLines/>
      <w:spacing w:before="240" w:beforeLines="0" w:after="64" w:afterLines="0" w:line="320" w:lineRule="auto"/>
      <w:outlineLvl w:val="5"/>
    </w:pPr>
    <w:rPr>
      <w:rFonts w:ascii="Arial" w:hAnsi="Arial" w:eastAsia="黑体"/>
      <w:b/>
      <w:sz w:val="24"/>
    </w:rPr>
  </w:style>
  <w:style w:type="paragraph" w:styleId="9">
    <w:name w:val="heading 7"/>
    <w:basedOn w:val="1"/>
    <w:next w:val="7"/>
    <w:link w:val="64"/>
    <w:qFormat/>
    <w:uiPriority w:val="0"/>
    <w:pPr>
      <w:keepNext/>
      <w:keepLines/>
      <w:spacing w:before="240" w:beforeLines="0" w:after="64" w:afterLines="0" w:line="320" w:lineRule="auto"/>
      <w:outlineLvl w:val="6"/>
    </w:pPr>
    <w:rPr>
      <w:b/>
      <w:sz w:val="24"/>
    </w:rPr>
  </w:style>
  <w:style w:type="paragraph" w:styleId="10">
    <w:name w:val="heading 8"/>
    <w:basedOn w:val="1"/>
    <w:next w:val="7"/>
    <w:link w:val="65"/>
    <w:qFormat/>
    <w:uiPriority w:val="0"/>
    <w:pPr>
      <w:keepNext/>
      <w:keepLines/>
      <w:spacing w:before="240" w:beforeLines="0" w:after="64" w:afterLines="0" w:line="320" w:lineRule="auto"/>
      <w:outlineLvl w:val="7"/>
    </w:pPr>
    <w:rPr>
      <w:rFonts w:ascii="Arial" w:hAnsi="Arial" w:eastAsia="黑体"/>
      <w:sz w:val="24"/>
    </w:rPr>
  </w:style>
  <w:style w:type="paragraph" w:styleId="11">
    <w:name w:val="heading 9"/>
    <w:basedOn w:val="1"/>
    <w:next w:val="7"/>
    <w:link w:val="66"/>
    <w:qFormat/>
    <w:uiPriority w:val="0"/>
    <w:pPr>
      <w:keepNext/>
      <w:keepLines/>
      <w:spacing w:before="240" w:beforeLines="0" w:after="64" w:afterLines="0" w:line="320" w:lineRule="auto"/>
      <w:outlineLvl w:val="8"/>
    </w:pPr>
    <w:rPr>
      <w:rFonts w:ascii="Arial" w:hAnsi="Arial" w:eastAsia="黑体"/>
    </w:rPr>
  </w:style>
  <w:style w:type="character" w:default="1" w:styleId="51">
    <w:name w:val="Default Paragraph Font"/>
    <w:semiHidden/>
    <w:qFormat/>
    <w:uiPriority w:val="0"/>
  </w:style>
  <w:style w:type="table" w:default="1" w:styleId="50">
    <w:name w:val="Normal Table"/>
    <w:unhideWhenUsed/>
    <w:qFormat/>
    <w:uiPriority w:val="99"/>
    <w:tblPr>
      <w:tblCellMar>
        <w:top w:w="0" w:type="dxa"/>
        <w:left w:w="108" w:type="dxa"/>
        <w:bottom w:w="0" w:type="dxa"/>
        <w:right w:w="108" w:type="dxa"/>
      </w:tblCellMar>
    </w:tblPr>
  </w:style>
  <w:style w:type="paragraph" w:styleId="7">
    <w:name w:val="Normal Indent"/>
    <w:basedOn w:val="1"/>
    <w:qFormat/>
    <w:uiPriority w:val="0"/>
    <w:pPr>
      <w:ind w:firstLine="420"/>
    </w:pPr>
    <w:rPr>
      <w:szCs w:val="20"/>
    </w:rPr>
  </w:style>
  <w:style w:type="paragraph" w:styleId="12">
    <w:name w:val="toc 7"/>
    <w:basedOn w:val="1"/>
    <w:next w:val="1"/>
    <w:qFormat/>
    <w:uiPriority w:val="39"/>
    <w:pPr>
      <w:tabs>
        <w:tab w:val="right" w:leader="dot" w:pos="9185"/>
      </w:tabs>
      <w:adjustRightInd w:val="0"/>
      <w:spacing w:line="312" w:lineRule="atLeast"/>
      <w:ind w:left="2520"/>
      <w:textAlignment w:val="baseline"/>
    </w:pPr>
    <w:rPr>
      <w:kern w:val="0"/>
      <w:szCs w:val="20"/>
    </w:rPr>
  </w:style>
  <w:style w:type="paragraph" w:styleId="13">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4">
    <w:name w:val="caption"/>
    <w:basedOn w:val="1"/>
    <w:next w:val="1"/>
    <w:qFormat/>
    <w:uiPriority w:val="0"/>
    <w:pPr>
      <w:spacing w:before="152" w:beforeLines="0" w:after="160" w:afterLines="0"/>
    </w:pPr>
    <w:rPr>
      <w:rFonts w:ascii="Arial" w:hAnsi="Arial" w:eastAsia="黑体" w:cs="Arial"/>
      <w:sz w:val="20"/>
      <w:szCs w:val="20"/>
    </w:rPr>
  </w:style>
  <w:style w:type="paragraph" w:styleId="15">
    <w:name w:val="Document Map"/>
    <w:basedOn w:val="1"/>
    <w:link w:val="67"/>
    <w:semiHidden/>
    <w:qFormat/>
    <w:uiPriority w:val="0"/>
    <w:pPr>
      <w:shd w:val="clear" w:color="auto" w:fill="000080"/>
    </w:pPr>
  </w:style>
  <w:style w:type="paragraph" w:styleId="16">
    <w:name w:val="toa heading"/>
    <w:basedOn w:val="1"/>
    <w:next w:val="1"/>
    <w:semiHidden/>
    <w:qFormat/>
    <w:uiPriority w:val="0"/>
    <w:pPr>
      <w:adjustRightInd w:val="0"/>
      <w:spacing w:before="120" w:line="312" w:lineRule="atLeast"/>
    </w:pPr>
    <w:rPr>
      <w:rFonts w:ascii="Arial" w:hAnsi="Arial"/>
      <w:b/>
      <w:kern w:val="0"/>
      <w:sz w:val="24"/>
    </w:rPr>
  </w:style>
  <w:style w:type="paragraph" w:styleId="17">
    <w:name w:val="annotation text"/>
    <w:basedOn w:val="1"/>
    <w:link w:val="68"/>
    <w:qFormat/>
    <w:uiPriority w:val="0"/>
    <w:pPr>
      <w:adjustRightInd w:val="0"/>
      <w:spacing w:line="360" w:lineRule="atLeast"/>
      <w:jc w:val="left"/>
      <w:textAlignment w:val="baseline"/>
    </w:pPr>
    <w:rPr>
      <w:kern w:val="0"/>
      <w:sz w:val="24"/>
      <w:szCs w:val="20"/>
    </w:rPr>
  </w:style>
  <w:style w:type="paragraph" w:styleId="18">
    <w:name w:val="Salutation"/>
    <w:basedOn w:val="1"/>
    <w:next w:val="1"/>
    <w:qFormat/>
    <w:uiPriority w:val="0"/>
    <w:rPr>
      <w:sz w:val="28"/>
    </w:rPr>
  </w:style>
  <w:style w:type="paragraph" w:styleId="19">
    <w:name w:val="Body Text 3"/>
    <w:basedOn w:val="1"/>
    <w:link w:val="69"/>
    <w:qFormat/>
    <w:uiPriority w:val="0"/>
    <w:pPr>
      <w:spacing w:line="500" w:lineRule="exact"/>
    </w:pPr>
    <w:rPr>
      <w:b/>
      <w:bCs/>
      <w:sz w:val="24"/>
    </w:rPr>
  </w:style>
  <w:style w:type="paragraph" w:styleId="20">
    <w:name w:val="Body Text"/>
    <w:basedOn w:val="1"/>
    <w:link w:val="70"/>
    <w:qFormat/>
    <w:uiPriority w:val="0"/>
    <w:pPr>
      <w:spacing w:line="380" w:lineRule="exact"/>
    </w:pPr>
    <w:rPr>
      <w:sz w:val="24"/>
    </w:rPr>
  </w:style>
  <w:style w:type="paragraph" w:styleId="21">
    <w:name w:val="Body Text Indent"/>
    <w:basedOn w:val="1"/>
    <w:link w:val="71"/>
    <w:qFormat/>
    <w:uiPriority w:val="0"/>
    <w:pPr>
      <w:ind w:firstLine="830" w:firstLineChars="352"/>
    </w:pPr>
    <w:rPr>
      <w:rFonts w:ascii="仿宋_GB2312" w:eastAsia="仿宋_GB2312"/>
      <w:sz w:val="32"/>
      <w:szCs w:val="20"/>
    </w:rPr>
  </w:style>
  <w:style w:type="paragraph" w:styleId="22">
    <w:name w:val="List Number 3"/>
    <w:basedOn w:val="1"/>
    <w:qFormat/>
    <w:uiPriority w:val="0"/>
    <w:pPr>
      <w:tabs>
        <w:tab w:val="left" w:pos="360"/>
      </w:tabs>
      <w:ind w:left="360" w:hanging="360"/>
    </w:pPr>
  </w:style>
  <w:style w:type="paragraph" w:styleId="23">
    <w:name w:val="List 2"/>
    <w:basedOn w:val="1"/>
    <w:qFormat/>
    <w:uiPriority w:val="0"/>
    <w:pPr>
      <w:ind w:left="100" w:leftChars="200" w:hanging="200" w:hangingChars="200"/>
    </w:pPr>
    <w:rPr>
      <w:sz w:val="28"/>
    </w:rPr>
  </w:style>
  <w:style w:type="paragraph" w:styleId="24">
    <w:name w:val="Block Text"/>
    <w:basedOn w:val="1"/>
    <w:qFormat/>
    <w:uiPriority w:val="0"/>
    <w:pPr>
      <w:adjustRightInd w:val="0"/>
      <w:ind w:left="420" w:right="33"/>
      <w:jc w:val="left"/>
      <w:textAlignment w:val="baseline"/>
    </w:pPr>
    <w:rPr>
      <w:kern w:val="0"/>
      <w:sz w:val="24"/>
      <w:szCs w:val="20"/>
    </w:rPr>
  </w:style>
  <w:style w:type="paragraph" w:styleId="25">
    <w:name w:val="toc 5"/>
    <w:basedOn w:val="1"/>
    <w:next w:val="1"/>
    <w:qFormat/>
    <w:uiPriority w:val="39"/>
    <w:pPr>
      <w:tabs>
        <w:tab w:val="right" w:leader="dot" w:pos="9185"/>
      </w:tabs>
      <w:adjustRightInd w:val="0"/>
      <w:spacing w:line="312" w:lineRule="atLeast"/>
      <w:ind w:left="1680"/>
      <w:textAlignment w:val="baseline"/>
    </w:pPr>
    <w:rPr>
      <w:kern w:val="0"/>
      <w:szCs w:val="20"/>
    </w:rPr>
  </w:style>
  <w:style w:type="paragraph" w:styleId="26">
    <w:name w:val="toc 3"/>
    <w:basedOn w:val="1"/>
    <w:next w:val="1"/>
    <w:qFormat/>
    <w:uiPriority w:val="39"/>
    <w:pPr>
      <w:ind w:left="840" w:leftChars="400"/>
    </w:pPr>
  </w:style>
  <w:style w:type="paragraph" w:styleId="27">
    <w:name w:val="Plain Text"/>
    <w:basedOn w:val="1"/>
    <w:next w:val="2"/>
    <w:link w:val="72"/>
    <w:qFormat/>
    <w:uiPriority w:val="0"/>
    <w:rPr>
      <w:rFonts w:ascii="宋体" w:hAnsi="Courier New" w:cs="Courier New"/>
      <w:szCs w:val="21"/>
    </w:rPr>
  </w:style>
  <w:style w:type="paragraph" w:styleId="28">
    <w:name w:val="toc 8"/>
    <w:basedOn w:val="1"/>
    <w:next w:val="1"/>
    <w:qFormat/>
    <w:uiPriority w:val="39"/>
    <w:pPr>
      <w:tabs>
        <w:tab w:val="right" w:leader="dot" w:pos="9185"/>
      </w:tabs>
      <w:adjustRightInd w:val="0"/>
      <w:spacing w:line="312" w:lineRule="atLeast"/>
      <w:ind w:left="2940"/>
      <w:textAlignment w:val="baseline"/>
    </w:pPr>
    <w:rPr>
      <w:kern w:val="0"/>
      <w:szCs w:val="20"/>
    </w:rPr>
  </w:style>
  <w:style w:type="paragraph" w:styleId="29">
    <w:name w:val="Date"/>
    <w:basedOn w:val="1"/>
    <w:next w:val="1"/>
    <w:link w:val="73"/>
    <w:qFormat/>
    <w:uiPriority w:val="0"/>
    <w:pPr>
      <w:ind w:left="100" w:leftChars="2500"/>
    </w:pPr>
    <w:rPr>
      <w:rFonts w:ascii="宋体" w:hAnsi="Courier New" w:cs="Courier New"/>
      <w:szCs w:val="21"/>
    </w:rPr>
  </w:style>
  <w:style w:type="paragraph" w:styleId="30">
    <w:name w:val="Body Text Indent 2"/>
    <w:basedOn w:val="1"/>
    <w:link w:val="74"/>
    <w:qFormat/>
    <w:uiPriority w:val="0"/>
    <w:pPr>
      <w:ind w:firstLine="630"/>
    </w:pPr>
    <w:rPr>
      <w:sz w:val="32"/>
      <w:szCs w:val="20"/>
    </w:rPr>
  </w:style>
  <w:style w:type="paragraph" w:styleId="31">
    <w:name w:val="endnote text"/>
    <w:basedOn w:val="1"/>
    <w:unhideWhenUsed/>
    <w:qFormat/>
    <w:uiPriority w:val="0"/>
    <w:pPr>
      <w:snapToGrid w:val="0"/>
      <w:jc w:val="left"/>
    </w:pPr>
    <w:rPr>
      <w:rFonts w:ascii="Calibri" w:hAnsi="Calibri"/>
      <w:szCs w:val="22"/>
    </w:rPr>
  </w:style>
  <w:style w:type="paragraph" w:styleId="32">
    <w:name w:val="Balloon Text"/>
    <w:basedOn w:val="1"/>
    <w:link w:val="75"/>
    <w:semiHidden/>
    <w:qFormat/>
    <w:uiPriority w:val="0"/>
    <w:rPr>
      <w:sz w:val="18"/>
      <w:szCs w:val="18"/>
    </w:rPr>
  </w:style>
  <w:style w:type="paragraph" w:styleId="33">
    <w:name w:val="footer"/>
    <w:basedOn w:val="1"/>
    <w:link w:val="76"/>
    <w:qFormat/>
    <w:uiPriority w:val="0"/>
    <w:pPr>
      <w:tabs>
        <w:tab w:val="center" w:pos="4153"/>
        <w:tab w:val="right" w:pos="8306"/>
      </w:tabs>
      <w:snapToGrid w:val="0"/>
      <w:jc w:val="left"/>
    </w:pPr>
    <w:rPr>
      <w:sz w:val="18"/>
      <w:szCs w:val="18"/>
    </w:rPr>
  </w:style>
  <w:style w:type="paragraph" w:styleId="34">
    <w:name w:val="header"/>
    <w:basedOn w:val="1"/>
    <w:link w:val="77"/>
    <w:qFormat/>
    <w:uiPriority w:val="99"/>
    <w:pPr>
      <w:pBdr>
        <w:bottom w:val="single" w:color="auto" w:sz="6" w:space="1"/>
      </w:pBdr>
      <w:tabs>
        <w:tab w:val="center" w:pos="4153"/>
        <w:tab w:val="right" w:pos="8306"/>
      </w:tabs>
      <w:snapToGrid w:val="0"/>
      <w:jc w:val="center"/>
    </w:pPr>
    <w:rPr>
      <w:sz w:val="18"/>
      <w:szCs w:val="18"/>
    </w:rPr>
  </w:style>
  <w:style w:type="paragraph" w:styleId="35">
    <w:name w:val="toc 1"/>
    <w:basedOn w:val="1"/>
    <w:next w:val="1"/>
    <w:qFormat/>
    <w:uiPriority w:val="39"/>
    <w:pPr>
      <w:tabs>
        <w:tab w:val="right" w:leader="dot" w:pos="8296"/>
        <w:tab w:val="right" w:leader="dot" w:pos="8398"/>
      </w:tabs>
      <w:spacing w:before="120" w:beforeLines="0" w:after="120" w:afterLines="0" w:line="320" w:lineRule="exact"/>
      <w:ind w:firstLine="840" w:firstLineChars="400"/>
      <w:jc w:val="left"/>
    </w:pPr>
    <w:rPr>
      <w:rFonts w:ascii="仿宋_GB2312" w:hAnsi="宋体" w:eastAsia="仿宋_GB2312" w:cs="Courier New"/>
      <w:bCs/>
      <w:caps/>
      <w:szCs w:val="21"/>
    </w:rPr>
  </w:style>
  <w:style w:type="paragraph" w:styleId="36">
    <w:name w:val="toc 4"/>
    <w:basedOn w:val="1"/>
    <w:next w:val="1"/>
    <w:qFormat/>
    <w:uiPriority w:val="39"/>
    <w:pPr>
      <w:tabs>
        <w:tab w:val="right" w:leader="dot" w:pos="9185"/>
      </w:tabs>
      <w:adjustRightInd w:val="0"/>
      <w:spacing w:line="312" w:lineRule="atLeast"/>
      <w:ind w:left="1260"/>
      <w:textAlignment w:val="baseline"/>
    </w:pPr>
    <w:rPr>
      <w:kern w:val="0"/>
      <w:szCs w:val="20"/>
    </w:rPr>
  </w:style>
  <w:style w:type="paragraph" w:styleId="37">
    <w:name w:val="List"/>
    <w:basedOn w:val="1"/>
    <w:qFormat/>
    <w:uiPriority w:val="0"/>
    <w:pPr>
      <w:ind w:left="200" w:hanging="200" w:hangingChars="200"/>
    </w:pPr>
    <w:rPr>
      <w:sz w:val="28"/>
    </w:rPr>
  </w:style>
  <w:style w:type="paragraph" w:styleId="38">
    <w:name w:val="toc 6"/>
    <w:basedOn w:val="1"/>
    <w:next w:val="1"/>
    <w:qFormat/>
    <w:uiPriority w:val="39"/>
    <w:pPr>
      <w:tabs>
        <w:tab w:val="right" w:leader="dot" w:pos="9185"/>
      </w:tabs>
      <w:adjustRightInd w:val="0"/>
      <w:spacing w:line="312" w:lineRule="atLeast"/>
      <w:ind w:left="2100"/>
      <w:textAlignment w:val="baseline"/>
    </w:pPr>
    <w:rPr>
      <w:kern w:val="0"/>
      <w:szCs w:val="20"/>
    </w:rPr>
  </w:style>
  <w:style w:type="paragraph" w:styleId="39">
    <w:name w:val="List 5"/>
    <w:basedOn w:val="1"/>
    <w:qFormat/>
    <w:uiPriority w:val="0"/>
    <w:pPr>
      <w:ind w:left="2100" w:hanging="420"/>
    </w:pPr>
    <w:rPr>
      <w:szCs w:val="20"/>
    </w:rPr>
  </w:style>
  <w:style w:type="paragraph" w:styleId="40">
    <w:name w:val="Body Text Indent 3"/>
    <w:basedOn w:val="1"/>
    <w:link w:val="78"/>
    <w:qFormat/>
    <w:uiPriority w:val="0"/>
    <w:pPr>
      <w:spacing w:after="120" w:afterLines="0"/>
      <w:ind w:left="420" w:leftChars="200"/>
    </w:pPr>
    <w:rPr>
      <w:sz w:val="16"/>
      <w:szCs w:val="16"/>
    </w:rPr>
  </w:style>
  <w:style w:type="paragraph" w:styleId="41">
    <w:name w:val="toc 2"/>
    <w:basedOn w:val="1"/>
    <w:next w:val="1"/>
    <w:qFormat/>
    <w:uiPriority w:val="39"/>
    <w:pPr>
      <w:ind w:left="420" w:leftChars="200"/>
    </w:pPr>
  </w:style>
  <w:style w:type="paragraph" w:styleId="42">
    <w:name w:val="toc 9"/>
    <w:basedOn w:val="1"/>
    <w:next w:val="1"/>
    <w:qFormat/>
    <w:uiPriority w:val="39"/>
    <w:pPr>
      <w:tabs>
        <w:tab w:val="right" w:leader="dot" w:pos="9185"/>
      </w:tabs>
      <w:adjustRightInd w:val="0"/>
      <w:spacing w:line="312" w:lineRule="atLeast"/>
      <w:ind w:left="3360"/>
      <w:textAlignment w:val="baseline"/>
    </w:pPr>
    <w:rPr>
      <w:kern w:val="0"/>
      <w:szCs w:val="20"/>
    </w:rPr>
  </w:style>
  <w:style w:type="paragraph" w:styleId="43">
    <w:name w:val="Body Text 2"/>
    <w:basedOn w:val="1"/>
    <w:link w:val="79"/>
    <w:qFormat/>
    <w:uiPriority w:val="0"/>
    <w:pPr>
      <w:spacing w:after="120" w:afterLines="0" w:line="480" w:lineRule="auto"/>
    </w:pPr>
  </w:style>
  <w:style w:type="paragraph" w:styleId="44">
    <w:name w:val="HTML Preformatted"/>
    <w:basedOn w:val="1"/>
    <w:link w:val="80"/>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45">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styleId="46">
    <w:name w:val="index 1"/>
    <w:basedOn w:val="1"/>
    <w:next w:val="1"/>
    <w:semiHidden/>
    <w:qFormat/>
    <w:uiPriority w:val="0"/>
    <w:pPr>
      <w:spacing w:line="400" w:lineRule="exact"/>
      <w:ind w:firstLine="420" w:firstLineChars="200"/>
    </w:pPr>
    <w:rPr>
      <w:rFonts w:ascii="宋体" w:hAnsi="Courier New"/>
      <w:b/>
      <w:szCs w:val="20"/>
    </w:rPr>
  </w:style>
  <w:style w:type="paragraph" w:styleId="47">
    <w:name w:val="Title"/>
    <w:basedOn w:val="1"/>
    <w:link w:val="81"/>
    <w:qFormat/>
    <w:uiPriority w:val="0"/>
    <w:pPr>
      <w:spacing w:before="240" w:beforeLines="0" w:after="60" w:afterLines="0"/>
      <w:jc w:val="center"/>
      <w:outlineLvl w:val="0"/>
    </w:pPr>
    <w:rPr>
      <w:rFonts w:ascii="Arial" w:hAnsi="Arial"/>
      <w:b/>
      <w:bCs/>
      <w:sz w:val="32"/>
      <w:szCs w:val="32"/>
    </w:rPr>
  </w:style>
  <w:style w:type="paragraph" w:styleId="48">
    <w:name w:val="annotation subject"/>
    <w:basedOn w:val="17"/>
    <w:next w:val="17"/>
    <w:semiHidden/>
    <w:qFormat/>
    <w:uiPriority w:val="0"/>
    <w:pPr>
      <w:adjustRightInd/>
      <w:spacing w:line="240" w:lineRule="auto"/>
      <w:textAlignment w:val="auto"/>
    </w:pPr>
    <w:rPr>
      <w:b/>
      <w:bCs/>
      <w:kern w:val="2"/>
      <w:sz w:val="21"/>
      <w:szCs w:val="24"/>
    </w:rPr>
  </w:style>
  <w:style w:type="paragraph" w:styleId="49">
    <w:name w:val="Body Text First Indent"/>
    <w:basedOn w:val="1"/>
    <w:qFormat/>
    <w:uiPriority w:val="0"/>
    <w:pPr>
      <w:ind w:firstLine="420" w:firstLineChars="100"/>
    </w:pPr>
  </w:style>
  <w:style w:type="character" w:styleId="52">
    <w:name w:val="Strong"/>
    <w:qFormat/>
    <w:uiPriority w:val="0"/>
    <w:rPr>
      <w:b/>
      <w:bCs/>
    </w:rPr>
  </w:style>
  <w:style w:type="character" w:styleId="53">
    <w:name w:val="page number"/>
    <w:qFormat/>
    <w:uiPriority w:val="0"/>
  </w:style>
  <w:style w:type="character" w:styleId="54">
    <w:name w:val="FollowedHyperlink"/>
    <w:qFormat/>
    <w:uiPriority w:val="0"/>
    <w:rPr>
      <w:color w:val="800080"/>
      <w:u w:val="single"/>
    </w:rPr>
  </w:style>
  <w:style w:type="character" w:styleId="55">
    <w:name w:val="Emphasis"/>
    <w:qFormat/>
    <w:uiPriority w:val="0"/>
    <w:rPr>
      <w:color w:val="CC0000"/>
    </w:rPr>
  </w:style>
  <w:style w:type="character" w:styleId="56">
    <w:name w:val="Hyperlink"/>
    <w:qFormat/>
    <w:uiPriority w:val="99"/>
    <w:rPr>
      <w:color w:val="0000FF"/>
      <w:u w:val="single"/>
    </w:rPr>
  </w:style>
  <w:style w:type="character" w:styleId="57">
    <w:name w:val="annotation reference"/>
    <w:semiHidden/>
    <w:qFormat/>
    <w:uiPriority w:val="99"/>
    <w:rPr>
      <w:sz w:val="21"/>
      <w:szCs w:val="21"/>
    </w:rPr>
  </w:style>
  <w:style w:type="character" w:customStyle="1" w:styleId="58">
    <w:name w:val="标题 1 字符"/>
    <w:link w:val="2"/>
    <w:qFormat/>
    <w:uiPriority w:val="0"/>
    <w:rPr>
      <w:rFonts w:eastAsia="宋体"/>
      <w:b/>
      <w:bCs/>
      <w:kern w:val="44"/>
      <w:sz w:val="44"/>
      <w:szCs w:val="44"/>
      <w:lang w:val="en-US" w:eastAsia="zh-CN" w:bidi="ar-SA"/>
    </w:rPr>
  </w:style>
  <w:style w:type="character" w:customStyle="1" w:styleId="59">
    <w:name w:val="标题 2 字符"/>
    <w:link w:val="3"/>
    <w:qFormat/>
    <w:uiPriority w:val="0"/>
    <w:rPr>
      <w:rFonts w:ascii="Arial" w:hAnsi="Arial" w:eastAsia="黑体"/>
      <w:b/>
      <w:bCs/>
      <w:sz w:val="32"/>
      <w:szCs w:val="32"/>
      <w:lang w:bidi="ar-SA"/>
    </w:rPr>
  </w:style>
  <w:style w:type="character" w:customStyle="1" w:styleId="60">
    <w:name w:val="标题 3 字符"/>
    <w:link w:val="4"/>
    <w:qFormat/>
    <w:uiPriority w:val="0"/>
    <w:rPr>
      <w:rFonts w:eastAsia="宋体"/>
      <w:b/>
      <w:bCs/>
      <w:sz w:val="32"/>
      <w:szCs w:val="32"/>
      <w:lang w:bidi="ar-SA"/>
    </w:rPr>
  </w:style>
  <w:style w:type="character" w:customStyle="1" w:styleId="61">
    <w:name w:val="标题 4 字符"/>
    <w:link w:val="5"/>
    <w:qFormat/>
    <w:uiPriority w:val="0"/>
    <w:rPr>
      <w:rFonts w:ascii="Arial" w:hAnsi="Arial" w:eastAsia="黑体"/>
      <w:sz w:val="28"/>
      <w:lang w:bidi="ar-SA"/>
    </w:rPr>
  </w:style>
  <w:style w:type="character" w:customStyle="1" w:styleId="62">
    <w:name w:val="标题 5 字符"/>
    <w:link w:val="6"/>
    <w:qFormat/>
    <w:uiPriority w:val="0"/>
    <w:rPr>
      <w:rFonts w:eastAsia="宋体"/>
      <w:b/>
      <w:kern w:val="2"/>
      <w:sz w:val="28"/>
      <w:szCs w:val="24"/>
      <w:lang w:val="en-US" w:eastAsia="zh-CN" w:bidi="ar-SA"/>
    </w:rPr>
  </w:style>
  <w:style w:type="character" w:customStyle="1" w:styleId="63">
    <w:name w:val="标题 6 字符"/>
    <w:link w:val="8"/>
    <w:qFormat/>
    <w:uiPriority w:val="0"/>
    <w:rPr>
      <w:rFonts w:ascii="Arial" w:hAnsi="Arial" w:eastAsia="黑体"/>
      <w:b/>
      <w:kern w:val="2"/>
      <w:sz w:val="24"/>
      <w:szCs w:val="24"/>
      <w:lang w:val="en-US" w:eastAsia="zh-CN" w:bidi="ar-SA"/>
    </w:rPr>
  </w:style>
  <w:style w:type="character" w:customStyle="1" w:styleId="64">
    <w:name w:val="标题 7 字符"/>
    <w:link w:val="9"/>
    <w:qFormat/>
    <w:uiPriority w:val="0"/>
    <w:rPr>
      <w:rFonts w:eastAsia="宋体"/>
      <w:b/>
      <w:kern w:val="2"/>
      <w:sz w:val="24"/>
      <w:szCs w:val="24"/>
      <w:lang w:val="en-US" w:eastAsia="zh-CN" w:bidi="ar-SA"/>
    </w:rPr>
  </w:style>
  <w:style w:type="character" w:customStyle="1" w:styleId="65">
    <w:name w:val="标题 8 字符"/>
    <w:link w:val="10"/>
    <w:qFormat/>
    <w:uiPriority w:val="0"/>
    <w:rPr>
      <w:rFonts w:ascii="Arial" w:hAnsi="Arial" w:eastAsia="黑体"/>
      <w:kern w:val="2"/>
      <w:sz w:val="24"/>
      <w:szCs w:val="24"/>
      <w:lang w:val="en-US" w:eastAsia="zh-CN" w:bidi="ar-SA"/>
    </w:rPr>
  </w:style>
  <w:style w:type="character" w:customStyle="1" w:styleId="66">
    <w:name w:val="标题 9 字符"/>
    <w:link w:val="11"/>
    <w:qFormat/>
    <w:uiPriority w:val="0"/>
    <w:rPr>
      <w:rFonts w:ascii="Arial" w:hAnsi="Arial" w:eastAsia="黑体"/>
      <w:kern w:val="2"/>
      <w:sz w:val="21"/>
      <w:szCs w:val="24"/>
      <w:lang w:val="en-US" w:eastAsia="zh-CN" w:bidi="ar-SA"/>
    </w:rPr>
  </w:style>
  <w:style w:type="character" w:customStyle="1" w:styleId="67">
    <w:name w:val="文档结构图 字符"/>
    <w:link w:val="15"/>
    <w:qFormat/>
    <w:uiPriority w:val="0"/>
    <w:rPr>
      <w:rFonts w:eastAsia="宋体"/>
      <w:kern w:val="2"/>
      <w:sz w:val="21"/>
      <w:szCs w:val="24"/>
      <w:lang w:val="en-US" w:eastAsia="zh-CN" w:bidi="ar-SA"/>
    </w:rPr>
  </w:style>
  <w:style w:type="character" w:customStyle="1" w:styleId="68">
    <w:name w:val="批注文字 字符"/>
    <w:link w:val="17"/>
    <w:qFormat/>
    <w:uiPriority w:val="0"/>
    <w:rPr>
      <w:rFonts w:eastAsia="宋体"/>
      <w:sz w:val="24"/>
      <w:lang w:bidi="ar-SA"/>
    </w:rPr>
  </w:style>
  <w:style w:type="character" w:customStyle="1" w:styleId="69">
    <w:name w:val="正文文本 3 字符"/>
    <w:link w:val="19"/>
    <w:qFormat/>
    <w:uiPriority w:val="0"/>
    <w:rPr>
      <w:rFonts w:eastAsia="宋体"/>
      <w:b/>
      <w:bCs/>
      <w:kern w:val="2"/>
      <w:sz w:val="24"/>
      <w:szCs w:val="24"/>
      <w:lang w:val="en-US" w:eastAsia="zh-CN" w:bidi="ar-SA"/>
    </w:rPr>
  </w:style>
  <w:style w:type="character" w:customStyle="1" w:styleId="70">
    <w:name w:val="正文文本 字符"/>
    <w:link w:val="20"/>
    <w:qFormat/>
    <w:uiPriority w:val="0"/>
    <w:rPr>
      <w:rFonts w:eastAsia="宋体"/>
      <w:kern w:val="2"/>
      <w:sz w:val="24"/>
      <w:szCs w:val="24"/>
      <w:lang w:val="en-US" w:eastAsia="zh-CN" w:bidi="ar-SA"/>
    </w:rPr>
  </w:style>
  <w:style w:type="character" w:customStyle="1" w:styleId="71">
    <w:name w:val="正文文本缩进 字符"/>
    <w:link w:val="21"/>
    <w:qFormat/>
    <w:uiPriority w:val="0"/>
    <w:rPr>
      <w:rFonts w:ascii="仿宋_GB2312" w:eastAsia="仿宋_GB2312"/>
      <w:kern w:val="2"/>
      <w:sz w:val="32"/>
      <w:lang w:val="en-US" w:eastAsia="zh-CN" w:bidi="ar-SA"/>
    </w:rPr>
  </w:style>
  <w:style w:type="character" w:customStyle="1" w:styleId="72">
    <w:name w:val="纯文本 字符1"/>
    <w:link w:val="27"/>
    <w:qFormat/>
    <w:uiPriority w:val="0"/>
    <w:rPr>
      <w:rFonts w:ascii="宋体" w:hAnsi="Courier New" w:eastAsia="宋体" w:cs="Courier New"/>
      <w:kern w:val="2"/>
      <w:sz w:val="21"/>
      <w:szCs w:val="21"/>
      <w:lang w:val="en-US" w:eastAsia="zh-CN" w:bidi="ar-SA"/>
    </w:rPr>
  </w:style>
  <w:style w:type="character" w:customStyle="1" w:styleId="73">
    <w:name w:val="日期 字符"/>
    <w:link w:val="29"/>
    <w:qFormat/>
    <w:uiPriority w:val="0"/>
    <w:rPr>
      <w:rFonts w:ascii="宋体" w:hAnsi="Courier New" w:eastAsia="宋体" w:cs="Courier New"/>
      <w:kern w:val="2"/>
      <w:sz w:val="21"/>
      <w:szCs w:val="21"/>
      <w:lang w:val="en-US" w:eastAsia="zh-CN" w:bidi="ar-SA"/>
    </w:rPr>
  </w:style>
  <w:style w:type="character" w:customStyle="1" w:styleId="74">
    <w:name w:val="正文文本缩进 2 字符"/>
    <w:link w:val="30"/>
    <w:qFormat/>
    <w:uiPriority w:val="0"/>
    <w:rPr>
      <w:rFonts w:eastAsia="宋体"/>
      <w:kern w:val="2"/>
      <w:sz w:val="32"/>
      <w:lang w:val="en-US" w:eastAsia="zh-CN" w:bidi="ar-SA"/>
    </w:rPr>
  </w:style>
  <w:style w:type="character" w:customStyle="1" w:styleId="75">
    <w:name w:val="批注框文本 字符"/>
    <w:link w:val="32"/>
    <w:semiHidden/>
    <w:qFormat/>
    <w:uiPriority w:val="0"/>
    <w:rPr>
      <w:rFonts w:eastAsia="宋体"/>
      <w:kern w:val="2"/>
      <w:sz w:val="18"/>
      <w:szCs w:val="18"/>
      <w:lang w:val="en-US" w:eastAsia="zh-CN" w:bidi="ar-SA"/>
    </w:rPr>
  </w:style>
  <w:style w:type="character" w:customStyle="1" w:styleId="76">
    <w:name w:val="页脚 字符"/>
    <w:link w:val="33"/>
    <w:qFormat/>
    <w:uiPriority w:val="0"/>
    <w:rPr>
      <w:rFonts w:eastAsia="宋体"/>
      <w:kern w:val="2"/>
      <w:sz w:val="18"/>
      <w:szCs w:val="18"/>
      <w:lang w:val="en-US" w:eastAsia="zh-CN" w:bidi="ar-SA"/>
    </w:rPr>
  </w:style>
  <w:style w:type="character" w:customStyle="1" w:styleId="77">
    <w:name w:val="页眉 字符"/>
    <w:link w:val="34"/>
    <w:qFormat/>
    <w:uiPriority w:val="99"/>
    <w:rPr>
      <w:rFonts w:eastAsia="宋体"/>
      <w:kern w:val="2"/>
      <w:sz w:val="18"/>
      <w:szCs w:val="18"/>
      <w:lang w:val="en-US" w:eastAsia="zh-CN" w:bidi="ar-SA"/>
    </w:rPr>
  </w:style>
  <w:style w:type="character" w:customStyle="1" w:styleId="78">
    <w:name w:val="正文文本缩进 3 字符"/>
    <w:link w:val="40"/>
    <w:qFormat/>
    <w:uiPriority w:val="0"/>
    <w:rPr>
      <w:rFonts w:eastAsia="宋体"/>
      <w:kern w:val="2"/>
      <w:sz w:val="16"/>
      <w:szCs w:val="16"/>
      <w:lang w:val="en-US" w:eastAsia="zh-CN" w:bidi="ar-SA"/>
    </w:rPr>
  </w:style>
  <w:style w:type="character" w:customStyle="1" w:styleId="79">
    <w:name w:val="正文文本 2 字符"/>
    <w:link w:val="43"/>
    <w:qFormat/>
    <w:uiPriority w:val="0"/>
    <w:rPr>
      <w:rFonts w:eastAsia="宋体"/>
      <w:kern w:val="2"/>
      <w:sz w:val="21"/>
      <w:szCs w:val="24"/>
      <w:lang w:val="en-US" w:eastAsia="zh-CN" w:bidi="ar-SA"/>
    </w:rPr>
  </w:style>
  <w:style w:type="character" w:customStyle="1" w:styleId="80">
    <w:name w:val="HTML 预设格式 字符"/>
    <w:link w:val="44"/>
    <w:semiHidden/>
    <w:qFormat/>
    <w:uiPriority w:val="0"/>
    <w:rPr>
      <w:rFonts w:ascii="黑体" w:hAnsi="Courier New" w:eastAsia="黑体" w:cs="Courier New"/>
      <w:lang w:val="en-US" w:eastAsia="zh-CN" w:bidi="ar-SA"/>
    </w:rPr>
  </w:style>
  <w:style w:type="character" w:customStyle="1" w:styleId="81">
    <w:name w:val="标题 字符"/>
    <w:link w:val="47"/>
    <w:qFormat/>
    <w:uiPriority w:val="0"/>
    <w:rPr>
      <w:rFonts w:ascii="Arial" w:hAnsi="Arial" w:eastAsia="宋体"/>
      <w:b/>
      <w:bCs/>
      <w:kern w:val="2"/>
      <w:sz w:val="32"/>
      <w:szCs w:val="32"/>
      <w:lang w:bidi="ar-SA"/>
    </w:rPr>
  </w:style>
  <w:style w:type="character" w:customStyle="1" w:styleId="82">
    <w:name w:val="name"/>
    <w:qFormat/>
    <w:uiPriority w:val="0"/>
  </w:style>
  <w:style w:type="character" w:customStyle="1" w:styleId="83">
    <w:name w:val=" Char Char15"/>
    <w:qFormat/>
    <w:uiPriority w:val="0"/>
    <w:rPr>
      <w:sz w:val="18"/>
      <w:szCs w:val="18"/>
    </w:rPr>
  </w:style>
  <w:style w:type="character" w:customStyle="1" w:styleId="84">
    <w:name w:val="纯文本 Char"/>
    <w:qFormat/>
    <w:uiPriority w:val="0"/>
    <w:rPr>
      <w:rFonts w:ascii="宋体" w:hAnsi="Courier New" w:eastAsia="宋体"/>
      <w:kern w:val="2"/>
      <w:sz w:val="21"/>
      <w:lang w:val="en-US" w:eastAsia="zh-CN" w:bidi="ar-SA"/>
    </w:rPr>
  </w:style>
  <w:style w:type="character" w:customStyle="1" w:styleId="85">
    <w:name w:val="param-value"/>
    <w:qFormat/>
    <w:uiPriority w:val="0"/>
  </w:style>
  <w:style w:type="character" w:customStyle="1" w:styleId="86">
    <w:name w:val="普通文字 Char Char4"/>
    <w:qFormat/>
    <w:uiPriority w:val="0"/>
    <w:rPr>
      <w:rFonts w:ascii="宋体" w:hAnsi="Courier New" w:eastAsia="宋体" w:cs="Courier New"/>
      <w:kern w:val="2"/>
      <w:sz w:val="21"/>
      <w:szCs w:val="21"/>
      <w:lang w:val="en-US" w:eastAsia="zh-CN" w:bidi="ar-SA"/>
    </w:rPr>
  </w:style>
  <w:style w:type="character" w:customStyle="1" w:styleId="87">
    <w:name w:val="正文文本缩进 Char2"/>
    <w:qFormat/>
    <w:uiPriority w:val="0"/>
    <w:rPr>
      <w:rFonts w:ascii="仿宋_GB2312" w:eastAsia="仿宋_GB2312"/>
      <w:kern w:val="2"/>
      <w:sz w:val="32"/>
    </w:rPr>
  </w:style>
  <w:style w:type="character" w:customStyle="1" w:styleId="88">
    <w:name w:val="Char Char3"/>
    <w:qFormat/>
    <w:locked/>
    <w:uiPriority w:val="0"/>
    <w:rPr>
      <w:rFonts w:ascii="宋体" w:hAnsi="Courier New" w:eastAsia="宋体" w:cs="Courier New"/>
      <w:kern w:val="2"/>
      <w:sz w:val="21"/>
      <w:szCs w:val="21"/>
      <w:lang w:val="en-US" w:eastAsia="zh-CN" w:bidi="ar-SA"/>
    </w:rPr>
  </w:style>
  <w:style w:type="character" w:customStyle="1" w:styleId="89">
    <w:name w:val="p1"/>
    <w:qFormat/>
    <w:uiPriority w:val="0"/>
  </w:style>
  <w:style w:type="character" w:customStyle="1" w:styleId="90">
    <w:name w:val=" Char Char10"/>
    <w:semiHidden/>
    <w:qFormat/>
    <w:uiPriority w:val="0"/>
    <w:rPr>
      <w:rFonts w:eastAsia="宋体"/>
      <w:kern w:val="2"/>
      <w:sz w:val="24"/>
      <w:szCs w:val="24"/>
      <w:lang w:val="en-US" w:eastAsia="zh-CN" w:bidi="ar-SA"/>
    </w:rPr>
  </w:style>
  <w:style w:type="character" w:customStyle="1" w:styleId="91">
    <w:name w:val="自定义标题一 Char"/>
    <w:link w:val="92"/>
    <w:qFormat/>
    <w:uiPriority w:val="0"/>
    <w:rPr>
      <w:rFonts w:ascii="黑体" w:hAnsi="黑体" w:eastAsia="黑体"/>
      <w:b/>
      <w:bCs/>
      <w:kern w:val="44"/>
      <w:sz w:val="44"/>
      <w:szCs w:val="44"/>
      <w:lang w:bidi="ar-SA"/>
      <w14:shadow w14:blurRad="50800" w14:dist="38100" w14:dir="2700000" w14:sx="100000" w14:sy="100000" w14:kx="0" w14:ky="0" w14:algn="tl">
        <w14:srgbClr w14:val="000000">
          <w14:alpha w14:val="60000"/>
        </w14:srgbClr>
      </w14:shadow>
    </w:rPr>
  </w:style>
  <w:style w:type="paragraph" w:customStyle="1" w:styleId="92">
    <w:name w:val="自定义标题一"/>
    <w:basedOn w:val="2"/>
    <w:link w:val="91"/>
    <w:qFormat/>
    <w:uiPriority w:val="0"/>
    <w:pPr>
      <w:pageBreakBefore/>
      <w:tabs>
        <w:tab w:val="left" w:pos="144"/>
      </w:tabs>
      <w:spacing w:before="0" w:beforeLines="0" w:after="0" w:afterLines="0" w:line="360" w:lineRule="auto"/>
      <w:ind w:left="144" w:hanging="144"/>
      <w:jc w:val="center"/>
    </w:pPr>
    <w:rPr>
      <w:rFonts w:ascii="黑体" w:hAnsi="黑体" w:eastAsia="黑体"/>
      <w14:shadow w14:blurRad="50800" w14:dist="38100" w14:dir="2700000" w14:sx="100000" w14:sy="100000" w14:kx="0" w14:ky="0" w14:algn="tl">
        <w14:srgbClr w14:val="000000">
          <w14:alpha w14:val="60000"/>
        </w14:srgbClr>
      </w14:shadow>
    </w:rPr>
  </w:style>
  <w:style w:type="character" w:customStyle="1" w:styleId="93">
    <w:name w:val=" Char Char11"/>
    <w:qFormat/>
    <w:uiPriority w:val="0"/>
    <w:rPr>
      <w:rFonts w:ascii="Times New Roman" w:hAnsi="Times New Roman" w:eastAsia="宋体" w:cs="Times New Roman"/>
      <w:sz w:val="30"/>
      <w:szCs w:val="24"/>
    </w:rPr>
  </w:style>
  <w:style w:type="character" w:customStyle="1" w:styleId="94">
    <w:name w:val="font11"/>
    <w:qFormat/>
    <w:uiPriority w:val="0"/>
    <w:rPr>
      <w:rFonts w:hint="eastAsia" w:ascii="宋体" w:hAnsi="宋体" w:eastAsia="宋体" w:cs="宋体"/>
      <w:color w:val="FF0000"/>
      <w:sz w:val="16"/>
      <w:szCs w:val="16"/>
      <w:u w:val="none"/>
    </w:rPr>
  </w:style>
  <w:style w:type="character" w:customStyle="1" w:styleId="95">
    <w:name w:val="style31"/>
    <w:qFormat/>
    <w:uiPriority w:val="0"/>
    <w:rPr>
      <w:sz w:val="18"/>
      <w:szCs w:val="18"/>
    </w:rPr>
  </w:style>
  <w:style w:type="character" w:customStyle="1" w:styleId="96">
    <w:name w:val=" Char Char Char Char Char"/>
    <w:qFormat/>
    <w:uiPriority w:val="0"/>
    <w:rPr>
      <w:rFonts w:eastAsia="宋体"/>
      <w:b/>
      <w:bCs/>
      <w:kern w:val="44"/>
      <w:sz w:val="44"/>
      <w:szCs w:val="44"/>
      <w:lang w:val="en-US" w:eastAsia="zh-CN" w:bidi="ar-SA"/>
    </w:rPr>
  </w:style>
  <w:style w:type="character" w:customStyle="1" w:styleId="97">
    <w:name w:val="NormalCharacter"/>
    <w:semiHidden/>
    <w:qFormat/>
    <w:uiPriority w:val="0"/>
  </w:style>
  <w:style w:type="character" w:customStyle="1" w:styleId="98">
    <w:name w:val="param"/>
    <w:qFormat/>
    <w:uiPriority w:val="0"/>
  </w:style>
  <w:style w:type="character" w:customStyle="1" w:styleId="99">
    <w:name w:val="bookmark-item uuid-1595940713919 code-am01400046 editdisable single-line-text-input-box-cls readonly"/>
    <w:qFormat/>
    <w:uiPriority w:val="0"/>
  </w:style>
  <w:style w:type="character" w:customStyle="1" w:styleId="100">
    <w:name w:val="Char Char17"/>
    <w:qFormat/>
    <w:uiPriority w:val="0"/>
    <w:rPr>
      <w:rFonts w:hint="default" w:ascii="Times New Roman" w:hAnsi="Times New Roman" w:cs="Times New Roman"/>
      <w:b/>
      <w:bCs/>
      <w:kern w:val="2"/>
      <w:sz w:val="21"/>
      <w:szCs w:val="24"/>
    </w:rPr>
  </w:style>
  <w:style w:type="character" w:customStyle="1" w:styleId="101">
    <w:name w:val="普通文字 Char Char2"/>
    <w:qFormat/>
    <w:uiPriority w:val="0"/>
    <w:rPr>
      <w:rFonts w:ascii="宋体" w:hAnsi="Courier New" w:eastAsia="宋体"/>
      <w:kern w:val="2"/>
      <w:sz w:val="21"/>
      <w:lang w:val="en-US" w:eastAsia="zh-CN" w:bidi="ar-SA"/>
    </w:rPr>
  </w:style>
  <w:style w:type="character" w:customStyle="1" w:styleId="102">
    <w:name w:val="apple-style-span"/>
    <w:qFormat/>
    <w:uiPriority w:val="0"/>
  </w:style>
  <w:style w:type="character" w:customStyle="1" w:styleId="103">
    <w:name w:val="Plain Text Char"/>
    <w:link w:val="104"/>
    <w:qFormat/>
    <w:locked/>
    <w:uiPriority w:val="0"/>
    <w:rPr>
      <w:rFonts w:ascii="宋体" w:hAnsi="Courier New" w:eastAsia="宋体"/>
      <w:kern w:val="2"/>
      <w:sz w:val="21"/>
    </w:rPr>
  </w:style>
  <w:style w:type="paragraph" w:customStyle="1" w:styleId="104">
    <w:name w:val="Plain Text"/>
    <w:basedOn w:val="1"/>
    <w:link w:val="103"/>
    <w:qFormat/>
    <w:uiPriority w:val="0"/>
    <w:rPr>
      <w:rFonts w:ascii="宋体" w:hAnsi="Courier New"/>
      <w:szCs w:val="20"/>
    </w:rPr>
  </w:style>
  <w:style w:type="character" w:customStyle="1" w:styleId="105">
    <w:name w:val="ca-0"/>
    <w:qFormat/>
    <w:uiPriority w:val="0"/>
  </w:style>
  <w:style w:type="character" w:customStyle="1" w:styleId="106">
    <w:name w:val="标题 Char1"/>
    <w:qFormat/>
    <w:uiPriority w:val="0"/>
    <w:rPr>
      <w:rFonts w:hint="default" w:ascii="Cambria" w:hAnsi="Cambria" w:cs="Times New Roman"/>
      <w:b/>
      <w:bCs/>
      <w:kern w:val="2"/>
      <w:sz w:val="32"/>
      <w:szCs w:val="32"/>
    </w:rPr>
  </w:style>
  <w:style w:type="character" w:customStyle="1" w:styleId="107">
    <w:name w:val="自定义标题一 Char Char"/>
    <w:qFormat/>
    <w:uiPriority w:val="0"/>
    <w:rPr>
      <w:rFonts w:ascii="黑体" w:hAnsi="黑体" w:eastAsia="黑体"/>
      <w:b/>
      <w:bCs/>
      <w:kern w:val="44"/>
      <w:sz w:val="44"/>
      <w:szCs w:val="44"/>
      <w:lang w:bidi="ar-SA"/>
      <w14:shadow w14:blurRad="50800" w14:dist="38100" w14:dir="2700000" w14:sx="100000" w14:sy="100000" w14:kx="0" w14:ky="0" w14:algn="tl">
        <w14:srgbClr w14:val="000000">
          <w14:alpha w14:val="60000"/>
        </w14:srgbClr>
      </w14:shadow>
    </w:rPr>
  </w:style>
  <w:style w:type="character" w:customStyle="1" w:styleId="108">
    <w:name w:val="无间隔 字符"/>
    <w:link w:val="109"/>
    <w:qFormat/>
    <w:uiPriority w:val="0"/>
    <w:rPr>
      <w:rFonts w:ascii="Calibri" w:hAnsi="Calibri"/>
      <w:sz w:val="22"/>
      <w:szCs w:val="22"/>
      <w:lang w:val="en-US" w:eastAsia="zh-CN" w:bidi="ar-SA"/>
    </w:rPr>
  </w:style>
  <w:style w:type="paragraph" w:styleId="109">
    <w:name w:val="No Spacing"/>
    <w:link w:val="108"/>
    <w:qFormat/>
    <w:uiPriority w:val="0"/>
    <w:rPr>
      <w:rFonts w:ascii="Calibri" w:hAnsi="Calibri" w:eastAsia="宋体" w:cs="Times New Roman"/>
      <w:sz w:val="22"/>
      <w:szCs w:val="22"/>
      <w:lang w:val="en-US" w:eastAsia="zh-CN" w:bidi="ar-SA"/>
    </w:rPr>
  </w:style>
  <w:style w:type="character" w:customStyle="1" w:styleId="110">
    <w:name w:val="H1 Char"/>
    <w:qFormat/>
    <w:uiPriority w:val="0"/>
    <w:rPr>
      <w:rFonts w:eastAsia="宋体"/>
      <w:b/>
      <w:bCs/>
      <w:kern w:val="44"/>
      <w:sz w:val="44"/>
      <w:szCs w:val="44"/>
      <w:lang w:val="en-US" w:eastAsia="zh-CN" w:bidi="ar-SA"/>
    </w:rPr>
  </w:style>
  <w:style w:type="character" w:customStyle="1" w:styleId="111">
    <w:name w:val="unnamed3"/>
    <w:qFormat/>
    <w:uiPriority w:val="0"/>
  </w:style>
  <w:style w:type="character" w:customStyle="1" w:styleId="112">
    <w:name w:val="1ji Char Char"/>
    <w:qFormat/>
    <w:locked/>
    <w:uiPriority w:val="0"/>
    <w:rPr>
      <w:rFonts w:ascii="宋体" w:hAnsi="宋体" w:eastAsia="宋体"/>
      <w:b/>
      <w:bCs/>
      <w:kern w:val="44"/>
      <w:sz w:val="36"/>
      <w:szCs w:val="44"/>
    </w:rPr>
  </w:style>
  <w:style w:type="character" w:customStyle="1" w:styleId="113">
    <w:name w:val="Body text|1_"/>
    <w:link w:val="114"/>
    <w:qFormat/>
    <w:uiPriority w:val="0"/>
    <w:rPr>
      <w:rFonts w:ascii="宋体" w:hAnsi="宋体" w:eastAsia="宋体" w:cs="宋体"/>
      <w:sz w:val="30"/>
      <w:szCs w:val="30"/>
    </w:rPr>
  </w:style>
  <w:style w:type="paragraph" w:customStyle="1" w:styleId="114">
    <w:name w:val="Body text|1"/>
    <w:basedOn w:val="1"/>
    <w:link w:val="113"/>
    <w:qFormat/>
    <w:uiPriority w:val="0"/>
    <w:pPr>
      <w:spacing w:line="353" w:lineRule="auto"/>
      <w:ind w:firstLine="400"/>
      <w:jc w:val="left"/>
    </w:pPr>
    <w:rPr>
      <w:rFonts w:ascii="宋体" w:hAnsi="宋体" w:eastAsia="宋体" w:cs="宋体"/>
      <w:kern w:val="0"/>
      <w:sz w:val="30"/>
      <w:szCs w:val="30"/>
    </w:rPr>
  </w:style>
  <w:style w:type="character" w:customStyle="1" w:styleId="115">
    <w:name w:val="Char Char6"/>
    <w:qFormat/>
    <w:locked/>
    <w:uiPriority w:val="0"/>
    <w:rPr>
      <w:rFonts w:ascii="宋体" w:hAnsi="Courier New" w:eastAsia="宋体" w:cs="Courier New"/>
      <w:kern w:val="2"/>
      <w:sz w:val="21"/>
      <w:szCs w:val="21"/>
      <w:lang w:val="en-US" w:eastAsia="zh-CN" w:bidi="ar-SA"/>
    </w:rPr>
  </w:style>
  <w:style w:type="character" w:customStyle="1" w:styleId="116">
    <w:name w:val=" Char Char23"/>
    <w:qFormat/>
    <w:uiPriority w:val="0"/>
    <w:rPr>
      <w:rFonts w:ascii="Times New Roman" w:hAnsi="Times New Roman" w:eastAsia="宋体" w:cs="Times New Roman"/>
      <w:b/>
      <w:bCs/>
      <w:kern w:val="44"/>
      <w:sz w:val="44"/>
      <w:szCs w:val="44"/>
    </w:rPr>
  </w:style>
  <w:style w:type="character" w:customStyle="1" w:styleId="117">
    <w:name w:val="纯文本 Char1"/>
    <w:qFormat/>
    <w:uiPriority w:val="0"/>
    <w:rPr>
      <w:rFonts w:ascii="宋体" w:hAnsi="Courier New" w:eastAsia="宋体" w:cs="Courier New"/>
      <w:kern w:val="2"/>
      <w:sz w:val="21"/>
      <w:szCs w:val="21"/>
      <w:lang w:val="en-US" w:eastAsia="zh-CN" w:bidi="ar-SA"/>
    </w:rPr>
  </w:style>
  <w:style w:type="character" w:customStyle="1" w:styleId="118">
    <w:name w:val="font71"/>
    <w:qFormat/>
    <w:uiPriority w:val="0"/>
    <w:rPr>
      <w:rFonts w:hint="eastAsia" w:ascii="宋体" w:hAnsi="宋体" w:eastAsia="宋体" w:cs="宋体"/>
      <w:color w:val="FF0000"/>
      <w:sz w:val="18"/>
      <w:szCs w:val="18"/>
      <w:u w:val="none"/>
    </w:rPr>
  </w:style>
  <w:style w:type="character" w:customStyle="1" w:styleId="119">
    <w:name w:val="Body Text Char"/>
    <w:qFormat/>
    <w:locked/>
    <w:uiPriority w:val="0"/>
    <w:rPr>
      <w:rFonts w:eastAsia="宋体"/>
      <w:kern w:val="2"/>
      <w:sz w:val="24"/>
      <w:szCs w:val="24"/>
      <w:lang w:val="en-US" w:eastAsia="zh-CN" w:bidi="ar-SA"/>
    </w:rPr>
  </w:style>
  <w:style w:type="character" w:customStyle="1" w:styleId="120">
    <w:name w:val="无间隔 Char Char"/>
    <w:qFormat/>
    <w:uiPriority w:val="0"/>
    <w:rPr>
      <w:rFonts w:ascii="Calibri" w:hAnsi="Calibri" w:eastAsia="宋体"/>
      <w:sz w:val="22"/>
      <w:szCs w:val="22"/>
      <w:lang w:val="en-US" w:eastAsia="zh-CN" w:bidi="ar-SA"/>
    </w:rPr>
  </w:style>
  <w:style w:type="character" w:customStyle="1" w:styleId="121">
    <w:name w:val="纯文本 Char3"/>
    <w:qFormat/>
    <w:uiPriority w:val="0"/>
    <w:rPr>
      <w:rFonts w:ascii="宋体" w:hAnsi="Courier New" w:cs="Courier New"/>
      <w:kern w:val="2"/>
      <w:sz w:val="21"/>
      <w:szCs w:val="21"/>
    </w:rPr>
  </w:style>
  <w:style w:type="character" w:customStyle="1" w:styleId="122">
    <w:name w:val="cubane_hilight1"/>
    <w:qFormat/>
    <w:uiPriority w:val="0"/>
    <w:rPr>
      <w:color w:val="CC0000"/>
    </w:rPr>
  </w:style>
  <w:style w:type="character" w:customStyle="1" w:styleId="123">
    <w:name w:val="正文文字首行缩进 Char"/>
    <w:qFormat/>
    <w:locked/>
    <w:uiPriority w:val="0"/>
    <w:rPr>
      <w:rFonts w:ascii="仿宋_GB2312" w:eastAsia="仿宋_GB2312"/>
      <w:kern w:val="2"/>
      <w:sz w:val="32"/>
    </w:rPr>
  </w:style>
  <w:style w:type="character" w:customStyle="1" w:styleId="124">
    <w:name w:val="Char Char4"/>
    <w:qFormat/>
    <w:locked/>
    <w:uiPriority w:val="0"/>
    <w:rPr>
      <w:rFonts w:ascii="宋体" w:hAnsi="Courier New" w:eastAsia="宋体" w:cs="Courier New"/>
      <w:kern w:val="2"/>
      <w:sz w:val="21"/>
      <w:szCs w:val="21"/>
      <w:lang w:val="en-US" w:eastAsia="zh-CN" w:bidi="ar-SA"/>
    </w:rPr>
  </w:style>
  <w:style w:type="character" w:customStyle="1" w:styleId="125">
    <w:name w:val="Char Char28"/>
    <w:qFormat/>
    <w:locked/>
    <w:uiPriority w:val="0"/>
    <w:rPr>
      <w:rFonts w:eastAsia="宋体"/>
      <w:b/>
      <w:bCs/>
      <w:kern w:val="44"/>
      <w:sz w:val="44"/>
      <w:szCs w:val="44"/>
      <w:lang w:val="en-US" w:eastAsia="zh-CN" w:bidi="ar-SA"/>
    </w:rPr>
  </w:style>
  <w:style w:type="character" w:customStyle="1" w:styleId="126">
    <w:name w:val="s-title8"/>
    <w:qFormat/>
    <w:uiPriority w:val="0"/>
  </w:style>
  <w:style w:type="character" w:customStyle="1" w:styleId="127">
    <w:name w:val="UP标题3 Char Char"/>
    <w:link w:val="128"/>
    <w:qFormat/>
    <w:locked/>
    <w:uiPriority w:val="0"/>
    <w:rPr>
      <w:rFonts w:ascii="黑体" w:eastAsia="黑体"/>
      <w:sz w:val="28"/>
      <w:szCs w:val="28"/>
      <w:lang w:bidi="ar-SA"/>
    </w:rPr>
  </w:style>
  <w:style w:type="paragraph" w:customStyle="1" w:styleId="128">
    <w:name w:val="UP标题3"/>
    <w:basedOn w:val="1"/>
    <w:link w:val="127"/>
    <w:qFormat/>
    <w:uiPriority w:val="0"/>
    <w:pPr>
      <w:spacing w:line="360" w:lineRule="auto"/>
      <w:ind w:firstLine="149" w:firstLineChars="149"/>
    </w:pPr>
    <w:rPr>
      <w:rFonts w:ascii="黑体" w:eastAsia="黑体"/>
      <w:kern w:val="0"/>
      <w:sz w:val="28"/>
      <w:szCs w:val="28"/>
    </w:rPr>
  </w:style>
  <w:style w:type="character" w:customStyle="1" w:styleId="129">
    <w:name w:val="apple-converted-space"/>
    <w:qFormat/>
    <w:uiPriority w:val="0"/>
  </w:style>
  <w:style w:type="character" w:customStyle="1" w:styleId="130">
    <w:name w:val="Body text|3_"/>
    <w:link w:val="131"/>
    <w:qFormat/>
    <w:uiPriority w:val="0"/>
    <w:rPr>
      <w:rFonts w:ascii="宋体" w:hAnsi="宋体" w:eastAsia="宋体" w:cs="宋体"/>
      <w:sz w:val="34"/>
      <w:szCs w:val="34"/>
    </w:rPr>
  </w:style>
  <w:style w:type="paragraph" w:customStyle="1" w:styleId="131">
    <w:name w:val="Body text|3"/>
    <w:basedOn w:val="1"/>
    <w:link w:val="130"/>
    <w:qFormat/>
    <w:uiPriority w:val="0"/>
    <w:pPr>
      <w:spacing w:after="460"/>
      <w:jc w:val="center"/>
    </w:pPr>
    <w:rPr>
      <w:rFonts w:ascii="宋体" w:hAnsi="宋体" w:eastAsia="宋体" w:cs="宋体"/>
      <w:kern w:val="0"/>
      <w:sz w:val="34"/>
      <w:szCs w:val="34"/>
    </w:rPr>
  </w:style>
  <w:style w:type="character" w:customStyle="1" w:styleId="132">
    <w:name w:val=" Char Char14"/>
    <w:qFormat/>
    <w:uiPriority w:val="0"/>
    <w:rPr>
      <w:sz w:val="18"/>
      <w:szCs w:val="18"/>
    </w:rPr>
  </w:style>
  <w:style w:type="character" w:customStyle="1" w:styleId="133">
    <w:name w:val="font51"/>
    <w:qFormat/>
    <w:uiPriority w:val="0"/>
    <w:rPr>
      <w:rFonts w:hint="eastAsia" w:ascii="宋体" w:hAnsi="宋体" w:eastAsia="宋体" w:cs="宋体"/>
      <w:color w:val="FF0000"/>
      <w:sz w:val="18"/>
      <w:szCs w:val="18"/>
      <w:u w:val="none"/>
      <w:vertAlign w:val="superscript"/>
    </w:rPr>
  </w:style>
  <w:style w:type="character" w:customStyle="1" w:styleId="134">
    <w:name w:val="列表段落 字符"/>
    <w:link w:val="135"/>
    <w:qFormat/>
    <w:uiPriority w:val="0"/>
    <w:rPr>
      <w:rFonts w:ascii="Calibri" w:hAnsi="Calibri" w:eastAsia="宋体"/>
      <w:kern w:val="2"/>
      <w:sz w:val="21"/>
      <w:szCs w:val="22"/>
      <w:lang w:val="en-US" w:eastAsia="zh-CN" w:bidi="ar-SA"/>
    </w:rPr>
  </w:style>
  <w:style w:type="paragraph" w:styleId="135">
    <w:name w:val="List Paragraph"/>
    <w:basedOn w:val="1"/>
    <w:link w:val="134"/>
    <w:qFormat/>
    <w:uiPriority w:val="34"/>
    <w:pPr>
      <w:ind w:firstLine="420" w:firstLineChars="200"/>
    </w:pPr>
    <w:rPr>
      <w:rFonts w:ascii="Calibri" w:hAnsi="Calibri"/>
      <w:szCs w:val="22"/>
    </w:rPr>
  </w:style>
  <w:style w:type="character" w:customStyle="1" w:styleId="136">
    <w:name w:val="style21"/>
    <w:qFormat/>
    <w:uiPriority w:val="0"/>
    <w:rPr>
      <w:sz w:val="18"/>
      <w:szCs w:val="18"/>
    </w:rPr>
  </w:style>
  <w:style w:type="character" w:customStyle="1" w:styleId="137">
    <w:name w:val="style161"/>
    <w:qFormat/>
    <w:uiPriority w:val="0"/>
    <w:rPr>
      <w:color w:val="666666"/>
    </w:rPr>
  </w:style>
  <w:style w:type="character" w:customStyle="1" w:styleId="138">
    <w:name w:val="llyf92"/>
    <w:qFormat/>
    <w:uiPriority w:val="0"/>
    <w:rPr>
      <w:sz w:val="18"/>
      <w:szCs w:val="18"/>
    </w:rPr>
  </w:style>
  <w:style w:type="character" w:customStyle="1" w:styleId="139">
    <w:name w:val="1ji Char"/>
    <w:link w:val="140"/>
    <w:qFormat/>
    <w:uiPriority w:val="0"/>
    <w:rPr>
      <w:rFonts w:ascii="宋体" w:hAnsi="宋体" w:eastAsia="宋体"/>
      <w:b/>
      <w:bCs/>
      <w:kern w:val="44"/>
      <w:sz w:val="36"/>
      <w:szCs w:val="44"/>
      <w:lang w:val="en-US" w:eastAsia="zh-CN" w:bidi="ar-SA"/>
    </w:rPr>
  </w:style>
  <w:style w:type="paragraph" w:customStyle="1" w:styleId="140">
    <w:name w:val="1ji"/>
    <w:basedOn w:val="2"/>
    <w:link w:val="139"/>
    <w:qFormat/>
    <w:uiPriority w:val="0"/>
    <w:pPr>
      <w:keepLines w:val="0"/>
      <w:widowControl/>
      <w:spacing w:before="0" w:beforeLines="0" w:after="0" w:afterLines="0" w:line="240" w:lineRule="auto"/>
      <w:jc w:val="center"/>
    </w:pPr>
    <w:rPr>
      <w:rFonts w:ascii="宋体" w:hAnsi="宋体"/>
      <w:sz w:val="36"/>
    </w:rPr>
  </w:style>
  <w:style w:type="character" w:customStyle="1" w:styleId="141">
    <w:name w:val="正文文本 2 Char1"/>
    <w:semiHidden/>
    <w:qFormat/>
    <w:locked/>
    <w:uiPriority w:val="0"/>
    <w:rPr>
      <w:kern w:val="2"/>
      <w:sz w:val="21"/>
      <w:szCs w:val="24"/>
    </w:rPr>
  </w:style>
  <w:style w:type="character" w:customStyle="1" w:styleId="142">
    <w:name w:val="font31"/>
    <w:qFormat/>
    <w:uiPriority w:val="0"/>
    <w:rPr>
      <w:rFonts w:hint="eastAsia" w:ascii="宋体" w:hAnsi="宋体" w:eastAsia="宋体" w:cs="宋体"/>
      <w:color w:val="000000"/>
      <w:sz w:val="16"/>
      <w:szCs w:val="16"/>
      <w:u w:val="none"/>
    </w:rPr>
  </w:style>
  <w:style w:type="character" w:customStyle="1" w:styleId="143">
    <w:name w:val="正文文本缩进 Char1"/>
    <w:semiHidden/>
    <w:qFormat/>
    <w:uiPriority w:val="0"/>
    <w:rPr>
      <w:kern w:val="2"/>
      <w:sz w:val="21"/>
      <w:szCs w:val="22"/>
    </w:rPr>
  </w:style>
  <w:style w:type="character" w:customStyle="1" w:styleId="144">
    <w:name w:val="H1 Char2"/>
    <w:qFormat/>
    <w:uiPriority w:val="0"/>
    <w:rPr>
      <w:rFonts w:eastAsia="宋体"/>
      <w:b/>
      <w:bCs/>
      <w:kern w:val="44"/>
      <w:sz w:val="44"/>
      <w:szCs w:val="44"/>
      <w:lang w:val="en-US" w:eastAsia="zh-CN" w:bidi="ar-SA"/>
    </w:rPr>
  </w:style>
  <w:style w:type="character" w:customStyle="1" w:styleId="145">
    <w:name w:val="彩色列表 - 强调文字颜色 1 Char"/>
    <w:link w:val="146"/>
    <w:qFormat/>
    <w:uiPriority w:val="0"/>
    <w:rPr>
      <w:rFonts w:ascii="Calibri" w:hAnsi="Calibri" w:eastAsia="宋体"/>
      <w:kern w:val="2"/>
      <w:sz w:val="21"/>
      <w:szCs w:val="22"/>
      <w:lang w:val="en-US" w:eastAsia="zh-CN" w:bidi="ar-SA"/>
    </w:rPr>
  </w:style>
  <w:style w:type="paragraph" w:customStyle="1" w:styleId="146">
    <w:name w:val="彩色列表 - 强调文字颜色 11"/>
    <w:basedOn w:val="1"/>
    <w:link w:val="145"/>
    <w:qFormat/>
    <w:uiPriority w:val="0"/>
    <w:pPr>
      <w:ind w:firstLine="420" w:firstLineChars="200"/>
    </w:pPr>
    <w:rPr>
      <w:rFonts w:ascii="Calibri" w:hAnsi="Calibri"/>
      <w:szCs w:val="22"/>
    </w:rPr>
  </w:style>
  <w:style w:type="character" w:customStyle="1" w:styleId="147">
    <w:name w:val="H1 Char1"/>
    <w:qFormat/>
    <w:uiPriority w:val="0"/>
    <w:rPr>
      <w:rFonts w:eastAsia="宋体"/>
      <w:b/>
      <w:bCs/>
      <w:kern w:val="44"/>
      <w:sz w:val="44"/>
      <w:szCs w:val="44"/>
      <w:lang w:val="en-US" w:eastAsia="zh-CN" w:bidi="ar-SA"/>
    </w:rPr>
  </w:style>
  <w:style w:type="character" w:customStyle="1" w:styleId="148">
    <w:name w:val="font21"/>
    <w:qFormat/>
    <w:uiPriority w:val="0"/>
    <w:rPr>
      <w:rFonts w:ascii="Calibri" w:hAnsi="Calibri" w:cs="Calibri"/>
      <w:color w:val="000000"/>
      <w:sz w:val="20"/>
      <w:szCs w:val="20"/>
      <w:u w:val="none"/>
    </w:rPr>
  </w:style>
  <w:style w:type="character" w:customStyle="1" w:styleId="149">
    <w:name w:val="Char Char8"/>
    <w:qFormat/>
    <w:uiPriority w:val="0"/>
    <w:rPr>
      <w:rFonts w:hint="eastAsia" w:ascii="仿宋_GB2312" w:eastAsia="仿宋_GB2312"/>
      <w:kern w:val="2"/>
      <w:sz w:val="32"/>
      <w:lang w:val="en-US" w:eastAsia="zh-CN" w:bidi="ar-SA"/>
    </w:rPr>
  </w:style>
  <w:style w:type="character" w:customStyle="1" w:styleId="150">
    <w:name w:val="正文2 Char Char"/>
    <w:link w:val="151"/>
    <w:qFormat/>
    <w:locked/>
    <w:uiPriority w:val="0"/>
    <w:rPr>
      <w:kern w:val="2"/>
      <w:sz w:val="28"/>
      <w:szCs w:val="22"/>
      <w:lang w:bidi="ar-SA"/>
    </w:rPr>
  </w:style>
  <w:style w:type="paragraph" w:customStyle="1" w:styleId="151">
    <w:name w:val="正文2"/>
    <w:basedOn w:val="1"/>
    <w:link w:val="150"/>
    <w:qFormat/>
    <w:uiPriority w:val="0"/>
    <w:pPr>
      <w:spacing w:line="360" w:lineRule="auto"/>
      <w:ind w:firstLine="200" w:firstLineChars="200"/>
    </w:pPr>
    <w:rPr>
      <w:sz w:val="28"/>
      <w:szCs w:val="22"/>
    </w:rPr>
  </w:style>
  <w:style w:type="character" w:customStyle="1" w:styleId="152">
    <w:name w:val="纯文本 字符"/>
    <w:qFormat/>
    <w:uiPriority w:val="0"/>
    <w:rPr>
      <w:rFonts w:ascii="宋体" w:hAnsi="Courier New" w:eastAsia="宋体" w:cs="Courier New"/>
      <w:kern w:val="2"/>
      <w:sz w:val="21"/>
      <w:szCs w:val="21"/>
      <w:lang w:val="en-US" w:eastAsia="zh-CN" w:bidi="ar-SA"/>
    </w:rPr>
  </w:style>
  <w:style w:type="character" w:customStyle="1" w:styleId="153">
    <w:name w:val="font41"/>
    <w:qFormat/>
    <w:uiPriority w:val="0"/>
    <w:rPr>
      <w:rFonts w:hint="eastAsia" w:ascii="仿宋_GB2312" w:eastAsia="仿宋_GB2312" w:cs="仿宋_GB2312"/>
      <w:color w:val="000000"/>
      <w:sz w:val="20"/>
      <w:szCs w:val="20"/>
      <w:u w:val="none"/>
    </w:rPr>
  </w:style>
  <w:style w:type="paragraph" w:customStyle="1" w:styleId="154">
    <w:name w:val=" 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rPr>
  </w:style>
  <w:style w:type="paragraph" w:customStyle="1" w:styleId="155">
    <w:name w:val="Char1"/>
    <w:basedOn w:val="1"/>
    <w:qFormat/>
    <w:uiPriority w:val="0"/>
    <w:rPr>
      <w:szCs w:val="21"/>
    </w:rPr>
  </w:style>
  <w:style w:type="paragraph" w:customStyle="1" w:styleId="156">
    <w:name w:val="Char Char1"/>
    <w:basedOn w:val="1"/>
    <w:qFormat/>
    <w:uiPriority w:val="0"/>
    <w:pPr>
      <w:widowControl/>
      <w:spacing w:after="160" w:afterLines="0" w:line="240" w:lineRule="exact"/>
      <w:jc w:val="left"/>
    </w:pPr>
    <w:rPr>
      <w:rFonts w:ascii="Verdana" w:hAnsi="Verdana" w:eastAsia="楷体_GB2312" w:cs="宋体"/>
      <w:b/>
      <w:i/>
      <w:iCs/>
      <w:color w:val="000000"/>
      <w:kern w:val="0"/>
      <w:sz w:val="20"/>
      <w:lang w:eastAsia="en-US"/>
    </w:rPr>
  </w:style>
  <w:style w:type="paragraph" w:customStyle="1" w:styleId="157">
    <w:name w:val="pa-15"/>
    <w:basedOn w:val="1"/>
    <w:qFormat/>
    <w:uiPriority w:val="0"/>
    <w:pPr>
      <w:widowControl/>
      <w:spacing w:before="169" w:after="169"/>
      <w:jc w:val="left"/>
    </w:pPr>
    <w:rPr>
      <w:rFonts w:ascii="宋体" w:hAnsi="宋体" w:cs="宋体"/>
      <w:kern w:val="0"/>
      <w:sz w:val="24"/>
    </w:rPr>
  </w:style>
  <w:style w:type="paragraph" w:customStyle="1" w:styleId="158">
    <w:name w:val="Char Char Char Char Char Char1 Char"/>
    <w:basedOn w:val="1"/>
    <w:qFormat/>
    <w:uiPriority w:val="0"/>
    <w:pPr>
      <w:widowControl/>
      <w:spacing w:after="160" w:line="240" w:lineRule="exact"/>
      <w:jc w:val="left"/>
    </w:pPr>
    <w:rPr>
      <w:rFonts w:ascii="Verdana" w:hAnsi="Verdana" w:eastAsia="仿宋_GB2312"/>
      <w:kern w:val="0"/>
      <w:sz w:val="30"/>
      <w:szCs w:val="30"/>
      <w:lang w:eastAsia="en-US"/>
    </w:rPr>
  </w:style>
  <w:style w:type="paragraph" w:customStyle="1" w:styleId="159">
    <w:name w:val=" Char Char Char"/>
    <w:basedOn w:val="1"/>
    <w:qFormat/>
    <w:uiPriority w:val="0"/>
    <w:pPr>
      <w:widowControl/>
      <w:spacing w:after="160" w:afterLines="0" w:line="240" w:lineRule="exact"/>
      <w:jc w:val="left"/>
    </w:pPr>
    <w:rPr>
      <w:rFonts w:ascii="Verdana" w:hAnsi="Verdana"/>
      <w:kern w:val="0"/>
      <w:sz w:val="20"/>
      <w:szCs w:val="20"/>
      <w:lang w:eastAsia="en-US"/>
    </w:rPr>
  </w:style>
  <w:style w:type="paragraph" w:customStyle="1" w:styleId="160">
    <w:name w:val=" Char Char Char Char Char Char Char Char Char Char Char Char"/>
    <w:basedOn w:val="1"/>
    <w:qFormat/>
    <w:uiPriority w:val="0"/>
    <w:pPr>
      <w:widowControl/>
      <w:spacing w:after="160" w:afterLines="0" w:line="240" w:lineRule="exact"/>
      <w:jc w:val="left"/>
    </w:pPr>
    <w:rPr>
      <w:rFonts w:ascii="Verdana" w:hAnsi="Verdana"/>
      <w:kern w:val="0"/>
      <w:sz w:val="20"/>
      <w:szCs w:val="20"/>
      <w:lang w:eastAsia="en-US"/>
    </w:rPr>
  </w:style>
  <w:style w:type="paragraph" w:customStyle="1" w:styleId="161">
    <w:name w:val="表格题注"/>
    <w:next w:val="1"/>
    <w:qFormat/>
    <w:uiPriority w:val="0"/>
    <w:pPr>
      <w:keepLines/>
      <w:spacing w:before="312" w:beforeLines="100"/>
      <w:ind w:left="1089" w:hanging="369"/>
      <w:jc w:val="center"/>
    </w:pPr>
    <w:rPr>
      <w:rFonts w:ascii="Arial" w:hAnsi="Arial" w:eastAsia="宋体" w:cs="Times New Roman"/>
      <w:sz w:val="18"/>
      <w:szCs w:val="18"/>
      <w:lang w:val="en-US" w:eastAsia="zh-CN" w:bidi="ar-SA"/>
    </w:rPr>
  </w:style>
  <w:style w:type="paragraph" w:customStyle="1" w:styleId="162">
    <w:name w:val="pa-14"/>
    <w:basedOn w:val="1"/>
    <w:qFormat/>
    <w:uiPriority w:val="0"/>
    <w:pPr>
      <w:widowControl/>
      <w:spacing w:before="169" w:after="169"/>
      <w:jc w:val="left"/>
    </w:pPr>
    <w:rPr>
      <w:rFonts w:ascii="宋体" w:hAnsi="宋体" w:cs="宋体"/>
      <w:kern w:val="0"/>
      <w:sz w:val="24"/>
    </w:rPr>
  </w:style>
  <w:style w:type="paragraph" w:customStyle="1" w:styleId="163">
    <w:name w:val="样式 首行缩进:  2 字符"/>
    <w:basedOn w:val="1"/>
    <w:qFormat/>
    <w:uiPriority w:val="0"/>
    <w:pPr>
      <w:spacing w:line="400" w:lineRule="exact"/>
      <w:ind w:firstLine="200" w:firstLineChars="200"/>
    </w:pPr>
    <w:rPr>
      <w:rFonts w:cs="宋体"/>
      <w:sz w:val="24"/>
    </w:rPr>
  </w:style>
  <w:style w:type="paragraph" w:customStyle="1" w:styleId="164">
    <w:name w:val="样式 正文文字 + 小四 段后: 0 磅 行距: 1.5 倍行距"/>
    <w:basedOn w:val="20"/>
    <w:qFormat/>
    <w:uiPriority w:val="0"/>
    <w:pPr>
      <w:spacing w:line="360" w:lineRule="auto"/>
      <w:ind w:firstLine="480" w:firstLineChars="200"/>
    </w:pPr>
    <w:rPr>
      <w:rFonts w:cs="宋体"/>
      <w:szCs w:val="20"/>
    </w:rPr>
  </w:style>
  <w:style w:type="paragraph" w:customStyle="1" w:styleId="165">
    <w:name w:val="msolistparagraph"/>
    <w:basedOn w:val="1"/>
    <w:qFormat/>
    <w:uiPriority w:val="0"/>
    <w:pPr>
      <w:ind w:firstLine="420" w:firstLineChars="200"/>
    </w:pPr>
    <w:rPr>
      <w:rFonts w:ascii="Calibri" w:hAnsi="Calibri"/>
      <w:szCs w:val="22"/>
    </w:rPr>
  </w:style>
  <w:style w:type="paragraph" w:customStyle="1" w:styleId="166">
    <w:name w:val="pa-9"/>
    <w:basedOn w:val="1"/>
    <w:qFormat/>
    <w:uiPriority w:val="0"/>
    <w:pPr>
      <w:widowControl/>
      <w:spacing w:before="169" w:after="169"/>
      <w:jc w:val="left"/>
    </w:pPr>
    <w:rPr>
      <w:rFonts w:ascii="宋体" w:hAnsi="宋体" w:cs="宋体"/>
      <w:kern w:val="0"/>
      <w:sz w:val="24"/>
    </w:rPr>
  </w:style>
  <w:style w:type="paragraph" w:customStyle="1" w:styleId="167">
    <w:name w:val="样式1"/>
    <w:basedOn w:val="1"/>
    <w:qFormat/>
    <w:uiPriority w:val="0"/>
    <w:pPr>
      <w:spacing w:before="120" w:beforeLines="0" w:after="120" w:afterLines="0" w:line="300" w:lineRule="auto"/>
    </w:pPr>
    <w:rPr>
      <w:rFonts w:ascii="宋体" w:hAnsi="宋体"/>
      <w:b/>
      <w:sz w:val="24"/>
      <w:szCs w:val="20"/>
    </w:rPr>
  </w:style>
  <w:style w:type="paragraph" w:customStyle="1" w:styleId="168">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9">
    <w:name w:val="目录2"/>
    <w:basedOn w:val="1"/>
    <w:next w:val="1"/>
    <w:qFormat/>
    <w:uiPriority w:val="0"/>
    <w:pPr>
      <w:widowControl/>
      <w:tabs>
        <w:tab w:val="left" w:leader="dot" w:pos="8503"/>
      </w:tabs>
      <w:spacing w:line="317" w:lineRule="atLeast"/>
      <w:ind w:firstLine="209"/>
      <w:textAlignment w:val="baseline"/>
    </w:pPr>
    <w:rPr>
      <w:color w:val="000000"/>
      <w:kern w:val="0"/>
      <w:szCs w:val="20"/>
    </w:rPr>
  </w:style>
  <w:style w:type="paragraph" w:customStyle="1" w:styleId="170">
    <w:name w:val="目录4"/>
    <w:basedOn w:val="1"/>
    <w:next w:val="1"/>
    <w:qFormat/>
    <w:uiPriority w:val="0"/>
    <w:pPr>
      <w:widowControl/>
      <w:tabs>
        <w:tab w:val="left" w:leader="dot" w:pos="8503"/>
      </w:tabs>
      <w:spacing w:line="317" w:lineRule="atLeast"/>
      <w:ind w:firstLine="629"/>
      <w:textAlignment w:val="baseline"/>
    </w:pPr>
    <w:rPr>
      <w:color w:val="000000"/>
      <w:kern w:val="0"/>
      <w:szCs w:val="20"/>
    </w:rPr>
  </w:style>
  <w:style w:type="paragraph" w:customStyle="1" w:styleId="171">
    <w:name w:val="表-正文"/>
    <w:basedOn w:val="1"/>
    <w:qFormat/>
    <w:uiPriority w:val="0"/>
    <w:pPr>
      <w:autoSpaceDE w:val="0"/>
      <w:autoSpaceDN w:val="0"/>
      <w:adjustRightInd w:val="0"/>
      <w:spacing w:line="240" w:lineRule="atLeast"/>
      <w:jc w:val="center"/>
    </w:pPr>
    <w:rPr>
      <w:rFonts w:ascii="方正中等线简体 Regular" w:hAnsi="Calibri" w:eastAsia="方正中等线简体 Regular" w:cs="方正中等线简体 Regular"/>
      <w:color w:val="000000"/>
      <w:kern w:val="0"/>
      <w:sz w:val="18"/>
      <w:szCs w:val="18"/>
      <w:lang w:val="zh-CN"/>
    </w:rPr>
  </w:style>
  <w:style w:type="paragraph" w:customStyle="1" w:styleId="172">
    <w:name w:val="我的正文"/>
    <w:basedOn w:val="1"/>
    <w:qFormat/>
    <w:uiPriority w:val="0"/>
    <w:pPr>
      <w:spacing w:line="520" w:lineRule="exact"/>
      <w:ind w:firstLine="192" w:firstLineChars="192"/>
    </w:pPr>
    <w:rPr>
      <w:sz w:val="28"/>
      <w:szCs w:val="28"/>
    </w:rPr>
  </w:style>
  <w:style w:type="paragraph" w:customStyle="1" w:styleId="173">
    <w:name w:val=" Char2"/>
    <w:basedOn w:val="1"/>
    <w:qFormat/>
    <w:uiPriority w:val="0"/>
    <w:rPr>
      <w:szCs w:val="20"/>
    </w:rPr>
  </w:style>
  <w:style w:type="paragraph" w:customStyle="1" w:styleId="174">
    <w:name w:val="Char Char Char Char"/>
    <w:basedOn w:val="15"/>
    <w:qFormat/>
    <w:uiPriority w:val="0"/>
    <w:pPr>
      <w:adjustRightInd w:val="0"/>
      <w:snapToGrid w:val="0"/>
      <w:spacing w:line="360" w:lineRule="auto"/>
    </w:pPr>
    <w:rPr>
      <w:rFonts w:ascii="Tahoma" w:hAnsi="Tahoma"/>
      <w:sz w:val="24"/>
    </w:rPr>
  </w:style>
  <w:style w:type="paragraph" w:customStyle="1" w:styleId="175">
    <w:name w:val="列出段落2"/>
    <w:basedOn w:val="1"/>
    <w:qFormat/>
    <w:uiPriority w:val="0"/>
    <w:pPr>
      <w:ind w:firstLine="420" w:firstLineChars="200"/>
    </w:pPr>
    <w:rPr>
      <w:sz w:val="24"/>
    </w:rPr>
  </w:style>
  <w:style w:type="paragraph" w:customStyle="1" w:styleId="176">
    <w:name w:val="样式 标题 2 + Times New Roman 四号 非加粗 段前: 5 磅 段后: 0 磅 行距: 固定值 20..."/>
    <w:basedOn w:val="3"/>
    <w:qFormat/>
    <w:uiPriority w:val="0"/>
    <w:pPr>
      <w:spacing w:before="100" w:beforeLines="0" w:after="0" w:afterLines="0" w:line="400" w:lineRule="exact"/>
    </w:pPr>
    <w:rPr>
      <w:rFonts w:ascii="Times New Roman" w:hAnsi="Times New Roman" w:cs="宋体"/>
      <w:b w:val="0"/>
      <w:bCs w:val="0"/>
      <w:sz w:val="28"/>
      <w:szCs w:val="20"/>
    </w:rPr>
  </w:style>
  <w:style w:type="paragraph" w:customStyle="1" w:styleId="177">
    <w:name w:val="pa-6"/>
    <w:basedOn w:val="1"/>
    <w:qFormat/>
    <w:uiPriority w:val="0"/>
    <w:pPr>
      <w:widowControl/>
      <w:spacing w:before="169" w:after="169"/>
      <w:jc w:val="left"/>
    </w:pPr>
    <w:rPr>
      <w:rFonts w:ascii="宋体" w:hAnsi="宋体" w:cs="宋体"/>
      <w:kern w:val="0"/>
      <w:sz w:val="24"/>
    </w:rPr>
  </w:style>
  <w:style w:type="paragraph" w:customStyle="1" w:styleId="178">
    <w:name w:val=" Char"/>
    <w:basedOn w:val="15"/>
    <w:qFormat/>
    <w:uiPriority w:val="0"/>
    <w:pPr>
      <w:widowControl/>
      <w:ind w:firstLine="454"/>
      <w:jc w:val="left"/>
    </w:pPr>
    <w:rPr>
      <w:rFonts w:ascii="Tahoma" w:hAnsi="Tahoma" w:cs="宋体"/>
      <w:kern w:val="0"/>
      <w:sz w:val="24"/>
      <w:szCs w:val="20"/>
    </w:rPr>
  </w:style>
  <w:style w:type="paragraph" w:customStyle="1" w:styleId="179">
    <w:name w:val="1"/>
    <w:basedOn w:val="1"/>
    <w:next w:val="27"/>
    <w:qFormat/>
    <w:uiPriority w:val="0"/>
    <w:rPr>
      <w:rFonts w:ascii="宋体" w:hAnsi="Courier New"/>
      <w:szCs w:val="20"/>
    </w:rPr>
  </w:style>
  <w:style w:type="paragraph" w:customStyle="1" w:styleId="180">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1">
    <w:name w:val="表内文字"/>
    <w:basedOn w:val="1"/>
    <w:qFormat/>
    <w:uiPriority w:val="0"/>
    <w:pPr>
      <w:snapToGrid w:val="0"/>
      <w:spacing w:before="50" w:beforeLines="0" w:after="50" w:afterLines="0" w:line="360" w:lineRule="exact"/>
    </w:pPr>
    <w:rPr>
      <w:rFonts w:ascii="宋体" w:hAnsi="宋体"/>
      <w:b/>
      <w:color w:val="0000FF"/>
      <w:szCs w:val="21"/>
    </w:rPr>
  </w:style>
  <w:style w:type="paragraph" w:customStyle="1" w:styleId="182">
    <w:name w:val="xl26"/>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textAlignment w:val="top"/>
    </w:pPr>
    <w:rPr>
      <w:kern w:val="0"/>
      <w:szCs w:val="21"/>
    </w:rPr>
  </w:style>
  <w:style w:type="paragraph" w:customStyle="1" w:styleId="183">
    <w:name w:val="F2"/>
    <w:basedOn w:val="1"/>
    <w:qFormat/>
    <w:uiPriority w:val="0"/>
    <w:pPr>
      <w:autoSpaceDE w:val="0"/>
      <w:autoSpaceDN w:val="0"/>
      <w:adjustRightInd w:val="0"/>
      <w:ind w:firstLine="601"/>
    </w:pPr>
    <w:rPr>
      <w:kern w:val="0"/>
      <w:sz w:val="24"/>
      <w:szCs w:val="20"/>
    </w:rPr>
  </w:style>
  <w:style w:type="paragraph" w:customStyle="1" w:styleId="184">
    <w:name w:val="Char Char1 Char Char Char Char"/>
    <w:basedOn w:val="15"/>
    <w:qFormat/>
    <w:uiPriority w:val="0"/>
    <w:rPr>
      <w:rFonts w:ascii="Tahoma" w:hAnsi="Tahoma"/>
      <w:sz w:val="24"/>
    </w:rPr>
  </w:style>
  <w:style w:type="paragraph" w:customStyle="1" w:styleId="185">
    <w:name w:val="样式 标题 3 + (中文) 黑体 小四 非加粗 段前: 7.8 磅 段后: 0 磅 行距: 固定值 20 磅"/>
    <w:basedOn w:val="4"/>
    <w:qFormat/>
    <w:uiPriority w:val="0"/>
    <w:pPr>
      <w:spacing w:before="0" w:beforeLines="0" w:after="0" w:afterLines="0" w:line="400" w:lineRule="exact"/>
    </w:pPr>
    <w:rPr>
      <w:rFonts w:eastAsia="黑体" w:cs="宋体"/>
      <w:b w:val="0"/>
      <w:bCs w:val="0"/>
      <w:sz w:val="24"/>
      <w:szCs w:val="20"/>
    </w:rPr>
  </w:style>
  <w:style w:type="paragraph" w:customStyle="1" w:styleId="186">
    <w:name w:val="Body"/>
    <w:basedOn w:val="1"/>
    <w:qFormat/>
    <w:uiPriority w:val="0"/>
    <w:pPr>
      <w:widowControl/>
      <w:tabs>
        <w:tab w:val="left" w:pos="1980"/>
      </w:tabs>
      <w:spacing w:before="80" w:beforeLines="0" w:after="80" w:afterLines="0" w:line="360" w:lineRule="auto"/>
      <w:jc w:val="center"/>
    </w:pPr>
    <w:rPr>
      <w:szCs w:val="21"/>
    </w:rPr>
  </w:style>
  <w:style w:type="paragraph" w:customStyle="1" w:styleId="187">
    <w:name w:val="_Style 35"/>
    <w:basedOn w:val="15"/>
    <w:qFormat/>
    <w:uiPriority w:val="0"/>
    <w:pPr>
      <w:widowControl/>
      <w:ind w:firstLine="454"/>
      <w:jc w:val="left"/>
    </w:pPr>
  </w:style>
  <w:style w:type="paragraph" w:customStyle="1" w:styleId="188">
    <w:name w:val="小节标题"/>
    <w:basedOn w:val="1"/>
    <w:next w:val="1"/>
    <w:qFormat/>
    <w:uiPriority w:val="0"/>
    <w:pPr>
      <w:widowControl/>
      <w:spacing w:before="175" w:beforeLines="0" w:after="102" w:afterLines="0" w:line="351" w:lineRule="atLeast"/>
      <w:textAlignment w:val="baseline"/>
    </w:pPr>
    <w:rPr>
      <w:rFonts w:eastAsia="黑体"/>
      <w:color w:val="000000"/>
      <w:kern w:val="0"/>
      <w:szCs w:val="20"/>
    </w:rPr>
  </w:style>
  <w:style w:type="paragraph" w:customStyle="1" w:styleId="189">
    <w:name w:val="Bullets"/>
    <w:basedOn w:val="1"/>
    <w:qFormat/>
    <w:uiPriority w:val="0"/>
    <w:pPr>
      <w:widowControl/>
      <w:adjustRightInd w:val="0"/>
      <w:snapToGrid w:val="0"/>
      <w:spacing w:before="60" w:after="60"/>
    </w:pPr>
    <w:rPr>
      <w:kern w:val="0"/>
      <w:sz w:val="24"/>
      <w:lang w:val="en-GB"/>
    </w:rPr>
  </w:style>
  <w:style w:type="paragraph" w:customStyle="1" w:styleId="190">
    <w:name w:val="p0"/>
    <w:basedOn w:val="1"/>
    <w:qFormat/>
    <w:uiPriority w:val="0"/>
    <w:pPr>
      <w:widowControl/>
    </w:pPr>
    <w:rPr>
      <w:kern w:val="0"/>
      <w:szCs w:val="21"/>
    </w:rPr>
  </w:style>
  <w:style w:type="paragraph" w:customStyle="1" w:styleId="191">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92">
    <w:name w:val="Char Char19 Char Char Char Char"/>
    <w:basedOn w:val="15"/>
    <w:qFormat/>
    <w:uiPriority w:val="0"/>
    <w:pPr>
      <w:widowControl/>
      <w:ind w:firstLine="454"/>
      <w:jc w:val="left"/>
    </w:pPr>
  </w:style>
  <w:style w:type="paragraph" w:customStyle="1" w:styleId="193">
    <w:name w:val="样式3"/>
    <w:basedOn w:val="1"/>
    <w:qFormat/>
    <w:uiPriority w:val="0"/>
    <w:pPr>
      <w:tabs>
        <w:tab w:val="left" w:pos="560"/>
        <w:tab w:val="left" w:pos="1120"/>
      </w:tabs>
      <w:spacing w:line="480" w:lineRule="atLeast"/>
    </w:pPr>
    <w:rPr>
      <w:rFonts w:ascii="宋体" w:eastAsia="创艺简黑体"/>
      <w:szCs w:val="20"/>
    </w:rPr>
  </w:style>
  <w:style w:type="paragraph" w:customStyle="1" w:styleId="194">
    <w:name w:val="Plain Text1"/>
    <w:basedOn w:val="1"/>
    <w:qFormat/>
    <w:uiPriority w:val="0"/>
    <w:pPr>
      <w:adjustRightInd w:val="0"/>
    </w:pPr>
    <w:rPr>
      <w:rFonts w:ascii="宋体"/>
      <w:kern w:val="0"/>
      <w:sz w:val="24"/>
      <w:szCs w:val="20"/>
    </w:rPr>
  </w:style>
  <w:style w:type="paragraph" w:customStyle="1" w:styleId="195">
    <w:name w:val="4"/>
    <w:basedOn w:val="1"/>
    <w:next w:val="30"/>
    <w:qFormat/>
    <w:uiPriority w:val="0"/>
    <w:pPr>
      <w:spacing w:line="420" w:lineRule="exact"/>
      <w:ind w:firstLine="409" w:firstLineChars="195"/>
    </w:pPr>
  </w:style>
  <w:style w:type="paragraph" w:customStyle="1" w:styleId="196">
    <w:name w:val="xl30"/>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center"/>
    </w:pPr>
    <w:rPr>
      <w:kern w:val="0"/>
      <w:szCs w:val="21"/>
    </w:rPr>
  </w:style>
  <w:style w:type="paragraph" w:customStyle="1" w:styleId="197">
    <w:name w:val="pa-4"/>
    <w:basedOn w:val="1"/>
    <w:qFormat/>
    <w:uiPriority w:val="0"/>
    <w:pPr>
      <w:widowControl/>
      <w:spacing w:before="169" w:after="169"/>
      <w:jc w:val="left"/>
    </w:pPr>
    <w:rPr>
      <w:rFonts w:ascii="宋体" w:hAnsi="宋体" w:cs="宋体"/>
      <w:kern w:val="0"/>
      <w:sz w:val="24"/>
    </w:rPr>
  </w:style>
  <w:style w:type="paragraph" w:customStyle="1" w:styleId="198">
    <w:name w:val="2ji"/>
    <w:basedOn w:val="3"/>
    <w:qFormat/>
    <w:uiPriority w:val="0"/>
    <w:pPr>
      <w:adjustRightInd w:val="0"/>
      <w:spacing w:before="0" w:beforeLines="0" w:after="0" w:afterLines="0" w:line="360" w:lineRule="auto"/>
      <w:textAlignment w:val="baseline"/>
    </w:pPr>
    <w:rPr>
      <w:rFonts w:ascii="宋体" w:hAnsi="宋体" w:eastAsia="宋体"/>
      <w:sz w:val="21"/>
      <w:szCs w:val="21"/>
    </w:rPr>
  </w:style>
  <w:style w:type="paragraph" w:customStyle="1" w:styleId="199">
    <w:name w:val="Char Char18"/>
    <w:basedOn w:val="15"/>
    <w:qFormat/>
    <w:uiPriority w:val="0"/>
    <w:pPr>
      <w:widowControl/>
      <w:ind w:firstLine="454"/>
      <w:jc w:val="left"/>
    </w:pPr>
    <w:rPr>
      <w:rFonts w:ascii="Tahoma" w:hAnsi="Tahoma" w:cs="宋体"/>
      <w:kern w:val="0"/>
      <w:sz w:val="24"/>
      <w:szCs w:val="20"/>
    </w:rPr>
  </w:style>
  <w:style w:type="paragraph" w:customStyle="1" w:styleId="200">
    <w:name w:val="目录1"/>
    <w:basedOn w:val="1"/>
    <w:next w:val="1"/>
    <w:qFormat/>
    <w:uiPriority w:val="0"/>
    <w:pPr>
      <w:widowControl/>
      <w:tabs>
        <w:tab w:val="left" w:leader="dot" w:pos="8503"/>
      </w:tabs>
      <w:spacing w:after="136" w:afterLines="0" w:line="289" w:lineRule="atLeast"/>
      <w:jc w:val="left"/>
      <w:textAlignment w:val="baseline"/>
    </w:pPr>
    <w:rPr>
      <w:rFonts w:ascii="Arial" w:eastAsia="黑体"/>
      <w:color w:val="000000"/>
      <w:kern w:val="0"/>
      <w:sz w:val="28"/>
      <w:szCs w:val="20"/>
    </w:rPr>
  </w:style>
  <w:style w:type="paragraph" w:customStyle="1" w:styleId="201">
    <w:name w:val="font10"/>
    <w:basedOn w:val="1"/>
    <w:qFormat/>
    <w:uiPriority w:val="0"/>
    <w:pPr>
      <w:widowControl/>
      <w:spacing w:before="100" w:beforeAutospacing="1" w:after="100" w:afterAutospacing="1"/>
      <w:jc w:val="left"/>
    </w:pPr>
    <w:rPr>
      <w:color w:val="000000"/>
      <w:kern w:val="0"/>
      <w:sz w:val="24"/>
    </w:rPr>
  </w:style>
  <w:style w:type="paragraph" w:customStyle="1" w:styleId="202">
    <w:name w:val="Char Char9 Char Char Char Char"/>
    <w:basedOn w:val="1"/>
    <w:qFormat/>
    <w:uiPriority w:val="0"/>
    <w:pPr>
      <w:widowControl/>
      <w:spacing w:after="160" w:line="240" w:lineRule="exact"/>
      <w:jc w:val="left"/>
    </w:pPr>
  </w:style>
  <w:style w:type="paragraph" w:customStyle="1" w:styleId="203">
    <w:name w:val="表项"/>
    <w:next w:val="1"/>
    <w:qFormat/>
    <w:uiPriority w:val="0"/>
    <w:pPr>
      <w:keepNext/>
      <w:spacing w:line="300" w:lineRule="auto"/>
      <w:jc w:val="center"/>
      <w:textAlignment w:val="baseline"/>
    </w:pPr>
    <w:rPr>
      <w:rFonts w:ascii="Arial" w:hAnsi="Arial" w:eastAsia="黑体" w:cs="Times New Roman"/>
      <w:sz w:val="21"/>
      <w:lang w:val="en-US" w:eastAsia="zh-CN" w:bidi="ar-SA"/>
    </w:rPr>
  </w:style>
  <w:style w:type="paragraph" w:customStyle="1" w:styleId="204">
    <w:name w:val="样式 标题 2 + (西文) 宋体 非加粗 居中"/>
    <w:basedOn w:val="3"/>
    <w:qFormat/>
    <w:uiPriority w:val="0"/>
    <w:pPr>
      <w:jc w:val="center"/>
    </w:pPr>
    <w:rPr>
      <w:rFonts w:ascii="宋体" w:hAnsi="宋体" w:cs="宋体"/>
      <w:b w:val="0"/>
      <w:bCs w:val="0"/>
      <w:spacing w:val="2"/>
      <w:sz w:val="28"/>
      <w:szCs w:val="20"/>
    </w:rPr>
  </w:style>
  <w:style w:type="paragraph" w:customStyle="1" w:styleId="205">
    <w:name w:val="文章附标题"/>
    <w:basedOn w:val="1"/>
    <w:next w:val="2"/>
    <w:qFormat/>
    <w:uiPriority w:val="0"/>
    <w:pPr>
      <w:widowControl/>
      <w:spacing w:before="187" w:beforeLines="0" w:after="175" w:afterLines="0" w:line="374" w:lineRule="atLeast"/>
      <w:jc w:val="center"/>
      <w:textAlignment w:val="baseline"/>
    </w:pPr>
    <w:rPr>
      <w:color w:val="000000"/>
      <w:kern w:val="0"/>
      <w:sz w:val="36"/>
      <w:szCs w:val="20"/>
    </w:rPr>
  </w:style>
  <w:style w:type="paragraph" w:customStyle="1" w:styleId="206">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07">
    <w:name w:val="444"/>
    <w:basedOn w:val="1"/>
    <w:qFormat/>
    <w:uiPriority w:val="0"/>
    <w:pPr>
      <w:adjustRightInd w:val="0"/>
      <w:spacing w:line="312" w:lineRule="atLeast"/>
      <w:jc w:val="center"/>
      <w:textAlignment w:val="baseline"/>
    </w:pPr>
    <w:rPr>
      <w:b/>
      <w:kern w:val="0"/>
      <w:sz w:val="36"/>
      <w:szCs w:val="36"/>
    </w:rPr>
  </w:style>
  <w:style w:type="paragraph" w:customStyle="1" w:styleId="208">
    <w:name w:val="列出段落1"/>
    <w:qFormat/>
    <w:uiPriority w:val="34"/>
    <w:pPr>
      <w:ind w:firstLine="420" w:firstLineChars="200"/>
    </w:pPr>
    <w:rPr>
      <w:rFonts w:ascii="Calibri" w:hAnsi="Calibri" w:eastAsia="宋体" w:cs="Times New Roman"/>
      <w:szCs w:val="22"/>
      <w:lang w:val="en-US" w:eastAsia="zh-CN" w:bidi="ar-SA"/>
    </w:rPr>
  </w:style>
  <w:style w:type="paragraph" w:customStyle="1" w:styleId="209">
    <w:name w:val="pa-8"/>
    <w:basedOn w:val="1"/>
    <w:qFormat/>
    <w:uiPriority w:val="0"/>
    <w:pPr>
      <w:widowControl/>
      <w:spacing w:before="169" w:after="169"/>
      <w:jc w:val="left"/>
    </w:pPr>
    <w:rPr>
      <w:rFonts w:ascii="宋体" w:hAnsi="宋体" w:cs="宋体"/>
      <w:kern w:val="0"/>
      <w:sz w:val="24"/>
    </w:rPr>
  </w:style>
  <w:style w:type="paragraph" w:customStyle="1" w:styleId="210">
    <w:name w:val="pa-7"/>
    <w:basedOn w:val="1"/>
    <w:qFormat/>
    <w:uiPriority w:val="0"/>
    <w:pPr>
      <w:widowControl/>
      <w:spacing w:before="169" w:after="169"/>
      <w:jc w:val="left"/>
    </w:pPr>
    <w:rPr>
      <w:rFonts w:ascii="宋体" w:hAnsi="宋体" w:cs="宋体"/>
      <w:kern w:val="0"/>
      <w:sz w:val="24"/>
    </w:rPr>
  </w:style>
  <w:style w:type="paragraph" w:customStyle="1" w:styleId="211">
    <w:name w:val="插图题注"/>
    <w:next w:val="1"/>
    <w:qFormat/>
    <w:uiPriority w:val="0"/>
    <w:pPr>
      <w:spacing w:after="312" w:afterLines="100"/>
      <w:ind w:left="1089" w:hanging="369"/>
      <w:jc w:val="center"/>
    </w:pPr>
    <w:rPr>
      <w:rFonts w:ascii="Arial" w:hAnsi="Arial" w:eastAsia="宋体" w:cs="Times New Roman"/>
      <w:sz w:val="18"/>
      <w:szCs w:val="18"/>
      <w:lang w:val="en-US" w:eastAsia="zh-CN" w:bidi="ar-SA"/>
    </w:rPr>
  </w:style>
  <w:style w:type="paragraph" w:customStyle="1" w:styleId="212">
    <w:name w:val="目录3"/>
    <w:basedOn w:val="1"/>
    <w:next w:val="1"/>
    <w:qFormat/>
    <w:uiPriority w:val="0"/>
    <w:pPr>
      <w:widowControl/>
      <w:tabs>
        <w:tab w:val="left" w:leader="dot" w:pos="8503"/>
      </w:tabs>
      <w:spacing w:line="317" w:lineRule="atLeast"/>
      <w:ind w:firstLine="419"/>
      <w:textAlignment w:val="baseline"/>
    </w:pPr>
    <w:rPr>
      <w:color w:val="000000"/>
      <w:kern w:val="0"/>
      <w:szCs w:val="20"/>
    </w:rPr>
  </w:style>
  <w:style w:type="paragraph" w:customStyle="1" w:styleId="213">
    <w:name w:val="文章总标题"/>
    <w:basedOn w:val="1"/>
    <w:next w:val="205"/>
    <w:qFormat/>
    <w:uiPriority w:val="0"/>
    <w:pPr>
      <w:widowControl/>
      <w:spacing w:before="566" w:beforeLines="0" w:after="544" w:afterLines="0" w:line="566" w:lineRule="atLeast"/>
      <w:jc w:val="center"/>
      <w:textAlignment w:val="baseline"/>
    </w:pPr>
    <w:rPr>
      <w:rFonts w:ascii="Arial" w:eastAsia="黑体"/>
      <w:color w:val="000000"/>
      <w:kern w:val="0"/>
      <w:sz w:val="54"/>
      <w:szCs w:val="20"/>
    </w:rPr>
  </w:style>
  <w:style w:type="paragraph" w:customStyle="1" w:styleId="214">
    <w:name w:val="_Style 213"/>
    <w:basedOn w:val="2"/>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215">
    <w:name w:val="[基本段落]"/>
    <w:basedOn w:val="1"/>
    <w:qFormat/>
    <w:uiPriority w:val="0"/>
    <w:pPr>
      <w:autoSpaceDE w:val="0"/>
      <w:autoSpaceDN w:val="0"/>
      <w:adjustRightInd w:val="0"/>
      <w:spacing w:line="288" w:lineRule="auto"/>
    </w:pPr>
    <w:rPr>
      <w:rFonts w:ascii="汉仪大黑简 regular" w:hAnsi="Calibri" w:eastAsia="汉仪大黑简 regular"/>
      <w:color w:val="000000"/>
      <w:kern w:val="0"/>
      <w:sz w:val="24"/>
      <w:lang w:val="zh-CN"/>
    </w:rPr>
  </w:style>
  <w:style w:type="paragraph" w:customStyle="1" w:styleId="216">
    <w:name w:val="Char2"/>
    <w:basedOn w:val="1"/>
    <w:qFormat/>
    <w:uiPriority w:val="0"/>
    <w:pPr>
      <w:widowControl/>
      <w:spacing w:after="160" w:afterLines="0" w:line="240" w:lineRule="exact"/>
      <w:jc w:val="left"/>
    </w:pPr>
    <w:rPr>
      <w:rFonts w:ascii="Verdana" w:hAnsi="Verdana"/>
      <w:kern w:val="0"/>
      <w:szCs w:val="20"/>
      <w:lang w:eastAsia="en-US"/>
    </w:rPr>
  </w:style>
  <w:style w:type="paragraph" w:customStyle="1" w:styleId="217">
    <w:name w:val="Char Char Char Char Char Char Char Char Char"/>
    <w:basedOn w:val="1"/>
    <w:qFormat/>
    <w:uiPriority w:val="0"/>
    <w:pPr>
      <w:widowControl/>
      <w:spacing w:after="160" w:afterLines="0" w:line="240" w:lineRule="exact"/>
      <w:jc w:val="left"/>
    </w:pPr>
    <w:rPr>
      <w:szCs w:val="20"/>
    </w:rPr>
  </w:style>
  <w:style w:type="paragraph" w:customStyle="1" w:styleId="218">
    <w:name w:val="xl31"/>
    <w:basedOn w:val="1"/>
    <w:qFormat/>
    <w:uiPriority w:val="0"/>
    <w:pPr>
      <w:widowControl/>
      <w:pBdr>
        <w:bottom w:val="single" w:color="auto" w:sz="4" w:space="0"/>
        <w:right w:val="single" w:color="auto" w:sz="4" w:space="0"/>
      </w:pBdr>
      <w:spacing w:before="100" w:beforeLines="0" w:beforeAutospacing="1" w:after="100" w:afterLines="0" w:afterAutospacing="1"/>
      <w:jc w:val="center"/>
    </w:pPr>
    <w:rPr>
      <w:rFonts w:ascii="宋体" w:hAnsi="宋体"/>
      <w:kern w:val="0"/>
      <w:szCs w:val="21"/>
    </w:rPr>
  </w:style>
  <w:style w:type="paragraph" w:customStyle="1" w:styleId="219">
    <w:name w:val="标准正文"/>
    <w:basedOn w:val="1"/>
    <w:qFormat/>
    <w:uiPriority w:val="0"/>
    <w:pPr>
      <w:spacing w:before="60" w:after="60" w:line="360" w:lineRule="auto"/>
      <w:ind w:firstLine="482"/>
    </w:pPr>
    <w:rPr>
      <w:rFonts w:ascii="Arial" w:hAnsi="Arial"/>
      <w:color w:val="000000"/>
      <w:sz w:val="24"/>
      <w:szCs w:val="20"/>
    </w:rPr>
  </w:style>
  <w:style w:type="paragraph" w:customStyle="1" w:styleId="220">
    <w:name w:val="目录标题"/>
    <w:basedOn w:val="1"/>
    <w:next w:val="1"/>
    <w:qFormat/>
    <w:uiPriority w:val="0"/>
    <w:pPr>
      <w:widowControl/>
      <w:spacing w:before="566" w:beforeLines="0" w:after="544" w:afterLines="0" w:line="566" w:lineRule="atLeast"/>
      <w:ind w:firstLine="419"/>
      <w:jc w:val="center"/>
      <w:textAlignment w:val="baseline"/>
    </w:pPr>
    <w:rPr>
      <w:rFonts w:ascii="Arial" w:eastAsia="黑体"/>
      <w:color w:val="000000"/>
      <w:spacing w:val="566"/>
      <w:kern w:val="0"/>
      <w:sz w:val="54"/>
      <w:szCs w:val="20"/>
    </w:rPr>
  </w:style>
  <w:style w:type="paragraph" w:customStyle="1" w:styleId="221">
    <w:name w:val=" Char Char1 Char Char Char Char"/>
    <w:basedOn w:val="15"/>
    <w:qFormat/>
    <w:uiPriority w:val="0"/>
    <w:rPr>
      <w:rFonts w:ascii="Tahoma" w:hAnsi="Tahoma"/>
      <w:sz w:val="24"/>
    </w:rPr>
  </w:style>
  <w:style w:type="paragraph" w:customStyle="1" w:styleId="222">
    <w:name w:val="Default Paragraph Font Para Char Char Char Char Char Char"/>
    <w:basedOn w:val="1"/>
    <w:qFormat/>
    <w:uiPriority w:val="0"/>
    <w:pPr>
      <w:widowControl/>
      <w:spacing w:after="160" w:afterLines="0" w:line="240" w:lineRule="exact"/>
      <w:jc w:val="left"/>
    </w:pPr>
    <w:rPr>
      <w:rFonts w:ascii="Verdana" w:hAnsi="Verdana"/>
      <w:kern w:val="0"/>
      <w:sz w:val="20"/>
      <w:szCs w:val="20"/>
      <w:lang w:eastAsia="en-US"/>
    </w:rPr>
  </w:style>
  <w:style w:type="paragraph" w:customStyle="1" w:styleId="223">
    <w:name w:val="pa-12"/>
    <w:basedOn w:val="1"/>
    <w:qFormat/>
    <w:uiPriority w:val="0"/>
    <w:pPr>
      <w:widowControl/>
      <w:spacing w:before="169" w:after="169"/>
      <w:jc w:val="left"/>
    </w:pPr>
    <w:rPr>
      <w:rFonts w:ascii="宋体" w:hAnsi="宋体" w:cs="宋体"/>
      <w:kern w:val="0"/>
      <w:sz w:val="24"/>
    </w:rPr>
  </w:style>
  <w:style w:type="paragraph" w:customStyle="1" w:styleId="224">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rPr>
  </w:style>
  <w:style w:type="paragraph" w:customStyle="1" w:styleId="225">
    <w:name w:val="Char"/>
    <w:basedOn w:val="15"/>
    <w:qFormat/>
    <w:uiPriority w:val="0"/>
    <w:pPr>
      <w:widowControl/>
      <w:ind w:firstLine="454"/>
      <w:jc w:val="left"/>
    </w:pPr>
    <w:rPr>
      <w:rFonts w:ascii="Tahoma" w:hAnsi="Tahoma" w:cs="宋体"/>
      <w:kern w:val="0"/>
      <w:sz w:val="24"/>
      <w:szCs w:val="20"/>
    </w:rPr>
  </w:style>
  <w:style w:type="paragraph" w:customStyle="1" w:styleId="22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27">
    <w:name w:val="正文文本缩进 Char Char Char Char"/>
    <w:basedOn w:val="1"/>
    <w:qFormat/>
    <w:uiPriority w:val="0"/>
    <w:pPr>
      <w:ind w:firstLine="540"/>
    </w:pPr>
    <w:rPr>
      <w:rFonts w:hint="eastAsia" w:ascii="宋体" w:hAnsi="Courier New"/>
      <w:szCs w:val="20"/>
    </w:rPr>
  </w:style>
  <w:style w:type="paragraph" w:customStyle="1" w:styleId="228">
    <w:name w:val="默认段落字体 Para Char"/>
    <w:basedOn w:val="1"/>
    <w:qFormat/>
    <w:uiPriority w:val="0"/>
    <w:pPr>
      <w:adjustRightInd w:val="0"/>
      <w:spacing w:line="360" w:lineRule="auto"/>
    </w:pPr>
    <w:rPr>
      <w:szCs w:val="20"/>
    </w:rPr>
  </w:style>
  <w:style w:type="paragraph" w:customStyle="1" w:styleId="229">
    <w:name w:val="2-2ji"/>
    <w:basedOn w:val="3"/>
    <w:qFormat/>
    <w:uiPriority w:val="0"/>
    <w:pPr>
      <w:adjustRightInd w:val="0"/>
      <w:spacing w:before="0" w:beforeLines="0" w:after="0" w:afterLines="0" w:line="360" w:lineRule="auto"/>
      <w:jc w:val="center"/>
      <w:textAlignment w:val="baseline"/>
    </w:pPr>
    <w:rPr>
      <w:rFonts w:ascii="宋体" w:hAnsi="宋体" w:eastAsia="宋体"/>
      <w:bCs w:val="0"/>
      <w:sz w:val="36"/>
    </w:rPr>
  </w:style>
  <w:style w:type="paragraph" w:customStyle="1" w:styleId="230">
    <w:name w:val="pa-11"/>
    <w:basedOn w:val="1"/>
    <w:qFormat/>
    <w:uiPriority w:val="0"/>
    <w:pPr>
      <w:widowControl/>
      <w:spacing w:before="169" w:after="169"/>
      <w:jc w:val="left"/>
    </w:pPr>
    <w:rPr>
      <w:rFonts w:ascii="宋体" w:hAnsi="宋体" w:cs="宋体"/>
      <w:kern w:val="0"/>
      <w:sz w:val="24"/>
    </w:rPr>
  </w:style>
  <w:style w:type="paragraph" w:customStyle="1" w:styleId="231">
    <w:name w:val="正文首行缩进两字符"/>
    <w:basedOn w:val="1"/>
    <w:qFormat/>
    <w:uiPriority w:val="0"/>
    <w:pPr>
      <w:spacing w:line="360" w:lineRule="auto"/>
      <w:ind w:firstLine="200" w:firstLineChars="200"/>
    </w:pPr>
  </w:style>
  <w:style w:type="paragraph" w:customStyle="1" w:styleId="232">
    <w:name w:val="Char Char Char"/>
    <w:basedOn w:val="1"/>
    <w:qFormat/>
    <w:uiPriority w:val="0"/>
    <w:pPr>
      <w:widowControl/>
      <w:spacing w:after="160" w:afterLines="0" w:line="240" w:lineRule="exact"/>
      <w:jc w:val="left"/>
    </w:pPr>
    <w:rPr>
      <w:rFonts w:ascii="Verdana" w:hAnsi="Verdana"/>
      <w:kern w:val="0"/>
      <w:sz w:val="20"/>
      <w:szCs w:val="20"/>
      <w:lang w:eastAsia="en-US"/>
    </w:rPr>
  </w:style>
  <w:style w:type="paragraph" w:customStyle="1" w:styleId="233">
    <w:name w:val="节标题"/>
    <w:basedOn w:val="1"/>
    <w:next w:val="188"/>
    <w:qFormat/>
    <w:uiPriority w:val="0"/>
    <w:pPr>
      <w:widowControl/>
      <w:spacing w:line="289" w:lineRule="atLeast"/>
      <w:jc w:val="center"/>
      <w:textAlignment w:val="baseline"/>
    </w:pPr>
    <w:rPr>
      <w:color w:val="000000"/>
      <w:kern w:val="0"/>
      <w:sz w:val="28"/>
      <w:szCs w:val="20"/>
    </w:rPr>
  </w:style>
  <w:style w:type="paragraph" w:customStyle="1" w:styleId="234">
    <w:name w:val="pa-10"/>
    <w:basedOn w:val="1"/>
    <w:qFormat/>
    <w:uiPriority w:val="0"/>
    <w:pPr>
      <w:widowControl/>
      <w:spacing w:before="169" w:after="169"/>
      <w:jc w:val="left"/>
    </w:pPr>
    <w:rPr>
      <w:rFonts w:ascii="宋体" w:hAnsi="宋体" w:cs="宋体"/>
      <w:kern w:val="0"/>
      <w:sz w:val="24"/>
    </w:rPr>
  </w:style>
  <w:style w:type="paragraph" w:customStyle="1" w:styleId="235">
    <w:name w:val="List Paragraph11"/>
    <w:basedOn w:val="1"/>
    <w:qFormat/>
    <w:uiPriority w:val="0"/>
    <w:pPr>
      <w:ind w:firstLine="420" w:firstLineChars="200"/>
    </w:pPr>
    <w:rPr>
      <w:rFonts w:ascii="Calibri" w:hAnsi="Calibri"/>
      <w:szCs w:val="22"/>
    </w:rPr>
  </w:style>
  <w:style w:type="paragraph" w:customStyle="1" w:styleId="236">
    <w:name w:val="正文_0"/>
    <w:qFormat/>
    <w:uiPriority w:val="0"/>
    <w:rPr>
      <w:rFonts w:ascii="Times New Roman" w:hAnsi="Times New Roman" w:eastAsia="宋体" w:cs="Times New Roman"/>
      <w:sz w:val="21"/>
      <w:lang w:val="en-US" w:eastAsia="zh-CN" w:bidi="ar-SA"/>
    </w:rPr>
  </w:style>
  <w:style w:type="paragraph" w:customStyle="1" w:styleId="237">
    <w:name w:val="正文段"/>
    <w:basedOn w:val="1"/>
    <w:qFormat/>
    <w:uiPriority w:val="0"/>
    <w:pPr>
      <w:widowControl/>
      <w:snapToGrid w:val="0"/>
      <w:spacing w:after="156" w:afterLines="50"/>
      <w:ind w:firstLine="200" w:firstLineChars="200"/>
    </w:pPr>
    <w:rPr>
      <w:kern w:val="0"/>
      <w:sz w:val="24"/>
      <w:szCs w:val="20"/>
    </w:rPr>
  </w:style>
  <w:style w:type="paragraph" w:customStyle="1" w:styleId="238">
    <w:name w:val="默认段落字体 Para Char Char Char Char Char Char Char Char Char1 Char Char Char Char"/>
    <w:basedOn w:val="1"/>
    <w:qFormat/>
    <w:uiPriority w:val="0"/>
    <w:rPr>
      <w:rFonts w:ascii="Tahoma" w:hAnsi="Tahoma"/>
      <w:sz w:val="24"/>
      <w:szCs w:val="20"/>
    </w:rPr>
  </w:style>
  <w:style w:type="paragraph" w:customStyle="1" w:styleId="239">
    <w:name w:val="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40">
    <w:name w:val="表格"/>
    <w:basedOn w:val="1"/>
    <w:qFormat/>
    <w:uiPriority w:val="0"/>
    <w:pPr>
      <w:spacing w:line="400" w:lineRule="exact"/>
    </w:pPr>
    <w:rPr>
      <w:sz w:val="24"/>
    </w:rPr>
  </w:style>
  <w:style w:type="paragraph" w:customStyle="1" w:styleId="241">
    <w:name w:val="_Style 25"/>
    <w:basedOn w:val="15"/>
    <w:qFormat/>
    <w:uiPriority w:val="0"/>
    <w:pPr>
      <w:widowControl/>
      <w:ind w:firstLine="454"/>
      <w:jc w:val="left"/>
    </w:pPr>
    <w:rPr>
      <w:rFonts w:ascii="Tahoma" w:hAnsi="Tahoma" w:cs="宋体"/>
      <w:kern w:val="0"/>
      <w:sz w:val="24"/>
      <w:szCs w:val="20"/>
    </w:rPr>
  </w:style>
  <w:style w:type="paragraph" w:customStyle="1" w:styleId="242">
    <w:name w:val="样式 宋体 小四 行距: 1.5 倍行距1 Char"/>
    <w:basedOn w:val="1"/>
    <w:qFormat/>
    <w:uiPriority w:val="0"/>
    <w:pPr>
      <w:spacing w:line="360" w:lineRule="auto"/>
      <w:ind w:firstLine="540" w:firstLineChars="225"/>
    </w:pPr>
    <w:rPr>
      <w:rFonts w:ascii="宋体" w:hAnsi="宋体"/>
      <w:sz w:val="24"/>
    </w:rPr>
  </w:style>
  <w:style w:type="paragraph" w:customStyle="1" w:styleId="243">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244">
    <w:name w:val="标题3"/>
    <w:basedOn w:val="4"/>
    <w:qFormat/>
    <w:uiPriority w:val="0"/>
    <w:pPr>
      <w:keepLines w:val="0"/>
      <w:widowControl/>
      <w:tabs>
        <w:tab w:val="left" w:pos="1247"/>
      </w:tabs>
      <w:spacing w:before="240" w:beforeLines="0" w:after="120" w:afterLines="0" w:line="360" w:lineRule="auto"/>
      <w:ind w:left="1247" w:hanging="1247"/>
      <w:jc w:val="left"/>
    </w:pPr>
    <w:rPr>
      <w:rFonts w:ascii="Arial" w:hAnsi="Arial"/>
      <w:sz w:val="52"/>
      <w:szCs w:val="52"/>
      <w:lang w:val="en-US" w:eastAsia="zh-CN"/>
    </w:rPr>
  </w:style>
  <w:style w:type="paragraph" w:customStyle="1" w:styleId="245">
    <w:name w:val="Char Char Char1 Char"/>
    <w:basedOn w:val="1"/>
    <w:qFormat/>
    <w:uiPriority w:val="0"/>
    <w:pPr>
      <w:tabs>
        <w:tab w:val="left" w:pos="360"/>
      </w:tabs>
      <w:spacing w:line="360" w:lineRule="auto"/>
      <w:ind w:left="482" w:firstLine="200" w:firstLineChars="200"/>
    </w:pPr>
    <w:rPr>
      <w:rFonts w:ascii="宋体"/>
      <w:sz w:val="24"/>
      <w:szCs w:val="20"/>
    </w:rPr>
  </w:style>
  <w:style w:type="paragraph" w:customStyle="1" w:styleId="246">
    <w:name w:val="Char Char11"/>
    <w:basedOn w:val="1"/>
    <w:qFormat/>
    <w:uiPriority w:val="0"/>
    <w:pPr>
      <w:widowControl/>
      <w:spacing w:after="160" w:line="240" w:lineRule="exact"/>
      <w:jc w:val="left"/>
    </w:pPr>
    <w:rPr>
      <w:rFonts w:ascii="Verdana" w:hAnsi="Verdana" w:eastAsia="楷体_GB2312" w:cs="宋体"/>
      <w:b/>
      <w:i/>
      <w:iCs/>
      <w:color w:val="000000"/>
      <w:kern w:val="0"/>
      <w:sz w:val="20"/>
      <w:lang w:eastAsia="en-US"/>
    </w:rPr>
  </w:style>
  <w:style w:type="paragraph" w:customStyle="1" w:styleId="247">
    <w:name w:val="Char Char Char1 Char Char Char Char Char Char Char Char Char Char Char Char Char Char Char"/>
    <w:basedOn w:val="1"/>
    <w:qFormat/>
    <w:uiPriority w:val="0"/>
    <w:pPr>
      <w:widowControl/>
      <w:adjustRightInd w:val="0"/>
      <w:spacing w:after="160" w:afterLines="0" w:line="240" w:lineRule="exact"/>
      <w:jc w:val="left"/>
    </w:pPr>
    <w:rPr>
      <w:rFonts w:ascii="Verdana" w:hAnsi="Verdana"/>
      <w:kern w:val="0"/>
      <w:sz w:val="20"/>
      <w:szCs w:val="20"/>
      <w:lang w:eastAsia="en-US"/>
    </w:rPr>
  </w:style>
  <w:style w:type="paragraph" w:customStyle="1" w:styleId="248">
    <w:name w:val=" Char Char19 Char Char Char Char"/>
    <w:basedOn w:val="15"/>
    <w:qFormat/>
    <w:uiPriority w:val="0"/>
    <w:pPr>
      <w:widowControl/>
      <w:ind w:firstLine="454"/>
      <w:jc w:val="left"/>
    </w:pPr>
  </w:style>
  <w:style w:type="paragraph" w:customStyle="1" w:styleId="249">
    <w:name w:val="p15"/>
    <w:basedOn w:val="1"/>
    <w:qFormat/>
    <w:uiPriority w:val="0"/>
    <w:pPr>
      <w:widowControl/>
    </w:pPr>
    <w:rPr>
      <w:rFonts w:ascii="宋体" w:hAnsi="宋体" w:cs="宋体"/>
      <w:kern w:val="0"/>
      <w:szCs w:val="21"/>
    </w:rPr>
  </w:style>
  <w:style w:type="paragraph" w:customStyle="1" w:styleId="250">
    <w:name w:val="List Paragraph1"/>
    <w:basedOn w:val="1"/>
    <w:qFormat/>
    <w:uiPriority w:val="0"/>
    <w:pPr>
      <w:ind w:firstLine="420" w:firstLineChars="200"/>
    </w:pPr>
  </w:style>
  <w:style w:type="paragraph" w:customStyle="1" w:styleId="251">
    <w:name w:val=" 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52">
    <w:name w:val="表-标题"/>
    <w:basedOn w:val="1"/>
    <w:qFormat/>
    <w:uiPriority w:val="0"/>
    <w:pPr>
      <w:autoSpaceDE w:val="0"/>
      <w:autoSpaceDN w:val="0"/>
      <w:adjustRightInd w:val="0"/>
      <w:spacing w:line="288" w:lineRule="auto"/>
      <w:jc w:val="center"/>
    </w:pPr>
    <w:rPr>
      <w:rFonts w:ascii="汉仪大黑简 regular" w:hAnsi="Calibri" w:eastAsia="汉仪大黑简 regular" w:cs="汉仪大黑简 regular"/>
      <w:color w:val="000000"/>
      <w:kern w:val="0"/>
      <w:sz w:val="16"/>
      <w:szCs w:val="16"/>
      <w:lang w:val="zh-CN"/>
    </w:rPr>
  </w:style>
  <w:style w:type="paragraph" w:customStyle="1" w:styleId="253">
    <w:name w:val="标题1"/>
    <w:basedOn w:val="2"/>
    <w:qFormat/>
    <w:uiPriority w:val="0"/>
    <w:pPr>
      <w:keepLines w:val="0"/>
      <w:widowControl/>
      <w:pBdr>
        <w:bottom w:val="single" w:color="auto" w:sz="8" w:space="6"/>
      </w:pBdr>
      <w:tabs>
        <w:tab w:val="left" w:pos="0"/>
      </w:tabs>
      <w:spacing w:before="480" w:beforeLines="0" w:after="240" w:afterLines="0" w:line="360" w:lineRule="auto"/>
      <w:ind w:left="567" w:hanging="567"/>
      <w:jc w:val="left"/>
    </w:pPr>
    <w:rPr>
      <w:rFonts w:ascii="宋体" w:hAnsi="宋体"/>
      <w:smallCaps/>
      <w:color w:val="000000"/>
      <w:spacing w:val="10"/>
      <w:kern w:val="20"/>
      <w:sz w:val="21"/>
      <w:szCs w:val="21"/>
    </w:rPr>
  </w:style>
  <w:style w:type="paragraph" w:customStyle="1" w:styleId="254">
    <w:name w:val=" Char Char9 Char Char Char Char"/>
    <w:basedOn w:val="1"/>
    <w:qFormat/>
    <w:uiPriority w:val="0"/>
    <w:pPr>
      <w:widowControl/>
      <w:spacing w:after="160" w:line="240" w:lineRule="exact"/>
      <w:jc w:val="left"/>
    </w:pPr>
  </w:style>
  <w:style w:type="paragraph" w:customStyle="1" w:styleId="255">
    <w:name w:val=" Char1"/>
    <w:basedOn w:val="1"/>
    <w:qFormat/>
    <w:uiPriority w:val="0"/>
    <w:pPr>
      <w:widowControl/>
      <w:spacing w:after="160" w:line="240" w:lineRule="exact"/>
      <w:jc w:val="left"/>
    </w:pPr>
    <w:rPr>
      <w:rFonts w:ascii="Verdana" w:hAnsi="Verdana" w:eastAsia="仿宋_GB2312"/>
      <w:kern w:val="0"/>
      <w:sz w:val="24"/>
      <w:szCs w:val="20"/>
      <w:lang w:eastAsia="en-U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58</Pages>
  <Words>9401</Words>
  <Characters>10585</Characters>
  <Lines>305</Lines>
  <Paragraphs>86</Paragraphs>
  <TotalTime>3</TotalTime>
  <ScaleCrop>false</ScaleCrop>
  <LinksUpToDate>false</LinksUpToDate>
  <CharactersWithSpaces>10934</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2017-10-25T03:33:00Z</dcterms:created>
  <dc:creator>聂泉源</dc:creator>
  <cp:lastModifiedBy>gxxc</cp:lastModifiedBy>
  <cp:lastPrinted>2017-09-21T02:09:00Z</cp:lastPrinted>
  <dcterms:modified xsi:type="dcterms:W3CDTF">2025-10-09T11:06:57Z</dcterms:modified>
  <dc:title>3</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KSOTemplateDocerSaveRecord">
    <vt:lpwstr>eyJoZGlkIjoiMTUyNDhmOWU4ZDRkMzNmMmFkYWMwMmFjZTJmOGM4YjgiLCJ1c2VySWQiOiI3MTkzODkwMDUifQ==</vt:lpwstr>
  </property>
  <property fmtid="{D5CDD505-2E9C-101B-9397-08002B2CF9AE}" pid="4" name="ICV">
    <vt:lpwstr>E8E40919F21E43A7838AA1F63CBD616D_13</vt:lpwstr>
  </property>
</Properties>
</file>