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71D9F">
      <w:pPr>
        <w:ind w:left="0" w:leftChars="0" w:firstLine="0" w:firstLineChars="0"/>
        <w:jc w:val="center"/>
        <w:rPr>
          <w:rFonts w:hint="eastAsia" w:ascii="仿宋" w:hAnsi="仿宋" w:eastAsia="仿宋" w:cs="仿宋"/>
          <w:b/>
          <w:color w:val="auto"/>
          <w:kern w:val="0"/>
          <w:sz w:val="20"/>
          <w:szCs w:val="21"/>
          <w:highlight w:val="none"/>
        </w:rPr>
      </w:pPr>
      <w:r>
        <w:rPr>
          <w:rFonts w:hint="eastAsia" w:ascii="仿宋" w:hAnsi="仿宋" w:eastAsia="仿宋" w:cs="仿宋"/>
          <w:color w:val="auto"/>
          <w:kern w:val="0"/>
          <w:sz w:val="20"/>
          <w:szCs w:val="21"/>
          <w:highlight w:val="none"/>
        </w:rPr>
        <w:drawing>
          <wp:inline distT="0" distB="0" distL="0" distR="0">
            <wp:extent cx="885825" cy="933450"/>
            <wp:effectExtent l="0" t="0" r="9525" b="0"/>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12" cstate="print"/>
                    <a:srcRect/>
                    <a:stretch>
                      <a:fillRect/>
                    </a:stretch>
                  </pic:blipFill>
                  <pic:spPr>
                    <a:xfrm>
                      <a:off x="0" y="0"/>
                      <a:ext cx="885825" cy="933450"/>
                    </a:xfrm>
                    <a:prstGeom prst="rect">
                      <a:avLst/>
                    </a:prstGeom>
                    <a:ln>
                      <a:noFill/>
                    </a:ln>
                  </pic:spPr>
                </pic:pic>
              </a:graphicData>
            </a:graphic>
          </wp:inline>
        </w:drawing>
      </w:r>
    </w:p>
    <w:p w14:paraId="3908486F">
      <w:pPr>
        <w:ind w:firstLine="402"/>
        <w:jc w:val="center"/>
        <w:rPr>
          <w:rFonts w:hint="eastAsia" w:ascii="仿宋" w:hAnsi="仿宋" w:eastAsia="仿宋" w:cs="仿宋"/>
          <w:b/>
          <w:color w:val="auto"/>
          <w:kern w:val="0"/>
          <w:sz w:val="20"/>
          <w:szCs w:val="21"/>
          <w:highlight w:val="none"/>
        </w:rPr>
      </w:pPr>
    </w:p>
    <w:p w14:paraId="0DCFA4EA">
      <w:pPr>
        <w:ind w:left="0" w:leftChars="0" w:firstLine="0" w:firstLineChars="0"/>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52"/>
          <w:szCs w:val="21"/>
          <w:highlight w:val="none"/>
          <w:u w:val="single"/>
        </w:rPr>
        <w:t>广 西 科 文 招 标 有 限 公 司</w:t>
      </w:r>
    </w:p>
    <w:p w14:paraId="71F66FA2">
      <w:pPr>
        <w:ind w:firstLine="402"/>
        <w:jc w:val="center"/>
        <w:rPr>
          <w:rFonts w:hint="eastAsia" w:ascii="仿宋" w:hAnsi="仿宋" w:eastAsia="仿宋" w:cs="仿宋"/>
          <w:b/>
          <w:color w:val="auto"/>
          <w:kern w:val="0"/>
          <w:sz w:val="20"/>
          <w:szCs w:val="21"/>
          <w:highlight w:val="none"/>
        </w:rPr>
      </w:pPr>
    </w:p>
    <w:p w14:paraId="162596C3">
      <w:pPr>
        <w:ind w:firstLine="402"/>
        <w:rPr>
          <w:rFonts w:hint="eastAsia" w:ascii="仿宋" w:hAnsi="仿宋" w:eastAsia="仿宋" w:cs="仿宋"/>
          <w:b/>
          <w:color w:val="auto"/>
          <w:kern w:val="0"/>
          <w:sz w:val="20"/>
          <w:szCs w:val="21"/>
          <w:highlight w:val="none"/>
        </w:rPr>
      </w:pPr>
    </w:p>
    <w:p w14:paraId="3B156286">
      <w:pPr>
        <w:ind w:firstLine="1446"/>
        <w:jc w:val="center"/>
        <w:rPr>
          <w:rFonts w:hint="eastAsia" w:ascii="仿宋" w:hAnsi="仿宋" w:eastAsia="仿宋" w:cs="仿宋"/>
          <w:b/>
          <w:bCs/>
          <w:color w:val="auto"/>
          <w:kern w:val="0"/>
          <w:sz w:val="72"/>
          <w:szCs w:val="72"/>
          <w:highlight w:val="none"/>
        </w:rPr>
      </w:pPr>
    </w:p>
    <w:p w14:paraId="3E71848C">
      <w:pPr>
        <w:ind w:left="0" w:leftChars="0" w:firstLine="0" w:firstLineChars="0"/>
        <w:jc w:val="center"/>
        <w:rPr>
          <w:rFonts w:hint="eastAsia" w:ascii="仿宋" w:hAnsi="仿宋" w:eastAsia="仿宋" w:cs="仿宋"/>
          <w:b/>
          <w:bCs/>
          <w:color w:val="auto"/>
          <w:kern w:val="0"/>
          <w:sz w:val="72"/>
          <w:szCs w:val="72"/>
          <w:highlight w:val="none"/>
        </w:rPr>
      </w:pPr>
      <w:r>
        <w:rPr>
          <w:rFonts w:hint="eastAsia" w:ascii="仿宋" w:hAnsi="仿宋" w:eastAsia="仿宋" w:cs="仿宋"/>
          <w:b/>
          <w:bCs/>
          <w:color w:val="auto"/>
          <w:kern w:val="0"/>
          <w:sz w:val="72"/>
          <w:szCs w:val="72"/>
          <w:highlight w:val="none"/>
        </w:rPr>
        <w:t>竞争性谈判采购文件</w:t>
      </w:r>
    </w:p>
    <w:p w14:paraId="23F6CED8">
      <w:pPr>
        <w:snapToGrid w:val="0"/>
        <w:spacing w:line="360" w:lineRule="auto"/>
        <w:ind w:left="0" w:leftChars="0" w:firstLine="0" w:firstLineChars="0"/>
        <w:jc w:val="center"/>
        <w:rPr>
          <w:rFonts w:hint="eastAsia" w:ascii="仿宋" w:hAnsi="仿宋" w:eastAsia="仿宋" w:cs="仿宋"/>
          <w:color w:val="auto"/>
          <w:sz w:val="30"/>
          <w:szCs w:val="72"/>
          <w:highlight w:val="none"/>
        </w:rPr>
      </w:pPr>
      <w:r>
        <w:rPr>
          <w:rFonts w:hint="eastAsia" w:ascii="仿宋" w:hAnsi="仿宋" w:eastAsia="仿宋" w:cs="仿宋"/>
          <w:color w:val="auto"/>
          <w:sz w:val="30"/>
          <w:szCs w:val="72"/>
          <w:highlight w:val="none"/>
        </w:rPr>
        <w:t>（全流程电子化评标）</w:t>
      </w:r>
    </w:p>
    <w:p w14:paraId="4E6A0218">
      <w:pPr>
        <w:ind w:firstLine="640" w:firstLineChars="200"/>
        <w:rPr>
          <w:rFonts w:hint="eastAsia" w:ascii="仿宋" w:hAnsi="仿宋" w:eastAsia="仿宋" w:cs="仿宋"/>
          <w:color w:val="auto"/>
          <w:kern w:val="0"/>
          <w:sz w:val="32"/>
          <w:szCs w:val="24"/>
          <w:highlight w:val="none"/>
        </w:rPr>
      </w:pPr>
    </w:p>
    <w:p w14:paraId="53DF3373">
      <w:pPr>
        <w:ind w:left="0" w:leftChars="0" w:firstLine="0" w:firstLineChars="0"/>
        <w:jc w:val="center"/>
        <w:rPr>
          <w:rFonts w:hint="eastAsia" w:ascii="仿宋" w:hAnsi="仿宋" w:eastAsia="仿宋" w:cs="仿宋"/>
          <w:b/>
          <w:color w:val="auto"/>
          <w:kern w:val="0"/>
          <w:sz w:val="30"/>
          <w:szCs w:val="72"/>
          <w:highlight w:val="none"/>
          <w:lang w:eastAsia="zh-CN"/>
        </w:rPr>
      </w:pPr>
      <w:r>
        <w:rPr>
          <w:rFonts w:hint="eastAsia" w:ascii="仿宋" w:hAnsi="仿宋" w:eastAsia="仿宋" w:cs="仿宋"/>
          <w:b/>
          <w:color w:val="auto"/>
          <w:kern w:val="0"/>
          <w:sz w:val="30"/>
          <w:szCs w:val="72"/>
          <w:highlight w:val="none"/>
        </w:rPr>
        <w:t>项目名称：</w:t>
      </w:r>
      <w:r>
        <w:rPr>
          <w:rFonts w:hint="eastAsia" w:ascii="仿宋" w:hAnsi="仿宋" w:eastAsia="仿宋" w:cs="仿宋"/>
          <w:b/>
          <w:color w:val="auto"/>
          <w:kern w:val="0"/>
          <w:sz w:val="30"/>
          <w:szCs w:val="72"/>
          <w:highlight w:val="none"/>
          <w:lang w:val="en-US" w:eastAsia="zh-CN"/>
        </w:rPr>
        <w:t>南宁监狱门诊</w:t>
      </w:r>
      <w:r>
        <w:rPr>
          <w:rFonts w:hint="eastAsia" w:ascii="仿宋" w:hAnsi="仿宋" w:eastAsia="仿宋" w:cs="仿宋"/>
          <w:b/>
          <w:color w:val="auto"/>
          <w:kern w:val="0"/>
          <w:sz w:val="30"/>
          <w:szCs w:val="72"/>
          <w:highlight w:val="none"/>
          <w:lang w:eastAsia="zh-CN"/>
        </w:rPr>
        <w:t>医疗设备采购</w:t>
      </w:r>
    </w:p>
    <w:p w14:paraId="34C5AFB9">
      <w:pPr>
        <w:ind w:left="0" w:leftChars="0" w:firstLine="0" w:firstLineChars="0"/>
        <w:jc w:val="center"/>
        <w:rPr>
          <w:rFonts w:hint="eastAsia" w:ascii="仿宋" w:hAnsi="仿宋" w:eastAsia="仿宋" w:cs="仿宋"/>
          <w:b/>
          <w:color w:val="auto"/>
          <w:kern w:val="0"/>
          <w:sz w:val="30"/>
          <w:szCs w:val="72"/>
          <w:highlight w:val="none"/>
          <w:lang w:eastAsia="zh-CN"/>
        </w:rPr>
      </w:pPr>
      <w:r>
        <w:rPr>
          <w:rFonts w:hint="eastAsia" w:ascii="仿宋" w:hAnsi="仿宋" w:eastAsia="仿宋" w:cs="仿宋"/>
          <w:b/>
          <w:color w:val="auto"/>
          <w:kern w:val="0"/>
          <w:sz w:val="30"/>
          <w:szCs w:val="72"/>
          <w:highlight w:val="none"/>
        </w:rPr>
        <w:t>项目编号：</w:t>
      </w:r>
      <w:r>
        <w:rPr>
          <w:rFonts w:hint="eastAsia" w:ascii="仿宋" w:hAnsi="仿宋" w:eastAsia="仿宋" w:cs="仿宋"/>
          <w:b/>
          <w:color w:val="auto"/>
          <w:kern w:val="0"/>
          <w:sz w:val="30"/>
          <w:szCs w:val="72"/>
          <w:highlight w:val="none"/>
          <w:lang w:eastAsia="zh-CN"/>
        </w:rPr>
        <w:t>GXZC2025-J1-001135-KWZB</w:t>
      </w:r>
    </w:p>
    <w:p w14:paraId="1EF32A18">
      <w:pPr>
        <w:keepNext/>
        <w:keepLines/>
        <w:widowControl/>
        <w:spacing w:line="360" w:lineRule="auto"/>
        <w:ind w:firstLine="560"/>
        <w:jc w:val="center"/>
        <w:outlineLvl w:val="3"/>
        <w:rPr>
          <w:rFonts w:hint="eastAsia" w:ascii="仿宋" w:hAnsi="仿宋" w:eastAsia="仿宋" w:cs="仿宋"/>
          <w:color w:val="auto"/>
          <w:kern w:val="0"/>
          <w:sz w:val="28"/>
          <w:szCs w:val="20"/>
          <w:highlight w:val="none"/>
        </w:rPr>
      </w:pPr>
    </w:p>
    <w:p w14:paraId="71A2A50B">
      <w:pPr>
        <w:ind w:firstLine="420"/>
        <w:rPr>
          <w:rFonts w:hint="eastAsia" w:ascii="仿宋" w:hAnsi="仿宋" w:eastAsia="仿宋" w:cs="仿宋"/>
          <w:color w:val="auto"/>
          <w:szCs w:val="24"/>
          <w:highlight w:val="none"/>
        </w:rPr>
      </w:pPr>
    </w:p>
    <w:p w14:paraId="07A29E65">
      <w:pPr>
        <w:ind w:left="0" w:leftChars="0" w:firstLine="0" w:firstLineChars="0"/>
        <w:jc w:val="center"/>
        <w:rPr>
          <w:rFonts w:hint="eastAsia" w:ascii="仿宋" w:hAnsi="仿宋" w:eastAsia="仿宋" w:cs="仿宋"/>
          <w:b/>
          <w:color w:val="auto"/>
          <w:kern w:val="0"/>
          <w:sz w:val="30"/>
          <w:szCs w:val="72"/>
          <w:highlight w:val="none"/>
          <w:lang w:eastAsia="zh-CN"/>
        </w:rPr>
      </w:pPr>
      <w:r>
        <w:rPr>
          <w:rFonts w:hint="eastAsia" w:ascii="仿宋" w:hAnsi="仿宋" w:eastAsia="仿宋" w:cs="仿宋"/>
          <w:b/>
          <w:color w:val="auto"/>
          <w:kern w:val="0"/>
          <w:sz w:val="30"/>
          <w:szCs w:val="72"/>
          <w:highlight w:val="none"/>
        </w:rPr>
        <w:t>采购单位：</w:t>
      </w:r>
      <w:r>
        <w:rPr>
          <w:rFonts w:hint="eastAsia" w:ascii="仿宋" w:hAnsi="仿宋" w:eastAsia="仿宋" w:cs="仿宋"/>
          <w:b/>
          <w:color w:val="auto"/>
          <w:kern w:val="0"/>
          <w:sz w:val="30"/>
          <w:szCs w:val="72"/>
          <w:highlight w:val="none"/>
          <w:lang w:eastAsia="zh-CN"/>
        </w:rPr>
        <w:t>广西壮族自治区南宁监狱</w:t>
      </w:r>
    </w:p>
    <w:p w14:paraId="04A344DD">
      <w:pPr>
        <w:ind w:left="0" w:leftChars="0" w:firstLine="0" w:firstLineChars="0"/>
        <w:jc w:val="center"/>
        <w:rPr>
          <w:rFonts w:hint="eastAsia" w:ascii="仿宋" w:hAnsi="仿宋" w:eastAsia="仿宋" w:cs="仿宋"/>
          <w:color w:val="auto"/>
          <w:kern w:val="0"/>
          <w:sz w:val="20"/>
          <w:szCs w:val="21"/>
          <w:highlight w:val="none"/>
        </w:rPr>
      </w:pPr>
      <w:r>
        <w:rPr>
          <w:rFonts w:hint="eastAsia" w:ascii="仿宋" w:hAnsi="仿宋" w:eastAsia="仿宋" w:cs="仿宋"/>
          <w:b/>
          <w:color w:val="auto"/>
          <w:kern w:val="0"/>
          <w:sz w:val="30"/>
          <w:szCs w:val="72"/>
          <w:highlight w:val="none"/>
        </w:rPr>
        <w:t>采购代理机构：广西科文招标有限公司</w:t>
      </w:r>
    </w:p>
    <w:p w14:paraId="0695804C">
      <w:pPr>
        <w:keepNext/>
        <w:keepLines/>
        <w:widowControl/>
        <w:spacing w:before="120" w:after="120" w:line="360" w:lineRule="auto"/>
        <w:ind w:firstLine="560"/>
        <w:jc w:val="center"/>
        <w:outlineLvl w:val="3"/>
        <w:rPr>
          <w:rFonts w:hint="eastAsia" w:ascii="仿宋" w:hAnsi="仿宋" w:eastAsia="仿宋" w:cs="仿宋"/>
          <w:color w:val="auto"/>
          <w:kern w:val="0"/>
          <w:sz w:val="28"/>
          <w:szCs w:val="20"/>
          <w:highlight w:val="none"/>
        </w:rPr>
      </w:pPr>
    </w:p>
    <w:p w14:paraId="70ADF764">
      <w:pPr>
        <w:ind w:left="0" w:leftChars="0" w:firstLine="0" w:firstLineChars="0"/>
        <w:jc w:val="center"/>
        <w:rPr>
          <w:rFonts w:hint="eastAsia" w:ascii="仿宋" w:hAnsi="仿宋" w:eastAsia="仿宋" w:cs="仿宋"/>
          <w:color w:val="auto"/>
          <w:highlight w:val="none"/>
        </w:rPr>
        <w:sectPr>
          <w:headerReference r:id="rId3" w:type="default"/>
          <w:footerReference r:id="rId4" w:type="default"/>
          <w:footerReference r:id="rId5" w:type="even"/>
          <w:pgSz w:w="11905" w:h="16838"/>
          <w:pgMar w:top="1417" w:right="1417" w:bottom="1417" w:left="1417" w:header="850" w:footer="992" w:gutter="0"/>
          <w:pgNumType w:start="0"/>
          <w:cols w:space="0" w:num="1"/>
          <w:docGrid w:type="lines" w:linePitch="318" w:charSpace="0"/>
        </w:sectPr>
      </w:pPr>
      <w:r>
        <w:rPr>
          <w:rFonts w:hint="eastAsia" w:ascii="仿宋" w:hAnsi="仿宋" w:eastAsia="仿宋" w:cs="仿宋"/>
          <w:b/>
          <w:color w:val="auto"/>
          <w:kern w:val="0"/>
          <w:sz w:val="30"/>
          <w:szCs w:val="72"/>
          <w:highlight w:val="none"/>
        </w:rPr>
        <w:t>202</w:t>
      </w:r>
      <w:r>
        <w:rPr>
          <w:rFonts w:hint="eastAsia" w:ascii="仿宋" w:hAnsi="仿宋" w:eastAsia="仿宋" w:cs="仿宋"/>
          <w:b/>
          <w:color w:val="auto"/>
          <w:kern w:val="0"/>
          <w:sz w:val="30"/>
          <w:szCs w:val="72"/>
          <w:highlight w:val="none"/>
          <w:lang w:val="en-US" w:eastAsia="zh-CN"/>
        </w:rPr>
        <w:t>5</w:t>
      </w:r>
      <w:r>
        <w:rPr>
          <w:rFonts w:hint="eastAsia" w:ascii="仿宋" w:hAnsi="仿宋" w:eastAsia="仿宋" w:cs="仿宋"/>
          <w:b/>
          <w:color w:val="auto"/>
          <w:kern w:val="0"/>
          <w:sz w:val="30"/>
          <w:szCs w:val="72"/>
          <w:highlight w:val="none"/>
        </w:rPr>
        <w:t>年</w:t>
      </w:r>
      <w:r>
        <w:rPr>
          <w:rFonts w:hint="eastAsia" w:ascii="仿宋" w:hAnsi="仿宋" w:eastAsia="仿宋" w:cs="仿宋"/>
          <w:b/>
          <w:color w:val="auto"/>
          <w:kern w:val="0"/>
          <w:sz w:val="30"/>
          <w:szCs w:val="72"/>
          <w:highlight w:val="none"/>
          <w:lang w:val="en-US" w:eastAsia="zh-CN"/>
        </w:rPr>
        <w:t>6</w:t>
      </w:r>
      <w:r>
        <w:rPr>
          <w:rFonts w:hint="eastAsia" w:ascii="仿宋" w:hAnsi="仿宋" w:eastAsia="仿宋" w:cs="仿宋"/>
          <w:b/>
          <w:color w:val="auto"/>
          <w:kern w:val="0"/>
          <w:sz w:val="30"/>
          <w:szCs w:val="72"/>
          <w:highlight w:val="none"/>
        </w:rPr>
        <w:t>月</w:t>
      </w:r>
      <w:r>
        <w:rPr>
          <w:rFonts w:hint="eastAsia" w:ascii="仿宋" w:hAnsi="仿宋" w:eastAsia="仿宋" w:cs="仿宋"/>
          <w:b/>
          <w:color w:val="auto"/>
          <w:kern w:val="0"/>
          <w:sz w:val="30"/>
          <w:szCs w:val="72"/>
          <w:highlight w:val="none"/>
          <w:lang w:val="en-US" w:eastAsia="zh-CN"/>
        </w:rPr>
        <w:t>8</w:t>
      </w:r>
      <w:r>
        <w:rPr>
          <w:rFonts w:hint="eastAsia" w:ascii="仿宋" w:hAnsi="仿宋" w:eastAsia="仿宋" w:cs="仿宋"/>
          <w:b/>
          <w:color w:val="auto"/>
          <w:kern w:val="0"/>
          <w:sz w:val="30"/>
          <w:szCs w:val="72"/>
          <w:highlight w:val="none"/>
        </w:rPr>
        <w:t xml:space="preserve">日  </w:t>
      </w:r>
    </w:p>
    <w:p w14:paraId="0E6457F7">
      <w:pPr>
        <w:spacing w:line="360" w:lineRule="auto"/>
        <w:ind w:firstLine="883"/>
        <w:rPr>
          <w:rFonts w:hint="eastAsia" w:ascii="仿宋" w:hAnsi="仿宋" w:eastAsia="仿宋" w:cs="仿宋"/>
          <w:b/>
          <w:color w:val="auto"/>
          <w:sz w:val="44"/>
          <w:szCs w:val="44"/>
          <w:highlight w:val="none"/>
        </w:rPr>
      </w:pPr>
    </w:p>
    <w:p w14:paraId="3A8F519C">
      <w:pPr>
        <w:spacing w:line="360" w:lineRule="auto"/>
        <w:ind w:left="0" w:leftChars="0" w:firstLine="0" w:firstLineChars="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273A8DF6">
      <w:pPr>
        <w:spacing w:line="400" w:lineRule="exact"/>
        <w:ind w:firstLine="883"/>
        <w:jc w:val="center"/>
        <w:rPr>
          <w:rFonts w:hint="eastAsia" w:ascii="仿宋" w:hAnsi="仿宋" w:eastAsia="仿宋" w:cs="仿宋"/>
          <w:b/>
          <w:color w:val="auto"/>
          <w:sz w:val="44"/>
          <w:szCs w:val="44"/>
          <w:highlight w:val="none"/>
        </w:rPr>
      </w:pPr>
    </w:p>
    <w:p w14:paraId="0C64EA5E">
      <w:pPr>
        <w:tabs>
          <w:tab w:val="right" w:leader="dot" w:pos="8730"/>
        </w:tabs>
        <w:spacing w:before="120" w:after="120"/>
        <w:ind w:firstLine="241" w:firstLineChars="100"/>
        <w:jc w:val="left"/>
        <w:rPr>
          <w:rFonts w:hint="eastAsia" w:ascii="仿宋" w:hAnsi="仿宋" w:eastAsia="仿宋" w:cs="仿宋"/>
          <w:b/>
          <w:bCs/>
          <w:caps/>
          <w:color w:val="auto"/>
          <w:sz w:val="24"/>
          <w:szCs w:val="24"/>
          <w:highlight w:val="none"/>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TOC \o "1-3" \h \z \u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 TOC \o "1-3" \h \z \u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"_Toc74322008" </w:instrText>
      </w:r>
      <w:r>
        <w:rPr>
          <w:rFonts w:hint="eastAsia" w:ascii="仿宋" w:hAnsi="仿宋" w:eastAsia="仿宋" w:cs="仿宋"/>
          <w:color w:val="auto"/>
          <w:highlight w:val="none"/>
        </w:rPr>
        <w:fldChar w:fldCharType="separate"/>
      </w:r>
      <w:r>
        <w:rPr>
          <w:rFonts w:hint="eastAsia" w:ascii="仿宋" w:hAnsi="仿宋" w:eastAsia="仿宋" w:cs="仿宋"/>
          <w:b/>
          <w:bCs/>
          <w:caps/>
          <w:color w:val="auto"/>
          <w:sz w:val="24"/>
          <w:szCs w:val="24"/>
          <w:highlight w:val="none"/>
        </w:rPr>
        <w:t>第一章 竞争性谈判公告</w:t>
      </w:r>
      <w:r>
        <w:rPr>
          <w:rFonts w:hint="eastAsia" w:ascii="仿宋" w:hAnsi="仿宋" w:eastAsia="仿宋" w:cs="仿宋"/>
          <w:b/>
          <w:bCs/>
          <w:caps/>
          <w:color w:val="auto"/>
          <w:sz w:val="24"/>
          <w:szCs w:val="24"/>
          <w:highlight w:val="none"/>
        </w:rPr>
        <w:fldChar w:fldCharType="end"/>
      </w:r>
      <w:r>
        <w:rPr>
          <w:rFonts w:hint="eastAsia" w:ascii="仿宋" w:hAnsi="仿宋" w:eastAsia="仿宋" w:cs="仿宋"/>
          <w:b/>
          <w:bCs/>
          <w:caps/>
          <w:color w:val="auto"/>
          <w:sz w:val="24"/>
          <w:szCs w:val="24"/>
          <w:highlight w:val="none"/>
        </w:rPr>
        <w:t>……………………………………………………01</w:t>
      </w:r>
    </w:p>
    <w:p w14:paraId="167FBD04">
      <w:pPr>
        <w:tabs>
          <w:tab w:val="right" w:leader="dot" w:pos="8730"/>
        </w:tabs>
        <w:spacing w:before="120" w:after="120"/>
        <w:ind w:firstLine="210" w:firstLineChars="100"/>
        <w:jc w:val="left"/>
        <w:rPr>
          <w:rFonts w:hint="eastAsia" w:ascii="仿宋" w:hAnsi="仿宋" w:eastAsia="仿宋" w:cs="仿宋"/>
          <w:b/>
          <w:bCs/>
          <w:caps/>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"_Toc74322009" </w:instrText>
      </w:r>
      <w:r>
        <w:rPr>
          <w:rFonts w:hint="eastAsia" w:ascii="仿宋" w:hAnsi="仿宋" w:eastAsia="仿宋" w:cs="仿宋"/>
          <w:color w:val="auto"/>
          <w:highlight w:val="none"/>
        </w:rPr>
        <w:fldChar w:fldCharType="separate"/>
      </w:r>
      <w:r>
        <w:rPr>
          <w:rFonts w:hint="eastAsia" w:ascii="仿宋" w:hAnsi="仿宋" w:eastAsia="仿宋" w:cs="仿宋"/>
          <w:b/>
          <w:bCs/>
          <w:caps/>
          <w:color w:val="auto"/>
          <w:sz w:val="24"/>
          <w:szCs w:val="24"/>
          <w:highlight w:val="none"/>
        </w:rPr>
        <w:t>第二章 供应商须知</w:t>
      </w:r>
      <w:r>
        <w:rPr>
          <w:rFonts w:hint="eastAsia" w:ascii="仿宋" w:hAnsi="仿宋" w:eastAsia="仿宋" w:cs="仿宋"/>
          <w:b/>
          <w:bCs/>
          <w:caps/>
          <w:color w:val="auto"/>
          <w:sz w:val="24"/>
          <w:szCs w:val="24"/>
          <w:highlight w:val="none"/>
        </w:rPr>
        <w:fldChar w:fldCharType="end"/>
      </w:r>
      <w:r>
        <w:rPr>
          <w:rFonts w:hint="eastAsia" w:ascii="仿宋" w:hAnsi="仿宋" w:eastAsia="仿宋" w:cs="仿宋"/>
          <w:b/>
          <w:bCs/>
          <w:caps/>
          <w:color w:val="auto"/>
          <w:sz w:val="24"/>
          <w:szCs w:val="24"/>
          <w:highlight w:val="none"/>
        </w:rPr>
        <w:t>…………………………………………………………06</w:t>
      </w:r>
    </w:p>
    <w:p w14:paraId="3D830404">
      <w:pPr>
        <w:tabs>
          <w:tab w:val="right" w:leader="dot" w:pos="8730"/>
        </w:tabs>
        <w:spacing w:before="120" w:after="120"/>
        <w:ind w:firstLine="210" w:firstLineChars="100"/>
        <w:jc w:val="left"/>
        <w:rPr>
          <w:rFonts w:hint="eastAsia" w:ascii="仿宋" w:hAnsi="仿宋" w:eastAsia="仿宋" w:cs="仿宋"/>
          <w:b/>
          <w:bCs/>
          <w:caps/>
          <w:color w:val="auto"/>
          <w:sz w:val="24"/>
          <w:szCs w:val="24"/>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"_Toc74322010" </w:instrText>
      </w:r>
      <w:r>
        <w:rPr>
          <w:rFonts w:hint="eastAsia" w:ascii="仿宋" w:hAnsi="仿宋" w:eastAsia="仿宋" w:cs="仿宋"/>
          <w:color w:val="auto"/>
          <w:highlight w:val="none"/>
        </w:rPr>
        <w:fldChar w:fldCharType="separate"/>
      </w:r>
      <w:r>
        <w:rPr>
          <w:rFonts w:hint="eastAsia" w:ascii="仿宋" w:hAnsi="仿宋" w:eastAsia="仿宋" w:cs="仿宋"/>
          <w:b/>
          <w:bCs/>
          <w:caps/>
          <w:color w:val="auto"/>
          <w:sz w:val="24"/>
          <w:szCs w:val="24"/>
          <w:highlight w:val="none"/>
        </w:rPr>
        <w:t>第三章 采购需求</w:t>
      </w:r>
      <w:r>
        <w:rPr>
          <w:rFonts w:hint="eastAsia" w:ascii="仿宋" w:hAnsi="仿宋" w:eastAsia="仿宋" w:cs="仿宋"/>
          <w:b/>
          <w:bCs/>
          <w:caps/>
          <w:color w:val="auto"/>
          <w:sz w:val="24"/>
          <w:szCs w:val="24"/>
          <w:highlight w:val="none"/>
        </w:rPr>
        <w:fldChar w:fldCharType="end"/>
      </w:r>
      <w:r>
        <w:rPr>
          <w:rFonts w:hint="eastAsia" w:ascii="仿宋" w:hAnsi="仿宋" w:eastAsia="仿宋" w:cs="仿宋"/>
          <w:b/>
          <w:bCs/>
          <w:caps/>
          <w:color w:val="auto"/>
          <w:sz w:val="24"/>
          <w:szCs w:val="24"/>
          <w:highlight w:val="none"/>
        </w:rPr>
        <w:t>……………………………………………………………</w:t>
      </w:r>
      <w:r>
        <w:rPr>
          <w:rFonts w:hint="eastAsia" w:ascii="仿宋" w:hAnsi="仿宋" w:eastAsia="仿宋" w:cs="仿宋"/>
          <w:b/>
          <w:bCs/>
          <w:caps/>
          <w:color w:val="auto"/>
          <w:sz w:val="24"/>
          <w:szCs w:val="24"/>
          <w:highlight w:val="none"/>
          <w:lang w:val="en-US" w:eastAsia="zh-CN"/>
        </w:rPr>
        <w:t>29</w:t>
      </w:r>
    </w:p>
    <w:p w14:paraId="663DE4D1">
      <w:pPr>
        <w:tabs>
          <w:tab w:val="right" w:leader="dot" w:pos="8730"/>
        </w:tabs>
        <w:spacing w:before="120" w:after="120"/>
        <w:ind w:firstLine="210" w:firstLineChars="100"/>
        <w:jc w:val="left"/>
        <w:rPr>
          <w:rFonts w:hint="eastAsia" w:ascii="仿宋" w:hAnsi="仿宋" w:eastAsia="仿宋" w:cs="仿宋"/>
          <w:b/>
          <w:bCs/>
          <w:caps/>
          <w:color w:val="auto"/>
          <w:sz w:val="24"/>
          <w:szCs w:val="24"/>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"_Toc74322011" </w:instrText>
      </w:r>
      <w:r>
        <w:rPr>
          <w:rFonts w:hint="eastAsia" w:ascii="仿宋" w:hAnsi="仿宋" w:eastAsia="仿宋" w:cs="仿宋"/>
          <w:color w:val="auto"/>
          <w:highlight w:val="none"/>
        </w:rPr>
        <w:fldChar w:fldCharType="separate"/>
      </w:r>
      <w:r>
        <w:rPr>
          <w:rFonts w:hint="eastAsia" w:ascii="仿宋" w:hAnsi="仿宋" w:eastAsia="仿宋" w:cs="仿宋"/>
          <w:b/>
          <w:bCs/>
          <w:caps/>
          <w:color w:val="auto"/>
          <w:sz w:val="24"/>
          <w:szCs w:val="24"/>
          <w:highlight w:val="none"/>
        </w:rPr>
        <w:t>第四章 评审程序和评定成交的标准</w:t>
      </w:r>
      <w:r>
        <w:rPr>
          <w:rFonts w:hint="eastAsia" w:ascii="仿宋" w:hAnsi="仿宋" w:eastAsia="仿宋" w:cs="仿宋"/>
          <w:b/>
          <w:bCs/>
          <w:caps/>
          <w:color w:val="auto"/>
          <w:sz w:val="24"/>
          <w:szCs w:val="24"/>
          <w:highlight w:val="none"/>
        </w:rPr>
        <w:fldChar w:fldCharType="end"/>
      </w:r>
      <w:r>
        <w:rPr>
          <w:rFonts w:hint="eastAsia" w:ascii="仿宋" w:hAnsi="仿宋" w:eastAsia="仿宋" w:cs="仿宋"/>
          <w:b/>
          <w:bCs/>
          <w:caps/>
          <w:color w:val="auto"/>
          <w:sz w:val="24"/>
          <w:szCs w:val="24"/>
          <w:highlight w:val="none"/>
        </w:rPr>
        <w:t>………………………………………</w:t>
      </w:r>
      <w:r>
        <w:rPr>
          <w:rFonts w:hint="eastAsia" w:ascii="仿宋" w:hAnsi="仿宋" w:eastAsia="仿宋" w:cs="仿宋"/>
          <w:b/>
          <w:bCs/>
          <w:caps/>
          <w:color w:val="auto"/>
          <w:sz w:val="24"/>
          <w:szCs w:val="24"/>
          <w:highlight w:val="none"/>
          <w:lang w:val="en-US" w:eastAsia="zh-CN"/>
        </w:rPr>
        <w:t>57</w:t>
      </w:r>
    </w:p>
    <w:p w14:paraId="6F801E2F">
      <w:pPr>
        <w:tabs>
          <w:tab w:val="right" w:leader="dot" w:pos="8730"/>
        </w:tabs>
        <w:spacing w:before="120" w:after="120"/>
        <w:ind w:firstLine="210" w:firstLineChars="100"/>
        <w:jc w:val="left"/>
        <w:rPr>
          <w:rFonts w:hint="eastAsia" w:ascii="仿宋" w:hAnsi="仿宋" w:eastAsia="仿宋" w:cs="仿宋"/>
          <w:b/>
          <w:bCs/>
          <w:caps/>
          <w:color w:val="auto"/>
          <w:sz w:val="24"/>
          <w:szCs w:val="24"/>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"_Toc74322012" </w:instrText>
      </w:r>
      <w:r>
        <w:rPr>
          <w:rFonts w:hint="eastAsia" w:ascii="仿宋" w:hAnsi="仿宋" w:eastAsia="仿宋" w:cs="仿宋"/>
          <w:color w:val="auto"/>
          <w:highlight w:val="none"/>
        </w:rPr>
        <w:fldChar w:fldCharType="separate"/>
      </w:r>
      <w:r>
        <w:rPr>
          <w:rFonts w:hint="eastAsia" w:ascii="仿宋" w:hAnsi="仿宋" w:eastAsia="仿宋" w:cs="仿宋"/>
          <w:b/>
          <w:bCs/>
          <w:caps/>
          <w:color w:val="auto"/>
          <w:sz w:val="24"/>
          <w:szCs w:val="24"/>
          <w:highlight w:val="none"/>
        </w:rPr>
        <w:t>第五章 响应文件格式</w:t>
      </w:r>
      <w:r>
        <w:rPr>
          <w:rFonts w:hint="eastAsia" w:ascii="仿宋" w:hAnsi="仿宋" w:eastAsia="仿宋" w:cs="仿宋"/>
          <w:b/>
          <w:bCs/>
          <w:caps/>
          <w:color w:val="auto"/>
          <w:sz w:val="24"/>
          <w:szCs w:val="24"/>
          <w:highlight w:val="none"/>
        </w:rPr>
        <w:fldChar w:fldCharType="end"/>
      </w:r>
      <w:r>
        <w:rPr>
          <w:rFonts w:hint="eastAsia" w:ascii="仿宋" w:hAnsi="仿宋" w:eastAsia="仿宋" w:cs="仿宋"/>
          <w:b/>
          <w:bCs/>
          <w:caps/>
          <w:color w:val="auto"/>
          <w:sz w:val="24"/>
          <w:szCs w:val="24"/>
          <w:highlight w:val="none"/>
        </w:rPr>
        <w:t>………………………………………………………</w:t>
      </w:r>
      <w:r>
        <w:rPr>
          <w:rFonts w:hint="eastAsia" w:ascii="仿宋" w:hAnsi="仿宋" w:eastAsia="仿宋" w:cs="仿宋"/>
          <w:b/>
          <w:bCs/>
          <w:caps/>
          <w:color w:val="auto"/>
          <w:sz w:val="24"/>
          <w:szCs w:val="24"/>
          <w:highlight w:val="none"/>
          <w:lang w:val="en-US" w:eastAsia="zh-CN"/>
        </w:rPr>
        <w:t>64</w:t>
      </w:r>
    </w:p>
    <w:p w14:paraId="2112DF5F">
      <w:pPr>
        <w:tabs>
          <w:tab w:val="right" w:leader="dot" w:pos="8730"/>
        </w:tabs>
        <w:spacing w:before="120" w:after="120"/>
        <w:ind w:firstLine="210" w:firstLineChars="100"/>
        <w:jc w:val="left"/>
        <w:rPr>
          <w:rFonts w:hint="eastAsia" w:ascii="仿宋" w:hAnsi="仿宋" w:eastAsia="仿宋" w:cs="仿宋"/>
          <w:b/>
          <w:bCs/>
          <w:caps/>
          <w:color w:val="auto"/>
          <w:sz w:val="24"/>
          <w:szCs w:val="24"/>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"_Toc74322013" </w:instrText>
      </w:r>
      <w:r>
        <w:rPr>
          <w:rFonts w:hint="eastAsia" w:ascii="仿宋" w:hAnsi="仿宋" w:eastAsia="仿宋" w:cs="仿宋"/>
          <w:color w:val="auto"/>
          <w:highlight w:val="none"/>
        </w:rPr>
        <w:fldChar w:fldCharType="separate"/>
      </w:r>
      <w:r>
        <w:rPr>
          <w:rFonts w:hint="eastAsia" w:ascii="仿宋" w:hAnsi="仿宋" w:eastAsia="仿宋" w:cs="仿宋"/>
          <w:b/>
          <w:bCs/>
          <w:caps/>
          <w:color w:val="auto"/>
          <w:sz w:val="24"/>
          <w:szCs w:val="24"/>
          <w:highlight w:val="none"/>
        </w:rPr>
        <w:t>第六章 合同文本</w:t>
      </w:r>
      <w:r>
        <w:rPr>
          <w:rFonts w:hint="eastAsia" w:ascii="仿宋" w:hAnsi="仿宋" w:eastAsia="仿宋" w:cs="仿宋"/>
          <w:b/>
          <w:bCs/>
          <w:caps/>
          <w:color w:val="auto"/>
          <w:sz w:val="24"/>
          <w:szCs w:val="24"/>
          <w:highlight w:val="none"/>
        </w:rPr>
        <w:fldChar w:fldCharType="end"/>
      </w:r>
      <w:r>
        <w:rPr>
          <w:rFonts w:hint="eastAsia" w:ascii="仿宋" w:hAnsi="仿宋" w:eastAsia="仿宋" w:cs="仿宋"/>
          <w:b/>
          <w:bCs/>
          <w:caps/>
          <w:color w:val="auto"/>
          <w:sz w:val="24"/>
          <w:szCs w:val="24"/>
          <w:highlight w:val="none"/>
        </w:rPr>
        <w:t>……………………………………………………………</w:t>
      </w:r>
      <w:r>
        <w:rPr>
          <w:rFonts w:hint="eastAsia" w:ascii="仿宋" w:hAnsi="仿宋" w:eastAsia="仿宋" w:cs="仿宋"/>
          <w:b/>
          <w:bCs/>
          <w:caps/>
          <w:color w:val="auto"/>
          <w:sz w:val="24"/>
          <w:szCs w:val="24"/>
          <w:highlight w:val="none"/>
          <w:lang w:val="en-US" w:eastAsia="zh-CN"/>
        </w:rPr>
        <w:t>88</w:t>
      </w:r>
    </w:p>
    <w:p w14:paraId="6C10015F">
      <w:pPr>
        <w:tabs>
          <w:tab w:val="right" w:leader="dot" w:pos="8869"/>
        </w:tabs>
        <w:snapToGrid w:val="0"/>
        <w:spacing w:line="500" w:lineRule="atLeast"/>
        <w:ind w:firstLine="1484" w:firstLineChars="616"/>
        <w:rPr>
          <w:rFonts w:hint="eastAsia" w:ascii="仿宋" w:hAnsi="仿宋" w:eastAsia="仿宋" w:cs="仿宋"/>
          <w:b/>
          <w:color w:val="auto"/>
          <w:sz w:val="24"/>
          <w:szCs w:val="24"/>
          <w:highlight w:val="none"/>
        </w:rPr>
      </w:pPr>
    </w:p>
    <w:p w14:paraId="3D118CC0">
      <w:pPr>
        <w:tabs>
          <w:tab w:val="right" w:leader="dot" w:pos="8869"/>
        </w:tabs>
        <w:snapToGrid w:val="0"/>
        <w:spacing w:line="500" w:lineRule="atLeast"/>
        <w:ind w:firstLine="1484" w:firstLineChars="61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fldChar w:fldCharType="end"/>
      </w:r>
    </w:p>
    <w:p w14:paraId="655189AC">
      <w:pPr>
        <w:tabs>
          <w:tab w:val="right" w:leader="dot" w:pos="8931"/>
        </w:tabs>
        <w:snapToGrid w:val="0"/>
        <w:spacing w:line="500" w:lineRule="atLeast"/>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fldChar w:fldCharType="end"/>
      </w:r>
    </w:p>
    <w:p w14:paraId="041B8938">
      <w:pPr>
        <w:spacing w:line="400" w:lineRule="exact"/>
        <w:ind w:firstLine="643"/>
        <w:jc w:val="left"/>
        <w:rPr>
          <w:rFonts w:hint="eastAsia" w:ascii="仿宋" w:hAnsi="仿宋" w:eastAsia="仿宋" w:cs="仿宋"/>
          <w:b/>
          <w:color w:val="auto"/>
          <w:sz w:val="32"/>
          <w:szCs w:val="32"/>
          <w:highlight w:val="none"/>
        </w:rPr>
      </w:pPr>
    </w:p>
    <w:p w14:paraId="2F6BD4E1">
      <w:pPr>
        <w:spacing w:line="400" w:lineRule="exact"/>
        <w:ind w:firstLine="643"/>
        <w:jc w:val="center"/>
        <w:rPr>
          <w:rFonts w:hint="eastAsia" w:ascii="仿宋" w:hAnsi="仿宋" w:eastAsia="仿宋" w:cs="仿宋"/>
          <w:b/>
          <w:color w:val="auto"/>
          <w:sz w:val="32"/>
          <w:szCs w:val="32"/>
          <w:highlight w:val="none"/>
        </w:rPr>
      </w:pPr>
    </w:p>
    <w:p w14:paraId="56D283AB">
      <w:pPr>
        <w:spacing w:line="400" w:lineRule="exact"/>
        <w:ind w:firstLine="643"/>
        <w:jc w:val="center"/>
        <w:rPr>
          <w:rFonts w:hint="eastAsia" w:ascii="仿宋" w:hAnsi="仿宋" w:eastAsia="仿宋" w:cs="仿宋"/>
          <w:b/>
          <w:color w:val="auto"/>
          <w:sz w:val="32"/>
          <w:szCs w:val="32"/>
          <w:highlight w:val="none"/>
        </w:rPr>
      </w:pPr>
    </w:p>
    <w:p w14:paraId="65121F58">
      <w:pPr>
        <w:spacing w:line="400" w:lineRule="exact"/>
        <w:ind w:firstLine="643"/>
        <w:jc w:val="center"/>
        <w:rPr>
          <w:rFonts w:hint="eastAsia" w:ascii="仿宋" w:hAnsi="仿宋" w:eastAsia="仿宋" w:cs="仿宋"/>
          <w:b/>
          <w:color w:val="auto"/>
          <w:sz w:val="32"/>
          <w:szCs w:val="32"/>
          <w:highlight w:val="none"/>
        </w:rPr>
      </w:pPr>
    </w:p>
    <w:p w14:paraId="03496636">
      <w:pPr>
        <w:spacing w:line="400" w:lineRule="exact"/>
        <w:ind w:firstLine="643"/>
        <w:jc w:val="center"/>
        <w:rPr>
          <w:rFonts w:hint="eastAsia" w:ascii="仿宋" w:hAnsi="仿宋" w:eastAsia="仿宋" w:cs="仿宋"/>
          <w:b/>
          <w:color w:val="auto"/>
          <w:sz w:val="32"/>
          <w:szCs w:val="32"/>
          <w:highlight w:val="none"/>
        </w:rPr>
      </w:pPr>
    </w:p>
    <w:p w14:paraId="3D6D286D">
      <w:pPr>
        <w:spacing w:line="400" w:lineRule="exact"/>
        <w:ind w:firstLine="640"/>
        <w:rPr>
          <w:rFonts w:hint="eastAsia" w:ascii="仿宋" w:hAnsi="仿宋" w:eastAsia="仿宋" w:cs="仿宋"/>
          <w:b/>
          <w:color w:val="auto"/>
          <w:sz w:val="32"/>
          <w:szCs w:val="32"/>
          <w:highlight w:val="none"/>
        </w:rPr>
        <w:sectPr>
          <w:headerReference r:id="rId6" w:type="default"/>
          <w:footerReference r:id="rId7" w:type="default"/>
          <w:pgSz w:w="11905" w:h="16838"/>
          <w:pgMar w:top="1417" w:right="1417" w:bottom="1417" w:left="1417" w:header="850" w:footer="992" w:gutter="0"/>
          <w:pgNumType w:start="0"/>
          <w:cols w:space="0" w:num="1"/>
          <w:docGrid w:type="lines" w:linePitch="318" w:charSpace="0"/>
        </w:sectPr>
      </w:pPr>
    </w:p>
    <w:p w14:paraId="68C5E756">
      <w:pPr>
        <w:keepNext/>
        <w:keepLines/>
        <w:numPr>
          <w:ilvl w:val="0"/>
          <w:numId w:val="2"/>
        </w:numPr>
        <w:tabs>
          <w:tab w:val="left" w:pos="0"/>
        </w:tabs>
        <w:ind w:left="220" w:firstLine="0"/>
        <w:jc w:val="center"/>
        <w:outlineLvl w:val="0"/>
        <w:rPr>
          <w:rFonts w:hint="eastAsia" w:ascii="仿宋" w:hAnsi="仿宋" w:eastAsia="仿宋" w:cs="仿宋"/>
          <w:b/>
          <w:bCs/>
          <w:color w:val="auto"/>
          <w:kern w:val="44"/>
          <w:sz w:val="44"/>
          <w:szCs w:val="44"/>
          <w:highlight w:val="none"/>
        </w:rPr>
      </w:pPr>
      <w:bookmarkStart w:id="0" w:name="_Toc74322008"/>
      <w:r>
        <w:rPr>
          <w:rFonts w:hint="eastAsia" w:ascii="仿宋" w:hAnsi="仿宋" w:eastAsia="仿宋" w:cs="仿宋"/>
          <w:b/>
          <w:bCs/>
          <w:color w:val="auto"/>
          <w:kern w:val="44"/>
          <w:sz w:val="44"/>
          <w:szCs w:val="44"/>
          <w:highlight w:val="none"/>
        </w:rPr>
        <w:t>竞争性谈判公告</w:t>
      </w:r>
      <w:bookmarkEnd w:id="0"/>
    </w:p>
    <w:p w14:paraId="0B48BF63">
      <w:pPr>
        <w:ind w:firstLine="420"/>
        <w:rPr>
          <w:rFonts w:hint="eastAsia" w:ascii="仿宋" w:hAnsi="仿宋" w:eastAsia="仿宋" w:cs="仿宋"/>
          <w:color w:val="auto"/>
          <w:szCs w:val="24"/>
          <w:highlight w:val="none"/>
        </w:rPr>
      </w:pPr>
    </w:p>
    <w:p w14:paraId="00E2F716">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广西科文招标有限公司</w:t>
      </w:r>
      <w:r>
        <w:rPr>
          <w:rFonts w:hint="eastAsia" w:ascii="仿宋" w:hAnsi="仿宋" w:eastAsia="仿宋" w:cs="仿宋"/>
          <w:b/>
          <w:color w:val="auto"/>
          <w:kern w:val="0"/>
          <w:sz w:val="36"/>
          <w:szCs w:val="36"/>
          <w:highlight w:val="none"/>
          <w:lang w:val="en-US" w:eastAsia="zh-CN"/>
        </w:rPr>
        <w:t>南宁监狱门诊医疗设备采购</w:t>
      </w:r>
      <w:r>
        <w:rPr>
          <w:rFonts w:hint="eastAsia" w:ascii="仿宋" w:hAnsi="仿宋" w:eastAsia="仿宋" w:cs="仿宋"/>
          <w:b/>
          <w:bCs/>
          <w:color w:val="auto"/>
          <w:sz w:val="36"/>
          <w:szCs w:val="36"/>
          <w:highlight w:val="none"/>
        </w:rPr>
        <w:t>（</w:t>
      </w:r>
      <w:r>
        <w:rPr>
          <w:rFonts w:hint="eastAsia" w:ascii="仿宋" w:hAnsi="仿宋" w:eastAsia="仿宋" w:cs="仿宋"/>
          <w:b/>
          <w:bCs/>
          <w:color w:val="auto"/>
          <w:sz w:val="36"/>
          <w:szCs w:val="36"/>
          <w:highlight w:val="none"/>
          <w:lang w:eastAsia="zh-CN"/>
        </w:rPr>
        <w:t>GXZC2025-J1-001135-KWZB</w:t>
      </w:r>
      <w:r>
        <w:rPr>
          <w:rFonts w:hint="eastAsia" w:ascii="仿宋" w:hAnsi="仿宋" w:eastAsia="仿宋" w:cs="仿宋"/>
          <w:b/>
          <w:bCs/>
          <w:color w:val="auto"/>
          <w:sz w:val="36"/>
          <w:szCs w:val="36"/>
          <w:highlight w:val="none"/>
        </w:rPr>
        <w:t>）</w:t>
      </w:r>
      <w:r>
        <w:rPr>
          <w:rFonts w:hint="eastAsia" w:ascii="仿宋" w:hAnsi="仿宋" w:eastAsia="仿宋" w:cs="仿宋"/>
          <w:b/>
          <w:color w:val="auto"/>
          <w:kern w:val="0"/>
          <w:sz w:val="36"/>
          <w:szCs w:val="36"/>
          <w:highlight w:val="none"/>
        </w:rPr>
        <w:t>竞争性谈判公告</w:t>
      </w:r>
    </w:p>
    <w:p w14:paraId="1E2DAA5C">
      <w:pPr>
        <w:jc w:val="center"/>
        <w:rPr>
          <w:rFonts w:hint="eastAsia" w:ascii="仿宋" w:hAnsi="仿宋" w:eastAsia="仿宋" w:cs="仿宋"/>
          <w:color w:val="auto"/>
          <w:highlight w:val="none"/>
        </w:rPr>
      </w:pPr>
    </w:p>
    <w:p w14:paraId="58ED5B12">
      <w:pPr>
        <w:ind w:firstLine="420"/>
        <w:rPr>
          <w:rFonts w:hint="eastAsia" w:ascii="仿宋" w:hAnsi="仿宋" w:eastAsia="仿宋" w:cs="仿宋"/>
          <w:color w:val="auto"/>
          <w:highlight w:val="none"/>
        </w:rPr>
      </w:pPr>
    </w:p>
    <w:p w14:paraId="24CBAA1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bookmarkStart w:id="1" w:name="_Hlk37430271"/>
      <w:r>
        <w:rPr>
          <w:rFonts w:hint="eastAsia" w:ascii="仿宋" w:hAnsi="仿宋" w:eastAsia="仿宋" w:cs="仿宋"/>
          <w:color w:val="auto"/>
          <w:sz w:val="24"/>
          <w:szCs w:val="24"/>
          <w:highlight w:val="none"/>
        </w:rPr>
        <w:t>项目概况</w:t>
      </w:r>
    </w:p>
    <w:p w14:paraId="3449807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lang w:val="en-US" w:eastAsia="zh-CN"/>
        </w:rPr>
        <w:t>南宁监狱门诊</w:t>
      </w:r>
      <w:r>
        <w:rPr>
          <w:rFonts w:hint="eastAsia" w:ascii="仿宋" w:hAnsi="仿宋" w:eastAsia="仿宋" w:cs="仿宋"/>
          <w:color w:val="auto"/>
          <w:sz w:val="24"/>
          <w:szCs w:val="24"/>
          <w:highlight w:val="none"/>
          <w:u w:val="single"/>
          <w:lang w:eastAsia="zh-CN"/>
        </w:rPr>
        <w:t>医疗设备采购</w:t>
      </w:r>
      <w:r>
        <w:rPr>
          <w:rFonts w:hint="eastAsia" w:ascii="仿宋" w:hAnsi="仿宋" w:eastAsia="仿宋" w:cs="仿宋"/>
          <w:color w:val="auto"/>
          <w:sz w:val="24"/>
          <w:szCs w:val="24"/>
          <w:highlight w:val="none"/>
        </w:rPr>
        <w:t>项目的潜在供应商应在广西政府采购云平台（https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//www.gcy.zfcg.gxzf.gov.cn/）获取（下载）竞争性谈判采购文件，并于</w:t>
      </w:r>
      <w:r>
        <w:rPr>
          <w:rFonts w:hint="eastAsia" w:ascii="仿宋" w:hAnsi="仿宋" w:eastAsia="仿宋" w:cs="仿宋"/>
          <w:color w:val="auto"/>
          <w:sz w:val="24"/>
          <w:szCs w:val="24"/>
          <w:highlight w:val="none"/>
          <w:lang w:eastAsia="zh-CN"/>
        </w:rPr>
        <w:t>2025年6月12日9：00</w:t>
      </w:r>
      <w:r>
        <w:rPr>
          <w:rFonts w:hint="eastAsia" w:ascii="仿宋" w:hAnsi="仿宋" w:eastAsia="仿宋" w:cs="仿宋"/>
          <w:bCs/>
          <w:color w:val="auto"/>
          <w:sz w:val="24"/>
          <w:szCs w:val="24"/>
          <w:highlight w:val="none"/>
        </w:rPr>
        <w:t>（北京时间）前提交响应文件</w:t>
      </w:r>
      <w:r>
        <w:rPr>
          <w:rFonts w:hint="eastAsia" w:ascii="仿宋" w:hAnsi="仿宋" w:eastAsia="仿宋" w:cs="仿宋"/>
          <w:color w:val="auto"/>
          <w:sz w:val="24"/>
          <w:szCs w:val="24"/>
          <w:highlight w:val="none"/>
        </w:rPr>
        <w:t>。</w:t>
      </w:r>
    </w:p>
    <w:p w14:paraId="02D2009E">
      <w:pPr>
        <w:spacing w:line="360" w:lineRule="auto"/>
        <w:ind w:firstLine="482"/>
        <w:rPr>
          <w:rFonts w:hint="eastAsia" w:ascii="仿宋" w:hAnsi="仿宋" w:eastAsia="仿宋" w:cs="仿宋"/>
          <w:b/>
          <w:bCs/>
          <w:color w:val="auto"/>
          <w:sz w:val="24"/>
          <w:szCs w:val="24"/>
          <w:highlight w:val="none"/>
        </w:rPr>
      </w:pPr>
    </w:p>
    <w:p w14:paraId="4D6E6764">
      <w:pPr>
        <w:spacing w:line="360" w:lineRule="auto"/>
        <w:ind w:firstLine="361" w:firstLineChars="150"/>
        <w:rPr>
          <w:rFonts w:hint="eastAsia" w:ascii="仿宋" w:hAnsi="仿宋" w:eastAsia="仿宋" w:cs="仿宋"/>
          <w:b/>
          <w:bCs/>
          <w:color w:val="auto"/>
          <w:sz w:val="24"/>
          <w:szCs w:val="24"/>
          <w:highlight w:val="none"/>
        </w:rPr>
      </w:pPr>
      <w:bookmarkStart w:id="2" w:name="_Toc35393636"/>
      <w:bookmarkStart w:id="3" w:name="_Toc35393805"/>
      <w:bookmarkStart w:id="4" w:name="_Toc28359018"/>
      <w:bookmarkStart w:id="5" w:name="_Toc71365369"/>
      <w:bookmarkStart w:id="6" w:name="_Toc28359095"/>
      <w:bookmarkStart w:id="7" w:name="_Toc71366047"/>
      <w:r>
        <w:rPr>
          <w:rFonts w:hint="eastAsia" w:ascii="仿宋" w:hAnsi="仿宋" w:eastAsia="仿宋" w:cs="仿宋"/>
          <w:b/>
          <w:bCs/>
          <w:color w:val="auto"/>
          <w:sz w:val="24"/>
          <w:szCs w:val="24"/>
          <w:highlight w:val="none"/>
        </w:rPr>
        <w:t>一、项目基本情况</w:t>
      </w:r>
    </w:p>
    <w:p w14:paraId="1F8157CD">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南宁监狱门诊</w:t>
      </w:r>
      <w:r>
        <w:rPr>
          <w:rFonts w:hint="eastAsia" w:ascii="仿宋" w:hAnsi="仿宋" w:eastAsia="仿宋" w:cs="仿宋"/>
          <w:color w:val="auto"/>
          <w:sz w:val="24"/>
          <w:szCs w:val="24"/>
          <w:highlight w:val="none"/>
          <w:lang w:eastAsia="zh-CN"/>
        </w:rPr>
        <w:t>医疗设备采购</w:t>
      </w:r>
    </w:p>
    <w:p w14:paraId="4012103D">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GXZC2025-J1-001135-KWZB</w:t>
      </w:r>
    </w:p>
    <w:p w14:paraId="1005D9E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采购计划编号：广西政采[2025]6474号-001</w:t>
      </w:r>
    </w:p>
    <w:p w14:paraId="4B85B31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预算金额（人民币）：</w:t>
      </w:r>
      <w:r>
        <w:rPr>
          <w:rFonts w:hint="eastAsia" w:ascii="仿宋" w:hAnsi="仿宋" w:eastAsia="仿宋" w:cs="仿宋"/>
          <w:color w:val="auto"/>
          <w:sz w:val="24"/>
          <w:szCs w:val="24"/>
          <w:highlight w:val="none"/>
          <w:lang w:val="en-US" w:eastAsia="zh-CN"/>
        </w:rPr>
        <w:t>壹佰捌拾叁万柒仟捌佰元整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1837800.00</w:t>
      </w:r>
      <w:r>
        <w:rPr>
          <w:rFonts w:hint="eastAsia" w:ascii="仿宋" w:hAnsi="仿宋" w:eastAsia="仿宋" w:cs="仿宋"/>
          <w:color w:val="auto"/>
          <w:sz w:val="24"/>
          <w:szCs w:val="24"/>
          <w:highlight w:val="none"/>
        </w:rPr>
        <w:t>）</w:t>
      </w:r>
    </w:p>
    <w:p w14:paraId="63350F7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bl>
      <w:tblPr>
        <w:tblStyle w:val="22"/>
        <w:tblW w:w="9397" w:type="dxa"/>
        <w:tblInd w:w="0" w:type="dxa"/>
        <w:tblLayout w:type="fixed"/>
        <w:tblCellMar>
          <w:top w:w="0" w:type="dxa"/>
          <w:left w:w="108" w:type="dxa"/>
          <w:bottom w:w="0" w:type="dxa"/>
          <w:right w:w="108" w:type="dxa"/>
        </w:tblCellMar>
      </w:tblPr>
      <w:tblGrid>
        <w:gridCol w:w="518"/>
        <w:gridCol w:w="1613"/>
        <w:gridCol w:w="604"/>
        <w:gridCol w:w="604"/>
        <w:gridCol w:w="4578"/>
        <w:gridCol w:w="1480"/>
      </w:tblGrid>
      <w:tr w14:paraId="08B97AB5">
        <w:tblPrEx>
          <w:tblCellMar>
            <w:top w:w="0" w:type="dxa"/>
            <w:left w:w="108" w:type="dxa"/>
            <w:bottom w:w="0" w:type="dxa"/>
            <w:right w:w="108" w:type="dxa"/>
          </w:tblCellMar>
        </w:tblPrEx>
        <w:trPr>
          <w:trHeight w:val="801"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11D8">
            <w:pPr>
              <w:widowControl/>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分标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405E">
            <w:pPr>
              <w:widowControl/>
              <w:spacing w:line="360" w:lineRule="auto"/>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标的名称</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3920">
            <w:pPr>
              <w:widowControl/>
              <w:spacing w:line="360" w:lineRule="auto"/>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数量</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7ECD">
            <w:pPr>
              <w:widowControl/>
              <w:spacing w:line="360" w:lineRule="auto"/>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单位</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7A2F">
            <w:pPr>
              <w:widowControl/>
              <w:spacing w:line="360" w:lineRule="auto"/>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技术参数摘要</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0C5B">
            <w:pPr>
              <w:widowControl/>
              <w:spacing w:line="360" w:lineRule="auto"/>
              <w:jc w:val="center"/>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预算单价</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万元</w:t>
            </w:r>
            <w:r>
              <w:rPr>
                <w:rFonts w:hint="eastAsia" w:ascii="仿宋" w:hAnsi="仿宋" w:eastAsia="仿宋" w:cs="仿宋"/>
                <w:bCs/>
                <w:color w:val="auto"/>
                <w:sz w:val="24"/>
                <w:szCs w:val="24"/>
                <w:highlight w:val="none"/>
                <w:lang w:eastAsia="zh-CN"/>
              </w:rPr>
              <w:t>）</w:t>
            </w:r>
          </w:p>
        </w:tc>
      </w:tr>
      <w:tr w14:paraId="68307353">
        <w:tblPrEx>
          <w:tblCellMar>
            <w:top w:w="0" w:type="dxa"/>
            <w:left w:w="108" w:type="dxa"/>
            <w:bottom w:w="0" w:type="dxa"/>
            <w:right w:w="108" w:type="dxa"/>
          </w:tblCellMar>
        </w:tblPrEx>
        <w:trPr>
          <w:trHeight w:val="1198"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2B00">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7026">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数字化X线摄影系统（DR）</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30C8">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2D5D">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台</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89EB">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逆变频率：≥450KHZ</w:t>
            </w:r>
            <w:r>
              <w:rPr>
                <w:rFonts w:hint="eastAsia" w:ascii="仿宋" w:hAnsi="仿宋" w:eastAsia="仿宋" w:cs="仿宋"/>
                <w:bCs/>
                <w:color w:val="auto"/>
                <w:sz w:val="24"/>
                <w:szCs w:val="24"/>
                <w:highlight w:val="none"/>
                <w:lang w:eastAsia="zh-CN"/>
              </w:rPr>
              <w:t>，</w:t>
            </w:r>
          </w:p>
          <w:p w14:paraId="12633848">
            <w:pPr>
              <w:widowControl/>
              <w:spacing w:line="360" w:lineRule="auto"/>
              <w:jc w:val="left"/>
              <w:textAlignment w:val="center"/>
              <w:rPr>
                <w:rFonts w:hint="eastAsia" w:ascii="仿宋" w:hAnsi="仿宋" w:eastAsia="仿宋" w:cs="仿宋"/>
                <w:bCs/>
                <w:color w:val="auto"/>
                <w:sz w:val="24"/>
                <w:szCs w:val="24"/>
                <w:highlight w:val="none"/>
                <w:lang w:val="de-DE"/>
              </w:rPr>
            </w:pPr>
            <w:r>
              <w:rPr>
                <w:rFonts w:hint="eastAsia" w:ascii="仿宋" w:hAnsi="仿宋" w:eastAsia="仿宋" w:cs="仿宋"/>
                <w:bCs/>
                <w:color w:val="auto"/>
                <w:sz w:val="24"/>
                <w:szCs w:val="24"/>
                <w:highlight w:val="none"/>
              </w:rPr>
              <w:t>管电压可调范围：≥40-150KV</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E06D">
            <w:pPr>
              <w:keepNext w:val="0"/>
              <w:keepLines w:val="0"/>
              <w:widowControl/>
              <w:suppressLineNumbers w:val="0"/>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
                <w:bCs/>
                <w:i w:val="0"/>
                <w:iCs w:val="0"/>
                <w:color w:val="auto"/>
                <w:kern w:val="0"/>
                <w:sz w:val="22"/>
                <w:szCs w:val="22"/>
                <w:highlight w:val="none"/>
                <w:u w:val="none"/>
                <w:lang w:val="en-US" w:eastAsia="zh-CN" w:bidi="ar"/>
              </w:rPr>
              <w:t xml:space="preserve">90.00 </w:t>
            </w:r>
          </w:p>
        </w:tc>
      </w:tr>
      <w:tr w14:paraId="7DE4115E">
        <w:tblPrEx>
          <w:tblCellMar>
            <w:top w:w="0" w:type="dxa"/>
            <w:left w:w="108" w:type="dxa"/>
            <w:bottom w:w="0" w:type="dxa"/>
            <w:right w:w="108" w:type="dxa"/>
          </w:tblCellMar>
        </w:tblPrEx>
        <w:trPr>
          <w:trHeight w:val="1198"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14F7">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2</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0B18">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全数字彩色多普勒超声诊断仪</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5682">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9B4F">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台</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F6B3">
            <w:pPr>
              <w:widowControl/>
              <w:spacing w:line="360" w:lineRule="auto"/>
              <w:jc w:val="left"/>
              <w:textAlignment w:val="center"/>
              <w:rPr>
                <w:rFonts w:hint="eastAsia" w:ascii="仿宋" w:hAnsi="仿宋" w:eastAsia="仿宋" w:cs="仿宋"/>
                <w:bCs/>
                <w:color w:val="auto"/>
                <w:sz w:val="24"/>
                <w:szCs w:val="24"/>
                <w:highlight w:val="none"/>
                <w:lang w:val="de-DE"/>
              </w:rPr>
            </w:pPr>
            <w:r>
              <w:rPr>
                <w:rFonts w:hint="eastAsia" w:ascii="仿宋" w:hAnsi="仿宋" w:eastAsia="仿宋" w:cs="仿宋"/>
                <w:bCs/>
                <w:color w:val="auto"/>
                <w:sz w:val="24"/>
                <w:szCs w:val="24"/>
                <w:highlight w:val="none"/>
              </w:rPr>
              <w:t>曲线解剖M型技术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彩色多普勒成像技术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彩色多普勒能量图技术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方向性能量图技术</w:t>
            </w:r>
            <w:r>
              <w:rPr>
                <w:rFonts w:hint="eastAsia" w:ascii="仿宋" w:hAnsi="仿宋" w:eastAsia="仿宋" w:cs="仿宋"/>
                <w:bCs/>
                <w:color w:val="auto"/>
                <w:sz w:val="24"/>
                <w:szCs w:val="24"/>
                <w:highlight w:val="none"/>
                <w:lang w:val="en-US" w:eastAsia="zh-CN"/>
              </w:rPr>
              <w:t>等</w:t>
            </w:r>
            <w:r>
              <w:rPr>
                <w:rFonts w:hint="eastAsia" w:ascii="仿宋" w:hAnsi="仿宋" w:eastAsia="仿宋" w:cs="仿宋"/>
                <w:bCs/>
                <w:color w:val="auto"/>
                <w:sz w:val="24"/>
                <w:szCs w:val="24"/>
                <w:highlight w:val="none"/>
                <w:lang w:eastAsia="zh-CN"/>
              </w:rPr>
              <w:t>。</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F211">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2"/>
                <w:szCs w:val="22"/>
                <w:highlight w:val="none"/>
                <w:u w:val="none"/>
                <w:lang w:val="en-US" w:eastAsia="zh-CN" w:bidi="ar"/>
              </w:rPr>
              <w:t xml:space="preserve">80.00 </w:t>
            </w:r>
          </w:p>
        </w:tc>
      </w:tr>
      <w:tr w14:paraId="6316718A">
        <w:tblPrEx>
          <w:tblCellMar>
            <w:top w:w="0" w:type="dxa"/>
            <w:left w:w="108" w:type="dxa"/>
            <w:bottom w:w="0" w:type="dxa"/>
            <w:right w:w="108" w:type="dxa"/>
          </w:tblCellMar>
        </w:tblPrEx>
        <w:trPr>
          <w:trHeight w:val="40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8E69">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FC07">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心电图机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9A77">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7AA3">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台</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1D98">
            <w:pPr>
              <w:widowControl/>
              <w:spacing w:line="360" w:lineRule="auto"/>
              <w:jc w:val="left"/>
              <w:textAlignment w:val="center"/>
              <w:rPr>
                <w:rFonts w:hint="eastAsia" w:ascii="仿宋" w:hAnsi="仿宋" w:eastAsia="仿宋" w:cs="仿宋"/>
                <w:bCs/>
                <w:color w:val="auto"/>
                <w:sz w:val="24"/>
                <w:szCs w:val="24"/>
                <w:highlight w:val="none"/>
                <w:lang w:val="de-DE"/>
              </w:rPr>
            </w:pPr>
            <w:r>
              <w:rPr>
                <w:rFonts w:hint="eastAsia" w:ascii="仿宋" w:hAnsi="仿宋" w:eastAsia="仿宋" w:cs="仿宋"/>
                <w:bCs/>
                <w:color w:val="auto"/>
                <w:sz w:val="24"/>
                <w:szCs w:val="24"/>
                <w:highlight w:val="none"/>
              </w:rPr>
              <w:t>起搏器采样率不低于16,000Hz</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1852">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2"/>
                <w:szCs w:val="22"/>
                <w:highlight w:val="none"/>
                <w:u w:val="none"/>
                <w:lang w:val="en-US" w:eastAsia="zh-CN" w:bidi="ar"/>
              </w:rPr>
              <w:t xml:space="preserve">4.28 </w:t>
            </w:r>
          </w:p>
        </w:tc>
      </w:tr>
      <w:tr w14:paraId="56A28851">
        <w:tblPrEx>
          <w:tblCellMar>
            <w:top w:w="0" w:type="dxa"/>
            <w:left w:w="108" w:type="dxa"/>
            <w:bottom w:w="0" w:type="dxa"/>
            <w:right w:w="108" w:type="dxa"/>
          </w:tblCellMar>
        </w:tblPrEx>
        <w:trPr>
          <w:trHeight w:val="417"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EE6A">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708D">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除颤监护仪</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164E">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AF96">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台</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E39E">
            <w:pPr>
              <w:widowControl/>
              <w:spacing w:line="360" w:lineRule="auto"/>
              <w:jc w:val="left"/>
              <w:textAlignment w:val="center"/>
              <w:rPr>
                <w:rFonts w:hint="eastAsia" w:ascii="仿宋" w:hAnsi="仿宋" w:eastAsia="仿宋" w:cs="仿宋"/>
                <w:bCs/>
                <w:color w:val="auto"/>
                <w:sz w:val="24"/>
                <w:szCs w:val="24"/>
                <w:highlight w:val="none"/>
                <w:lang w:val="de-DE" w:eastAsia="zh-CN"/>
              </w:rPr>
            </w:pPr>
            <w:r>
              <w:rPr>
                <w:rFonts w:hint="eastAsia" w:ascii="仿宋" w:hAnsi="仿宋" w:eastAsia="仿宋" w:cs="仿宋"/>
                <w:bCs/>
                <w:color w:val="auto"/>
                <w:sz w:val="24"/>
                <w:szCs w:val="24"/>
                <w:highlight w:val="none"/>
              </w:rPr>
              <w:t>具备手动除颤、心电监护、呼吸监护、自动体外除颤（AED）功能，AED功能适用于8岁以下人群</w:t>
            </w:r>
            <w:r>
              <w:rPr>
                <w:rFonts w:hint="eastAsia" w:ascii="仿宋" w:hAnsi="仿宋" w:eastAsia="仿宋" w:cs="仿宋"/>
                <w:bCs/>
                <w:color w:val="auto"/>
                <w:sz w:val="24"/>
                <w:szCs w:val="24"/>
                <w:highlight w:val="none"/>
                <w:lang w:eastAsia="zh-CN"/>
              </w:rPr>
              <w:t>。</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B816">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2"/>
                <w:szCs w:val="22"/>
                <w:highlight w:val="none"/>
                <w:u w:val="none"/>
                <w:lang w:val="en-US" w:eastAsia="zh-CN" w:bidi="ar"/>
              </w:rPr>
              <w:t xml:space="preserve">6.85 </w:t>
            </w:r>
          </w:p>
        </w:tc>
      </w:tr>
      <w:tr w14:paraId="09497374">
        <w:tblPrEx>
          <w:tblCellMar>
            <w:top w:w="0" w:type="dxa"/>
            <w:left w:w="108" w:type="dxa"/>
            <w:bottom w:w="0" w:type="dxa"/>
            <w:right w:w="108" w:type="dxa"/>
          </w:tblCellMar>
        </w:tblPrEx>
        <w:trPr>
          <w:trHeight w:val="413"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3FCA">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AD1A">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心电监护仪</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A995">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BD48">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台</w:t>
            </w:r>
          </w:p>
        </w:tc>
        <w:tc>
          <w:tcPr>
            <w:tcW w:w="4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4153">
            <w:pPr>
              <w:widowControl/>
              <w:spacing w:line="360" w:lineRule="auto"/>
              <w:jc w:val="left"/>
              <w:textAlignment w:val="center"/>
              <w:rPr>
                <w:rFonts w:hint="eastAsia" w:ascii="仿宋" w:hAnsi="仿宋" w:eastAsia="仿宋" w:cs="仿宋"/>
                <w:bCs/>
                <w:color w:val="auto"/>
                <w:sz w:val="24"/>
                <w:szCs w:val="24"/>
                <w:highlight w:val="none"/>
                <w:lang w:val="de-DE" w:eastAsia="zh-CN"/>
              </w:rPr>
            </w:pPr>
            <w:r>
              <w:rPr>
                <w:rFonts w:hint="eastAsia" w:ascii="仿宋" w:hAnsi="仿宋" w:eastAsia="仿宋" w:cs="仿宋"/>
                <w:bCs/>
                <w:color w:val="auto"/>
                <w:sz w:val="24"/>
                <w:szCs w:val="24"/>
                <w:highlight w:val="none"/>
              </w:rPr>
              <w:t>支持≥29种心律失常分析，包括房颤分析、肢体低电压，满足心电监护临床应用</w:t>
            </w:r>
            <w:r>
              <w:rPr>
                <w:rFonts w:hint="eastAsia" w:ascii="仿宋" w:hAnsi="仿宋" w:eastAsia="仿宋" w:cs="仿宋"/>
                <w:bCs/>
                <w:color w:val="auto"/>
                <w:sz w:val="24"/>
                <w:szCs w:val="24"/>
                <w:highlight w:val="none"/>
                <w:lang w:eastAsia="zh-CN"/>
              </w:rPr>
              <w:t>。</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B849">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b/>
                <w:bCs/>
                <w:i w:val="0"/>
                <w:iCs w:val="0"/>
                <w:color w:val="auto"/>
                <w:kern w:val="0"/>
                <w:sz w:val="22"/>
                <w:szCs w:val="22"/>
                <w:highlight w:val="none"/>
                <w:u w:val="none"/>
                <w:lang w:val="en-US" w:eastAsia="zh-CN" w:bidi="ar"/>
              </w:rPr>
              <w:t xml:space="preserve">2.65 </w:t>
            </w:r>
          </w:p>
        </w:tc>
      </w:tr>
    </w:tbl>
    <w:p w14:paraId="2B216A5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详见采购需求表。</w:t>
      </w:r>
    </w:p>
    <w:p w14:paraId="3BFA6EB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合同履行期限：详见采购需求商务条款。</w:t>
      </w:r>
    </w:p>
    <w:p w14:paraId="11754E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本项目是否接受联合体：否。</w:t>
      </w:r>
    </w:p>
    <w:p w14:paraId="5C48A254">
      <w:pPr>
        <w:spacing w:line="360" w:lineRule="auto"/>
        <w:ind w:firstLine="361" w:firstLineChars="15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二、申请人的资格条件</w:t>
      </w:r>
    </w:p>
    <w:p w14:paraId="6988549E">
      <w:pPr>
        <w:spacing w:line="360" w:lineRule="auto"/>
        <w:ind w:firstLine="480" w:firstLineChars="200"/>
        <w:rPr>
          <w:rFonts w:hint="eastAsia" w:ascii="仿宋" w:hAnsi="仿宋" w:eastAsia="仿宋" w:cs="仿宋"/>
          <w:color w:val="auto"/>
          <w:sz w:val="24"/>
          <w:szCs w:val="24"/>
          <w:highlight w:val="none"/>
        </w:rPr>
      </w:pPr>
      <w:bookmarkStart w:id="8" w:name="_Hlk51746371"/>
      <w:r>
        <w:rPr>
          <w:rFonts w:hint="eastAsia" w:ascii="仿宋" w:hAnsi="仿宋" w:eastAsia="仿宋" w:cs="仿宋"/>
          <w:color w:val="auto"/>
          <w:sz w:val="24"/>
          <w:szCs w:val="24"/>
          <w:highlight w:val="none"/>
        </w:rPr>
        <w:t>1.满足《中华人民共和国政府采购法》第二十二条规定；</w:t>
      </w:r>
    </w:p>
    <w:p w14:paraId="2E23250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非</w:t>
      </w:r>
      <w:r>
        <w:rPr>
          <w:rFonts w:hint="eastAsia" w:ascii="仿宋" w:hAnsi="仿宋" w:eastAsia="仿宋" w:cs="仿宋"/>
          <w:color w:val="auto"/>
          <w:sz w:val="24"/>
          <w:szCs w:val="24"/>
          <w:highlight w:val="none"/>
        </w:rPr>
        <w:t>专门面向中小企业采购；</w:t>
      </w:r>
    </w:p>
    <w:p w14:paraId="2E1D90D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bookmarkEnd w:id="8"/>
      <w:r>
        <w:rPr>
          <w:rFonts w:hint="eastAsia" w:ascii="仿宋" w:hAnsi="仿宋" w:eastAsia="仿宋" w:cs="仿宋"/>
          <w:b w:val="0"/>
          <w:bCs w:val="0"/>
          <w:color w:val="auto"/>
          <w:sz w:val="24"/>
          <w:szCs w:val="24"/>
          <w:highlight w:val="none"/>
        </w:rPr>
        <w:t>供应商须按《医疗器械监督管理条例》（国务院令第739号）医疗器械分类管理要求</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具备有效的医疗器械经营备案凭证或者经营许可证，且经营范围必须包含采购标的</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符合《医疗器械监督管理条例》第四十一条第二款规定的除外</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；或者供应商符合《医疗器械监督管理条例》第四十三条规定具备采购标的有效的医疗器械注册证。</w:t>
      </w:r>
    </w:p>
    <w:p w14:paraId="30C5B328">
      <w:pPr>
        <w:spacing w:line="360" w:lineRule="auto"/>
        <w:ind w:firstLine="361" w:firstLineChars="15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三、获取竞争性谈判采购文件</w:t>
      </w:r>
    </w:p>
    <w:p w14:paraId="2B76E18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日，每天上午00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00至12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00 ，下午12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00至23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59（北京时间，法定节假日除外）</w:t>
      </w:r>
    </w:p>
    <w:p w14:paraId="0AB76D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地点：广西政府采购云平台（htt</w:t>
      </w:r>
      <w:bookmarkStart w:id="34" w:name="_GoBack"/>
      <w:bookmarkEnd w:id="34"/>
      <w:r>
        <w:rPr>
          <w:rFonts w:hint="eastAsia" w:ascii="仿宋" w:hAnsi="仿宋" w:eastAsia="仿宋" w:cs="仿宋"/>
          <w:color w:val="auto"/>
          <w:sz w:val="24"/>
          <w:szCs w:val="24"/>
          <w:highlight w:val="none"/>
        </w:rPr>
        <w: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//www.gcy.zfcg.gxzf.gov.cn/）。</w:t>
      </w:r>
    </w:p>
    <w:p w14:paraId="39EE104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方式：网上下载。本项目不发放纸质文件，供应商应自行在</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end"/>
      </w:r>
      <w:r>
        <w:rPr>
          <w:rFonts w:hint="eastAsia" w:ascii="仿宋" w:hAnsi="仿宋" w:eastAsia="仿宋" w:cs="仿宋"/>
          <w:color w:val="auto"/>
          <w:sz w:val="24"/>
          <w:szCs w:val="24"/>
          <w:highlight w:val="none"/>
        </w:rPr>
        <w:t>广西政府采购云平台（https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gcy.zfcg.gxzf.gov.cn/）下载竞争性谈判采购文件（操作路径：登录广西政府采购云平台-项目采购-获取采购文件-找到本项目-点击“申请获取采购文件”），电子响应文件制作需要基于广西政府采购云平台获取的竞争性谈判采购文件编制。</w:t>
      </w:r>
    </w:p>
    <w:p w14:paraId="7CF3E655">
      <w:pPr>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售价：0元。</w:t>
      </w:r>
    </w:p>
    <w:p w14:paraId="33D849F5">
      <w:pPr>
        <w:spacing w:line="360" w:lineRule="auto"/>
        <w:ind w:firstLine="361" w:firstLineChars="15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四、响应文件提交</w:t>
      </w:r>
    </w:p>
    <w:p w14:paraId="0B9A183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1.首次响应文件提交截止时间：</w:t>
      </w:r>
      <w:r>
        <w:rPr>
          <w:rFonts w:hint="eastAsia" w:ascii="仿宋" w:hAnsi="仿宋" w:eastAsia="仿宋" w:cs="仿宋"/>
          <w:color w:val="auto"/>
          <w:sz w:val="24"/>
          <w:szCs w:val="24"/>
          <w:highlight w:val="none"/>
          <w:lang w:eastAsia="zh-CN"/>
        </w:rPr>
        <w:t>2025年6月12日9：00</w:t>
      </w:r>
      <w:r>
        <w:rPr>
          <w:rFonts w:hint="eastAsia" w:ascii="仿宋" w:hAnsi="仿宋" w:eastAsia="仿宋" w:cs="仿宋"/>
          <w:color w:val="auto"/>
          <w:sz w:val="24"/>
          <w:szCs w:val="24"/>
          <w:highlight w:val="none"/>
        </w:rPr>
        <w:t>前（北京时间）</w:t>
      </w:r>
    </w:p>
    <w:p w14:paraId="31A0CD0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2.地点：通过广西政府采购云平台在线提交。</w:t>
      </w:r>
    </w:p>
    <w:p w14:paraId="00E567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本项目为全流程电子化项目，没有现场递交响应文件及现场开标环节，通过广西政府采购云平台（https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gcy.zfcg.gxzf.gov.cn/）实行在线电子投标，供应商应先安装“广西政府采购云平台投标客户端”（请自行前往广西政府采购云平台进行下载），并按照本项目采购文件和广西政府采购云平台的要求使用CA认证编制、加密响应文件后在首次响应文件提交截止时间前上传至 广西政府采购云平台，供应商在广西政府采购云平台提交电子版响应文件时，请填写参加远程开标活动经办人联系方式，如在谈判评审过程中有电子询标，应在规定的时间内对电子询标函进行澄清回复。</w:t>
      </w:r>
    </w:p>
    <w:p w14:paraId="7BD26F4E">
      <w:pPr>
        <w:spacing w:line="360" w:lineRule="auto"/>
        <w:ind w:firstLine="361" w:firstLineChars="15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五、开启</w:t>
      </w:r>
    </w:p>
    <w:p w14:paraId="5304F7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1.首次响应文件开启时间：</w:t>
      </w:r>
      <w:r>
        <w:rPr>
          <w:rFonts w:hint="eastAsia" w:ascii="仿宋" w:hAnsi="仿宋" w:eastAsia="仿宋" w:cs="仿宋"/>
          <w:color w:val="auto"/>
          <w:sz w:val="24"/>
          <w:szCs w:val="24"/>
          <w:highlight w:val="none"/>
          <w:lang w:eastAsia="zh-CN"/>
        </w:rPr>
        <w:t>2025年6月12日9：00</w:t>
      </w:r>
      <w:r>
        <w:rPr>
          <w:rFonts w:hint="eastAsia" w:ascii="仿宋" w:hAnsi="仿宋" w:eastAsia="仿宋" w:cs="仿宋"/>
          <w:color w:val="auto"/>
          <w:sz w:val="24"/>
          <w:szCs w:val="24"/>
          <w:highlight w:val="none"/>
        </w:rPr>
        <w:t>（北京时间）</w:t>
      </w:r>
    </w:p>
    <w:p w14:paraId="00A536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2.地点：本项目将在广西政府采购云平台电子开标大厅解密、开启。</w:t>
      </w:r>
    </w:p>
    <w:p w14:paraId="5D2C3B3C">
      <w:pPr>
        <w:spacing w:line="360" w:lineRule="auto"/>
        <w:ind w:firstLine="361" w:firstLineChars="15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六、公告期限</w:t>
      </w:r>
    </w:p>
    <w:p w14:paraId="04E95A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自本公告发布之日起3个工作日。</w:t>
      </w:r>
    </w:p>
    <w:p w14:paraId="074A15B2">
      <w:pPr>
        <w:spacing w:line="360" w:lineRule="auto"/>
        <w:ind w:firstLine="361" w:firstLineChars="15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七、其他补充事宜</w:t>
      </w:r>
    </w:p>
    <w:p w14:paraId="402F00C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63D346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2.根据财政部《关于在政府采购活动中查询及使用信用记录有关问题的通知》（财库〔2016〕125号）的规定，对在“信用中国”网站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www.creditchina.gov.cn</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、中国政府采购网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www.ccgp.gov.cn</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被列入失信被执行人、重大税收违法失信主体、政府采购严重违法失信行为记录名单及其他不符合《中华人民共和国政府采购法》第二十二条规定条件的供应商，不得参与政府采购活动。</w:t>
      </w:r>
    </w:p>
    <w:p w14:paraId="550FF4A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3.网上查询地址：中国政府采购网（www.ccgp.gov.cn）、广西政府采购网（zfcg.gxzf.gov.cn）。</w:t>
      </w:r>
    </w:p>
    <w:p w14:paraId="602AD04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4.本项目需要落实的政府采购政策：</w:t>
      </w:r>
    </w:p>
    <w:p w14:paraId="658584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（1）政府采购促进中小企业发展。</w:t>
      </w:r>
    </w:p>
    <w:p w14:paraId="4E2F24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（2）政府采购支持采用本国产品的政策。</w:t>
      </w:r>
    </w:p>
    <w:p w14:paraId="01A3A3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（3）强制采购节能产品；优先采购节能产品、环境标志产品。</w:t>
      </w:r>
    </w:p>
    <w:p w14:paraId="7DD700B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（4）政府采购促进残疾人就业政策。</w:t>
      </w:r>
    </w:p>
    <w:p w14:paraId="3C445F1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（5）政府采购支持监狱企业发展。</w:t>
      </w:r>
    </w:p>
    <w:p w14:paraId="2600506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（6）扶持不发达地区和少数民族地区政策</w:t>
      </w:r>
    </w:p>
    <w:p w14:paraId="7519DD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5.谈判注意事项：</w:t>
      </w:r>
    </w:p>
    <w:p w14:paraId="7C59462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（1）响应文件提交方式：本项目为全流程电子化政府采购项目，通过广西政府采购云平台（https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gcy.zfcg.gxzf.gov.cn/）实行在线电子竞争性谈判，供应商应先安装“广西政府采购云平台电子交易客户端”（请自行前往广西政府采购云平台进行下载），并按照本项目竞争性谈判采购文件和广西政府采购云平台的要求编制、加密后在首次响应文件提交截止时间前通过网络上传至广西政府采购云平台，供应商在广西政府采购云平台提交电子版响应文件时，请填写参加远程开标活动经办人联系方式。</w:t>
      </w:r>
    </w:p>
    <w:p w14:paraId="07E440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5A8E001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14A7925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（4）为确保网上操作合法、有效和安全，请供应商确保在参与电子竞争性谈判过程中能够对相关数据电文进行加密和使用电子签章，妥善保管CA数字证书并使用有效的CA数字证书参与整个采购活动。</w:t>
      </w:r>
    </w:p>
    <w:p w14:paraId="7BA698E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4143D83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6.CA证书在线解密：首次响应文件开启时，须要供应商携带制作响应文件时用来加密的有效数字证书（CA认证）登录广西政府采购云平台电子开标大厅现场按规定时间对加密的响应文件进行解密，否则后果自负。</w:t>
      </w:r>
    </w:p>
    <w:p w14:paraId="62C98B5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7.供应商需要在具备有摄像头及语音功能且互联网网络状况良好的电脑登录广西政府采购云平台远程开标大厅参与本次谈判，否则后果自负。</w:t>
      </w:r>
    </w:p>
    <w:p w14:paraId="68F47E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8.若对项目采购电子交易系统操作有疑问，可登录广西政府采购云平台（https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//www.gcy.zfcg.gxzf.gov.cn/），点击右侧咨询小采，获取采小蜜智能服务管家帮助，或拨打广西政府采购云平台服务热线95763获取热线服务帮助。</w:t>
      </w:r>
    </w:p>
    <w:p w14:paraId="06A5B6D1">
      <w:pPr>
        <w:spacing w:line="360" w:lineRule="auto"/>
        <w:ind w:firstLine="361" w:firstLineChars="15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八、凡对本次采购提出询问，请按以下方式联系。</w:t>
      </w:r>
      <w:bookmarkEnd w:id="2"/>
      <w:bookmarkEnd w:id="3"/>
      <w:bookmarkEnd w:id="4"/>
      <w:bookmarkEnd w:id="5"/>
      <w:bookmarkEnd w:id="6"/>
      <w:bookmarkEnd w:id="7"/>
    </w:p>
    <w:p w14:paraId="1E6319E3">
      <w:pPr>
        <w:spacing w:line="360" w:lineRule="auto"/>
        <w:ind w:firstLine="482" w:firstLineChars="200"/>
        <w:rPr>
          <w:rFonts w:hint="eastAsia" w:ascii="仿宋" w:hAnsi="仿宋" w:eastAsia="仿宋" w:cs="仿宋"/>
          <w:b/>
          <w:bCs/>
          <w:color w:val="auto"/>
          <w:sz w:val="24"/>
          <w:szCs w:val="24"/>
          <w:highlight w:val="none"/>
        </w:rPr>
      </w:pPr>
      <w:bookmarkStart w:id="9" w:name="_Toc28359019"/>
      <w:bookmarkStart w:id="10" w:name="_Toc35393806"/>
      <w:bookmarkStart w:id="11" w:name="_Toc28359096"/>
      <w:bookmarkStart w:id="12" w:name="_Toc35393637"/>
      <w:r>
        <w:rPr>
          <w:rFonts w:hint="eastAsia" w:ascii="仿宋" w:hAnsi="仿宋" w:eastAsia="仿宋" w:cs="仿宋"/>
          <w:b/>
          <w:bCs/>
          <w:color w:val="auto"/>
          <w:sz w:val="24"/>
          <w:szCs w:val="24"/>
          <w:highlight w:val="none"/>
        </w:rPr>
        <w:t>1.采购人信息</w:t>
      </w:r>
    </w:p>
    <w:p w14:paraId="5AE4E883">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广西壮族自治区南宁监狱</w:t>
      </w:r>
    </w:p>
    <w:p w14:paraId="1AB8DB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地址：南宁市青秀区厢竹大道42号</w:t>
      </w:r>
    </w:p>
    <w:p w14:paraId="40CE9ADC">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谢工   </w:t>
      </w:r>
      <w:r>
        <w:rPr>
          <w:rFonts w:hint="eastAsia" w:ascii="仿宋" w:hAnsi="仿宋" w:eastAsia="仿宋" w:cs="仿宋"/>
          <w:color w:val="auto"/>
          <w:sz w:val="24"/>
          <w:szCs w:val="24"/>
          <w:highlight w:val="none"/>
        </w:rPr>
        <w:t xml:space="preserve">   联系电话：0771- </w:t>
      </w:r>
      <w:r>
        <w:rPr>
          <w:rFonts w:hint="eastAsia" w:ascii="仿宋" w:hAnsi="仿宋" w:eastAsia="仿宋" w:cs="仿宋"/>
          <w:color w:val="auto"/>
          <w:sz w:val="24"/>
          <w:szCs w:val="24"/>
          <w:highlight w:val="none"/>
          <w:lang w:val="en-US" w:eastAsia="zh-CN"/>
        </w:rPr>
        <w:t>2190981</w:t>
      </w:r>
    </w:p>
    <w:p w14:paraId="5117CEED">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2.采购代理机构信息</w:t>
      </w:r>
    </w:p>
    <w:p w14:paraId="196A2E3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名称：广西科文招标有限公司</w:t>
      </w:r>
    </w:p>
    <w:p w14:paraId="197CD9B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地址：广西壮族自治区南宁市民族大道141号中鼎万象东方D区五层</w:t>
      </w:r>
    </w:p>
    <w:p w14:paraId="65B8149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联系人：梁伟贞  联系电话：0771-2023650，传真：0771-2023997   </w:t>
      </w:r>
    </w:p>
    <w:p w14:paraId="61FBEFE0">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3.项目联系方式</w:t>
      </w:r>
    </w:p>
    <w:p w14:paraId="192E55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项目联系人：梁伟贞  联系电话：0771-2023650，传真：0771-2023997  </w:t>
      </w:r>
    </w:p>
    <w:p w14:paraId="21966D4E">
      <w:pPr>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bookmarkEnd w:id="9"/>
      <w:bookmarkEnd w:id="10"/>
      <w:bookmarkEnd w:id="11"/>
      <w:bookmarkEnd w:id="12"/>
      <w:r>
        <w:rPr>
          <w:rFonts w:hint="eastAsia" w:ascii="仿宋" w:hAnsi="仿宋" w:eastAsia="仿宋" w:cs="仿宋"/>
          <w:color w:val="auto"/>
          <w:sz w:val="24"/>
          <w:szCs w:val="24"/>
          <w:highlight w:val="none"/>
        </w:rPr>
        <w:t xml:space="preserve">             </w:t>
      </w:r>
    </w:p>
    <w:p w14:paraId="22EC0EF2">
      <w:pPr>
        <w:spacing w:line="360" w:lineRule="auto"/>
        <w:ind w:firstLine="840" w:firstLineChars="35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代理机构：广西科文招标有限公司</w:t>
      </w:r>
    </w:p>
    <w:bookmarkEnd w:id="1"/>
    <w:p w14:paraId="550629F0">
      <w:pPr>
        <w:jc w:val="right"/>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 xml:space="preserve">                      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日</w:t>
      </w:r>
      <w:bookmarkStart w:id="13" w:name="_Toc74322009"/>
      <w:r>
        <w:rPr>
          <w:rFonts w:hint="eastAsia" w:ascii="仿宋" w:hAnsi="仿宋" w:eastAsia="仿宋" w:cs="仿宋"/>
          <w:color w:val="auto"/>
          <w:szCs w:val="24"/>
          <w:highlight w:val="none"/>
        </w:rPr>
        <w:br w:type="page"/>
      </w:r>
    </w:p>
    <w:p w14:paraId="6883B5BA">
      <w:pPr>
        <w:spacing w:line="360" w:lineRule="auto"/>
        <w:ind w:left="0" w:leftChars="0"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 w:val="44"/>
          <w:szCs w:val="44"/>
          <w:highlight w:val="none"/>
        </w:rPr>
        <w:t>第二章 供应商须知</w:t>
      </w:r>
      <w:bookmarkEnd w:id="13"/>
    </w:p>
    <w:p w14:paraId="1FDF7CBC">
      <w:pPr>
        <w:spacing w:line="360" w:lineRule="auto"/>
        <w:ind w:left="0" w:leftChars="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供应商须知前附表</w:t>
      </w:r>
    </w:p>
    <w:p w14:paraId="5BC0FBCE">
      <w:pPr>
        <w:spacing w:line="400" w:lineRule="exact"/>
        <w:ind w:firstLine="643"/>
        <w:jc w:val="center"/>
        <w:rPr>
          <w:rFonts w:hint="eastAsia" w:ascii="仿宋" w:hAnsi="仿宋" w:eastAsia="仿宋" w:cs="仿宋"/>
          <w:b/>
          <w:color w:val="auto"/>
          <w:sz w:val="32"/>
          <w:szCs w:val="32"/>
          <w:highlight w:val="none"/>
        </w:rPr>
      </w:pPr>
    </w:p>
    <w:tbl>
      <w:tblPr>
        <w:tblStyle w:val="22"/>
        <w:tblW w:w="91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8181"/>
      </w:tblGrid>
      <w:tr w14:paraId="37219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14:paraId="158900EE">
            <w:pPr>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8181" w:type="dxa"/>
            <w:vAlign w:val="center"/>
          </w:tcPr>
          <w:p w14:paraId="43F55DF0">
            <w:pPr>
              <w:spacing w:line="500" w:lineRule="exact"/>
              <w:ind w:left="0" w:leftChars="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0A718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14:paraId="1DE57E50">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181" w:type="dxa"/>
            <w:vAlign w:val="center"/>
          </w:tcPr>
          <w:p w14:paraId="082B914B">
            <w:pPr>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供应商的资格条件：详见竞争性谈判公告</w:t>
            </w:r>
            <w:r>
              <w:rPr>
                <w:rFonts w:hint="eastAsia" w:ascii="仿宋" w:hAnsi="仿宋" w:eastAsia="仿宋" w:cs="仿宋"/>
                <w:color w:val="auto"/>
                <w:sz w:val="24"/>
                <w:szCs w:val="24"/>
                <w:highlight w:val="none"/>
                <w:lang w:eastAsia="zh-CN"/>
              </w:rPr>
              <w:t>。</w:t>
            </w:r>
          </w:p>
        </w:tc>
      </w:tr>
      <w:tr w14:paraId="0D0DF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14:paraId="41A02C31">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p>
        </w:tc>
        <w:tc>
          <w:tcPr>
            <w:tcW w:w="8181" w:type="dxa"/>
            <w:vAlign w:val="center"/>
          </w:tcPr>
          <w:p w14:paraId="38CC34AF">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是否接受联合体参与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w:t>
            </w:r>
          </w:p>
        </w:tc>
      </w:tr>
      <w:tr w14:paraId="20841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1" w:type="dxa"/>
            <w:vAlign w:val="center"/>
          </w:tcPr>
          <w:p w14:paraId="6B0D585C">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p>
        </w:tc>
        <w:tc>
          <w:tcPr>
            <w:tcW w:w="8181" w:type="dxa"/>
            <w:vAlign w:val="center"/>
          </w:tcPr>
          <w:p w14:paraId="7A03B2DC">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如接受联合体参与，要求如下：</w:t>
            </w:r>
          </w:p>
          <w:p w14:paraId="7AF1A26C">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两个以上供应商可以组成一个联合体，以一个供应商的身份共同</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，联合体供应商的名称应统一按“XXX 公司与 XXX 公司的联合体”的规则填写。</w:t>
            </w:r>
          </w:p>
          <w:p w14:paraId="22F0F6DB">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以联合体形式</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谈判公告“申请人的资格条件”第3点 “3、本项目的特定资格要求”的要求。</w:t>
            </w:r>
          </w:p>
          <w:p w14:paraId="113AFF83">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联合体</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的，须提供《联合体</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协议书》（格式后附），协议书必须明确主体方（或者牵头方）并明确约定联合体各方承担的工作和相应的责任（各方承担责任与义务的分工必须符合采购需求，否则，联合体响应无效），并将《联合体</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协议书》放入响应文件。联合体各方必须共同与采购人签订采购合同，就采购合同约定的事项对采购人承担连带责任。</w:t>
            </w:r>
            <w:r>
              <w:rPr>
                <w:rFonts w:hint="eastAsia" w:ascii="仿宋" w:hAnsi="仿宋" w:eastAsia="仿宋" w:cs="仿宋"/>
                <w:color w:val="auto"/>
                <w:sz w:val="24"/>
                <w:szCs w:val="24"/>
                <w:highlight w:val="none"/>
              </w:rPr>
              <w:tab/>
            </w:r>
          </w:p>
          <w:p w14:paraId="1F68F0CD">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以联合体形式参加政府采购活动的，联合体各方不得再单独参加或者与其他供应商另外组成联合体参加同一合同项下的政府采购活动，否则与之相关的响应文件作废。</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p>
          <w:p w14:paraId="17EAA265">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联合体中有同类资质的供应商按照联合体分工承担相同工作的，应当按照资质等级较低的供应商确定资质等级。</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p>
          <w:p w14:paraId="1F64BFD4">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联合体</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的业绩、履约能力按照联合体各方其中较高的一方认定并计算（竞争性谈判采购文件另有规定的除外）。</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p>
          <w:p w14:paraId="771FF843">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联合体各方均应按照竞争性谈判采购文件的规定提交资格证明文件。</w:t>
            </w:r>
          </w:p>
        </w:tc>
      </w:tr>
      <w:tr w14:paraId="0998F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jc w:val="center"/>
        </w:trPr>
        <w:tc>
          <w:tcPr>
            <w:tcW w:w="991" w:type="dxa"/>
            <w:vAlign w:val="center"/>
          </w:tcPr>
          <w:p w14:paraId="0584BEF9">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w:t>
            </w:r>
          </w:p>
        </w:tc>
        <w:tc>
          <w:tcPr>
            <w:tcW w:w="8181" w:type="dxa"/>
            <w:vAlign w:val="center"/>
          </w:tcPr>
          <w:p w14:paraId="509F02AA">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sym w:font="Wingdings 2" w:char="0052"/>
            </w:r>
            <w:r>
              <w:rPr>
                <w:rFonts w:hint="eastAsia" w:ascii="仿宋" w:hAnsi="仿宋" w:eastAsia="仿宋" w:cs="仿宋"/>
                <w:color w:val="auto"/>
                <w:sz w:val="24"/>
                <w:szCs w:val="24"/>
                <w:highlight w:val="none"/>
              </w:rPr>
              <w:t>本项目不允许分包。</w:t>
            </w:r>
          </w:p>
          <w:p w14:paraId="7F36140A">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sym w:font="Wingdings 2" w:char="00A3"/>
            </w:r>
            <w:r>
              <w:rPr>
                <w:rFonts w:hint="eastAsia" w:ascii="仿宋" w:hAnsi="仿宋" w:eastAsia="仿宋" w:cs="仿宋"/>
                <w:color w:val="auto"/>
                <w:sz w:val="24"/>
                <w:szCs w:val="24"/>
                <w:highlight w:val="none"/>
              </w:rPr>
              <w:t>本项目允许分包：</w:t>
            </w:r>
          </w:p>
          <w:p w14:paraId="58ABAD21">
            <w:pPr>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分包内容：</w:t>
            </w:r>
            <w:r>
              <w:rPr>
                <w:rFonts w:hint="eastAsia" w:ascii="仿宋" w:hAnsi="仿宋" w:eastAsia="仿宋" w:cs="仿宋"/>
                <w:color w:val="auto"/>
                <w:sz w:val="24"/>
                <w:szCs w:val="24"/>
                <w:highlight w:val="none"/>
                <w:u w:val="single"/>
              </w:rPr>
              <w:t>/</w:t>
            </w:r>
          </w:p>
          <w:p w14:paraId="4D1DC199">
            <w:pPr>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分包金额或者比例：</w:t>
            </w:r>
            <w:r>
              <w:rPr>
                <w:rFonts w:hint="eastAsia" w:ascii="仿宋" w:hAnsi="仿宋" w:eastAsia="仿宋" w:cs="仿宋"/>
                <w:color w:val="auto"/>
                <w:sz w:val="24"/>
                <w:szCs w:val="24"/>
                <w:highlight w:val="none"/>
                <w:u w:val="single"/>
              </w:rPr>
              <w:t>/</w:t>
            </w:r>
          </w:p>
        </w:tc>
      </w:tr>
      <w:tr w14:paraId="29AF0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Align w:val="center"/>
          </w:tcPr>
          <w:p w14:paraId="4C965157">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12.1.1</w:t>
            </w:r>
          </w:p>
        </w:tc>
        <w:tc>
          <w:tcPr>
            <w:tcW w:w="8181" w:type="dxa"/>
            <w:vAlign w:val="center"/>
          </w:tcPr>
          <w:p w14:paraId="3DBB619B">
            <w:pPr>
              <w:snapToGrid w:val="0"/>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资格证明文件</w:t>
            </w:r>
          </w:p>
          <w:p w14:paraId="589C3978">
            <w:pPr>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供应商为法人或者其他组织的，证明文件为其营业执照复印件（如营业执照或者事业单位法人证书或者执业许可证等）；供应商为自然人的，证明文件为其身份证复印件；（</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7C559957">
            <w:pPr>
              <w:spacing w:line="50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供应商依法缴纳税收的相关材料（首次响应文件提交截止之日前半年内连续三个月依法缴纳税收的凭据复印件；依法免税的，必须提供相应文件证明。从成立之日起到首次响应文件提交截止时间为止不足要求月数的，只需提供从成立之日起的依法缴纳税收相应证明文件）；（</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7AE89C42">
            <w:pPr>
              <w:spacing w:line="50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供应商依法缴纳社会保障资金的相关材料（首次响应文件提交截止之日前半年内连续三个月依法缴纳社会保障资金的缴费凭证（专用收据或者社会保险缴纳清单）复印件；依法不需要缴纳社会保障资金的，必须提供相应文件证明。从成立之日起到首次响应文件提交截止时间为止不足要求月数的只需提供从成立之日起一个月的依法缴纳社会保障资金的相应证明文件）；（</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48BF8158">
            <w:pPr>
              <w:spacing w:line="500" w:lineRule="exact"/>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供应商财务状况报告（提供2023年</w:t>
            </w:r>
            <w:r>
              <w:rPr>
                <w:rFonts w:hint="eastAsia" w:ascii="仿宋" w:hAnsi="仿宋" w:eastAsia="仿宋" w:cs="仿宋"/>
                <w:color w:val="auto"/>
                <w:sz w:val="24"/>
                <w:szCs w:val="24"/>
                <w:highlight w:val="none"/>
                <w:lang w:val="en-US" w:eastAsia="zh-CN"/>
              </w:rPr>
              <w:t>或2024年</w:t>
            </w:r>
            <w:r>
              <w:rPr>
                <w:rFonts w:hint="eastAsia" w:ascii="仿宋" w:hAnsi="仿宋" w:eastAsia="仿宋" w:cs="仿宋"/>
                <w:color w:val="auto"/>
                <w:sz w:val="24"/>
                <w:szCs w:val="24"/>
                <w:highlight w:val="none"/>
              </w:rPr>
              <w:t>财务状况报告复印件，或者银行出具的资信证明（资信证明应在有效期内，未注明有效期的，银行出具时间至首次响应文件提交截止时间不超过一年）；供应商成立不满一年的应按提供首次响应文件提交截止时间上一个月的财务状况报告复印件）</w:t>
            </w:r>
            <w:r>
              <w:rPr>
                <w:rFonts w:hint="eastAsia" w:ascii="仿宋" w:hAnsi="仿宋" w:eastAsia="仿宋" w:cs="仿宋"/>
                <w:bCs/>
                <w:color w:val="auto"/>
                <w:sz w:val="24"/>
                <w:szCs w:val="24"/>
                <w:highlight w:val="none"/>
              </w:rPr>
              <w:t>（</w:t>
            </w:r>
            <w:r>
              <w:rPr>
                <w:rFonts w:hint="eastAsia" w:ascii="仿宋" w:hAnsi="仿宋" w:eastAsia="仿宋" w:cs="仿宋"/>
                <w:b/>
                <w:color w:val="auto"/>
                <w:sz w:val="24"/>
                <w:szCs w:val="24"/>
                <w:highlight w:val="none"/>
              </w:rPr>
              <w:t>除自然人外必须提供，否则响应文件按无效响应处理</w:t>
            </w:r>
            <w:r>
              <w:rPr>
                <w:rFonts w:hint="eastAsia" w:ascii="仿宋" w:hAnsi="仿宋" w:eastAsia="仿宋" w:cs="仿宋"/>
                <w:bCs/>
                <w:color w:val="auto"/>
                <w:sz w:val="24"/>
                <w:szCs w:val="24"/>
                <w:highlight w:val="none"/>
              </w:rPr>
              <w:t>）</w:t>
            </w:r>
          </w:p>
          <w:p w14:paraId="75D1E010">
            <w:pPr>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供应商直接控股、管理关系信息表（格式后附）；（</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0F8DB083">
            <w:pPr>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声明（格式后附）；（</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67614364">
            <w:pPr>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具备有效的医疗器械经营备案凭证或者经营许可证，且经营范围必须包含采购标的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符合《医疗器械监督管理条例》第四十一条第二款规定的除外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；或者供应商符合《医疗器械监督管理条例》第四十三条规定具备采购标的有效的医疗器械注册证；（</w:t>
            </w:r>
            <w:r>
              <w:rPr>
                <w:rFonts w:hint="eastAsia" w:ascii="仿宋" w:hAnsi="仿宋" w:eastAsia="仿宋" w:cs="仿宋"/>
                <w:b/>
                <w:bCs/>
                <w:color w:val="auto"/>
                <w:sz w:val="24"/>
                <w:szCs w:val="24"/>
                <w:highlight w:val="none"/>
              </w:rPr>
              <w:t>必</w:t>
            </w:r>
            <w:r>
              <w:rPr>
                <w:rFonts w:hint="eastAsia" w:ascii="仿宋" w:hAnsi="仿宋" w:eastAsia="仿宋" w:cs="仿宋"/>
                <w:b/>
                <w:color w:val="auto"/>
                <w:sz w:val="24"/>
                <w:szCs w:val="24"/>
                <w:highlight w:val="none"/>
              </w:rPr>
              <w:t>须提供，否则响应文件按无效响应处理</w:t>
            </w:r>
            <w:r>
              <w:rPr>
                <w:rFonts w:hint="eastAsia" w:ascii="仿宋" w:hAnsi="仿宋" w:eastAsia="仿宋" w:cs="仿宋"/>
                <w:color w:val="auto"/>
                <w:sz w:val="24"/>
                <w:szCs w:val="24"/>
                <w:highlight w:val="none"/>
              </w:rPr>
              <w:t>）</w:t>
            </w:r>
          </w:p>
          <w:p w14:paraId="19634F7D">
            <w:pPr>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除谈判文件规定必须提供以外，供应商认为需要提供的其他证明材料。</w:t>
            </w:r>
          </w:p>
          <w:p w14:paraId="11ED2111">
            <w:pPr>
              <w:snapToGrid w:val="0"/>
              <w:spacing w:line="500" w:lineRule="exact"/>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Cs/>
                <w:color w:val="auto"/>
                <w:sz w:val="24"/>
                <w:szCs w:val="24"/>
                <w:highlight w:val="none"/>
              </w:rPr>
              <w:t>1.以上标明“必须提供”的材料属于复印件的，必须加盖供应商公章，否则响应文件按无效响应处理。</w:t>
            </w:r>
          </w:p>
          <w:p w14:paraId="511A348F">
            <w:pPr>
              <w:snapToGrid w:val="0"/>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eastAsia="zh-CN"/>
              </w:rPr>
              <w:t>竞标</w:t>
            </w:r>
            <w:r>
              <w:rPr>
                <w:rFonts w:hint="eastAsia" w:ascii="仿宋" w:hAnsi="仿宋" w:eastAsia="仿宋" w:cs="仿宋"/>
                <w:bCs/>
                <w:color w:val="auto"/>
                <w:sz w:val="24"/>
                <w:szCs w:val="24"/>
                <w:highlight w:val="none"/>
              </w:rPr>
              <w:t>声明必须由法定代表人在规定签章处逐一签字并加盖供应商公章，否则响应文件按无效响应处理。</w:t>
            </w:r>
          </w:p>
          <w:p w14:paraId="755F324E">
            <w:pPr>
              <w:snapToGrid w:val="0"/>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3.供应商直接控股、管理关系信息表必须由法定代表人或者委托代理人在规定签章处逐一签字并加盖供应商公章，否则响应文件按无效响应处理。</w:t>
            </w:r>
          </w:p>
          <w:p w14:paraId="6019CACD">
            <w:pPr>
              <w:snapToGrid w:val="0"/>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4.联合体</w:t>
            </w:r>
            <w:r>
              <w:rPr>
                <w:rFonts w:hint="eastAsia" w:ascii="仿宋" w:hAnsi="仿宋" w:eastAsia="仿宋" w:cs="仿宋"/>
                <w:bCs/>
                <w:color w:val="auto"/>
                <w:sz w:val="24"/>
                <w:szCs w:val="24"/>
                <w:highlight w:val="none"/>
                <w:lang w:eastAsia="zh-CN"/>
              </w:rPr>
              <w:t>竞标</w:t>
            </w:r>
            <w:r>
              <w:rPr>
                <w:rFonts w:hint="eastAsia" w:ascii="仿宋" w:hAnsi="仿宋" w:eastAsia="仿宋" w:cs="仿宋"/>
                <w:bCs/>
                <w:color w:val="auto"/>
                <w:sz w:val="24"/>
                <w:szCs w:val="24"/>
                <w:highlight w:val="none"/>
              </w:rPr>
              <w:t>时，以上第1-5项资格证明文件联合体各方均必须分别提供，联合体各方分别按格式要求盖章或签字，否则响应文件按无效响应处理。</w:t>
            </w:r>
          </w:p>
          <w:p w14:paraId="58860D09">
            <w:pPr>
              <w:snapToGrid w:val="0"/>
              <w:spacing w:line="500" w:lineRule="exact"/>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5.分公司参加</w:t>
            </w:r>
            <w:r>
              <w:rPr>
                <w:rFonts w:hint="eastAsia" w:ascii="仿宋" w:hAnsi="仿宋" w:eastAsia="仿宋" w:cs="仿宋"/>
                <w:bCs/>
                <w:color w:val="auto"/>
                <w:sz w:val="24"/>
                <w:szCs w:val="24"/>
                <w:highlight w:val="none"/>
                <w:lang w:eastAsia="zh-CN"/>
              </w:rPr>
              <w:t>竞标</w:t>
            </w:r>
            <w:r>
              <w:rPr>
                <w:rFonts w:hint="eastAsia" w:ascii="仿宋" w:hAnsi="仿宋" w:eastAsia="仿宋" w:cs="仿宋"/>
                <w:bCs/>
                <w:color w:val="auto"/>
                <w:sz w:val="24"/>
                <w:szCs w:val="24"/>
                <w:highlight w:val="none"/>
              </w:rPr>
              <w:t>的，应当取得总公司授权，否则响应文件按无效响应处理</w:t>
            </w:r>
            <w:r>
              <w:rPr>
                <w:rFonts w:hint="eastAsia" w:ascii="仿宋" w:hAnsi="仿宋" w:eastAsia="仿宋" w:cs="仿宋"/>
                <w:b/>
                <w:color w:val="auto"/>
                <w:sz w:val="24"/>
                <w:szCs w:val="24"/>
                <w:highlight w:val="none"/>
              </w:rPr>
              <w:t>。</w:t>
            </w:r>
          </w:p>
        </w:tc>
      </w:tr>
      <w:tr w14:paraId="35617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991" w:type="dxa"/>
            <w:vMerge w:val="restart"/>
            <w:vAlign w:val="center"/>
          </w:tcPr>
          <w:p w14:paraId="3AD4EF9B">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12.1.2</w:t>
            </w:r>
          </w:p>
        </w:tc>
        <w:tc>
          <w:tcPr>
            <w:tcW w:w="8181" w:type="dxa"/>
            <w:vAlign w:val="center"/>
          </w:tcPr>
          <w:p w14:paraId="15F8E414">
            <w:pPr>
              <w:spacing w:line="500" w:lineRule="exact"/>
              <w:ind w:firstLine="48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报价文件</w:t>
            </w:r>
          </w:p>
          <w:p w14:paraId="085293C8">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无串通</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行为的承诺函（格式后附）；（</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62FC2231">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竞争性谈判报价表（格式后附）；（</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7DB89707">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中小企业声明函（或残疾人福利性单位声明函或监狱企业声明函，残疾人福利性单位或监狱企业视同小微企业）（格式后附）；</w:t>
            </w:r>
          </w:p>
          <w:p w14:paraId="2D86D098">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Cs/>
                <w:color w:val="auto"/>
                <w:sz w:val="24"/>
                <w:szCs w:val="24"/>
                <w:highlight w:val="none"/>
              </w:rPr>
              <w:t>.供应商</w:t>
            </w:r>
            <w:r>
              <w:rPr>
                <w:rFonts w:hint="eastAsia" w:ascii="仿宋" w:hAnsi="仿宋" w:eastAsia="仿宋" w:cs="仿宋"/>
                <w:color w:val="auto"/>
                <w:sz w:val="24"/>
                <w:szCs w:val="24"/>
                <w:highlight w:val="none"/>
              </w:rPr>
              <w:t>针对报价需要说明的其他文件和说明（格式自拟）。</w:t>
            </w:r>
          </w:p>
          <w:p w14:paraId="27FD242C">
            <w:pPr>
              <w:spacing w:line="500" w:lineRule="exact"/>
              <w:ind w:firstLine="482"/>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：以上标明“必须提供”材料复印件的，必须加盖供应商公章，否则响应文件按无效响应处理。</w:t>
            </w:r>
          </w:p>
        </w:tc>
      </w:tr>
      <w:tr w14:paraId="1EE0E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991" w:type="dxa"/>
            <w:vMerge w:val="continue"/>
            <w:vAlign w:val="center"/>
          </w:tcPr>
          <w:p w14:paraId="76B9FF74">
            <w:pPr>
              <w:spacing w:line="500" w:lineRule="exact"/>
              <w:jc w:val="center"/>
              <w:rPr>
                <w:rFonts w:hint="eastAsia" w:ascii="仿宋" w:hAnsi="仿宋" w:eastAsia="仿宋" w:cs="仿宋"/>
                <w:color w:val="auto"/>
                <w:sz w:val="24"/>
                <w:szCs w:val="24"/>
                <w:highlight w:val="none"/>
              </w:rPr>
            </w:pPr>
          </w:p>
        </w:tc>
        <w:tc>
          <w:tcPr>
            <w:tcW w:w="8181" w:type="dxa"/>
            <w:vAlign w:val="center"/>
          </w:tcPr>
          <w:p w14:paraId="588A0604">
            <w:pPr>
              <w:spacing w:line="500" w:lineRule="exact"/>
              <w:ind w:firstLine="482"/>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商务技术文件</w:t>
            </w:r>
          </w:p>
          <w:p w14:paraId="4215B17A">
            <w:pPr>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法定代表人身份证明及法定代表人有效身份证正反面复印件（格式后附）；（</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55466FFC">
            <w:pPr>
              <w:spacing w:line="50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授权委托书及委托代理人有效身份证正反面复印件（格式后附）；（</w:t>
            </w:r>
            <w:r>
              <w:rPr>
                <w:rFonts w:hint="eastAsia" w:ascii="仿宋" w:hAnsi="仿宋" w:eastAsia="仿宋" w:cs="仿宋"/>
                <w:b/>
                <w:color w:val="auto"/>
                <w:sz w:val="24"/>
                <w:szCs w:val="24"/>
                <w:highlight w:val="none"/>
              </w:rPr>
              <w:t>委托时必须提供，否则响应文件按无效响应处理</w:t>
            </w:r>
            <w:r>
              <w:rPr>
                <w:rFonts w:hint="eastAsia" w:ascii="仿宋" w:hAnsi="仿宋" w:eastAsia="仿宋" w:cs="仿宋"/>
                <w:color w:val="auto"/>
                <w:sz w:val="24"/>
                <w:szCs w:val="24"/>
                <w:highlight w:val="none"/>
              </w:rPr>
              <w:t>）</w:t>
            </w:r>
          </w:p>
          <w:p w14:paraId="0A42E826">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谈判保证金提交凭证；（</w:t>
            </w:r>
            <w:r>
              <w:rPr>
                <w:rFonts w:hint="eastAsia" w:ascii="仿宋" w:hAnsi="仿宋" w:eastAsia="仿宋" w:cs="仿宋"/>
                <w:b/>
                <w:bCs/>
                <w:color w:val="auto"/>
                <w:sz w:val="24"/>
                <w:szCs w:val="24"/>
                <w:highlight w:val="none"/>
              </w:rPr>
              <w:t>必须提供</w:t>
            </w:r>
            <w:r>
              <w:rPr>
                <w:rFonts w:hint="eastAsia" w:ascii="仿宋" w:hAnsi="仿宋" w:eastAsia="仿宋" w:cs="仿宋"/>
                <w:b/>
                <w:color w:val="auto"/>
                <w:sz w:val="24"/>
                <w:szCs w:val="24"/>
                <w:highlight w:val="none"/>
              </w:rPr>
              <w:t>，否则响应文件按无效响应处理</w:t>
            </w:r>
            <w:r>
              <w:rPr>
                <w:rFonts w:hint="eastAsia" w:ascii="仿宋" w:hAnsi="仿宋" w:eastAsia="仿宋" w:cs="仿宋"/>
                <w:color w:val="auto"/>
                <w:sz w:val="24"/>
                <w:szCs w:val="24"/>
                <w:highlight w:val="none"/>
              </w:rPr>
              <w:t>）</w:t>
            </w:r>
          </w:p>
          <w:p w14:paraId="43D0A5DD">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商务要求偏离表（格式后附）；（</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3677E1A2">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售后服务承诺</w:t>
            </w:r>
            <w:r>
              <w:rPr>
                <w:rFonts w:hint="eastAsia" w:ascii="仿宋" w:hAnsi="仿宋" w:eastAsia="仿宋" w:cs="仿宋"/>
                <w:color w:val="auto"/>
                <w:sz w:val="24"/>
                <w:szCs w:val="24"/>
                <w:highlight w:val="none"/>
                <w:lang w:val="en-US" w:eastAsia="zh-CN"/>
              </w:rPr>
              <w:t>书</w:t>
            </w:r>
            <w:r>
              <w:rPr>
                <w:rFonts w:hint="eastAsia" w:ascii="仿宋" w:hAnsi="仿宋" w:eastAsia="仿宋" w:cs="仿宋"/>
                <w:color w:val="auto"/>
                <w:sz w:val="24"/>
                <w:szCs w:val="24"/>
                <w:highlight w:val="none"/>
              </w:rPr>
              <w:t>（格式自拟）；（</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3017CF3B">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货物配置清单（均不含报价）（格式后附）；（</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1C75D9EF">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技术要求偏离表（格式后附）；（</w:t>
            </w:r>
            <w:r>
              <w:rPr>
                <w:rFonts w:hint="eastAsia" w:ascii="仿宋" w:hAnsi="仿宋" w:eastAsia="仿宋" w:cs="仿宋"/>
                <w:b/>
                <w:color w:val="auto"/>
                <w:sz w:val="24"/>
                <w:szCs w:val="24"/>
                <w:highlight w:val="none"/>
              </w:rPr>
              <w:t>必须提供，否则响应文件按无效响应处理</w:t>
            </w:r>
            <w:r>
              <w:rPr>
                <w:rFonts w:hint="eastAsia" w:ascii="仿宋" w:hAnsi="仿宋" w:eastAsia="仿宋" w:cs="仿宋"/>
                <w:color w:val="auto"/>
                <w:sz w:val="24"/>
                <w:szCs w:val="24"/>
                <w:highlight w:val="none"/>
              </w:rPr>
              <w:t>）</w:t>
            </w:r>
          </w:p>
          <w:p w14:paraId="703674F2">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对应采购需求的技术要求、商务要求提供的其他文件资料（格式自拟）；</w:t>
            </w:r>
          </w:p>
          <w:p w14:paraId="743160EC">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供应商认为需要提供的其他有关资料。</w:t>
            </w:r>
          </w:p>
          <w:p w14:paraId="25602510">
            <w:pPr>
              <w:spacing w:line="50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color w:val="auto"/>
                <w:sz w:val="24"/>
                <w:szCs w:val="24"/>
                <w:highlight w:val="none"/>
              </w:rPr>
              <w:t>1.法定代表人授权委托书必须由法定代表人及委托代理人签字，并加盖供应商公章，否则做无效响应处理。</w:t>
            </w:r>
          </w:p>
          <w:p w14:paraId="747A9CDE">
            <w:pPr>
              <w:spacing w:line="50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2.以上标明“必须提供”材料复印件的，必须加盖供应商公章，否则响应文件按无效响应处理。</w:t>
            </w:r>
          </w:p>
        </w:tc>
      </w:tr>
      <w:tr w14:paraId="2CA07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991" w:type="dxa"/>
            <w:vAlign w:val="center"/>
          </w:tcPr>
          <w:p w14:paraId="35905803">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8181" w:type="dxa"/>
            <w:vAlign w:val="center"/>
          </w:tcPr>
          <w:p w14:paraId="7D8D3112">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谈判报价包含设备、随配附件、备品备件、辅助材料、工具、运抵指定交货地点、材料运输及人工搬运费、垃圾清理及排放、保险、现场安装、培训调试及验收的各种费用和售后服务、人工费、税费及其他所有成本费用的总和，成交供应商必须自行考虑项目需要的其他设备和材料，合同履行过程中，采购人不再支付合同以外的其他费用。（采购需求另有约定的，从其约定）</w:t>
            </w:r>
          </w:p>
        </w:tc>
      </w:tr>
      <w:tr w14:paraId="6DECD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14:paraId="2251C4CB">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8181" w:type="dxa"/>
            <w:vAlign w:val="center"/>
          </w:tcPr>
          <w:p w14:paraId="35F75E63">
            <w:pPr>
              <w:tabs>
                <w:tab w:val="left" w:pos="720"/>
                <w:tab w:val="left" w:pos="840"/>
              </w:tabs>
              <w:snapToGrid w:val="0"/>
              <w:spacing w:line="500" w:lineRule="exact"/>
              <w:ind w:left="324" w:hanging="324" w:hangingChars="1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竞争性谈判有效期：首次响应文件提交截止之日起60天内。 </w:t>
            </w:r>
          </w:p>
        </w:tc>
      </w:tr>
      <w:tr w14:paraId="2A2B1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991" w:type="dxa"/>
            <w:vAlign w:val="center"/>
          </w:tcPr>
          <w:p w14:paraId="30F89B56">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8181" w:type="dxa"/>
            <w:vAlign w:val="center"/>
          </w:tcPr>
          <w:p w14:paraId="1FBFF2A3">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本项目收取</w:t>
            </w:r>
            <w:r>
              <w:rPr>
                <w:rFonts w:hint="eastAsia" w:ascii="仿宋" w:hAnsi="仿宋" w:eastAsia="仿宋" w:cs="仿宋"/>
                <w:color w:val="auto"/>
                <w:sz w:val="24"/>
                <w:szCs w:val="24"/>
                <w:highlight w:val="none"/>
                <w:lang w:eastAsia="zh-CN"/>
              </w:rPr>
              <w:t>谈判保证金</w:t>
            </w:r>
            <w:r>
              <w:rPr>
                <w:rFonts w:hint="eastAsia" w:ascii="仿宋" w:hAnsi="仿宋" w:eastAsia="仿宋" w:cs="仿宋"/>
                <w:color w:val="auto"/>
                <w:sz w:val="24"/>
                <w:szCs w:val="24"/>
                <w:highlight w:val="none"/>
              </w:rPr>
              <w:t>。</w:t>
            </w:r>
          </w:p>
          <w:p w14:paraId="1787B985">
            <w:pPr>
              <w:autoSpaceDE w:val="0"/>
              <w:autoSpaceDN w:val="0"/>
              <w:snapToGrid w:val="0"/>
              <w:spacing w:line="500" w:lineRule="exac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谈判保证金</w:t>
            </w:r>
            <w:r>
              <w:rPr>
                <w:rFonts w:hint="eastAsia" w:ascii="仿宋" w:hAnsi="仿宋" w:eastAsia="仿宋" w:cs="仿宋"/>
                <w:color w:val="auto"/>
                <w:sz w:val="24"/>
                <w:szCs w:val="24"/>
                <w:highlight w:val="none"/>
              </w:rPr>
              <w:t>金额：</w:t>
            </w:r>
            <w:r>
              <w:rPr>
                <w:rFonts w:hint="eastAsia" w:ascii="仿宋" w:hAnsi="仿宋" w:eastAsia="仿宋" w:cs="仿宋"/>
                <w:color w:val="auto"/>
                <w:sz w:val="24"/>
                <w:szCs w:val="24"/>
                <w:highlight w:val="none"/>
                <w:lang w:val="en-US" w:eastAsia="zh-CN"/>
              </w:rPr>
              <w:t>18000.00。</w:t>
            </w:r>
          </w:p>
          <w:p w14:paraId="1858381E">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2.保证金专用银行账号信息如下：</w:t>
            </w:r>
          </w:p>
          <w:p w14:paraId="55D06759">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开户名称：广西科文招标有限公司</w:t>
            </w:r>
          </w:p>
          <w:p w14:paraId="7C23FE6C">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开户银行：广西北部湾银行南宁分行</w:t>
            </w:r>
          </w:p>
          <w:p w14:paraId="6BB27811">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银行账号：0101012090615689</w:t>
            </w:r>
          </w:p>
          <w:p w14:paraId="5717AB2F">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谈判保证金</w:t>
            </w:r>
            <w:r>
              <w:rPr>
                <w:rFonts w:hint="eastAsia" w:ascii="仿宋" w:hAnsi="仿宋" w:eastAsia="仿宋" w:cs="仿宋"/>
                <w:color w:val="auto"/>
                <w:sz w:val="24"/>
                <w:szCs w:val="24"/>
                <w:highlight w:val="none"/>
              </w:rPr>
              <w:t>的交纳方式：银行转账、支票、汇票、本票或者银行、保险机构出具的保函，禁止采用现钞方式。采用银行转账方式的，在投标截止时间前交至指定账户并且到账；采用支票、汇票、本票或者保函等方式的，在投标截止时间前，</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必须递交单独密封的支票、汇票、本票或者保函原件给采购代理机构。否则视为无效</w:t>
            </w:r>
            <w:r>
              <w:rPr>
                <w:rFonts w:hint="eastAsia" w:ascii="仿宋" w:hAnsi="仿宋" w:eastAsia="仿宋" w:cs="仿宋"/>
                <w:color w:val="auto"/>
                <w:sz w:val="24"/>
                <w:szCs w:val="24"/>
                <w:highlight w:val="none"/>
                <w:lang w:eastAsia="zh-CN"/>
              </w:rPr>
              <w:t>谈判保证金</w:t>
            </w:r>
            <w:r>
              <w:rPr>
                <w:rFonts w:hint="eastAsia" w:ascii="仿宋" w:hAnsi="仿宋" w:eastAsia="仿宋" w:cs="仿宋"/>
                <w:color w:val="auto"/>
                <w:sz w:val="24"/>
                <w:szCs w:val="24"/>
                <w:highlight w:val="none"/>
              </w:rPr>
              <w:t>。</w:t>
            </w:r>
          </w:p>
          <w:p w14:paraId="32CCF35D">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应将</w:t>
            </w:r>
            <w:r>
              <w:rPr>
                <w:rFonts w:hint="eastAsia" w:ascii="仿宋" w:hAnsi="仿宋" w:eastAsia="仿宋" w:cs="仿宋"/>
                <w:color w:val="auto"/>
                <w:sz w:val="24"/>
                <w:szCs w:val="24"/>
                <w:highlight w:val="none"/>
                <w:lang w:val="en-US" w:eastAsia="zh-CN"/>
              </w:rPr>
              <w:t>保证金缴纳凭证</w:t>
            </w:r>
            <w:r>
              <w:rPr>
                <w:rFonts w:hint="eastAsia" w:ascii="仿宋" w:hAnsi="仿宋" w:eastAsia="仿宋" w:cs="仿宋"/>
                <w:color w:val="auto"/>
                <w:sz w:val="24"/>
                <w:szCs w:val="24"/>
                <w:highlight w:val="none"/>
              </w:rPr>
              <w:t>的复印件作为</w:t>
            </w:r>
            <w:r>
              <w:rPr>
                <w:rFonts w:hint="eastAsia" w:ascii="仿宋" w:hAnsi="仿宋" w:eastAsia="仿宋" w:cs="仿宋"/>
                <w:color w:val="auto"/>
                <w:sz w:val="24"/>
                <w:szCs w:val="24"/>
                <w:highlight w:val="none"/>
                <w:lang w:eastAsia="zh-CN"/>
              </w:rPr>
              <w:t>谈判保证金</w:t>
            </w:r>
            <w:r>
              <w:rPr>
                <w:rFonts w:hint="eastAsia" w:ascii="仿宋" w:hAnsi="仿宋" w:eastAsia="仿宋" w:cs="仿宋"/>
                <w:color w:val="auto"/>
                <w:sz w:val="24"/>
                <w:szCs w:val="24"/>
                <w:highlight w:val="none"/>
              </w:rPr>
              <w:t>提交凭证，放置于商务文件中，否则投标无效。</w:t>
            </w:r>
          </w:p>
          <w:p w14:paraId="19D594E1">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无效保证金的情形： </w:t>
            </w:r>
          </w:p>
          <w:p w14:paraId="246D4FCF">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谈判保证金</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竞标</w:t>
            </w:r>
            <w:r>
              <w:rPr>
                <w:rFonts w:hint="eastAsia" w:ascii="仿宋" w:hAnsi="仿宋" w:eastAsia="仿宋" w:cs="仿宋"/>
                <w:color w:val="auto"/>
                <w:sz w:val="24"/>
                <w:szCs w:val="24"/>
                <w:highlight w:val="none"/>
              </w:rPr>
              <w:t>截止时间后提交的，或者不按规定交纳方式交纳的，或者未足额交纳的（包含保函额度不足的），视为无效</w:t>
            </w:r>
            <w:r>
              <w:rPr>
                <w:rFonts w:hint="eastAsia" w:ascii="仿宋" w:hAnsi="仿宋" w:eastAsia="仿宋" w:cs="仿宋"/>
                <w:color w:val="auto"/>
                <w:sz w:val="24"/>
                <w:szCs w:val="24"/>
                <w:highlight w:val="none"/>
                <w:lang w:eastAsia="zh-CN"/>
              </w:rPr>
              <w:t>谈判保证金</w:t>
            </w:r>
            <w:r>
              <w:rPr>
                <w:rFonts w:hint="eastAsia" w:ascii="仿宋" w:hAnsi="仿宋" w:eastAsia="仿宋" w:cs="仿宋"/>
                <w:color w:val="auto"/>
                <w:sz w:val="24"/>
                <w:szCs w:val="24"/>
                <w:highlight w:val="none"/>
              </w:rPr>
              <w:t>。</w:t>
            </w:r>
          </w:p>
          <w:p w14:paraId="1510376D">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（2）支票、汇票或者本票出现无效或者背书情形的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保函有效期低于投标有效期的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不是</w:t>
            </w:r>
            <w:r>
              <w:rPr>
                <w:rFonts w:hint="eastAsia" w:ascii="仿宋" w:hAnsi="仿宋" w:eastAsia="仿宋" w:cs="仿宋"/>
                <w:color w:val="auto"/>
                <w:sz w:val="24"/>
                <w:szCs w:val="24"/>
                <w:highlight w:val="none"/>
              </w:rPr>
              <w:t>无条件保函</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视为无效</w:t>
            </w:r>
            <w:r>
              <w:rPr>
                <w:rFonts w:hint="eastAsia" w:ascii="仿宋" w:hAnsi="仿宋" w:eastAsia="仿宋" w:cs="仿宋"/>
                <w:color w:val="auto"/>
                <w:sz w:val="24"/>
                <w:szCs w:val="24"/>
                <w:highlight w:val="none"/>
                <w:lang w:eastAsia="zh-CN"/>
              </w:rPr>
              <w:t>谈判保证金</w:t>
            </w:r>
            <w:r>
              <w:rPr>
                <w:rFonts w:hint="eastAsia" w:ascii="仿宋" w:hAnsi="仿宋" w:eastAsia="仿宋" w:cs="仿宋"/>
                <w:color w:val="auto"/>
                <w:sz w:val="24"/>
                <w:szCs w:val="24"/>
                <w:highlight w:val="none"/>
              </w:rPr>
              <w:t>。</w:t>
            </w:r>
          </w:p>
        </w:tc>
      </w:tr>
      <w:tr w14:paraId="66A25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Align w:val="center"/>
          </w:tcPr>
          <w:p w14:paraId="51CC019B">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w:t>
            </w:r>
          </w:p>
        </w:tc>
        <w:tc>
          <w:tcPr>
            <w:tcW w:w="8181" w:type="dxa"/>
            <w:vAlign w:val="center"/>
          </w:tcPr>
          <w:p w14:paraId="1A666E4E">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响应文件应按资格证明文件、报价商务技术文件分别编制，并按广西政府采购云平台的要求编制、加密、上传。</w:t>
            </w:r>
          </w:p>
        </w:tc>
      </w:tr>
      <w:tr w14:paraId="57F66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Align w:val="center"/>
          </w:tcPr>
          <w:p w14:paraId="7CB2B9DC">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w:t>
            </w:r>
          </w:p>
        </w:tc>
        <w:tc>
          <w:tcPr>
            <w:tcW w:w="8181" w:type="dxa"/>
            <w:vAlign w:val="center"/>
          </w:tcPr>
          <w:p w14:paraId="6F9139A2">
            <w:pPr>
              <w:spacing w:line="500" w:lineRule="exact"/>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首次响应文件提交截止时间：详见竞争性谈判公告。</w:t>
            </w:r>
          </w:p>
          <w:p w14:paraId="315D00DA">
            <w:pPr>
              <w:spacing w:line="50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首次响应文件提交地点：详见竞争性谈判公告。</w:t>
            </w:r>
          </w:p>
        </w:tc>
      </w:tr>
      <w:tr w14:paraId="5AE9D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991" w:type="dxa"/>
            <w:vAlign w:val="center"/>
          </w:tcPr>
          <w:p w14:paraId="23FC22BE">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w:t>
            </w:r>
          </w:p>
        </w:tc>
        <w:tc>
          <w:tcPr>
            <w:tcW w:w="8181" w:type="dxa"/>
            <w:vAlign w:val="center"/>
          </w:tcPr>
          <w:p w14:paraId="1ACD8EBE">
            <w:pPr>
              <w:snapToGrid w:val="0"/>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谈判小组的人数：3人。</w:t>
            </w:r>
          </w:p>
        </w:tc>
      </w:tr>
      <w:tr w14:paraId="1C592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jc w:val="center"/>
        </w:trPr>
        <w:tc>
          <w:tcPr>
            <w:tcW w:w="991" w:type="dxa"/>
            <w:vAlign w:val="center"/>
          </w:tcPr>
          <w:p w14:paraId="59412758">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p>
        </w:tc>
        <w:tc>
          <w:tcPr>
            <w:tcW w:w="8181" w:type="dxa"/>
            <w:vAlign w:val="center"/>
          </w:tcPr>
          <w:p w14:paraId="338F5268">
            <w:pPr>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采购代理机构将依托电子交易平台发起开始解密指令，</w:t>
            </w:r>
            <w:r>
              <w:rPr>
                <w:rFonts w:hint="eastAsia" w:ascii="仿宋" w:hAnsi="仿宋" w:eastAsia="仿宋" w:cs="仿宋"/>
                <w:b/>
                <w:color w:val="auto"/>
                <w:sz w:val="24"/>
                <w:szCs w:val="24"/>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仿宋" w:hAnsi="仿宋" w:eastAsia="仿宋" w:cs="仿宋"/>
                <w:b/>
                <w:bCs/>
                <w:color w:val="auto"/>
                <w:sz w:val="24"/>
                <w:szCs w:val="24"/>
                <w:highlight w:val="none"/>
              </w:rPr>
              <w:t>响应文件未按时解密的，视为响应文件无效。</w:t>
            </w:r>
          </w:p>
        </w:tc>
      </w:tr>
      <w:tr w14:paraId="6D331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Merge w:val="restart"/>
            <w:vAlign w:val="center"/>
          </w:tcPr>
          <w:p w14:paraId="23583937">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8181" w:type="dxa"/>
            <w:vAlign w:val="center"/>
          </w:tcPr>
          <w:p w14:paraId="0A97BBBD">
            <w:pPr>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单个分标商务要求评审中允许负偏离的条款数为0项。</w:t>
            </w:r>
          </w:p>
          <w:p w14:paraId="7A0A0372">
            <w:pPr>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单个分标技术要求评审中允许负偏离的非实质性条款数为2项。</w:t>
            </w:r>
          </w:p>
        </w:tc>
      </w:tr>
      <w:tr w14:paraId="4B8FE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91" w:type="dxa"/>
            <w:vMerge w:val="continue"/>
            <w:vAlign w:val="center"/>
          </w:tcPr>
          <w:p w14:paraId="5C46DD8B">
            <w:pPr>
              <w:spacing w:line="500" w:lineRule="exact"/>
              <w:jc w:val="center"/>
              <w:rPr>
                <w:rFonts w:hint="eastAsia" w:ascii="仿宋" w:hAnsi="仿宋" w:eastAsia="仿宋" w:cs="仿宋"/>
                <w:color w:val="auto"/>
                <w:sz w:val="24"/>
                <w:szCs w:val="24"/>
                <w:highlight w:val="none"/>
              </w:rPr>
            </w:pPr>
          </w:p>
        </w:tc>
        <w:tc>
          <w:tcPr>
            <w:tcW w:w="8181" w:type="dxa"/>
            <w:vAlign w:val="center"/>
          </w:tcPr>
          <w:p w14:paraId="25AE13F6">
            <w:pPr>
              <w:spacing w:line="50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谈判的顺序：按“广西政府采购云平台”系统的编号顺序。</w:t>
            </w:r>
          </w:p>
          <w:p w14:paraId="22407E84">
            <w:pPr>
              <w:spacing w:line="50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符合谈判资格的供应商必须在接到谈判通知后规定时间内参加谈判，未在规定时间内参加谈判的视同放弃参加谈判权利，其响应文件按无效响应处理。</w:t>
            </w:r>
          </w:p>
          <w:p w14:paraId="1F423FA2">
            <w:pPr>
              <w:spacing w:line="50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参与谈判前，供应商法定代表人或者委托代理人必须向谈判小组出示本人有效证件原件[有效证件可以是身份证（含临时身份证明）或者护照的其中一项。</w:t>
            </w:r>
          </w:p>
        </w:tc>
      </w:tr>
      <w:tr w14:paraId="2AABA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Merge w:val="continue"/>
            <w:vAlign w:val="center"/>
          </w:tcPr>
          <w:p w14:paraId="6BA034DD">
            <w:pPr>
              <w:spacing w:line="500" w:lineRule="exact"/>
              <w:jc w:val="center"/>
              <w:rPr>
                <w:rFonts w:hint="eastAsia" w:ascii="仿宋" w:hAnsi="仿宋" w:eastAsia="仿宋" w:cs="仿宋"/>
                <w:color w:val="auto"/>
                <w:sz w:val="24"/>
                <w:szCs w:val="24"/>
                <w:highlight w:val="none"/>
              </w:rPr>
            </w:pPr>
          </w:p>
        </w:tc>
        <w:tc>
          <w:tcPr>
            <w:tcW w:w="8181" w:type="dxa"/>
            <w:vAlign w:val="center"/>
          </w:tcPr>
          <w:p w14:paraId="7C18EDE1">
            <w:pPr>
              <w:spacing w:line="50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评审价相同时，按照最后报价由低到高顺序依次推荐；最后报价相同的，按以下原则确定成交候选人的顺序：</w:t>
            </w:r>
          </w:p>
          <w:p w14:paraId="636ACAA5">
            <w:pPr>
              <w:spacing w:line="50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次按带“▲”的实质性要求正偏离项数多的优先、均无正偏离或者正偏离项数一致时负偏离项数少的优先、质量保证期长优先、交货期短优先、故障响应时间短优先、节能环保产品累计金额多的优先的顺序排列。</w:t>
            </w:r>
          </w:p>
          <w:p w14:paraId="12ED0A2A">
            <w:pPr>
              <w:spacing w:line="500" w:lineRule="exact"/>
              <w:contextualSpacing/>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□由谈判小组推荐代表随机抽取。</w:t>
            </w:r>
          </w:p>
        </w:tc>
      </w:tr>
      <w:tr w14:paraId="41927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91" w:type="dxa"/>
            <w:vAlign w:val="center"/>
          </w:tcPr>
          <w:p w14:paraId="165EB12B">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w:t>
            </w:r>
          </w:p>
        </w:tc>
        <w:tc>
          <w:tcPr>
            <w:tcW w:w="8181" w:type="dxa"/>
            <w:vAlign w:val="center"/>
          </w:tcPr>
          <w:p w14:paraId="4316178E">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本项目不收取履约保证金。</w:t>
            </w:r>
          </w:p>
        </w:tc>
      </w:tr>
      <w:tr w14:paraId="1C7D0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991" w:type="dxa"/>
            <w:vAlign w:val="center"/>
          </w:tcPr>
          <w:p w14:paraId="2A9CC034">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p>
        </w:tc>
        <w:tc>
          <w:tcPr>
            <w:tcW w:w="8181" w:type="dxa"/>
            <w:vAlign w:val="center"/>
          </w:tcPr>
          <w:p w14:paraId="5A865A63">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签订合同携带的证明材料： </w:t>
            </w:r>
          </w:p>
          <w:p w14:paraId="6F467D73">
            <w:pPr>
              <w:autoSpaceDE w:val="0"/>
              <w:autoSpaceDN w:val="0"/>
              <w:snapToGrid w:val="0"/>
              <w:spacing w:line="5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委托代理人负责签订合同的，须携带授权委托书及委托代理人身份证原件等其他资格证件。</w:t>
            </w:r>
          </w:p>
          <w:p w14:paraId="7E479DC8">
            <w:pPr>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法定代表人负责签订合同的，须携带法定代表人身份证明原件及身份证原件等其他证明材料。</w:t>
            </w:r>
          </w:p>
        </w:tc>
      </w:tr>
      <w:tr w14:paraId="2FDE8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91" w:type="dxa"/>
            <w:vAlign w:val="center"/>
          </w:tcPr>
          <w:p w14:paraId="04C28F65">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w:t>
            </w:r>
          </w:p>
        </w:tc>
        <w:tc>
          <w:tcPr>
            <w:tcW w:w="8181" w:type="dxa"/>
            <w:vAlign w:val="center"/>
          </w:tcPr>
          <w:p w14:paraId="3703C2CD">
            <w:pPr>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接收质疑函方式：以纸质书面形式。</w:t>
            </w:r>
          </w:p>
          <w:p w14:paraId="2654F34A">
            <w:pPr>
              <w:snapToGrid w:val="0"/>
              <w:spacing w:line="50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质疑联系部门及联系方式：广西科文招标有限公司招标部</w:t>
            </w:r>
            <w:r>
              <w:rPr>
                <w:rFonts w:hint="eastAsia" w:ascii="仿宋" w:hAnsi="仿宋" w:eastAsia="仿宋" w:cs="仿宋"/>
                <w:color w:val="auto"/>
                <w:sz w:val="24"/>
                <w:szCs w:val="24"/>
                <w:highlight w:val="none"/>
                <w:lang w:eastAsia="zh-CN"/>
              </w:rPr>
              <w:t>。</w:t>
            </w:r>
          </w:p>
          <w:p w14:paraId="240615EE">
            <w:pPr>
              <w:snapToGrid w:val="0"/>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质疑联系人：梁伟贞   联系电话：0771-2023650</w:t>
            </w:r>
          </w:p>
          <w:p w14:paraId="18842035">
            <w:pPr>
              <w:snapToGrid w:val="0"/>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通讯地址：广西壮族自治区南宁市民族大道141号中鼎万象东方D区五层 </w:t>
            </w:r>
          </w:p>
          <w:p w14:paraId="1FD45571">
            <w:pPr>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业务时间：工作日（上午8</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00-12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00；下午15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00-18</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00）</w:t>
            </w:r>
          </w:p>
        </w:tc>
      </w:tr>
      <w:tr w14:paraId="09B38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991" w:type="dxa"/>
            <w:vAlign w:val="center"/>
          </w:tcPr>
          <w:p w14:paraId="0817D052">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8181" w:type="dxa"/>
            <w:vAlign w:val="center"/>
          </w:tcPr>
          <w:p w14:paraId="149F8879">
            <w:pPr>
              <w:snapToGrid w:val="0"/>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1.采购代理服务费支付方式：本项目的招标代理服务费按以下收费标准向成交供应商收取，领取成交通知书前，成交供应商应向采购代理机构一次付清招标代理服务费，否则采购代理机构有权不予以办理。</w:t>
            </w:r>
          </w:p>
          <w:p w14:paraId="474343A7">
            <w:pPr>
              <w:snapToGrid w:val="0"/>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bCs/>
                <w:color w:val="auto"/>
                <w:kern w:val="0"/>
                <w:sz w:val="24"/>
                <w:szCs w:val="24"/>
                <w:highlight w:val="none"/>
              </w:rPr>
              <w:t>.</w:t>
            </w:r>
            <w:r>
              <w:rPr>
                <w:rFonts w:hint="eastAsia" w:ascii="仿宋" w:hAnsi="仿宋" w:eastAsia="仿宋" w:cs="仿宋"/>
                <w:color w:val="auto"/>
                <w:kern w:val="0"/>
                <w:sz w:val="24"/>
                <w:szCs w:val="24"/>
                <w:highlight w:val="none"/>
              </w:rPr>
              <w:t>采购代理服务费收取标准：</w:t>
            </w:r>
          </w:p>
          <w:p w14:paraId="7A873242">
            <w:pPr>
              <w:snapToGrid w:val="0"/>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以分标成交金额为计费额，按</w:t>
            </w:r>
            <w:r>
              <w:rPr>
                <w:rFonts w:hint="eastAsia" w:ascii="仿宋" w:hAnsi="仿宋" w:eastAsia="仿宋" w:cs="仿宋"/>
                <w:color w:val="auto"/>
                <w:kern w:val="0"/>
                <w:sz w:val="24"/>
                <w:szCs w:val="24"/>
                <w:highlight w:val="none"/>
                <w:lang w:val="en-US" w:eastAsia="zh-CN"/>
              </w:rPr>
              <w:t>下表</w:t>
            </w:r>
            <w:r>
              <w:rPr>
                <w:rFonts w:hint="eastAsia" w:ascii="仿宋" w:hAnsi="仿宋" w:eastAsia="仿宋" w:cs="仿宋"/>
                <w:color w:val="auto"/>
                <w:kern w:val="0"/>
                <w:sz w:val="24"/>
                <w:szCs w:val="24"/>
                <w:highlight w:val="none"/>
              </w:rPr>
              <w:t>收费计算标准（货物类）采用差额定率累进法计算出收费基准价格，采购代理服务费收费以收费基准价格收取。</w:t>
            </w:r>
          </w:p>
          <w:tbl>
            <w:tblPr>
              <w:tblStyle w:val="22"/>
              <w:tblW w:w="7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3"/>
              <w:gridCol w:w="1616"/>
              <w:gridCol w:w="1493"/>
              <w:gridCol w:w="1506"/>
            </w:tblGrid>
            <w:tr w14:paraId="1C83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383" w:type="dxa"/>
                  <w:tcBorders>
                    <w:tl2br w:val="single" w:color="auto" w:sz="4" w:space="0"/>
                  </w:tcBorders>
                  <w:vAlign w:val="center"/>
                </w:tcPr>
                <w:p w14:paraId="5EC56E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费率</w:t>
                  </w:r>
                </w:p>
                <w:p w14:paraId="04C92BFF">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金额（人民币）</w:t>
                  </w:r>
                </w:p>
              </w:tc>
              <w:tc>
                <w:tcPr>
                  <w:tcW w:w="1616" w:type="dxa"/>
                  <w:vAlign w:val="center"/>
                </w:tcPr>
                <w:p w14:paraId="746857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货物类</w:t>
                  </w:r>
                </w:p>
              </w:tc>
              <w:tc>
                <w:tcPr>
                  <w:tcW w:w="1493" w:type="dxa"/>
                  <w:vAlign w:val="center"/>
                </w:tcPr>
                <w:p w14:paraId="2210CE6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c>
                <w:tcPr>
                  <w:tcW w:w="1506" w:type="dxa"/>
                  <w:vAlign w:val="center"/>
                </w:tcPr>
                <w:p w14:paraId="2785396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工程类</w:t>
                  </w:r>
                </w:p>
              </w:tc>
            </w:tr>
            <w:tr w14:paraId="4EEF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383" w:type="dxa"/>
                  <w:vAlign w:val="center"/>
                </w:tcPr>
                <w:p w14:paraId="601E70A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100万元以下</w:t>
                  </w:r>
                </w:p>
              </w:tc>
              <w:tc>
                <w:tcPr>
                  <w:tcW w:w="1616" w:type="dxa"/>
                  <w:vAlign w:val="center"/>
                </w:tcPr>
                <w:p w14:paraId="7D7284C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493" w:type="dxa"/>
                  <w:vAlign w:val="center"/>
                </w:tcPr>
                <w:p w14:paraId="7794C4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506" w:type="dxa"/>
                  <w:vAlign w:val="center"/>
                </w:tcPr>
                <w:p w14:paraId="56D19A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14:paraId="3393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383" w:type="dxa"/>
                  <w:vAlign w:val="center"/>
                </w:tcPr>
                <w:p w14:paraId="02A3ACF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100～500万元</w:t>
                  </w:r>
                </w:p>
              </w:tc>
              <w:tc>
                <w:tcPr>
                  <w:tcW w:w="1616" w:type="dxa"/>
                  <w:vAlign w:val="center"/>
                </w:tcPr>
                <w:p w14:paraId="1C56A6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493" w:type="dxa"/>
                  <w:vAlign w:val="center"/>
                </w:tcPr>
                <w:p w14:paraId="3A937DC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506" w:type="dxa"/>
                  <w:vAlign w:val="center"/>
                </w:tcPr>
                <w:p w14:paraId="3510DD9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r>
          </w:tbl>
          <w:p w14:paraId="2FA010F4">
            <w:pPr>
              <w:snapToGrid w:val="0"/>
              <w:spacing w:line="50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3.采购代理服务费专用银行账号：</w:t>
            </w:r>
          </w:p>
          <w:p w14:paraId="2AB72799">
            <w:pPr>
              <w:snapToGrid w:val="0"/>
              <w:spacing w:line="500" w:lineRule="exact"/>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rPr>
              <w:t>开户名称</w:t>
            </w:r>
            <w:r>
              <w:rPr>
                <w:rFonts w:hint="eastAsia" w:ascii="仿宋" w:hAnsi="仿宋" w:eastAsia="仿宋" w:cs="仿宋"/>
                <w:color w:val="auto"/>
                <w:kern w:val="0"/>
                <w:sz w:val="24"/>
                <w:szCs w:val="24"/>
                <w:highlight w:val="none"/>
              </w:rPr>
              <w:t>：广西科文招标有限公司南宁咨询一分公司</w:t>
            </w:r>
          </w:p>
          <w:p w14:paraId="4F76F2F2">
            <w:pPr>
              <w:snapToGrid w:val="0"/>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开户银行：广西北部湾银行股份有限公司南宁市云景支行</w:t>
            </w:r>
          </w:p>
          <w:p w14:paraId="21530A01">
            <w:pPr>
              <w:snapToGrid w:val="0"/>
              <w:spacing w:line="500" w:lineRule="exac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银行账号：805030137000001</w:t>
            </w:r>
          </w:p>
        </w:tc>
      </w:tr>
      <w:tr w14:paraId="74B58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991" w:type="dxa"/>
            <w:vAlign w:val="center"/>
          </w:tcPr>
          <w:p w14:paraId="46FE8921">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8181" w:type="dxa"/>
            <w:vAlign w:val="center"/>
          </w:tcPr>
          <w:p w14:paraId="2DDF9074">
            <w:pPr>
              <w:snapToGrid w:val="0"/>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解释：构成本谈判文件的各个组成文件应互为解释，互为说明；除谈判文件中有特别规定外，仅适用于竞争性谈判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14:paraId="737D3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5" w:hRule="atLeast"/>
          <w:jc w:val="center"/>
        </w:trPr>
        <w:tc>
          <w:tcPr>
            <w:tcW w:w="991" w:type="dxa"/>
            <w:vAlign w:val="center"/>
          </w:tcPr>
          <w:p w14:paraId="7315B5DF">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w:t>
            </w:r>
          </w:p>
        </w:tc>
        <w:tc>
          <w:tcPr>
            <w:tcW w:w="8181" w:type="dxa"/>
            <w:vAlign w:val="center"/>
          </w:tcPr>
          <w:p w14:paraId="22EF1EBB">
            <w:pPr>
              <w:snapToGrid w:val="0"/>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谈判文件中描述供应商的“公章”是指根据我国对公章的管理规定，用供应商法定主体名称制作的印章或供应商通过指定电子化政府采购平台办理数字证书（CA认证）获得的以法定主体名称制作的电子印章。除本谈判文件有特殊规定外，供应商的财务章、部门章、分公司章、工会章、合同章、竞争性谈判专用章、业务专用章及银行的转账章、现金收讫章、现金付讫章等其他形式印章均不能代替公章。</w:t>
            </w:r>
          </w:p>
          <w:p w14:paraId="4A7AA301">
            <w:pPr>
              <w:snapToGrid w:val="0"/>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2.供应商为其他组织或者自然人时，本谈判文件规定的法定代表人指负责人或者自然人。本谈判文件所称负责人是指参加竞争性谈判的其他组织</w:t>
            </w:r>
            <w:r>
              <w:rPr>
                <w:rFonts w:hint="eastAsia" w:ascii="仿宋" w:hAnsi="仿宋" w:eastAsia="仿宋" w:cs="仿宋"/>
                <w:bCs/>
                <w:color w:val="auto"/>
                <w:kern w:val="0"/>
                <w:sz w:val="24"/>
                <w:szCs w:val="24"/>
                <w:highlight w:val="none"/>
              </w:rPr>
              <w:t>营业执照或者执业许可证等证照上</w:t>
            </w:r>
            <w:r>
              <w:rPr>
                <w:rFonts w:hint="eastAsia" w:ascii="仿宋" w:hAnsi="仿宋" w:eastAsia="仿宋" w:cs="仿宋"/>
                <w:color w:val="auto"/>
                <w:kern w:val="0"/>
                <w:sz w:val="24"/>
                <w:szCs w:val="24"/>
                <w:highlight w:val="none"/>
              </w:rPr>
              <w:t>的负责人，本谈判文件所称自然人指</w:t>
            </w:r>
            <w:r>
              <w:rPr>
                <w:rFonts w:hint="eastAsia" w:ascii="仿宋" w:hAnsi="仿宋" w:eastAsia="仿宋" w:cs="仿宋"/>
                <w:color w:val="auto"/>
                <w:kern w:val="0"/>
                <w:sz w:val="24"/>
                <w:szCs w:val="24"/>
                <w:highlight w:val="none"/>
                <w:lang w:eastAsia="zh-CN"/>
              </w:rPr>
              <w:t>竞标</w:t>
            </w:r>
            <w:r>
              <w:rPr>
                <w:rFonts w:hint="eastAsia" w:ascii="仿宋" w:hAnsi="仿宋" w:eastAsia="仿宋" w:cs="仿宋"/>
                <w:color w:val="auto"/>
                <w:kern w:val="0"/>
                <w:sz w:val="24"/>
                <w:szCs w:val="24"/>
                <w:highlight w:val="none"/>
              </w:rPr>
              <w:t>的自然人本人，</w:t>
            </w:r>
            <w:r>
              <w:rPr>
                <w:rFonts w:hint="eastAsia" w:ascii="仿宋" w:hAnsi="仿宋" w:eastAsia="仿宋" w:cs="仿宋"/>
                <w:bCs/>
                <w:color w:val="auto"/>
                <w:kern w:val="0"/>
                <w:sz w:val="24"/>
                <w:szCs w:val="24"/>
                <w:highlight w:val="none"/>
              </w:rPr>
              <w:t>且应具备独立承担民事责任能力，自然人应当为年满18岁以上成年人（十六周岁以上的未成年人，以自己的劳动收入为主要生活来源的，视为完全民事行为能力人）。</w:t>
            </w:r>
          </w:p>
          <w:p w14:paraId="5DCC4A9B">
            <w:pPr>
              <w:snapToGrid w:val="0"/>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本谈判文件中描述供应商的“签字”是指供应商的法定代表人或者委托代理人在文件规定签署处签名或者指供应商通过指定电子化政府采购平台办理数字证书（CA认证）获得的以供应商法定代表人或者委托代理人姓名制作的电子印章签名的行为，私章、印鉴等其他形式均不能代替签字。</w:t>
            </w:r>
          </w:p>
          <w:p w14:paraId="01571612">
            <w:pPr>
              <w:snapToGrid w:val="0"/>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本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04F66A63">
            <w:pPr>
              <w:snapToGrid w:val="0"/>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5.自然人</w:t>
            </w:r>
            <w:r>
              <w:rPr>
                <w:rFonts w:hint="eastAsia" w:ascii="仿宋" w:hAnsi="仿宋" w:eastAsia="仿宋" w:cs="仿宋"/>
                <w:color w:val="auto"/>
                <w:kern w:val="0"/>
                <w:sz w:val="24"/>
                <w:szCs w:val="24"/>
                <w:highlight w:val="none"/>
                <w:lang w:eastAsia="zh-CN"/>
              </w:rPr>
              <w:t>竞标</w:t>
            </w:r>
            <w:r>
              <w:rPr>
                <w:rFonts w:hint="eastAsia" w:ascii="仿宋" w:hAnsi="仿宋" w:eastAsia="仿宋" w:cs="仿宋"/>
                <w:color w:val="auto"/>
                <w:kern w:val="0"/>
                <w:sz w:val="24"/>
                <w:szCs w:val="24"/>
                <w:highlight w:val="none"/>
              </w:rPr>
              <w:t>的，谈判文件规定盖章的地方自然人可以加盖手指指印。</w:t>
            </w:r>
          </w:p>
          <w:p w14:paraId="7C5C1421">
            <w:pPr>
              <w:snapToGrid w:val="0"/>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6.本谈判文件所称的“以上”“以下”“以内”“届满”，包括本数；所称的“不满”“超过”“以外”，不包括本数。</w:t>
            </w:r>
          </w:p>
        </w:tc>
      </w:tr>
    </w:tbl>
    <w:p w14:paraId="267BFF18">
      <w:pPr>
        <w:spacing w:line="360" w:lineRule="auto"/>
        <w:ind w:left="0" w:leftChars="0"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6"/>
          <w:szCs w:val="36"/>
          <w:highlight w:val="none"/>
        </w:rPr>
        <w:t>供应商须知正文</w:t>
      </w:r>
    </w:p>
    <w:p w14:paraId="7DF611F5">
      <w:pPr>
        <w:spacing w:line="360" w:lineRule="auto"/>
        <w:ind w:left="0" w:leftChars="0"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一、总则</w:t>
      </w:r>
    </w:p>
    <w:p w14:paraId="641BE6D4">
      <w:pPr>
        <w:spacing w:line="400" w:lineRule="exact"/>
        <w:ind w:firstLine="420"/>
        <w:rPr>
          <w:rFonts w:hint="eastAsia" w:ascii="仿宋" w:hAnsi="仿宋" w:eastAsia="仿宋" w:cs="仿宋"/>
          <w:color w:val="auto"/>
          <w:szCs w:val="21"/>
          <w:highlight w:val="none"/>
        </w:rPr>
      </w:pPr>
    </w:p>
    <w:p w14:paraId="1D73328D">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1.适用范围</w:t>
      </w:r>
    </w:p>
    <w:p w14:paraId="6767156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78ACE38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pacing w:val="-6"/>
          <w:sz w:val="24"/>
          <w:szCs w:val="24"/>
          <w:highlight w:val="none"/>
        </w:rPr>
        <w:t>本竞争性谈判采购文件（以下简称谈判文件）适用于本项目的所有采购程序和环节（法律、法规另有规定的，从其规定）。</w:t>
      </w:r>
    </w:p>
    <w:p w14:paraId="1BA1034A">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2.定义</w:t>
      </w:r>
    </w:p>
    <w:p w14:paraId="0B07FA8A">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2.1“采购人”是指依法</w:t>
      </w:r>
      <w:r>
        <w:rPr>
          <w:rFonts w:hint="eastAsia" w:ascii="仿宋" w:hAnsi="仿宋" w:eastAsia="仿宋" w:cs="仿宋"/>
          <w:b w:val="0"/>
          <w:bCs w:val="0"/>
          <w:color w:val="auto"/>
          <w:sz w:val="24"/>
          <w:szCs w:val="24"/>
          <w:highlight w:val="none"/>
        </w:rPr>
        <w:t>进行采购的国家机关、事业单位、团体组织。</w:t>
      </w:r>
    </w:p>
    <w:p w14:paraId="4C232CA4">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2.2“采购代理机构”是指政府采购集中采购机构和集中采购机构以外的采购代理机构。</w:t>
      </w:r>
    </w:p>
    <w:p w14:paraId="7C74655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2.3“供应商”是指向采购人提供货物、工程或者服务的法人、其他组织或者自然人。</w:t>
      </w:r>
    </w:p>
    <w:p w14:paraId="1861C68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2.4“货物”是指各种形态和种类的物品，包括原材料、燃料、设备、产品等。</w:t>
      </w:r>
    </w:p>
    <w:p w14:paraId="7A09FA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2.5“竞争性谈判”是指按照本项目竞争性谈判公告或者邀请函规定的方式供应商获取谈判文件、提交响应文件并希望获得标的的行为。</w:t>
      </w:r>
    </w:p>
    <w:p w14:paraId="6BE6F7B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2.6“售后服务” 是指包含但不限于供应商须承担的备品备件、包装、运输、装卸、保险、货到就位以及安装、调试、培训、保修和其他类似的义务。</w:t>
      </w:r>
    </w:p>
    <w:p w14:paraId="16BAFE4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2.7“书面形式”是指合同书、信件和数据电文（包括电报、电传、传真、电子数据交换和电子邮件）等可以有形地表现所载内容的形式。</w:t>
      </w:r>
    </w:p>
    <w:p w14:paraId="1EB9C3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2.8“响应文件”</w:t>
      </w:r>
      <w:r>
        <w:rPr>
          <w:rFonts w:hint="eastAsia" w:ascii="仿宋" w:hAnsi="仿宋" w:eastAsia="仿宋" w:cs="仿宋"/>
          <w:color w:val="auto"/>
          <w:spacing w:val="-6"/>
          <w:sz w:val="24"/>
          <w:szCs w:val="24"/>
          <w:highlight w:val="none"/>
        </w:rPr>
        <w:t>是指：供应商根据本谈判文件要求，编制包含报价、技术和服务等所有内容的文件。</w:t>
      </w:r>
    </w:p>
    <w:p w14:paraId="579E6F0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 “实质性要求”是指采购需求中带“▲”的条款或者不能负偏离的条款或者已经指明不满足按响应文件按无效响应处理的条款。</w:t>
      </w:r>
    </w:p>
    <w:p w14:paraId="741568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2.10“正偏离”，是指响应文件对谈判文件“采购需求”中有关条款作出优于条款要求并有利于采购人的响应情形；</w:t>
      </w:r>
    </w:p>
    <w:p w14:paraId="745BDE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2.11“负偏离”，是指响应文件对谈判文件“采购需求”中有关条款作出的响应不满足条款要求，导致采购人要求不能得到满足的情形。</w:t>
      </w:r>
    </w:p>
    <w:p w14:paraId="037691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2.12“允许负偏离的条款”是指采购需求中的不属于“实质性要求”的条款。</w:t>
      </w:r>
    </w:p>
    <w:p w14:paraId="76B615A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2.13“首次报价”是指供应商提交的首次响应文件中的竞争性谈判报价。</w:t>
      </w:r>
    </w:p>
    <w:p w14:paraId="426AA38E">
      <w:pPr>
        <w:spacing w:line="360" w:lineRule="auto"/>
        <w:ind w:firstLine="643" w:firstLineChars="200"/>
        <w:contextualSpacing/>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3.供应商的资格条件</w:t>
      </w:r>
    </w:p>
    <w:p w14:paraId="1011556E">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供应商的资格条件详见“供应商须知前附表”。</w:t>
      </w:r>
    </w:p>
    <w:p w14:paraId="04072472">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4.竞争性谈判费用</w:t>
      </w:r>
    </w:p>
    <w:p w14:paraId="210DE7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竞争性谈判费用：供应商应承担参与本次采购活动有关的所有费用，包括但不限于获取谈判文件、勘查现场、编制和提交响应文件、参加谈判与应答、签订合同等，不论竞争性谈判结果如何，均应自行承担。</w:t>
      </w:r>
    </w:p>
    <w:p w14:paraId="2D83959F">
      <w:pPr>
        <w:spacing w:line="360" w:lineRule="auto"/>
        <w:ind w:firstLine="643" w:firstLineChars="2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5.联合体</w:t>
      </w:r>
      <w:r>
        <w:rPr>
          <w:rFonts w:hint="eastAsia" w:ascii="仿宋" w:hAnsi="仿宋" w:eastAsia="仿宋" w:cs="仿宋"/>
          <w:b/>
          <w:bCs/>
          <w:color w:val="auto"/>
          <w:sz w:val="32"/>
          <w:szCs w:val="32"/>
          <w:highlight w:val="none"/>
          <w:lang w:eastAsia="zh-CN"/>
        </w:rPr>
        <w:t>竞标</w:t>
      </w:r>
    </w:p>
    <w:p w14:paraId="2C0FB3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5.1本项目是否接受联合体</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，详见“供应商须知前附表”。</w:t>
      </w:r>
    </w:p>
    <w:p w14:paraId="717669A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bCs/>
          <w:color w:val="auto"/>
          <w:sz w:val="24"/>
          <w:szCs w:val="24"/>
          <w:highlight w:val="none"/>
        </w:rPr>
        <w:t>如接受联合体</w:t>
      </w:r>
      <w:r>
        <w:rPr>
          <w:rFonts w:hint="eastAsia" w:ascii="仿宋" w:hAnsi="仿宋" w:eastAsia="仿宋" w:cs="仿宋"/>
          <w:bCs/>
          <w:color w:val="auto"/>
          <w:sz w:val="24"/>
          <w:szCs w:val="24"/>
          <w:highlight w:val="none"/>
          <w:lang w:eastAsia="zh-CN"/>
        </w:rPr>
        <w:t>竞标</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具体要求详见“供应商须知前附表”。</w:t>
      </w:r>
    </w:p>
    <w:p w14:paraId="66C034B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w:t>
      </w:r>
      <w:bookmarkStart w:id="14" w:name="_Hlk65857072"/>
      <w:r>
        <w:rPr>
          <w:rFonts w:hint="eastAsia" w:ascii="仿宋" w:hAnsi="仿宋" w:eastAsia="仿宋" w:cs="仿宋"/>
          <w:color w:val="auto"/>
          <w:sz w:val="24"/>
          <w:szCs w:val="24"/>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14"/>
    </w:p>
    <w:p w14:paraId="76B30C7F">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6.转包与分包             </w:t>
      </w:r>
    </w:p>
    <w:p w14:paraId="4DF350EF">
      <w:pPr>
        <w:spacing w:line="360" w:lineRule="auto"/>
        <w:ind w:firstLine="480" w:firstLineChars="200"/>
        <w:outlineLvl w:val="4"/>
        <w:rPr>
          <w:rFonts w:hint="eastAsia" w:ascii="仿宋" w:hAnsi="仿宋" w:eastAsia="仿宋" w:cs="仿宋"/>
          <w:bCs/>
          <w:color w:val="auto"/>
          <w:sz w:val="24"/>
          <w:szCs w:val="24"/>
          <w:highlight w:val="none"/>
        </w:rPr>
      </w:pPr>
      <w:bookmarkStart w:id="15" w:name="_Toc254970532"/>
      <w:bookmarkStart w:id="16" w:name="_Toc254970673"/>
      <w:r>
        <w:rPr>
          <w:rFonts w:hint="eastAsia" w:ascii="仿宋" w:hAnsi="仿宋" w:eastAsia="仿宋" w:cs="仿宋"/>
          <w:bCs/>
          <w:color w:val="auto"/>
          <w:sz w:val="24"/>
          <w:szCs w:val="24"/>
          <w:highlight w:val="none"/>
        </w:rPr>
        <w:t>6.1本项目不允许转包。</w:t>
      </w:r>
    </w:p>
    <w:p w14:paraId="0A74B0C7">
      <w:pPr>
        <w:spacing w:line="360" w:lineRule="auto"/>
        <w:ind w:firstLine="360" w:firstLineChars="150"/>
        <w:outlineLvl w:val="4"/>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9AE6E80">
      <w:pPr>
        <w:spacing w:line="360" w:lineRule="auto"/>
        <w:ind w:firstLine="360" w:firstLineChars="150"/>
        <w:outlineLvl w:val="4"/>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73D204C8">
      <w:pPr>
        <w:spacing w:line="360" w:lineRule="auto"/>
        <w:ind w:firstLine="643"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32"/>
          <w:szCs w:val="32"/>
          <w:highlight w:val="none"/>
        </w:rPr>
        <w:t>7.特别说明</w:t>
      </w:r>
      <w:bookmarkEnd w:id="15"/>
      <w:bookmarkEnd w:id="16"/>
      <w:bookmarkStart w:id="17" w:name="_8.1提供相同品牌产品且通过资格审查、符合性审查的不同投标人参加同一合"/>
      <w:bookmarkEnd w:id="17"/>
    </w:p>
    <w:p w14:paraId="5B0E562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7.1如果本谈判文件要求提供供应商或制造商的资格、信誉、荣誉、业绩与企业认证等材料的，资格、信誉、荣誉、业绩与企业认证等必须为供应商或者制造商所拥有或自身获得 。</w:t>
      </w:r>
    </w:p>
    <w:p w14:paraId="500C0C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7.2供应商应仔细阅读谈判文件的所有内容，按照谈判文件的要求提交响应文件，并对所提供的全部资料的真实性承担法律责任。</w:t>
      </w:r>
    </w:p>
    <w:p w14:paraId="79531CB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7.3供应商在</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活动中提供任何虚假材料,其响应文件按无效响应处理，并报监管部门查处；签订合同后发现的,成交供应商须依法赔偿采购人，且民事赔偿并不免除违法供应商的行政与刑事责任。</w:t>
      </w:r>
    </w:p>
    <w:p w14:paraId="04824E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7.4在政府采购活动中，采购人员及相关人员与供应商有下列利害关系之一的，应当回避：</w:t>
      </w:r>
    </w:p>
    <w:p w14:paraId="1608C99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（1）参加采购活动前3年内与供应商存在劳动关系；</w:t>
      </w:r>
    </w:p>
    <w:p w14:paraId="6A29FBE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（2）参加采购活动前3年内担任供应商的董事、监事；</w:t>
      </w:r>
    </w:p>
    <w:p w14:paraId="67B164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（3）参加采购活动前3年内是供应商的控股股东或者实际控制人；</w:t>
      </w:r>
    </w:p>
    <w:p w14:paraId="1B75A3F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（4）与供应商的法定代表人或者负责人有夫妻、直系血亲、三代以内旁系血亲或者近姻亲关系；</w:t>
      </w:r>
    </w:p>
    <w:p w14:paraId="0B1FB56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（5）与供应商有其他可能影响政府采购活动公平、公正进行的关系。</w:t>
      </w:r>
    </w:p>
    <w:p w14:paraId="5A7F5AF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2D12C5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7.5有下列情形之一的视为供应商相互串通</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，响应文件将被视为无效：</w:t>
      </w:r>
    </w:p>
    <w:p w14:paraId="0D9FD0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（1）不同供应商的响应文件由同一单位或者个人编制；</w:t>
      </w:r>
    </w:p>
    <w:p w14:paraId="471F69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（2）不同供应商委托同一单位或者个人办理竞争性谈判事宜；</w:t>
      </w:r>
    </w:p>
    <w:p w14:paraId="1B164C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（3）不同的供应商的响应文件载明的项目管理员为同一个人；</w:t>
      </w:r>
    </w:p>
    <w:p w14:paraId="4194665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（4）不同供应商的响应文件异常一致或者报价呈规律性差异；</w:t>
      </w:r>
    </w:p>
    <w:p w14:paraId="75270F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14:paraId="7678E10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（6）不同供应商的谈判保证金从同一单位或者个人账户转出；</w:t>
      </w:r>
    </w:p>
    <w:p w14:paraId="165CAC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（7）供应商之间协商报价等响应文件的实质性内容；</w:t>
      </w:r>
    </w:p>
    <w:p w14:paraId="7C49A2D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（8）供应商之间约定成交供应商；</w:t>
      </w:r>
    </w:p>
    <w:p w14:paraId="2FF9E34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（9）供应商之间约定部分供应商放弃</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或者成交；</w:t>
      </w:r>
    </w:p>
    <w:p w14:paraId="209129A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（10）属于同一集团、协会、商会等组织成员的供应商按照该组织要求协同</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w:t>
      </w:r>
    </w:p>
    <w:p w14:paraId="7BF8E0F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（11）供应商之间为谋取成交或者排斥特定供应商而采取的其他联合行动。</w:t>
      </w:r>
    </w:p>
    <w:p w14:paraId="15DB14A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7.6供应商有下列情形之一的，属于恶意串通行为</w:t>
      </w:r>
      <w:bookmarkStart w:id="18" w:name="_Hlk54682620"/>
      <w:r>
        <w:rPr>
          <w:rFonts w:hint="eastAsia" w:ascii="仿宋" w:hAnsi="仿宋" w:eastAsia="仿宋" w:cs="仿宋"/>
          <w:color w:val="auto"/>
          <w:sz w:val="24"/>
          <w:szCs w:val="24"/>
          <w:highlight w:val="none"/>
        </w:rPr>
        <w:t>，将报同级监督管理部门</w:t>
      </w:r>
      <w:bookmarkEnd w:id="18"/>
      <w:r>
        <w:rPr>
          <w:rFonts w:hint="eastAsia" w:ascii="仿宋" w:hAnsi="仿宋" w:eastAsia="仿宋" w:cs="仿宋"/>
          <w:color w:val="auto"/>
          <w:sz w:val="24"/>
          <w:szCs w:val="24"/>
          <w:highlight w:val="none"/>
        </w:rPr>
        <w:t>：</w:t>
      </w:r>
    </w:p>
    <w:p w14:paraId="10B4626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（1）供应商直接或者间接从采购人或者采购代理机构处获得其他供应商的相关信息并修改其响应文件；</w:t>
      </w:r>
    </w:p>
    <w:p w14:paraId="732FB61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（2）供应商按照采购人或者采购代理机构的授意撤换、修改响应文件；</w:t>
      </w:r>
    </w:p>
    <w:p w14:paraId="0868DAA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（3）供应商之间协商报价、技术方案等响应文件或者响应文件的实质性内容；</w:t>
      </w:r>
    </w:p>
    <w:p w14:paraId="399849B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（4）属于同一集团、协会、商会等组织成员的供应商按照该组织要求协同参加政府采购活动；</w:t>
      </w:r>
    </w:p>
    <w:p w14:paraId="2250317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（5）供应商之间事先约定一致抬高或者压低报价,或者在政府采购活动中事先约定轮流以高价位或者低价位成交,或者事先约定由某一特定供应商成交,然后再参加竞争性谈判；</w:t>
      </w:r>
    </w:p>
    <w:p w14:paraId="798783F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（6）供应商之间商定部分供应商放弃参加政府采购活动或者放弃成交；</w:t>
      </w:r>
    </w:p>
    <w:p w14:paraId="5EDE88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（7）供应商与采购人或者采购代理机构之间、供应商相互之间，为谋求特定供应商成交或者排斥其他供应商的其他串通行为。</w:t>
      </w:r>
    </w:p>
    <w:p w14:paraId="1A3013E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单一产品采购项目，提供相同品牌产品的不同供应商参加同一合同项下竞争性谈判的，以其中通过资格审查、符合性审查、谈判且最后报价最低的参加报价评审；最后报价相同的，按照前附表第26条规定确定一个参加评审的供应商，其他响应文件作无效处理。</w:t>
      </w:r>
    </w:p>
    <w:p w14:paraId="4179221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非单一产品采购项目，多家供应商提供的核心产品品牌相同的，按前款规定处理；多家供应商提供的所有产品品牌相同，按前款处理。</w:t>
      </w:r>
    </w:p>
    <w:p w14:paraId="5F1DD8FF">
      <w:pPr>
        <w:spacing w:line="360" w:lineRule="auto"/>
        <w:ind w:firstLine="477" w:firstLineChars="199"/>
        <w:jc w:val="center"/>
        <w:rPr>
          <w:rFonts w:hint="eastAsia" w:ascii="仿宋" w:hAnsi="仿宋" w:eastAsia="仿宋" w:cs="仿宋"/>
          <w:color w:val="auto"/>
          <w:sz w:val="24"/>
          <w:szCs w:val="32"/>
          <w:highlight w:val="none"/>
        </w:rPr>
      </w:pPr>
      <w:bookmarkStart w:id="19" w:name="_Toc254970534"/>
      <w:bookmarkStart w:id="20" w:name="_Toc254970675"/>
    </w:p>
    <w:p w14:paraId="171A8628">
      <w:pPr>
        <w:spacing w:line="360" w:lineRule="auto"/>
        <w:ind w:firstLine="803"/>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二、谈判文件</w:t>
      </w:r>
      <w:bookmarkEnd w:id="19"/>
      <w:bookmarkEnd w:id="20"/>
    </w:p>
    <w:p w14:paraId="6F996600">
      <w:pPr>
        <w:spacing w:line="360" w:lineRule="auto"/>
        <w:jc w:val="center"/>
        <w:rPr>
          <w:rFonts w:hint="eastAsia" w:ascii="仿宋" w:hAnsi="仿宋" w:eastAsia="仿宋" w:cs="仿宋"/>
          <w:color w:val="auto"/>
          <w:sz w:val="24"/>
          <w:szCs w:val="24"/>
          <w:highlight w:val="none"/>
        </w:rPr>
      </w:pPr>
    </w:p>
    <w:p w14:paraId="6AEAF40D">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8.谈判文件的构成</w:t>
      </w:r>
    </w:p>
    <w:p w14:paraId="52A17FD9">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（1）竞争性谈判公告；</w:t>
      </w:r>
    </w:p>
    <w:p w14:paraId="18B27BAE">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（2）供应商须知； </w:t>
      </w:r>
    </w:p>
    <w:p w14:paraId="123F7F8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（3）采购需求；</w:t>
      </w:r>
    </w:p>
    <w:p w14:paraId="290B41A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（4）响应文件格式；</w:t>
      </w:r>
    </w:p>
    <w:p w14:paraId="2FE313BD">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（5）合同文本；</w:t>
      </w:r>
    </w:p>
    <w:p w14:paraId="3579129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（6）评审程序和评定成交的标准。</w:t>
      </w:r>
    </w:p>
    <w:p w14:paraId="00CB68BA">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9.供应商的询问</w:t>
      </w:r>
    </w:p>
    <w:p w14:paraId="167D65B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认真阅读谈判文件的采购需求，如供应商对谈判文件有疑问的，如要求采购人作出澄清或者修改的，供应商尽可能在提交首次响应文件截止之日前，以纸质书面形式向采购人、采购代理机构提出，否则，由此产生的后果由供应商自行负责。</w:t>
      </w:r>
    </w:p>
    <w:p w14:paraId="63B2DAAB">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10.谈判文件的澄清和修改</w:t>
      </w:r>
    </w:p>
    <w:p w14:paraId="5F7BAD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提交首次响应文件截止之日前，采购人、采购代理机构可以对已发出的谈判文件进行必要的澄清或者修改，澄清或者修改的内容作为谈判文件的组成部分。澄清或者修改将在原公告发布媒体上发布更正公告。澄清或者修改的内容可能影响响应文件编制的，采购人、采购代理机构或者谈判小组应当在提交首次响应文件截止之日3个工作日前，在原公告发布媒体上发布更正公告；不足3个工作日的，应当顺延提交首次响应文件截止时间。</w:t>
      </w:r>
    </w:p>
    <w:p w14:paraId="26B31BD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32"/>
          <w:highlight w:val="none"/>
        </w:rPr>
        <w:t>10.2采购人和采购代理机构可以视采购具体情况，变更</w:t>
      </w:r>
      <w:r>
        <w:rPr>
          <w:rFonts w:hint="eastAsia" w:ascii="仿宋" w:hAnsi="仿宋" w:eastAsia="仿宋" w:cs="仿宋"/>
          <w:color w:val="auto"/>
          <w:sz w:val="24"/>
          <w:szCs w:val="24"/>
          <w:highlight w:val="none"/>
        </w:rPr>
        <w:t>首次响应文件提交截止时间</w:t>
      </w:r>
      <w:r>
        <w:rPr>
          <w:rFonts w:hint="eastAsia" w:ascii="仿宋" w:hAnsi="仿宋" w:eastAsia="仿宋" w:cs="仿宋"/>
          <w:color w:val="auto"/>
          <w:sz w:val="24"/>
          <w:szCs w:val="32"/>
          <w:highlight w:val="none"/>
        </w:rPr>
        <w:t>，并</w:t>
      </w:r>
      <w:r>
        <w:rPr>
          <w:rFonts w:hint="eastAsia" w:ascii="仿宋" w:hAnsi="仿宋" w:eastAsia="仿宋" w:cs="仿宋"/>
          <w:color w:val="auto"/>
          <w:sz w:val="24"/>
          <w:szCs w:val="24"/>
          <w:highlight w:val="none"/>
        </w:rPr>
        <w:t>在原公告发布媒体上发布更正公告。</w:t>
      </w:r>
    </w:p>
    <w:p w14:paraId="403EDC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10.3谈判文件澄清、答复、修改、补充的内容为谈判文件的组成部分。当谈判文件与谈判文件的澄清、答复、修改、补充通知就同一内容的表述不一致时，以最后发出的文件为准。</w:t>
      </w:r>
    </w:p>
    <w:p w14:paraId="468C77E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10.4响应文件未按谈判文件的澄清、修改后的内容编制的，其响应文件作无效响应处理。</w:t>
      </w:r>
    </w:p>
    <w:p w14:paraId="15E08D98">
      <w:pPr>
        <w:spacing w:line="360" w:lineRule="auto"/>
        <w:ind w:firstLine="480" w:firstLineChars="200"/>
        <w:rPr>
          <w:rFonts w:hint="eastAsia" w:ascii="仿宋" w:hAnsi="仿宋" w:eastAsia="仿宋" w:cs="仿宋"/>
          <w:color w:val="auto"/>
          <w:sz w:val="24"/>
          <w:szCs w:val="24"/>
          <w:highlight w:val="none"/>
        </w:rPr>
      </w:pPr>
    </w:p>
    <w:p w14:paraId="62A4CE4B">
      <w:pPr>
        <w:spacing w:line="360" w:lineRule="auto"/>
        <w:rPr>
          <w:rFonts w:hint="eastAsia" w:ascii="仿宋" w:hAnsi="仿宋" w:eastAsia="仿宋" w:cs="仿宋"/>
          <w:color w:val="auto"/>
          <w:sz w:val="24"/>
          <w:szCs w:val="24"/>
          <w:highlight w:val="none"/>
        </w:rPr>
      </w:pPr>
    </w:p>
    <w:p w14:paraId="678AF76C">
      <w:pPr>
        <w:spacing w:line="360" w:lineRule="auto"/>
        <w:ind w:left="0" w:leftChars="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40"/>
          <w:szCs w:val="40"/>
          <w:highlight w:val="none"/>
        </w:rPr>
        <w:t>三、响应文件的编制</w:t>
      </w:r>
    </w:p>
    <w:p w14:paraId="5942E4D1">
      <w:pPr>
        <w:spacing w:line="360" w:lineRule="auto"/>
        <w:rPr>
          <w:rFonts w:hint="eastAsia" w:ascii="仿宋" w:hAnsi="仿宋" w:eastAsia="仿宋" w:cs="仿宋"/>
          <w:color w:val="auto"/>
          <w:sz w:val="24"/>
          <w:szCs w:val="24"/>
          <w:highlight w:val="none"/>
        </w:rPr>
      </w:pPr>
    </w:p>
    <w:p w14:paraId="7651060E">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11.响应文件的编制原则</w:t>
      </w:r>
    </w:p>
    <w:p w14:paraId="1D62490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供应商必须按照谈判文件的要求编制响应文件，并对其提交的响应文件的真实性、合法性承担法律责任。响应文件必须对谈判文件作出实质性响应。</w:t>
      </w:r>
    </w:p>
    <w:p w14:paraId="5E97D0BA">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12.响应文件的组成</w:t>
      </w:r>
    </w:p>
    <w:p w14:paraId="012F6B3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12.1响应文件由资格证明文件、报价商务技术文件两部分组成。</w:t>
      </w:r>
    </w:p>
    <w:p w14:paraId="1330787E">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12.1.1资格证明文件：详见“供应商须知前附表”</w:t>
      </w:r>
      <w:r>
        <w:rPr>
          <w:rFonts w:hint="eastAsia" w:ascii="仿宋" w:hAnsi="仿宋" w:eastAsia="仿宋" w:cs="仿宋"/>
          <w:color w:val="auto"/>
          <w:sz w:val="24"/>
          <w:szCs w:val="24"/>
          <w:highlight w:val="none"/>
          <w:lang w:eastAsia="zh-CN"/>
        </w:rPr>
        <w:t>。</w:t>
      </w:r>
    </w:p>
    <w:p w14:paraId="458B4201">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12.1.2报价商务技术文件：详见“供应商须知前附表”</w:t>
      </w:r>
      <w:r>
        <w:rPr>
          <w:rFonts w:hint="eastAsia" w:ascii="仿宋" w:hAnsi="仿宋" w:eastAsia="仿宋" w:cs="仿宋"/>
          <w:color w:val="auto"/>
          <w:sz w:val="24"/>
          <w:szCs w:val="24"/>
          <w:highlight w:val="none"/>
          <w:lang w:eastAsia="zh-CN"/>
        </w:rPr>
        <w:t>。</w:t>
      </w:r>
    </w:p>
    <w:p w14:paraId="0A70099B">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13.计量单位</w:t>
      </w:r>
    </w:p>
    <w:p w14:paraId="072D24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谈判文件已有明确规定的，使用谈判文件规定的计量单位；谈判文件没有规定的，应采用中华人民共和国法定计量单位，货币种类为人民币，否则视同未响应。</w:t>
      </w:r>
    </w:p>
    <w:p w14:paraId="69CBD42B">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14.竞争性谈判的风险</w:t>
      </w:r>
    </w:p>
    <w:p w14:paraId="4B97553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供应商没有按照谈判文件要求提供全部资料，或者供应商没有对谈判文件在各方面作出实质性响应可能导致其响应文件按无效响应处理，是供应商应当考虑的风险。</w:t>
      </w:r>
    </w:p>
    <w:p w14:paraId="07AD8996">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15.竞争性谈判报价</w:t>
      </w:r>
    </w:p>
    <w:p w14:paraId="2783E81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15.1竞争性谈判报价应按谈判文件中“竞争性谈判报价表”格式填写。</w:t>
      </w:r>
    </w:p>
    <w:p w14:paraId="0A6C18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15.2竞争性谈判报价的内容详见“供应商须知前附表”。</w:t>
      </w:r>
    </w:p>
    <w:p w14:paraId="6FF56F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15.3竞争性谈判报价要求</w:t>
      </w:r>
    </w:p>
    <w:p w14:paraId="35C14D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15.3.1供应商的竞争性谈判报价应符合以下要求，否则响应文件按无效响应处理：</w:t>
      </w:r>
    </w:p>
    <w:p w14:paraId="53B576B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（1）供应商必须就“采购需求”中所需竞争性谈判的每个分标的全部内容分别作完整唯一总价报价，不得存在漏项报价；</w:t>
      </w:r>
    </w:p>
    <w:p w14:paraId="7398FF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（2）供应商必须就所需竞争性谈判的分标的单项内容作唯一报价。</w:t>
      </w:r>
    </w:p>
    <w:p w14:paraId="4F7CD5F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15.3.2竞争性谈判报价（包含首次报价、最后报价）超过所</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分标规定的采购预算金额或者最高限价的，其响应文件将按无效响应处理。</w:t>
      </w:r>
    </w:p>
    <w:p w14:paraId="0329022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15.3.3竞争性谈判报价（包含首次报价、最后报价）超过分项采购预算金额或者最高限价的，其响应文件将作无效处理。</w:t>
      </w:r>
    </w:p>
    <w:p w14:paraId="574560F2">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16.竞争性谈判有效期</w:t>
      </w:r>
    </w:p>
    <w:p w14:paraId="1BA513A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16.1竞争性谈判有效期是指为保证采购人有足够的时间在提交响应文件后完成评审、确定成交供应商、合同签订等工作而要求供应商提交的响应文件在一定时间内保持有效的期限。</w:t>
      </w:r>
    </w:p>
    <w:p w14:paraId="26EF18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16.2竞争性谈判有效期应由供应商按“供应商须知前附表”规定的期限作出响应。</w:t>
      </w:r>
    </w:p>
    <w:p w14:paraId="3D7986C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16.3供应商的响应文件在竞争性谈判有效期内均保持有效。</w:t>
      </w:r>
    </w:p>
    <w:p w14:paraId="7A347002">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17.谈判保证金</w:t>
      </w:r>
    </w:p>
    <w:p w14:paraId="48B9F6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17.1供应商须按“供应商须知前附表”的规定提交谈判保证金。</w:t>
      </w:r>
    </w:p>
    <w:p w14:paraId="212933C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17.2谈判保证金的退还</w:t>
      </w:r>
    </w:p>
    <w:p w14:paraId="44B4C93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w:t>
      </w:r>
      <w:r>
        <w:rPr>
          <w:rFonts w:hint="eastAsia" w:ascii="仿宋" w:hAnsi="仿宋" w:eastAsia="仿宋" w:cs="仿宋"/>
          <w:color w:val="auto"/>
          <w:spacing w:val="-6"/>
          <w:sz w:val="24"/>
          <w:szCs w:val="24"/>
          <w:highlight w:val="none"/>
        </w:rPr>
        <w:t>成交</w:t>
      </w:r>
      <w:r>
        <w:rPr>
          <w:rFonts w:hint="eastAsia" w:ascii="仿宋" w:hAnsi="仿宋" w:eastAsia="仿宋" w:cs="仿宋"/>
          <w:color w:val="auto"/>
          <w:sz w:val="24"/>
          <w:szCs w:val="24"/>
          <w:highlight w:val="none"/>
        </w:rPr>
        <w:t>供应商的谈判保证金自成交通知书发出之日起</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个工作日内退还；成交供应商的谈判保证金自签订合同之日起</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个工作日内退还。 </w:t>
      </w:r>
    </w:p>
    <w:p w14:paraId="66980D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17.3谈判保证金不计息。</w:t>
      </w:r>
    </w:p>
    <w:p w14:paraId="725D4F9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17.4供应商有下列情形之一的，谈判保证金将不予退还： </w:t>
      </w:r>
    </w:p>
    <w:p w14:paraId="00C251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（1）供应商在提交首次响应文件截止时间后撤回响应文件的，但在提交最后报价之前退出谈判的情况除外；</w:t>
      </w:r>
    </w:p>
    <w:p w14:paraId="39B9D3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（2）未按规定提交履约保证金的；</w:t>
      </w:r>
    </w:p>
    <w:p w14:paraId="28F8A0F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（3）供应商在响应文件中提供虚假材料的；</w:t>
      </w:r>
    </w:p>
    <w:p w14:paraId="6543914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（4）除因不可抗力或者谈判文件认可的情形以外，成交供应商不与采购人签订合同的；</w:t>
      </w:r>
    </w:p>
    <w:p w14:paraId="6C29F69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（5）供应商与采购人、其他供应商或者采购代理机构恶意串通的；</w:t>
      </w:r>
    </w:p>
    <w:p w14:paraId="20E5BA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（6）法律法规规定的其他情形。</w:t>
      </w:r>
    </w:p>
    <w:p w14:paraId="28308A75">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18.响应文件编制的要求</w:t>
      </w:r>
    </w:p>
    <w:p w14:paraId="693C68B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18.1供应商应按本谈判文件规定的格式和顺序编制、装订响应文件并标注页码，响应文件内容</w:t>
      </w:r>
      <w:r>
        <w:rPr>
          <w:rFonts w:hint="eastAsia" w:ascii="仿宋" w:hAnsi="仿宋" w:eastAsia="仿宋" w:cs="仿宋"/>
          <w:color w:val="auto"/>
          <w:spacing w:val="-6"/>
          <w:sz w:val="24"/>
          <w:szCs w:val="24"/>
          <w:highlight w:val="none"/>
        </w:rPr>
        <w:t>不完整、编排混乱导致响应文件被误读、漏读或者查找不到相关内容的，</w:t>
      </w:r>
      <w:r>
        <w:rPr>
          <w:rFonts w:hint="eastAsia" w:ascii="仿宋" w:hAnsi="仿宋" w:eastAsia="仿宋" w:cs="仿宋"/>
          <w:color w:val="auto"/>
          <w:sz w:val="24"/>
          <w:szCs w:val="32"/>
          <w:highlight w:val="none"/>
        </w:rPr>
        <w:t>由此引发的</w:t>
      </w:r>
      <w:r>
        <w:rPr>
          <w:rFonts w:hint="eastAsia" w:ascii="仿宋" w:hAnsi="仿宋" w:eastAsia="仿宋" w:cs="仿宋"/>
          <w:color w:val="auto"/>
          <w:spacing w:val="-6"/>
          <w:sz w:val="24"/>
          <w:szCs w:val="24"/>
          <w:highlight w:val="none"/>
        </w:rPr>
        <w:t>后果由供应商承担。</w:t>
      </w:r>
    </w:p>
    <w:p w14:paraId="4D89455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18.2响应文件应按资格证明文件、报价商务技术文件分别编制电子文件，并按广西政府采购云平台的要求编制、加密、上传。</w:t>
      </w:r>
    </w:p>
    <w:p w14:paraId="2636CC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bookmarkStart w:id="21" w:name="_Hlk65832699"/>
      <w:r>
        <w:rPr>
          <w:rFonts w:hint="eastAsia" w:ascii="仿宋" w:hAnsi="仿宋" w:eastAsia="仿宋" w:cs="仿宋"/>
          <w:color w:val="auto"/>
          <w:sz w:val="24"/>
          <w:szCs w:val="24"/>
          <w:highlight w:val="none"/>
        </w:rPr>
        <w:t>3响应文件须由供应商在规定位置盖公章并签字</w:t>
      </w:r>
      <w:bookmarkStart w:id="22" w:name="_Hlk65832569"/>
      <w:r>
        <w:rPr>
          <w:rFonts w:hint="eastAsia" w:ascii="仿宋" w:hAnsi="仿宋" w:eastAsia="仿宋" w:cs="仿宋"/>
          <w:color w:val="auto"/>
          <w:sz w:val="24"/>
          <w:szCs w:val="24"/>
          <w:highlight w:val="none"/>
        </w:rPr>
        <w:t>（具体以供应商须知前附表或响应文件格式规定为准）</w:t>
      </w:r>
      <w:bookmarkEnd w:id="21"/>
      <w:bookmarkEnd w:id="22"/>
      <w:r>
        <w:rPr>
          <w:rFonts w:hint="eastAsia" w:ascii="仿宋" w:hAnsi="仿宋" w:eastAsia="仿宋" w:cs="仿宋"/>
          <w:color w:val="auto"/>
          <w:sz w:val="24"/>
          <w:szCs w:val="24"/>
          <w:highlight w:val="none"/>
        </w:rPr>
        <w:t>，否则其响应文件按无效响应处理。</w:t>
      </w:r>
    </w:p>
    <w:p w14:paraId="1F48F6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18.4响应文件中标注的供应商名称应与营业执照（事业单位法人证书、执业许可证、自然人身份证）及公章一致，否则其响应文件按无效响应处理。</w:t>
      </w:r>
    </w:p>
    <w:p w14:paraId="4D2553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2BFCAA00">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19.响应文件的加密、解密</w:t>
      </w:r>
    </w:p>
    <w:p w14:paraId="17127BD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19.1电子响应文件编制完成后，供应商应按广西政府采购云平台的要求进行加密，并在规定时间内解密，否则，由此产生的后果由供应商自行负责。</w:t>
      </w:r>
    </w:p>
    <w:p w14:paraId="3B25F000">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20.响应文件的提交</w:t>
      </w:r>
    </w:p>
    <w:p w14:paraId="3975045F">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20.1供应商必须在“供应商须知前附表”规定的时间和地点提交响应文件。</w:t>
      </w:r>
    </w:p>
    <w:p w14:paraId="59357838">
      <w:pPr>
        <w:widowControl/>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20.2本项目为全流程电子化政府采购项目，通过广西政府采购云平台（https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gcy.zfcg.gxzf.gov.cn/）实行在线电子竞争性谈判，供应商应先安装“广西政府采购云平台电子交易客户端”（请自行前往广西政府采购云平台进行下载），并按照本项目竞争性谈判文件和广西政府采购云平台的要求编制、加密后在首次响应文件提交截止时间前通过网络上传至广西政府采购云平台，</w:t>
      </w:r>
      <w:r>
        <w:rPr>
          <w:rFonts w:hint="eastAsia" w:ascii="仿宋" w:hAnsi="仿宋" w:eastAsia="仿宋" w:cs="仿宋"/>
          <w:b/>
          <w:color w:val="auto"/>
          <w:sz w:val="24"/>
          <w:szCs w:val="24"/>
          <w:highlight w:val="none"/>
        </w:rPr>
        <w:t>供应商在广西政府采购云平台提交电子版响应文件时，请填写参加远程开标活动经办人联系方式。</w:t>
      </w:r>
    </w:p>
    <w:p w14:paraId="7351CFA9">
      <w:pPr>
        <w:spacing w:line="360" w:lineRule="auto"/>
        <w:ind w:firstLine="480" w:firstLineChars="200"/>
        <w:jc w:val="left"/>
        <w:outlineLvl w:val="4"/>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20.3未在规定时间内上传或者未按广西政府采购云平台的要求编制、加密的电子响应文件，广西政府采购云平台将拒收。</w:t>
      </w:r>
    </w:p>
    <w:p w14:paraId="24988600">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20.4电子响应文件提交方式见“竞争性谈判公告”中“四、响应文件提交”。</w:t>
      </w:r>
    </w:p>
    <w:p w14:paraId="0A596E5E">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21.首次响应文件的补充、修改与撤回</w:t>
      </w:r>
    </w:p>
    <w:p w14:paraId="23EBC0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264E4CDC">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22.首次响应文件的退回</w:t>
      </w:r>
    </w:p>
    <w:p w14:paraId="24E755D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59D5ACC4">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23.截止时间后的撤回</w:t>
      </w:r>
    </w:p>
    <w:p w14:paraId="7551BED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23.1供应商在首次响应文件提交截止时间后书面通知采购人、采购代理机构书面撤回响应文件的，将根据本须知正文17.4的规定不予退还其谈判保证金。</w:t>
      </w:r>
    </w:p>
    <w:p w14:paraId="5C13C7BA">
      <w:pPr>
        <w:spacing w:line="360" w:lineRule="auto"/>
        <w:ind w:firstLine="480" w:firstLineChars="200"/>
        <w:rPr>
          <w:rFonts w:hint="eastAsia" w:ascii="仿宋" w:hAnsi="仿宋" w:eastAsia="仿宋" w:cs="仿宋"/>
          <w:color w:val="auto"/>
          <w:sz w:val="24"/>
          <w:szCs w:val="24"/>
          <w:highlight w:val="none"/>
        </w:rPr>
      </w:pPr>
    </w:p>
    <w:p w14:paraId="7DE20142">
      <w:pPr>
        <w:spacing w:line="360" w:lineRule="auto"/>
        <w:ind w:left="0" w:leftChars="0" w:firstLine="0" w:firstLineChars="0"/>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四、评审及谈判</w:t>
      </w:r>
    </w:p>
    <w:p w14:paraId="6257473F">
      <w:pPr>
        <w:spacing w:line="360" w:lineRule="auto"/>
        <w:ind w:firstLine="480"/>
        <w:rPr>
          <w:rFonts w:hint="eastAsia" w:ascii="仿宋" w:hAnsi="仿宋" w:eastAsia="仿宋" w:cs="仿宋"/>
          <w:color w:val="auto"/>
          <w:sz w:val="24"/>
          <w:szCs w:val="24"/>
          <w:highlight w:val="none"/>
        </w:rPr>
      </w:pPr>
    </w:p>
    <w:p w14:paraId="495528E8">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24.谈判小组成立</w:t>
      </w:r>
    </w:p>
    <w:p w14:paraId="630F31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竞争性谈判小组成立：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58DCD1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2A6E2C25">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25.首次响应文件的开启</w:t>
      </w:r>
    </w:p>
    <w:p w14:paraId="5FA0400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25.1首次响应文件由谈判小组或者采购代理机构在“供应商须知前附表”规定的时间开启。</w:t>
      </w:r>
    </w:p>
    <w:p w14:paraId="21C492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响应文件解密：采购代理机构将在“供应商须知前附表”规定的时间通过电子交易平台组织响应文件开启，采购代理机构将依托电子交易平台发起开始解密指令，</w:t>
      </w:r>
      <w:r>
        <w:rPr>
          <w:rFonts w:hint="eastAsia" w:ascii="仿宋" w:hAnsi="仿宋" w:eastAsia="仿宋" w:cs="仿宋"/>
          <w:b/>
          <w:color w:val="auto"/>
          <w:sz w:val="24"/>
          <w:szCs w:val="24"/>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仿宋" w:hAnsi="仿宋" w:eastAsia="仿宋" w:cs="仿宋"/>
          <w:b/>
          <w:bCs/>
          <w:color w:val="auto"/>
          <w:sz w:val="24"/>
          <w:szCs w:val="24"/>
          <w:highlight w:val="none"/>
        </w:rPr>
        <w:t>响应文件未按时解密的，视为响应文件无效。</w:t>
      </w:r>
      <w:r>
        <w:rPr>
          <w:rFonts w:hint="eastAsia" w:ascii="仿宋" w:hAnsi="仿宋" w:eastAsia="仿宋" w:cs="仿宋"/>
          <w:color w:val="auto"/>
          <w:sz w:val="24"/>
          <w:szCs w:val="24"/>
          <w:highlight w:val="none"/>
        </w:rPr>
        <w:t>（解密异常情况处理：详见本章26.2电子交易活动的中止。）</w:t>
      </w:r>
    </w:p>
    <w:p w14:paraId="0D2B6EF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25.3成功解密响应文件的供应商不足3家的，不得谈判。</w:t>
      </w:r>
    </w:p>
    <w:p w14:paraId="564C47FA">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26.评审程序和评定成交的标准</w:t>
      </w:r>
    </w:p>
    <w:p w14:paraId="47722AA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26.1谈判小组按照“第四章  评审程序和评定成交的标准”规定的评审程序对响应文件进行评审，并按照评定成交的标准推荐成交候选供应商。</w:t>
      </w:r>
    </w:p>
    <w:p w14:paraId="01DADA3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26.2电子交易活动的中止。采购过程中出现以下情形，导致电子交易平台无法正常运行，或者无法保证电子交易的公平、公正和安全时，采购机构可中止电子交易活动：</w:t>
      </w:r>
    </w:p>
    <w:p w14:paraId="43F1C3B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（1）电子交易平台发生故障而无法登录访问的； </w:t>
      </w:r>
    </w:p>
    <w:p w14:paraId="2CED76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（2）电子交易平台应用或数据库出现错误，不能进行正常操作的；</w:t>
      </w:r>
    </w:p>
    <w:p w14:paraId="2CE63B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（3）电子交易平台发现严重安全漏洞，有潜在泄密危险的；</w:t>
      </w:r>
    </w:p>
    <w:p w14:paraId="17846A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（4）病毒发作导致不能进行正常操作的； </w:t>
      </w:r>
    </w:p>
    <w:p w14:paraId="4DE5271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（5）其他无法保证电子交易的公平、公正和安全的情况。</w:t>
      </w:r>
    </w:p>
    <w:p w14:paraId="6B18E02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26.3出现以上情形，不影响采购公平、公正性的，采购代理机构可以待上述情形消除后继续组织电子交易活动；影响或可能影响采购公平、公正性的，经采购代理机构确认后，应当重新采购。</w:t>
      </w:r>
    </w:p>
    <w:p w14:paraId="345B8F8F">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27.确定成交供应商及结果公告</w:t>
      </w:r>
    </w:p>
    <w:p w14:paraId="379F29B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700FC68A">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27.2采购代理机构应当在成交供应商确定后2个工作日内，在省级以上财政部门指定的媒体上公告成交结果，同时向成交供应商发出成交通知书。</w:t>
      </w:r>
      <w:r>
        <w:rPr>
          <w:rFonts w:hint="eastAsia" w:ascii="仿宋" w:hAnsi="仿宋" w:eastAsia="仿宋" w:cs="仿宋"/>
          <w:b/>
          <w:color w:val="auto"/>
          <w:kern w:val="0"/>
          <w:sz w:val="24"/>
          <w:szCs w:val="24"/>
          <w:highlight w:val="none"/>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仿宋" w:hAnsi="仿宋" w:eastAsia="仿宋" w:cs="仿宋"/>
          <w:color w:val="auto"/>
          <w:kern w:val="0"/>
          <w:sz w:val="24"/>
          <w:szCs w:val="24"/>
          <w:highlight w:val="none"/>
        </w:rPr>
        <w:t>排名第二的成交候选人因上述规定的同样原因被取消成交资格的，采购人可以确定排名第三的成交候选人为成交供应商。以上信息查询记录及相关证据与谈判文件一并保存。</w:t>
      </w:r>
      <w:r>
        <w:rPr>
          <w:rFonts w:hint="eastAsia" w:ascii="仿宋" w:hAnsi="仿宋" w:eastAsia="仿宋" w:cs="仿宋"/>
          <w:color w:val="auto"/>
          <w:sz w:val="24"/>
          <w:szCs w:val="24"/>
          <w:highlight w:val="none"/>
        </w:rPr>
        <w:t>成交供应商享受《政府采购促进中小企业发展管理办法》（财库〔2020〕46号）规定的中小企业扶持政策的，采购人、采购代理机构应当随成交结果公开成交供应商的《中小企业声明函》。</w:t>
      </w:r>
    </w:p>
    <w:p w14:paraId="2840886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27.3出现下列情形之一的，采购人或者采购代理机构应当终止竞争性谈判采购活动，发布项目终止公告并说明原因，重新开展采购活动：</w:t>
      </w:r>
    </w:p>
    <w:p w14:paraId="4EBDC36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（一）因情况变化，不再符合规定的竞争性谈判采购方式适用情形的；</w:t>
      </w:r>
    </w:p>
    <w:p w14:paraId="60FDA35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7D708D3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（三）在采购过程中符合竞争要求的供应商或者报价未超过采购预算的供应商不足3家的，但“第四章 评审程序和评定成交的标准”第3.7条规定的情形除外。</w:t>
      </w:r>
    </w:p>
    <w:p w14:paraId="61E712F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27.4在采购活动中因重大变故，采购任务取消的，采购人或者采购代理机构应当终止采购活动，通知所有参加采购活动的供应商。</w:t>
      </w:r>
    </w:p>
    <w:p w14:paraId="78CF2B06">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27.5</w:t>
      </w:r>
      <w:r>
        <w:rPr>
          <w:rFonts w:hint="eastAsia" w:ascii="仿宋" w:hAnsi="仿宋" w:eastAsia="仿宋" w:cs="仿宋"/>
          <w:color w:val="auto"/>
          <w:sz w:val="24"/>
          <w:szCs w:val="24"/>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3EB28635">
      <w:pPr>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除因不可抗力外，成交供应商不与采购人签订合同的，除不予退还其谈判保证金外，若给采购人造成损失，或（并）因此延误采购人</w:t>
      </w:r>
      <w:r>
        <w:rPr>
          <w:rFonts w:hint="eastAsia" w:ascii="仿宋" w:hAnsi="仿宋" w:eastAsia="仿宋" w:cs="仿宋"/>
          <w:b/>
          <w:color w:val="auto"/>
          <w:sz w:val="24"/>
          <w:szCs w:val="24"/>
          <w:highlight w:val="none"/>
          <w:lang w:val="en-US" w:eastAsia="zh-CN"/>
        </w:rPr>
        <w:t>工作</w:t>
      </w:r>
      <w:r>
        <w:rPr>
          <w:rFonts w:hint="eastAsia" w:ascii="仿宋" w:hAnsi="仿宋" w:eastAsia="仿宋" w:cs="仿宋"/>
          <w:b/>
          <w:color w:val="auto"/>
          <w:sz w:val="24"/>
          <w:szCs w:val="24"/>
          <w:highlight w:val="none"/>
        </w:rPr>
        <w:t>计划的，须依据《中华人民共和国民法典》第五百条、《政府采购非招标采购方式管理办法（财政部令第74号）》第二十二条、第五十四条规定承担赔偿损失等法律责任，采购人有权将成交供应商的失信行为报财政部门记入诚信档案，以示惩戒。</w:t>
      </w:r>
    </w:p>
    <w:p w14:paraId="61D37100">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28.履约保证金</w:t>
      </w:r>
    </w:p>
    <w:p w14:paraId="07A2ED5D">
      <w:pPr>
        <w:spacing w:line="360" w:lineRule="auto"/>
        <w:ind w:firstLine="480" w:firstLineChars="200"/>
        <w:jc w:val="left"/>
        <w:rPr>
          <w:rFonts w:hint="eastAsia" w:ascii="仿宋" w:hAnsi="仿宋" w:eastAsia="仿宋" w:cs="仿宋"/>
          <w:color w:val="auto"/>
          <w:sz w:val="24"/>
          <w:szCs w:val="32"/>
          <w:highlight w:val="none"/>
        </w:rPr>
      </w:pPr>
      <w:r>
        <w:rPr>
          <w:rFonts w:hint="eastAsia" w:ascii="仿宋" w:hAnsi="仿宋" w:eastAsia="仿宋" w:cs="仿宋"/>
          <w:color w:val="auto"/>
          <w:sz w:val="24"/>
          <w:szCs w:val="24"/>
          <w:highlight w:val="none"/>
        </w:rPr>
        <w:t>28.1履约保证金的金额、提交方式、退付的时间和条件详见 “供应商须知前附表”。</w:t>
      </w:r>
    </w:p>
    <w:p w14:paraId="1078AC87">
      <w:pPr>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28.2在履约保证金退还日期前，若成交供应商的开户名称、开户银行、帐号有变动的，请以书面形式通知履约保证金收取单位，否则由此产生的后果由成交供应商自负。</w:t>
      </w:r>
    </w:p>
    <w:p w14:paraId="007F832D">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29.签订合同</w:t>
      </w:r>
    </w:p>
    <w:p w14:paraId="36D7F771">
      <w:pPr>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成交供应商在收到成交通知书（书面或电子）后，按“供应商须知前附表”规定向采购人出示相关证明材料，经采购人核验合格后方可签订合同（书面或电子）。如成交供应商为联合体的，联合体各方应当共同与采购人签订采购合同，就采购合同约定的事项对采购人承担连带责任。</w:t>
      </w:r>
    </w:p>
    <w:p w14:paraId="163C7655">
      <w:pPr>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 签订合同时间：按成交通知书的规定与采购人签订政府采购合同（最长不能超过25日）。</w:t>
      </w:r>
    </w:p>
    <w:p w14:paraId="28945660">
      <w:pPr>
        <w:spacing w:line="360" w:lineRule="auto"/>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29.3成交供应商拒绝与采购人签订合同的，按照本文件之《供应商须知正文》第27.5条的规定执行。</w:t>
      </w:r>
    </w:p>
    <w:p w14:paraId="5DC25CE4">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30.政府采购合同公告</w:t>
      </w:r>
    </w:p>
    <w:p w14:paraId="047283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8306113">
      <w:pPr>
        <w:spacing w:line="360" w:lineRule="auto"/>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31.询问、质疑和投诉</w:t>
      </w:r>
    </w:p>
    <w:p w14:paraId="3308E879">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31.1供应商对政府采购活动事项有疑问的，可以向采购人、采购代理机构提出询问，采购人或者采购代理机构应当在3个工作日内对供应商依法提出的询问作出答复，</w:t>
      </w:r>
      <w:r>
        <w:rPr>
          <w:rFonts w:hint="eastAsia" w:ascii="仿宋" w:hAnsi="仿宋" w:eastAsia="仿宋" w:cs="仿宋"/>
          <w:color w:val="auto"/>
          <w:sz w:val="24"/>
          <w:szCs w:val="24"/>
          <w:highlight w:val="none"/>
        </w:rPr>
        <w:t>但答复的内容不得涉及商业秘密。</w:t>
      </w:r>
    </w:p>
    <w:p w14:paraId="77CB4A3D">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31.2供应商认为谈判文件、采购过程或者成交结果使自己的合法权益受到损害的，应当在知道或者应知其权益受到损害之日起7个工作日内，以纸质书面形式向采购人、采购代理机构提出质疑，</w:t>
      </w:r>
      <w:r>
        <w:rPr>
          <w:rFonts w:hint="eastAsia" w:ascii="仿宋" w:hAnsi="仿宋" w:eastAsia="仿宋" w:cs="仿宋"/>
          <w:color w:val="auto"/>
          <w:sz w:val="24"/>
          <w:szCs w:val="32"/>
          <w:highlight w:val="none"/>
          <w:shd w:val="clear" w:color="auto" w:fill="FFFFFF"/>
        </w:rPr>
        <w:t>接收质疑函的方式、联系部门、联系电话和通讯地址等信息</w:t>
      </w:r>
      <w:r>
        <w:rPr>
          <w:rFonts w:hint="eastAsia" w:ascii="仿宋" w:hAnsi="仿宋" w:eastAsia="仿宋" w:cs="仿宋"/>
          <w:color w:val="auto"/>
          <w:sz w:val="24"/>
          <w:szCs w:val="24"/>
          <w:highlight w:val="none"/>
        </w:rPr>
        <w:t>详见“供应商须知前附表”</w:t>
      </w:r>
      <w:r>
        <w:rPr>
          <w:rFonts w:hint="eastAsia" w:ascii="仿宋" w:hAnsi="仿宋" w:eastAsia="仿宋" w:cs="仿宋"/>
          <w:color w:val="auto"/>
          <w:sz w:val="24"/>
          <w:szCs w:val="32"/>
          <w:highlight w:val="none"/>
        </w:rPr>
        <w:t>。供应商应当在法定质疑期内一次性提出针对同一采购程序环节的质疑。具体质疑起算时间如下：</w:t>
      </w:r>
    </w:p>
    <w:p w14:paraId="4CEBEFA9">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（1）对可以质疑的谈判文件提出质疑的，为获取谈判文件之日；</w:t>
      </w:r>
    </w:p>
    <w:p w14:paraId="1255F6A5">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（2）对采购过程提出质疑的，为各采购程序环节结束之日；</w:t>
      </w:r>
    </w:p>
    <w:p w14:paraId="06E3E007">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（3）对成交结果提出质疑的，为成交结果公告期限届满之日。</w:t>
      </w:r>
    </w:p>
    <w:p w14:paraId="6F1615FA">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D5602D2">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31.4供应商提出质疑应当提交质疑函和必要的证明材料，针对同一采购程序环节的质疑必须在法定质疑期内一次性提出。质疑函应当包括下列内容</w:t>
      </w:r>
      <w:r>
        <w:rPr>
          <w:rFonts w:hint="eastAsia" w:ascii="仿宋" w:hAnsi="仿宋" w:eastAsia="仿宋" w:cs="仿宋"/>
          <w:bCs/>
          <w:color w:val="auto"/>
          <w:sz w:val="24"/>
          <w:szCs w:val="32"/>
          <w:highlight w:val="none"/>
        </w:rPr>
        <w:t>（质疑函格式后附）</w:t>
      </w:r>
      <w:r>
        <w:rPr>
          <w:rFonts w:hint="eastAsia" w:ascii="仿宋" w:hAnsi="仿宋" w:eastAsia="仿宋" w:cs="仿宋"/>
          <w:color w:val="auto"/>
          <w:sz w:val="24"/>
          <w:szCs w:val="32"/>
          <w:highlight w:val="none"/>
        </w:rPr>
        <w:t>：</w:t>
      </w:r>
    </w:p>
    <w:p w14:paraId="27B6F474">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（1）供应商的姓名或者名称、地址、邮编、联系人及联系电话；</w:t>
      </w:r>
    </w:p>
    <w:p w14:paraId="30CCC887">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（2）质疑项目的名称、编号；</w:t>
      </w:r>
    </w:p>
    <w:p w14:paraId="3B35BA56">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（3）具体、明确的质疑事项和与质疑事项相关的请求；</w:t>
      </w:r>
    </w:p>
    <w:p w14:paraId="173A402C">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（4）事实依据；</w:t>
      </w:r>
    </w:p>
    <w:p w14:paraId="30BCA40A">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（5）必要的法律依据；</w:t>
      </w:r>
    </w:p>
    <w:p w14:paraId="4FEDD51F">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（6）提出质疑的日期。</w:t>
      </w:r>
    </w:p>
    <w:p w14:paraId="7215D6A8">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供应商为自然人的，应当由本人签字；供应商为法人或者其他组织的，应当由法定代表人、主要负责人，或者其委托代理人签字或者盖章，并加盖公章。</w:t>
      </w:r>
    </w:p>
    <w:p w14:paraId="4AD8E769">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31.5采购人、采购代理机构认为供应商质疑不成立，或者成立但未对成交结果构成影响的，继续开展采购活动；认为供应商质疑成立且影响或者可能影响成交结果的，按照下列情况处理：</w:t>
      </w:r>
    </w:p>
    <w:p w14:paraId="7E329510">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（1）对采购文件提出的质疑，依法通过澄清或者修改可以继续开展采购活动的，澄清或者修改采购文件后继续开展采购活动；否则应当修改采购文件后重新开展采购活动。</w:t>
      </w:r>
    </w:p>
    <w:p w14:paraId="758D728E">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（2）对采购过程或者成交结果提出的质疑，合格供应商符合法定数量时，可以从合格的成交候选人中另行确定成交供应商的，应当依法另行确定成交供应商；否则应当重新开展采购活动。</w:t>
      </w:r>
    </w:p>
    <w:p w14:paraId="4E70B995">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质疑答复导致成交结果改变的，采购人或者采购代理机构应当将有关情况书面报告本级财政部门。</w:t>
      </w:r>
    </w:p>
    <w:p w14:paraId="558C56AE">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32"/>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3E62AFB">
      <w:pPr>
        <w:spacing w:line="360" w:lineRule="auto"/>
        <w:ind w:firstLine="643" w:firstLineChars="2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32.</w:t>
      </w:r>
      <w:r>
        <w:rPr>
          <w:rFonts w:hint="eastAsia" w:ascii="仿宋" w:hAnsi="仿宋" w:eastAsia="仿宋" w:cs="仿宋"/>
          <w:b/>
          <w:bCs/>
          <w:color w:val="auto"/>
          <w:sz w:val="32"/>
          <w:szCs w:val="32"/>
          <w:highlight w:val="none"/>
          <w:lang w:val="en-US" w:eastAsia="zh-CN"/>
        </w:rPr>
        <w:t>代理服务费</w:t>
      </w:r>
    </w:p>
    <w:p w14:paraId="300B8386">
      <w:pPr>
        <w:tabs>
          <w:tab w:val="left" w:pos="2835"/>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32.1代理服务费：代理服务收取标准及缴费账户详见“供应商须知前附表”，供应商为联合体的，可以由联合体中的一方或者多方共同交纳代理服务费。</w:t>
      </w:r>
    </w:p>
    <w:p w14:paraId="44C18931">
      <w:pPr>
        <w:tabs>
          <w:tab w:val="left" w:pos="2835"/>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32.2代理服务费收费计算标准：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846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4FB8EAA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费率</w:t>
            </w:r>
          </w:p>
          <w:p w14:paraId="040ED7F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金额（人民币）</w:t>
            </w:r>
          </w:p>
        </w:tc>
        <w:tc>
          <w:tcPr>
            <w:tcW w:w="1659" w:type="dxa"/>
            <w:vAlign w:val="center"/>
          </w:tcPr>
          <w:p w14:paraId="487F1922">
            <w:pPr>
              <w:spacing w:line="360" w:lineRule="auto"/>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货物类</w:t>
            </w:r>
          </w:p>
        </w:tc>
        <w:tc>
          <w:tcPr>
            <w:tcW w:w="1532" w:type="dxa"/>
            <w:vAlign w:val="center"/>
          </w:tcPr>
          <w:p w14:paraId="4EF40C5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c>
          <w:tcPr>
            <w:tcW w:w="1546" w:type="dxa"/>
            <w:vAlign w:val="center"/>
          </w:tcPr>
          <w:p w14:paraId="038B0B8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工程类</w:t>
            </w:r>
          </w:p>
        </w:tc>
      </w:tr>
      <w:tr w14:paraId="4EE6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384458D">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100万元以下</w:t>
            </w:r>
          </w:p>
        </w:tc>
        <w:tc>
          <w:tcPr>
            <w:tcW w:w="1659" w:type="dxa"/>
          </w:tcPr>
          <w:p w14:paraId="246CF12A">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1532" w:type="dxa"/>
          </w:tcPr>
          <w:p w14:paraId="026CA1EB">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1546" w:type="dxa"/>
          </w:tcPr>
          <w:p w14:paraId="1C8C56B1">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r>
      <w:tr w14:paraId="1F85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BA7A94A">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100～500万元</w:t>
            </w:r>
          </w:p>
        </w:tc>
        <w:tc>
          <w:tcPr>
            <w:tcW w:w="1659" w:type="dxa"/>
          </w:tcPr>
          <w:p w14:paraId="6A1684B3">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1532" w:type="dxa"/>
          </w:tcPr>
          <w:p w14:paraId="7CEDBAF0">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0.8%</w:t>
            </w:r>
          </w:p>
        </w:tc>
        <w:tc>
          <w:tcPr>
            <w:tcW w:w="1546" w:type="dxa"/>
          </w:tcPr>
          <w:p w14:paraId="47298951">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0.7%</w:t>
            </w:r>
          </w:p>
        </w:tc>
      </w:tr>
      <w:tr w14:paraId="052E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73B963D">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500～1000万元</w:t>
            </w:r>
          </w:p>
        </w:tc>
        <w:tc>
          <w:tcPr>
            <w:tcW w:w="1659" w:type="dxa"/>
          </w:tcPr>
          <w:p w14:paraId="73FF8E21">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0.8%</w:t>
            </w:r>
          </w:p>
        </w:tc>
        <w:tc>
          <w:tcPr>
            <w:tcW w:w="1532" w:type="dxa"/>
          </w:tcPr>
          <w:p w14:paraId="2DFC7E60">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0.45%</w:t>
            </w:r>
          </w:p>
        </w:tc>
        <w:tc>
          <w:tcPr>
            <w:tcW w:w="1546" w:type="dxa"/>
          </w:tcPr>
          <w:p w14:paraId="4A89026A">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0.55%</w:t>
            </w:r>
          </w:p>
        </w:tc>
      </w:tr>
      <w:tr w14:paraId="1628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2D821FE">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1000～5000万元</w:t>
            </w:r>
          </w:p>
        </w:tc>
        <w:tc>
          <w:tcPr>
            <w:tcW w:w="1659" w:type="dxa"/>
          </w:tcPr>
          <w:p w14:paraId="189D005E">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w:t>
            </w:r>
          </w:p>
        </w:tc>
        <w:tc>
          <w:tcPr>
            <w:tcW w:w="1532" w:type="dxa"/>
          </w:tcPr>
          <w:p w14:paraId="5A23C99F">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0.25%</w:t>
            </w:r>
          </w:p>
        </w:tc>
        <w:tc>
          <w:tcPr>
            <w:tcW w:w="1546" w:type="dxa"/>
          </w:tcPr>
          <w:p w14:paraId="29FAD0CC">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0.35%</w:t>
            </w:r>
          </w:p>
        </w:tc>
      </w:tr>
      <w:tr w14:paraId="3A18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D452BBA">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5000万元～1亿元</w:t>
            </w:r>
          </w:p>
        </w:tc>
        <w:tc>
          <w:tcPr>
            <w:tcW w:w="1659" w:type="dxa"/>
          </w:tcPr>
          <w:p w14:paraId="21AB4A53">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0.25%</w:t>
            </w:r>
          </w:p>
        </w:tc>
        <w:tc>
          <w:tcPr>
            <w:tcW w:w="1532" w:type="dxa"/>
          </w:tcPr>
          <w:p w14:paraId="434F1E21">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0.1%</w:t>
            </w:r>
          </w:p>
        </w:tc>
        <w:tc>
          <w:tcPr>
            <w:tcW w:w="1546" w:type="dxa"/>
          </w:tcPr>
          <w:p w14:paraId="4D43B8DF">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0.2%</w:t>
            </w:r>
          </w:p>
        </w:tc>
      </w:tr>
      <w:tr w14:paraId="3CB1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94B920D">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1～5亿元</w:t>
            </w:r>
          </w:p>
        </w:tc>
        <w:tc>
          <w:tcPr>
            <w:tcW w:w="1659" w:type="dxa"/>
          </w:tcPr>
          <w:p w14:paraId="732EC7CC">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0.05%</w:t>
            </w:r>
          </w:p>
        </w:tc>
        <w:tc>
          <w:tcPr>
            <w:tcW w:w="1532" w:type="dxa"/>
          </w:tcPr>
          <w:p w14:paraId="64B3DD76">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0.05%</w:t>
            </w:r>
          </w:p>
        </w:tc>
        <w:tc>
          <w:tcPr>
            <w:tcW w:w="1546" w:type="dxa"/>
          </w:tcPr>
          <w:p w14:paraId="6343D78C">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0.05%</w:t>
            </w:r>
          </w:p>
        </w:tc>
      </w:tr>
      <w:tr w14:paraId="03BD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0661875">
            <w:pPr>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5～10亿元</w:t>
            </w:r>
          </w:p>
        </w:tc>
        <w:tc>
          <w:tcPr>
            <w:tcW w:w="1659" w:type="dxa"/>
          </w:tcPr>
          <w:p w14:paraId="17C52BF4">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0.035%</w:t>
            </w:r>
          </w:p>
        </w:tc>
        <w:tc>
          <w:tcPr>
            <w:tcW w:w="1532" w:type="dxa"/>
          </w:tcPr>
          <w:p w14:paraId="0233F567">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0.035%</w:t>
            </w:r>
          </w:p>
        </w:tc>
        <w:tc>
          <w:tcPr>
            <w:tcW w:w="1546" w:type="dxa"/>
          </w:tcPr>
          <w:p w14:paraId="1E5A2804">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0.035%</w:t>
            </w:r>
          </w:p>
        </w:tc>
      </w:tr>
      <w:tr w14:paraId="661B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916A3AA">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10～50亿元</w:t>
            </w:r>
          </w:p>
        </w:tc>
        <w:tc>
          <w:tcPr>
            <w:tcW w:w="1659" w:type="dxa"/>
          </w:tcPr>
          <w:p w14:paraId="64918A85">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0.008%</w:t>
            </w:r>
          </w:p>
        </w:tc>
        <w:tc>
          <w:tcPr>
            <w:tcW w:w="1532" w:type="dxa"/>
          </w:tcPr>
          <w:p w14:paraId="3E7C0162">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0.008%</w:t>
            </w:r>
          </w:p>
        </w:tc>
        <w:tc>
          <w:tcPr>
            <w:tcW w:w="1546" w:type="dxa"/>
          </w:tcPr>
          <w:p w14:paraId="364DEA1D">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0.008%</w:t>
            </w:r>
          </w:p>
        </w:tc>
      </w:tr>
      <w:tr w14:paraId="1858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AE92D3D">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50～100亿元</w:t>
            </w:r>
          </w:p>
        </w:tc>
        <w:tc>
          <w:tcPr>
            <w:tcW w:w="1659" w:type="dxa"/>
          </w:tcPr>
          <w:p w14:paraId="1E795DBF">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0.006%</w:t>
            </w:r>
          </w:p>
        </w:tc>
        <w:tc>
          <w:tcPr>
            <w:tcW w:w="1532" w:type="dxa"/>
          </w:tcPr>
          <w:p w14:paraId="310E2109">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0.006%</w:t>
            </w:r>
          </w:p>
        </w:tc>
        <w:tc>
          <w:tcPr>
            <w:tcW w:w="1546" w:type="dxa"/>
          </w:tcPr>
          <w:p w14:paraId="0616160A">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0.006%</w:t>
            </w:r>
          </w:p>
        </w:tc>
      </w:tr>
      <w:tr w14:paraId="496B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7F10CE9">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100亿元以上</w:t>
            </w:r>
          </w:p>
        </w:tc>
        <w:tc>
          <w:tcPr>
            <w:tcW w:w="1659" w:type="dxa"/>
          </w:tcPr>
          <w:p w14:paraId="45890596">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0.004%</w:t>
            </w:r>
          </w:p>
        </w:tc>
        <w:tc>
          <w:tcPr>
            <w:tcW w:w="1532" w:type="dxa"/>
          </w:tcPr>
          <w:p w14:paraId="34A81526">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0.004%</w:t>
            </w:r>
          </w:p>
        </w:tc>
        <w:tc>
          <w:tcPr>
            <w:tcW w:w="1546" w:type="dxa"/>
          </w:tcPr>
          <w:p w14:paraId="2F401B7D">
            <w:pPr>
              <w:spacing w:line="4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0.004%</w:t>
            </w:r>
          </w:p>
        </w:tc>
      </w:tr>
    </w:tbl>
    <w:p w14:paraId="334BB277">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注： </w:t>
      </w:r>
    </w:p>
    <w:p w14:paraId="7A0A4463">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（1）按本表费率计算的收费为采购代理的收费基准价格；</w:t>
      </w:r>
    </w:p>
    <w:p w14:paraId="76EE7CE7">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（2）采购代理收费按差额定率累进法计算。</w:t>
      </w:r>
    </w:p>
    <w:p w14:paraId="363A9C56">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例如：某货物采购代理业务成交金额或者暂定价为150万元，计算采购代理收费额如下：</w:t>
      </w:r>
    </w:p>
    <w:p w14:paraId="018C50CF">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 万元 ×l.5 %＝ 1.5 万元</w:t>
      </w:r>
    </w:p>
    <w:p w14:paraId="7F04C633">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150 － 100 ）万元 ×1.1%＝ 0.55 万元</w:t>
      </w:r>
    </w:p>
    <w:p w14:paraId="75348AC9">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合计收费＝ 1.5 ＋ 0.55＝ 2.05 （万元）</w:t>
      </w:r>
    </w:p>
    <w:p w14:paraId="7BBD3AED">
      <w:pPr>
        <w:spacing w:line="360" w:lineRule="auto"/>
        <w:ind w:firstLine="643" w:firstLineChars="2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33.需要补充的其他内容</w:t>
      </w:r>
    </w:p>
    <w:p w14:paraId="258A8452">
      <w:pPr>
        <w:spacing w:line="360" w:lineRule="auto"/>
        <w:ind w:firstLine="480" w:firstLineChars="20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33.1本谈判文件解释规则详见“供应商须知前附表”。</w:t>
      </w:r>
    </w:p>
    <w:p w14:paraId="4E02F8C2">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33.2 其他事</w:t>
      </w:r>
      <w:r>
        <w:rPr>
          <w:rFonts w:hint="eastAsia" w:ascii="仿宋" w:hAnsi="仿宋" w:eastAsia="仿宋" w:cs="仿宋"/>
          <w:color w:val="auto"/>
          <w:sz w:val="24"/>
          <w:szCs w:val="24"/>
          <w:highlight w:val="none"/>
        </w:rPr>
        <w:t>项详见“供应商须知前附表”。</w:t>
      </w:r>
    </w:p>
    <w:p w14:paraId="630E0271">
      <w:pPr>
        <w:spacing w:line="360" w:lineRule="auto"/>
        <w:ind w:firstLine="480" w:firstLineChars="20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33.3</w:t>
      </w:r>
      <w:bookmarkStart w:id="23" w:name="_Hlk65857140"/>
      <w:r>
        <w:rPr>
          <w:rFonts w:hint="eastAsia" w:ascii="仿宋" w:hAnsi="仿宋" w:eastAsia="仿宋" w:cs="仿宋"/>
          <w:color w:val="auto"/>
          <w:kern w:val="0"/>
          <w:sz w:val="24"/>
          <w:szCs w:val="24"/>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2B808C55">
      <w:pPr>
        <w:spacing w:line="360" w:lineRule="auto"/>
        <w:ind w:firstLine="480" w:firstLineChars="20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7D946634">
      <w:pPr>
        <w:spacing w:line="360" w:lineRule="auto"/>
        <w:ind w:firstLine="480" w:firstLineChars="20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4121C41D">
      <w:pPr>
        <w:spacing w:line="360" w:lineRule="auto"/>
        <w:ind w:firstLine="480" w:firstLineChars="20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76D63AD">
      <w:pPr>
        <w:spacing w:line="360" w:lineRule="auto"/>
        <w:ind w:firstLine="480" w:firstLineChars="20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4A95C734">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依据本谈判文件规定享受扶持政策获得政府采购合同的，小微企业不得将合同分包给大中型企业，中型企业不得将合同分包给大型企业。</w:t>
      </w:r>
      <w:bookmarkEnd w:id="23"/>
    </w:p>
    <w:p w14:paraId="6F07EA2F">
      <w:pPr>
        <w:ind w:firstLine="883"/>
        <w:rPr>
          <w:rFonts w:hint="eastAsia" w:ascii="仿宋" w:hAnsi="仿宋" w:eastAsia="仿宋" w:cs="仿宋"/>
          <w:b/>
          <w:bCs/>
          <w:color w:val="auto"/>
          <w:kern w:val="44"/>
          <w:sz w:val="44"/>
          <w:szCs w:val="44"/>
          <w:highlight w:val="none"/>
        </w:rPr>
      </w:pPr>
      <w:r>
        <w:rPr>
          <w:rFonts w:hint="eastAsia" w:ascii="仿宋" w:hAnsi="仿宋" w:eastAsia="仿宋" w:cs="仿宋"/>
          <w:b/>
          <w:bCs/>
          <w:color w:val="auto"/>
          <w:kern w:val="44"/>
          <w:sz w:val="44"/>
          <w:szCs w:val="44"/>
          <w:highlight w:val="none"/>
        </w:rPr>
        <w:br w:type="page"/>
      </w:r>
    </w:p>
    <w:p w14:paraId="1DAFF42E">
      <w:pPr>
        <w:keepNext/>
        <w:keepLines/>
        <w:spacing w:line="360" w:lineRule="auto"/>
        <w:ind w:left="0" w:leftChars="0" w:firstLine="0" w:firstLineChars="0"/>
        <w:jc w:val="center"/>
        <w:outlineLvl w:val="0"/>
        <w:rPr>
          <w:rFonts w:hint="eastAsia" w:ascii="仿宋" w:hAnsi="仿宋" w:eastAsia="仿宋" w:cs="仿宋"/>
          <w:b/>
          <w:bCs/>
          <w:color w:val="auto"/>
          <w:kern w:val="44"/>
          <w:sz w:val="32"/>
          <w:szCs w:val="32"/>
          <w:highlight w:val="none"/>
        </w:rPr>
      </w:pPr>
      <w:bookmarkStart w:id="24" w:name="_Toc74322010"/>
      <w:r>
        <w:rPr>
          <w:rFonts w:hint="eastAsia" w:ascii="仿宋" w:hAnsi="仿宋" w:eastAsia="仿宋" w:cs="仿宋"/>
          <w:b/>
          <w:bCs/>
          <w:color w:val="auto"/>
          <w:kern w:val="44"/>
          <w:sz w:val="44"/>
          <w:szCs w:val="44"/>
          <w:highlight w:val="none"/>
        </w:rPr>
        <w:t>第三章 采购需求</w:t>
      </w:r>
      <w:bookmarkEnd w:id="24"/>
    </w:p>
    <w:p w14:paraId="023739CB">
      <w:pPr>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p w14:paraId="1BB0D340">
      <w:pPr>
        <w:spacing w:line="360" w:lineRule="auto"/>
        <w:ind w:left="-10" w:leftChars="-5" w:right="2" w:rightChars="1"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采购需求中如出现品牌、型号或者生产厂家等均仅起参考作用，不属于指定品牌、型号或者生产厂家的情形，供应商可参照或者选用其他相当的品牌、型号或者生产供应商替代。但供应商提供的产品实质上应相当于或优于本《采购需求》中的技术要求。</w:t>
      </w:r>
    </w:p>
    <w:p w14:paraId="69A5020F">
      <w:pPr>
        <w:spacing w:line="360" w:lineRule="auto"/>
        <w:ind w:left="-10" w:leftChars="-5" w:right="2" w:rightChars="1"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2.凡在“技术要求”中表述为“标配”或“标准配置”的设备，供应商应在竞争性谈判设备性能配置清单中将其标配参数详细列明。</w:t>
      </w:r>
    </w:p>
    <w:p w14:paraId="7A4CF90D">
      <w:pPr>
        <w:spacing w:line="360" w:lineRule="auto"/>
        <w:ind w:left="-10" w:leftChars="-5" w:right="2" w:rightChars="1"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号）的规定，采购需求中的产品属于节能产品政府采购品目清单内标注“★”的（详见本章后附的节能产品政府采购品目清单），供应商</w:t>
      </w:r>
      <w:r>
        <w:rPr>
          <w:rFonts w:hint="eastAsia" w:ascii="仿宋" w:hAnsi="仿宋" w:eastAsia="仿宋" w:cs="仿宋"/>
          <w:bCs/>
          <w:color w:val="auto"/>
          <w:sz w:val="24"/>
          <w:szCs w:val="24"/>
          <w:highlight w:val="none"/>
          <w:lang w:eastAsia="zh-CN"/>
        </w:rPr>
        <w:t>竞标</w:t>
      </w:r>
      <w:r>
        <w:rPr>
          <w:rFonts w:hint="eastAsia" w:ascii="仿宋" w:hAnsi="仿宋" w:eastAsia="仿宋" w:cs="仿宋"/>
          <w:bCs/>
          <w:color w:val="auto"/>
          <w:sz w:val="24"/>
          <w:szCs w:val="24"/>
          <w:highlight w:val="none"/>
        </w:rPr>
        <w:t>提供的货物必须使用政府强制采购的节能产品，供应商必须在响应文件（商务及技术文件）中提供所投产品的节能产品认证证书复印件（加盖</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电子签章），否则响应文件作无效处理。</w:t>
      </w:r>
    </w:p>
    <w:p w14:paraId="75FB4E5F">
      <w:pPr>
        <w:spacing w:line="360" w:lineRule="auto"/>
        <w:ind w:left="-10" w:leftChars="-5" w:right="2" w:rightChars="1"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4.如供应商</w:t>
      </w:r>
      <w:r>
        <w:rPr>
          <w:rFonts w:hint="eastAsia" w:ascii="仿宋" w:hAnsi="仿宋" w:eastAsia="仿宋" w:cs="仿宋"/>
          <w:bCs/>
          <w:color w:val="auto"/>
          <w:sz w:val="24"/>
          <w:szCs w:val="24"/>
          <w:highlight w:val="none"/>
          <w:lang w:eastAsia="zh-CN"/>
        </w:rPr>
        <w:t>竞标</w:t>
      </w:r>
      <w:r>
        <w:rPr>
          <w:rFonts w:hint="eastAsia" w:ascii="仿宋" w:hAnsi="仿宋" w:eastAsia="仿宋" w:cs="仿宋"/>
          <w:bCs/>
          <w:color w:val="auto"/>
          <w:sz w:val="24"/>
          <w:szCs w:val="24"/>
          <w:highlight w:val="none"/>
        </w:rPr>
        <w:t>提供的产品存在侵犯他人的知识产权或者专利成果行为的，由供应商自行承担相应法律责任。</w:t>
      </w:r>
    </w:p>
    <w:p w14:paraId="44FA8D05">
      <w:pPr>
        <w:spacing w:line="360" w:lineRule="auto"/>
        <w:ind w:left="-10" w:leftChars="-5" w:right="2" w:rightChars="1"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实质性要求</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是指采购文件中已经指明不满足则</w:t>
      </w:r>
      <w:r>
        <w:rPr>
          <w:rFonts w:hint="eastAsia" w:ascii="仿宋" w:hAnsi="仿宋" w:eastAsia="仿宋" w:cs="仿宋"/>
          <w:color w:val="auto"/>
          <w:sz w:val="24"/>
          <w:szCs w:val="24"/>
          <w:highlight w:val="none"/>
        </w:rPr>
        <w:t>竞争性谈判</w:t>
      </w:r>
      <w:r>
        <w:rPr>
          <w:rFonts w:hint="eastAsia" w:ascii="仿宋" w:hAnsi="仿宋" w:eastAsia="仿宋" w:cs="仿宋"/>
          <w:bCs/>
          <w:color w:val="auto"/>
          <w:sz w:val="24"/>
          <w:szCs w:val="24"/>
          <w:highlight w:val="none"/>
        </w:rPr>
        <w:t>无效的条款，或者不容许负偏离的条款，或者采购需求中带“▲”的条款。未标注“▲”号的非实质性条款要求可允许2项负偏离，3项以上（含3项）负偏离的</w:t>
      </w:r>
      <w:r>
        <w:rPr>
          <w:rFonts w:hint="eastAsia" w:ascii="仿宋" w:hAnsi="仿宋" w:eastAsia="仿宋" w:cs="仿宋"/>
          <w:color w:val="auto"/>
          <w:sz w:val="24"/>
          <w:szCs w:val="24"/>
          <w:highlight w:val="none"/>
        </w:rPr>
        <w:t>竞争性谈判</w:t>
      </w:r>
      <w:r>
        <w:rPr>
          <w:rFonts w:hint="eastAsia" w:ascii="仿宋" w:hAnsi="仿宋" w:eastAsia="仿宋" w:cs="仿宋"/>
          <w:bCs/>
          <w:color w:val="auto"/>
          <w:sz w:val="24"/>
          <w:szCs w:val="24"/>
          <w:highlight w:val="none"/>
        </w:rPr>
        <w:t>无效。</w:t>
      </w:r>
    </w:p>
    <w:p w14:paraId="5B00D20E">
      <w:pPr>
        <w:spacing w:line="360" w:lineRule="auto"/>
        <w:ind w:left="-10" w:leftChars="-5" w:right="2" w:rightChars="1"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项目所属行业：</w:t>
      </w:r>
      <w:r>
        <w:rPr>
          <w:rFonts w:hint="eastAsia" w:ascii="仿宋" w:hAnsi="仿宋" w:eastAsia="仿宋" w:cs="仿宋"/>
          <w:bCs/>
          <w:color w:val="auto"/>
          <w:sz w:val="24"/>
          <w:szCs w:val="24"/>
          <w:highlight w:val="none"/>
          <w:lang w:val="en-US" w:eastAsia="zh-CN"/>
        </w:rPr>
        <w:t>工业</w:t>
      </w:r>
    </w:p>
    <w:tbl>
      <w:tblPr>
        <w:tblStyle w:val="22"/>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550"/>
        <w:gridCol w:w="490"/>
        <w:gridCol w:w="576"/>
        <w:gridCol w:w="7042"/>
      </w:tblGrid>
      <w:tr w14:paraId="7758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exact"/>
          <w:jc w:val="center"/>
        </w:trPr>
        <w:tc>
          <w:tcPr>
            <w:tcW w:w="416" w:type="dxa"/>
            <w:vAlign w:val="center"/>
          </w:tcPr>
          <w:p w14:paraId="27DA1743">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550" w:type="dxa"/>
            <w:vAlign w:val="center"/>
          </w:tcPr>
          <w:p w14:paraId="74BB26E6">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标的名称</w:t>
            </w:r>
          </w:p>
        </w:tc>
        <w:tc>
          <w:tcPr>
            <w:tcW w:w="490" w:type="dxa"/>
            <w:vAlign w:val="center"/>
          </w:tcPr>
          <w:p w14:paraId="4AD04349">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576" w:type="dxa"/>
            <w:vAlign w:val="center"/>
          </w:tcPr>
          <w:p w14:paraId="32B21991">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7042" w:type="dxa"/>
            <w:vAlign w:val="center"/>
          </w:tcPr>
          <w:p w14:paraId="758B2D62">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技术参数及性能（配置）要求</w:t>
            </w:r>
          </w:p>
        </w:tc>
      </w:tr>
      <w:tr w14:paraId="4974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16" w:type="dxa"/>
            <w:shd w:val="clear" w:color="auto" w:fill="auto"/>
            <w:vAlign w:val="center"/>
          </w:tcPr>
          <w:p w14:paraId="2A07A2CD">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50" w:type="dxa"/>
            <w:shd w:val="clear" w:color="auto" w:fill="auto"/>
            <w:vAlign w:val="center"/>
          </w:tcPr>
          <w:p w14:paraId="01FD4A73">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数字化X线摄影系统（DR）</w:t>
            </w:r>
          </w:p>
        </w:tc>
        <w:tc>
          <w:tcPr>
            <w:tcW w:w="490" w:type="dxa"/>
            <w:shd w:val="clear" w:color="auto" w:fill="auto"/>
            <w:vAlign w:val="center"/>
          </w:tcPr>
          <w:p w14:paraId="6D1DC530">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p>
        </w:tc>
        <w:tc>
          <w:tcPr>
            <w:tcW w:w="576" w:type="dxa"/>
            <w:shd w:val="clear" w:color="auto" w:fill="auto"/>
            <w:vAlign w:val="center"/>
          </w:tcPr>
          <w:p w14:paraId="2A22B11C">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台</w:t>
            </w:r>
          </w:p>
        </w:tc>
        <w:tc>
          <w:tcPr>
            <w:tcW w:w="7042" w:type="dxa"/>
            <w:vAlign w:val="center"/>
          </w:tcPr>
          <w:p w14:paraId="1FD7DFC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整体要求：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整机双立柱型机架式结构加无线平板探测器系统，能进行人体全身各部位的立位、卧位、水平侧位、担架位、轮椅位等X线影像学检查，实现X线数字成像、数字图像的DICOM网络传输、打印、存贮管理及激光打印胶片、</w:t>
            </w:r>
            <w:r>
              <w:rPr>
                <w:rFonts w:hint="eastAsia" w:ascii="仿宋" w:hAnsi="仿宋" w:eastAsia="仿宋" w:cs="仿宋"/>
                <w:color w:val="auto"/>
                <w:sz w:val="24"/>
                <w:szCs w:val="24"/>
                <w:highlight w:val="none"/>
                <w:lang w:val="en-US" w:eastAsia="zh-CN"/>
              </w:rPr>
              <w:t>并进行</w:t>
            </w:r>
            <w:r>
              <w:rPr>
                <w:rFonts w:hint="eastAsia" w:ascii="仿宋" w:hAnsi="仿宋" w:eastAsia="仿宋" w:cs="仿宋"/>
                <w:color w:val="auto"/>
                <w:sz w:val="24"/>
                <w:szCs w:val="24"/>
                <w:highlight w:val="none"/>
              </w:rPr>
              <w:t>图像后处理功能。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二、主要配置和技术参数要求：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1、高压发生器装置：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为了保证设备稳定性和兼容性，要求高压发生器为DR整机制造商原厂生产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逆变频率：≥450KHZ</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管电压可调范围：≥40-150KV</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最大输出电流：≥630mA</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最短曝光时间：≤1ms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最小时间电流积：≤0.1mAs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具有器官程序摄影（APR）功能，摄影程序数量≥900种</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高压发生器的操作与控制系统完全与主机集成，在图像采集工作站上控制曝光参数。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配备硬件电离室，具备AEC功能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2、无线平板探测器：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结构：移动式无线平板探测器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材料：碘化铯+非晶硅（整板，非拼接）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总像素：平板≥900万；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最小像素尺寸：≤140μm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有效数据位数：≥16bit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空间分辨率最低出厂标准：≥3.6lp/mm。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从曝光到获得预示图像的最短时间：≤4.5s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平板探测器重量≤4.2kg</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平板探测器表面承重：≥200kg</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获得SRRC（国家无线电管理委员会强制认证要求）核准认证。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平板防水防尘等级：≥IP54。</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平板坠落性能，在正常工作状态下自由坠落在硬性表面上仍能正常工作的高度：≥1m。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成像时间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最大电池容量的最大曝光时间：≥800 次或 ≥4 h</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具备与主机同步开关机功能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X射线管：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要求为</w:t>
            </w:r>
            <w:r>
              <w:rPr>
                <w:rFonts w:hint="eastAsia" w:ascii="仿宋" w:hAnsi="仿宋" w:eastAsia="仿宋" w:cs="仿宋"/>
                <w:color w:val="auto"/>
                <w:sz w:val="24"/>
                <w:szCs w:val="24"/>
                <w:highlight w:val="none"/>
                <w:lang w:val="en-US" w:eastAsia="zh-CN"/>
              </w:rPr>
              <w:t>原厂</w:t>
            </w:r>
            <w:r>
              <w:rPr>
                <w:rFonts w:hint="eastAsia" w:ascii="仿宋" w:hAnsi="仿宋" w:eastAsia="仿宋" w:cs="仿宋"/>
                <w:color w:val="auto"/>
                <w:sz w:val="24"/>
                <w:szCs w:val="24"/>
                <w:highlight w:val="none"/>
              </w:rPr>
              <w:t xml:space="preserve">原装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双焦点：小焦点≤0.6mm；大焦点≤1.2mm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管套热容量：≥1250kHu</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阳极最大转速：≥3200r/min</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阳极热容量：≥220kHu</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靶角：≤12°</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焦点额定功率：小焦点≥20kW；大焦点≥50kW</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最大管电流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≥650mA</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采用球管全包设计，以便保护球管。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4、X射线管支撑装置：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类型：落地式、非U臂或UC臂机架，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无需天轨即可完成安装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球管沿水平轴旋转≥±180°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球管立柱沿垂直轴旋转≥±180°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球管垂直移动范围≥1400mm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球管垂直移动到最低处≤350mm（球管中心距地）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具备与平板探测器跟踪运动功能（双向跟随）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具备手动及电动控制球管垂直运动功能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机头具备感应把手，可一键解锁，并可控制球管旋转、立柱横向运动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具备状态显示灯带，可显示开机、静止、运动、待机等状态。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具有一个动作即可完成X射线管升降、X射线管纵向运动、X射线管垂直旋转的运动解锁装置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机头上配置X射线管升降运动升降按键和X射线管升降与平板探测器片盒升降联动按键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5、球管机头显示屏及遥控器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大小：≥12inch，</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显示屏上支持触屏操作，支持多点触摸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显示屏显示病人基本信息、病人体位等信息，支持病人切换操作，且可对当前病人的体位进行增加或删减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显示屏支持显示当前体位的体位示意图。</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显示屏可显示机器的位置信息，支持运动速度切换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显示屏可显示曝光图像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具有一个动作即可完成X射线管升降、X射线管纵向运动、X射线管垂直旋转的运动解锁装置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配备射频遥控器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6、摄影床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固定式摄影床，床面具备四方浮动功能，电磁锁定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床面纵向移动：≥910mm，横向移动：≥260mm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床面高度：≤650mm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承重：≥270kg</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固定滤线栅栅密度≥40L/cm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固定滤线栅尺寸≥470×450mm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探测器托盘覆盖范围≥1000mm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片盒内提供无线平板探测器自动充电装置，且支持任意放置均可充电，无需考虑无线平板探测器的插入方向。</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高压内置：一体化，高压内置于床下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操作更便利</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7、立式平板探测器摄影架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平板探测器垂直移动范围≥1510mm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平板探测器垂直移动到最低处≤350mm（平板中心距地）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具备手动和电动控制平板探测器垂直运动功能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具备控制限束器点亮及运动缩窗功能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具备与平球管跟踪运动功能（双向跟随）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片盒内提供无线平板探测器自动充电装置，且支持任意放置均可充电，无需考虑无线平板探测器的插入方向。</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具备X射线管与立式摄影架探测器片盒电动升降联动开关控制功能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立式架立柱采用内置式运动导轨，导轨开口≤15mm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8、限束器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固有滤过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70kV</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1.3 mmAl</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可调式附加滤过：1.5/2.0 mmAl</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最小照射野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SID=100cm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：≤10mm×10mm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最大照射野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SID=100cm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：≥430mm×430mm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光野指示灯：LED</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光野指示灯：具备延时功能，延时时间≥半分钟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具备激光对中指示灯。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9、图像采集工作站</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控制台配置，可控制X线发生器、病人资料处理、图像显示及图像传输等，配备最新版本的专业DR处理软件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一体化工作站，各功能非模块设计。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一键开关机控制盒：具备一键开关机功能，使医生开关机操作更加方便，同时保护机器及病人数据的安全。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操作系统：Windows，全中文操作界面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硬件配置：CPU≥2GHz，内存容量≥4G，硬盘容量≥1T，液晶显示器：≥23″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病人数据输入：鼠标、键盘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配有标准DICOM3.0输入输出接口，具有DICOM打印、存储、一体化光盘刻录、传输和获取以及Worklist功能。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具备患者信息登记、编辑功能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具备曝光参数调节功能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具备3D投照体位示意图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图像显示/查看/处理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图像支持任意角度旋转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胶片打印排版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图像删除原因统计功能等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数据备份定期提醒，自动清理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具备栅影抑制功能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具备虚拟滤线栅功能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具备在不依赖于网络覆盖下，支持DICOM图远程传输功能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具备远程PC端DICOM阅片功能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具备远程手机移动端DICOM阅片功能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软件支持3台以上打印机链接。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具备辐射剂量面积指示，并在图像上显示。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10、具备DR原厂胸部图像自动质控功能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在图像采集工作站上即可根据拍摄图像进行自动检测，无需额外的操作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胸部图像自动质控可以至少识别肺野显示不全、肩锁关节以上留存区域不足、摄影范围过宽、锁骨位置上下偏移、中线偏移、肩胛骨未打开、胸锁关节不对称、锁骨不对称、锁骨未居平，吸气不足，异物伪影、标识位置不规范12项质控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质控程序在图像上明确标识出问题区域，以便用户识别。</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图像自动质控功能可以根据拍摄问题给出操作建议，方便快速改正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图像自动质控功能可以根据错误的等级和数量，对图像进行分数的量化评估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质控功能适应医院要求，对质控项的权重进行配置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图像质控功能提供统计功能，可针对不同操作人员和拍摄问题进行统计跟踪</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11、具备DR设备的自动质控功能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可自行进行设备检测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具备DR设备的数字化维护报告功能，可生成数字化的维护报告，记录DR维护过程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具备保养检测提醒功能，可设置提醒时间，避免超期未校准和保养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lang w:val="en-US" w:eastAsia="zh-CN"/>
              </w:rPr>
              <w:t>与</w:t>
            </w:r>
            <w:r>
              <w:rPr>
                <w:rFonts w:hint="eastAsia" w:ascii="仿宋" w:hAnsi="仿宋" w:eastAsia="仿宋" w:cs="仿宋"/>
                <w:color w:val="auto"/>
                <w:sz w:val="24"/>
                <w:szCs w:val="24"/>
                <w:highlight w:val="none"/>
              </w:rPr>
              <w:t>DR同品牌的医联体/医共体远程系统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具备在宽带直连、无线路由器接入、4G网络、5G网络下，支持DICOM图像远程传输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支持建立离线交流群组，支持两人或多人离线交流，以及离线DICOM图像上传和下载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适用多种终端，包括台式计算机，笔记本电脑，平板电脑，智能手机等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提供不同用户针对单一病例的诊断讨论及评论功能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支持多种查询条件组合查询功能（上传者、病人姓名、检查类型、检查时间、标签等）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支持桌面直播功能。工作站和用户端都能进行桌面直播，接收端可以看到发起端的桌面直播内容，包括但不限于播放的ppt，打开的word文档，以及播放的视频等。</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支持文件分享功能，图像和视频文件可以直接从app分享到微信群或朋友圈，并可在微信中通过转发链接直接查看DR图像。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远程系统可拓展兼容同品牌超声图像和数据传输共享功能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医学影像工作站软件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用户管理模块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可对操作工作站的用户设置相应的权限及登陆密码，保证系统运行的安全性。</w:t>
            </w:r>
          </w:p>
          <w:p w14:paraId="55D7831D">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病例检索调阅模块</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可以通过病人姓名、病人ID、检查日期、检查类型、检查部位等检索条件查询病例；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支持单一检索条件和组合检索条件查询病例；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支持报告状态和是否打印胶片状态查询病例。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影像采集模块</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可直接连接支持 DICOM3.0标准通讯协议的所有影像设备；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设置DICOM网关即可采集到影像数据；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以 DICOM SERVER为中心进行影像数据的采集；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支持各大厂商的CT、CR、DR、MRI、DSA、ECT、C臂机、数字胃肠机等影像设备。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影像像传输模块</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系统完全支持 HL7接口和ICD—10编码；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采用Dicom通讯方式获取影像以及相关信息；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 Query/Retrieve。</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影像显示模块</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支持不同病例影像同一窗口显示；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支持图像顺逆时针旋转，水平、垂直镜像显示功能；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支持多帧影像回放快慢调节，反向回放；</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具有图像漫游、无级缩放、局部放大功能；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支持双屏显示。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影像处理模块</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窗宽窗位的预设和连续调整。</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区域窗宽窗位调整。</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图像旋转。</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测量（长度、角度、不规则面积、ROI值、水平投影、垂直投影、双向投影、交叉投影）。</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添加文字标注。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图像信息显示（可预设）。</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定位线显示。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诊断报告模块</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提供报告索引、报告撰写、报告打印、简易报告等丰富功能。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报告模板：所见即所得报告模板编辑、多级模板管理。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报告发布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纸质、同时支持报告的光盘刻录储存。</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支持报告快速检索查询功能。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胶片打印模块</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支持多种常用尺寸的胶片。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所见即所得的胶片排版打印，用户自定义打印排版格式。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可将不同病人、不同时期、不同窗宽 /窗位的影像合并打印到一张胶片上。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光盘备份模块</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可将病人的图像信息以Dicom标准格式刻录在光盘上，同时刻录病例的诊断报告；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刻录同时集成浏览器，方便用户在任意电脑上浏览光盘里的病人影像和报告信息；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集成读取光盘影像模块，支持病例的姓名和ID检索。</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设计报表模块</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可以根据用户需要灵活设计打印出来的报告单样式；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支持设计A4、16开、B5等多种常用纸张类型；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支持多页报告设计，支持多副图像打印。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统计分析模块</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支持按照不同的检查项目（包括送检医生、送检科室、检查类别等）进行统计分析。</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支持针对任意时间段，按日期、设备、类型等范围进行统计分析。</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数据库管理模块</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数据库方式管理图像及相关信息；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支持多种方式查询检索；</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具有高保密性、稳定性、可靠性；</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具有分级管理和权限管理功能。</w:t>
            </w:r>
          </w:p>
        </w:tc>
      </w:tr>
      <w:tr w14:paraId="4576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16" w:type="dxa"/>
            <w:shd w:val="clear" w:color="auto" w:fill="auto"/>
            <w:vAlign w:val="center"/>
          </w:tcPr>
          <w:p w14:paraId="1C33BDDA">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50" w:type="dxa"/>
            <w:shd w:val="clear" w:color="auto" w:fill="auto"/>
            <w:vAlign w:val="center"/>
          </w:tcPr>
          <w:p w14:paraId="742EB9B5">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全数字彩色多普勒超声诊断仪</w:t>
            </w:r>
          </w:p>
        </w:tc>
        <w:tc>
          <w:tcPr>
            <w:tcW w:w="490" w:type="dxa"/>
            <w:shd w:val="clear" w:color="auto" w:fill="auto"/>
            <w:vAlign w:val="center"/>
          </w:tcPr>
          <w:p w14:paraId="5559133B">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p>
        </w:tc>
        <w:tc>
          <w:tcPr>
            <w:tcW w:w="576" w:type="dxa"/>
            <w:shd w:val="clear" w:color="auto" w:fill="auto"/>
            <w:vAlign w:val="center"/>
          </w:tcPr>
          <w:p w14:paraId="4F2C86DA">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台</w:t>
            </w:r>
          </w:p>
        </w:tc>
        <w:tc>
          <w:tcPr>
            <w:tcW w:w="7042" w:type="dxa"/>
            <w:vAlign w:val="center"/>
          </w:tcPr>
          <w:p w14:paraId="5FE81630">
            <w:pPr>
              <w:keepNext w:val="0"/>
              <w:keepLines w:val="0"/>
              <w:pageBreakBefore w:val="0"/>
              <w:widowControl/>
              <w:numPr>
                <w:ilvl w:val="0"/>
                <w:numId w:val="3"/>
              </w:numPr>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临床诊断</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w:t>
            </w:r>
          </w:p>
          <w:p w14:paraId="23FBDC57">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能够</w:t>
            </w:r>
            <w:r>
              <w:rPr>
                <w:rFonts w:hint="eastAsia" w:ascii="仿宋" w:hAnsi="仿宋" w:eastAsia="仿宋" w:cs="仿宋"/>
                <w:color w:val="auto"/>
                <w:sz w:val="24"/>
                <w:szCs w:val="24"/>
                <w:highlight w:val="none"/>
              </w:rPr>
              <w:t>用于腹部、产科、妇科、心脏、小器官、血管、泌尿、儿科、神经、急症等方面的临床诊断工作，具备持续升级能力，能满足开展新的临床应用需求。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、主要技术</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主机成像系统：</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高分辨率液晶显示器≥21.5英寸，屏幕亮度和对比度数字可调，显示器亮度可根据环境光自动调节，可上下左右任意旋转，可前后折叠</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操作面板具备防眩光彩色触摸屏≥15.6英寸。触摸屏可独立调节角度≥50度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触摸屏支持手势控制，可自定义≥7个双指手势功能（如冻结、存图、打印等）</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控制面板全空间悬浮式调节，可同时旋转和升降，前后拉升。旋转角度 ≥180度，上下移动≥30cm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多倍信号并行处理技术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数字化全程动态聚焦，数字化可变孔径及动态变迹，A/D≥12 bit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数字化二维灰阶成像及M型显像单元</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解剖M型技术≥3条取样线，可360度任意旋转，可在实时和冻结的二维图像上获取解剖M图像。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曲线解剖M型技术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彩色多普勒成像技术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彩色多普勒能量图技术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方向性能量图技术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数字化频谱多普勒显示和分析单元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包括PW、CW和HPRF</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智能化一键图像优化技术，自动连续优化图像，具备独立按键。可支持对二维灰阶、彩色多普勒、频谱多普勒、及造影图像的优化。</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空间复合成像技术，支持彩色多普勒模式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斑点噪声抑制技术，在二维图像，造影成像模式及三维成像下可支持≥7档调节。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具备自动血流跟踪技术，可以实现ROI框位置和角度的自动优化，提供Color/Power模式下彩色血流/能量图像的实时动态优化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穿刺针增强技术，凸阵和线阵探头均可支持，具有双屏实时对比显示（增强前后效果），并支持自适应校正角度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图像放大，支持高清放大和全局放大、局部放大，放大倍数≥16倍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支持≥2种放大全屏放大模式。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支持线阵探头双B图像拼接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声功率可调，可实时显示MI/TI（TIB，TIC，TIS）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具备腹部、妇科、产科、浅表、心脏模式自动工作流协议，支持定制化模板，在检查过程中可按照协议自动注释，自动标记体位图，自动切换图像模式等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支持语音注释，可将语音注释信息保存到电影文件中，支持在超声设备或是在PC端回放语音注释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支持超声远程会诊系统，该系统需具备单独远程超声会诊系统注册证及信息安全等级保护三级证书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通过网络可在超声主机上一键将动态或静态图像传输至移动应用端群组内，设备已储存患者基本信息后仍可选是否传输患者姓名、检查部位、年龄、性别、检查时间。</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rPr>
              <w:t>要求</w:t>
            </w:r>
            <w:r>
              <w:rPr>
                <w:rFonts w:hint="eastAsia" w:ascii="仿宋" w:hAnsi="仿宋" w:eastAsia="仿宋" w:cs="仿宋"/>
                <w:color w:val="auto"/>
                <w:sz w:val="24"/>
                <w:szCs w:val="24"/>
                <w:highlight w:val="none"/>
                <w:lang w:val="en-US" w:eastAsia="zh-CN"/>
              </w:rPr>
              <w:t>投标产品</w:t>
            </w:r>
            <w:r>
              <w:rPr>
                <w:rFonts w:hint="eastAsia" w:ascii="仿宋" w:hAnsi="仿宋" w:eastAsia="仿宋" w:cs="仿宋"/>
                <w:color w:val="auto"/>
                <w:sz w:val="24"/>
                <w:szCs w:val="24"/>
                <w:highlight w:val="none"/>
              </w:rPr>
              <w:t>具备持续升级能力。</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成像技术：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造影成像技术及造影定量分析功能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支持多种探头：</w:t>
            </w:r>
            <w:r>
              <w:rPr>
                <w:rFonts w:hint="eastAsia" w:ascii="仿宋" w:hAnsi="仿宋" w:eastAsia="仿宋" w:cs="仿宋"/>
                <w:color w:val="auto"/>
                <w:sz w:val="24"/>
                <w:szCs w:val="24"/>
                <w:highlight w:val="none"/>
                <w:lang w:val="en-US" w:eastAsia="zh-CN"/>
              </w:rPr>
              <w:t>至少支持</w:t>
            </w:r>
            <w:r>
              <w:rPr>
                <w:rFonts w:hint="eastAsia" w:ascii="仿宋" w:hAnsi="仿宋" w:eastAsia="仿宋" w:cs="仿宋"/>
                <w:color w:val="auto"/>
                <w:sz w:val="24"/>
                <w:szCs w:val="24"/>
                <w:highlight w:val="none"/>
              </w:rPr>
              <w:t>凸阵探头、线阵探头，腔内探头，心脏探头、容积探头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支持微血管造影增强功能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双计时器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支持向后存储，≥6分钟电影；支持向前存储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具备混合模式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支持造影图像和组织图像位置互换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造影定量分析：取样点可跟踪感兴趣区运动、提供TIC时间强度曲线分析、可选择原始曲线和拟合曲线、具有表格报告分析</w:t>
            </w:r>
            <w:r>
              <w:rPr>
                <w:rFonts w:hint="eastAsia" w:ascii="仿宋" w:hAnsi="仿宋" w:eastAsia="仿宋" w:cs="仿宋"/>
                <w:color w:val="auto"/>
                <w:sz w:val="24"/>
                <w:szCs w:val="24"/>
                <w:highlight w:val="none"/>
                <w:lang w:val="en-US" w:eastAsia="zh-CN"/>
              </w:rPr>
              <w:t>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支持左心室造影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应变式弹性成像技术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支持探头：</w:t>
            </w:r>
            <w:r>
              <w:rPr>
                <w:rFonts w:hint="eastAsia" w:ascii="仿宋" w:hAnsi="仿宋" w:eastAsia="仿宋" w:cs="仿宋"/>
                <w:color w:val="auto"/>
                <w:sz w:val="24"/>
                <w:szCs w:val="24"/>
                <w:highlight w:val="none"/>
                <w:lang w:val="en-US" w:eastAsia="zh-CN"/>
              </w:rPr>
              <w:t>至少支持</w:t>
            </w:r>
            <w:r>
              <w:rPr>
                <w:rFonts w:hint="eastAsia" w:ascii="仿宋" w:hAnsi="仿宋" w:eastAsia="仿宋" w:cs="仿宋"/>
                <w:color w:val="auto"/>
                <w:sz w:val="24"/>
                <w:szCs w:val="24"/>
                <w:highlight w:val="none"/>
              </w:rPr>
              <w:t>线阵探头、腔内探头、容积探头。</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具备组织硬度定量分析软件，支持应变、应变率和应变直方图的测量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具备肿块周边组织弹性定量分析功能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具备定量测量映射分析，即在组织图测量时弹性图同步测量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TDI组织多普勒成像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TDI成像模式：彩色速度模式图、能量模式图、频谱模式图、M型模式图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TDI组织多普勒定量分析软件：支持运动追踪功能；同步显示≥6段心肌组织运动速度曲线图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TDI曲线解剖M型模式：同步显示心肌组织节段运动同步性、运动时相对比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组织追踪成像定量分析</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二维模式下追踪心肌运动，支持心内膜、心外膜、心肌层三组追踪轨迹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具有组织向量图（箭头显示）和曲线图分析，数据包括速度、位移、应变及应变率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支持牛眼图显示和报告显示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内置超声教学软件，提供解剖示意图、标准超声图像，包含腹部、心脏、乳腺、甲状腺、妇科、产科等切面。同时，支持腹部及心脏各≥5个标准切面的自动识别。</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测量和分析：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B型、M型、D型、彩色模式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常规测量软件包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基础测量包，2B模式下支持双幅跨幅测量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定点测速功能，彩色多普勒模式下可同屏测量血管腔内≥7个任意位置的血流速度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半自动面积及径线测量自动描迹、测量和计算工具，可支持径、周长、面积、平均灰度、径1/ 径2、径2/径1等测量结果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全科测量包，自动生成报告：腹部、妇科、产科、心脏、泌尿、小器官、儿科、血管等。</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妇科测量软件包：支持二维卵泡自动测量，一键自动分割无回声结构，以不同的颜色区分显示不同位置和大小的无回声结构。</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具备专业卵泡评估报告，多项IVF评估指标及发育曲线分析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产科测量软件包：自动产科测量，要求自动测量≥5项胎儿发育评估指标。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自动NT测量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心脏测量软件包：心功能自动测量软件,无需ECG可自动识别四腔心、两腔心切面，自动识别心肌边界，并进行自动描迹，无需手动选择切面和手动描记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腹部测量软件包：支持膀胱自动测量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自动肝肾比测量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一键自动肝肾器官识别，自动计算肾皮质及肝脏的灰阶比值，方便进行肝脏脂肪的定量评估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小器官测量软件包，包含乳腺测量包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血管测量软件包：IMT血管内中膜自动测量，测量结果参数≥7项，具备IMT评估曲线分析。</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支持颈动脉血管内中膜自动实时测量,自动获取6组IMT内膜厚度值,并实时更新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小儿髋关节自动测量功能，可一键自动计算α角,β角，自动进行临床分型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图像存储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回放重显及病案管理单元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硬盘≥1T，图像存储，电影回放：≥150秒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多种导出图像格式：动态图像、静态图像以PC格式直接导出。导出、备份图像数据资料同时，可进行实时检查，不影响检查操作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支持向后存储和向前存储，时间长度可预置，向后存储≥6分钟的电影，对剪接和编辑的电影图像可多次存储和多次编辑；图像和电影均可以实时扫描、冻结状态下直接存储，并且具有独立的存储功能键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原始数据处理，支持动、静态图像冻结后，最大可调节参数≥32项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连通性要求：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支持网络连接，能开放DICOM 3.0接口满足任何厂家PACS联网传输，并可支持DICOM结构化报告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支持移动设备无线传输，一键传输图片到智能手机终端或PC端。支持手机等移动终端APP远程操作设备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四、系统技术参数及要求：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系统通用功能：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主机探头接口≥5个，大小一致，全激活、相互通用。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预设条件：针对不同的检查脏器，预置最佳化图像的检查条件，减少操作时的调节。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探头规格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频率：超宽频带或变频探头，所配探头均为宽频变频探头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二维、谐波、彩色及频谱多普勒模式分别独立变频，≥3段；</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单晶体探头≥2种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电子线阵探头阵元数≥192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腹部凸阵探头（2.0-5.5MHz）</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血管/小器官线阵探头（3.0-13.0MHz）</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单晶心脏相控阵探头（1.5-4.5MHz）</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二维显像主要参数：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成像速度：相控阵探头，18CM深度时,全视野，帧率≥57帧/秒；凸阵探头，18CM深度时, 全视野，帧率≥39帧/秒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增益调节：B/M/D分别独立可调，≥100，可视可调步进≥1。</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TGC</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≥8段，LGC</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≥8段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显示深度≥38cm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伪彩图谱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≥8种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最大帧率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≥600 帧/秒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动态范围：≥240，可视可调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频谱多普勒：</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显示模式：脉冲多普勒、高脉冲重复频率、连续多普勒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最大测量速度：≥7.2m/s（连续多普勒速度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≥35m/s）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最低测量速度：≤0.01cm/s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偏转角度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≥±30°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线阵探头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，并支持快速角度校正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取样宽度及位置范围： 0.5-30mm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零位移动：8级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实时自动包络频谱并完成频谱测量计算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彩色多普勒：</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显示方式：包括速度、速度方差、能量、方向能量显示等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速度标识功能，标识不同血流速度边界，观察血流分布及速度梯度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取样框偏转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≥±30°，取样框可根据探头血流方向自动调节</w:t>
            </w:r>
            <w:r>
              <w:rPr>
                <w:rFonts w:hint="eastAsia" w:ascii="仿宋" w:hAnsi="仿宋" w:eastAsia="仿宋" w:cs="仿宋"/>
                <w:color w:val="auto"/>
                <w:sz w:val="24"/>
                <w:szCs w:val="24"/>
                <w:highlight w:val="none"/>
                <w:lang w:eastAsia="zh-CN"/>
              </w:rPr>
              <w:t>。</w:t>
            </w:r>
          </w:p>
        </w:tc>
      </w:tr>
      <w:tr w14:paraId="7465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16" w:type="dxa"/>
            <w:shd w:val="clear" w:color="auto" w:fill="auto"/>
            <w:vAlign w:val="center"/>
          </w:tcPr>
          <w:p w14:paraId="6FA7F152">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50" w:type="dxa"/>
            <w:shd w:val="clear" w:color="auto" w:fill="auto"/>
            <w:vAlign w:val="center"/>
          </w:tcPr>
          <w:p w14:paraId="1F035690">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心电图机</w:t>
            </w:r>
          </w:p>
        </w:tc>
        <w:tc>
          <w:tcPr>
            <w:tcW w:w="490" w:type="dxa"/>
            <w:shd w:val="clear" w:color="auto" w:fill="auto"/>
            <w:vAlign w:val="center"/>
          </w:tcPr>
          <w:p w14:paraId="3380D878">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p>
        </w:tc>
        <w:tc>
          <w:tcPr>
            <w:tcW w:w="576" w:type="dxa"/>
            <w:shd w:val="clear" w:color="auto" w:fill="auto"/>
            <w:vAlign w:val="center"/>
          </w:tcPr>
          <w:p w14:paraId="00336F94">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台</w:t>
            </w:r>
          </w:p>
        </w:tc>
        <w:tc>
          <w:tcPr>
            <w:tcW w:w="7042" w:type="dxa"/>
            <w:vAlign w:val="center"/>
          </w:tcPr>
          <w:p w14:paraId="25D9B407">
            <w:pPr>
              <w:keepNext w:val="0"/>
              <w:keepLines w:val="0"/>
              <w:pageBreakBefore w:val="0"/>
              <w:widowControl/>
              <w:kinsoku/>
              <w:wordWrap/>
              <w:overflowPunct/>
              <w:topLinePunct w:val="0"/>
              <w:autoSpaceDE/>
              <w:autoSpaceDN/>
              <w:bidi w:val="0"/>
              <w:adjustRightInd/>
              <w:snapToGrid/>
              <w:spacing w:line="360" w:lineRule="auto"/>
              <w:ind w:left="240" w:hanging="240" w:hangingChars="10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1.12导心电波形能同时打印于A4大小的热敏纸；</w:t>
            </w:r>
          </w:p>
          <w:p w14:paraId="7F350C89">
            <w:pPr>
              <w:keepNext w:val="0"/>
              <w:keepLines w:val="0"/>
              <w:pageBreakBefore w:val="0"/>
              <w:widowControl/>
              <w:kinsoku/>
              <w:wordWrap/>
              <w:overflowPunct/>
              <w:topLinePunct w:val="0"/>
              <w:autoSpaceDE/>
              <w:autoSpaceDN/>
              <w:bidi w:val="0"/>
              <w:adjustRightInd/>
              <w:snapToGrid/>
              <w:spacing w:line="360" w:lineRule="auto"/>
              <w:ind w:left="-1" w:leftChars="0" w:firstLine="0" w:firstLine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起搏器采样率不低于1</w:t>
            </w:r>
            <w:r>
              <w:rPr>
                <w:rFonts w:hint="eastAsia" w:ascii="仿宋" w:hAnsi="仿宋" w:eastAsia="仿宋" w:cs="仿宋"/>
                <w:color w:val="auto"/>
                <w:sz w:val="28"/>
                <w:szCs w:val="28"/>
                <w:highlight w:val="none"/>
              </w:rPr>
              <w:t>6,000Hz；</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3.无需选择灵敏度，自动检测起搏器工作状态；</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4.电压分辨率不低于1uV；</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5.模数转换不低于24位；</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Glasgow大学静息心电算法，适用于所有年龄段的人群；</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7.开机出波形时间不超过7秒；</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8.内置存储容量不低于800份；</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电池单次充电至少可供打印400份报告；</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屏幕可预览完整的心电图报告；</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11.更改患者信息后，可自动再分析心电波形，并作出新的诊断；</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12.输入患者信息时，屏幕下方可显示一道ECG实时波形作监护；</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13.可以USB线连接外置打印机，将报告打印于A4纸；</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14.可支持条形码扫描枪接收患者；</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15.U盘可存储并转移PDF或XML格式的报告；</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16.波形增益：2.5, 5, 10, 20, L=10 C=5, L=20 C=10 mm/mV, 自动；</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17.记录仪分辨率：水平40 dots/mm @ 25 mm/s, 垂直8 dots/mm；</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18.心电放大器：直流耦合；</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19.走纸速度：5, 12.5, 25 &amp; 50 mm/s；</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20.重量不大于</w:t>
            </w:r>
            <w:r>
              <w:rPr>
                <w:rFonts w:hint="eastAsia" w:ascii="仿宋" w:hAnsi="仿宋" w:eastAsia="仿宋" w:cs="仿宋"/>
                <w:color w:val="auto"/>
                <w:sz w:val="24"/>
                <w:szCs w:val="24"/>
                <w:highlight w:val="none"/>
              </w:rPr>
              <w:t>5Kg。</w:t>
            </w:r>
          </w:p>
        </w:tc>
      </w:tr>
      <w:tr w14:paraId="10A7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16" w:type="dxa"/>
            <w:shd w:val="clear" w:color="auto" w:fill="auto"/>
            <w:vAlign w:val="center"/>
          </w:tcPr>
          <w:p w14:paraId="7251A392">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550" w:type="dxa"/>
            <w:shd w:val="clear" w:color="auto" w:fill="auto"/>
            <w:vAlign w:val="center"/>
          </w:tcPr>
          <w:p w14:paraId="36C960CC">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除颤监护仪</w:t>
            </w:r>
          </w:p>
        </w:tc>
        <w:tc>
          <w:tcPr>
            <w:tcW w:w="490" w:type="dxa"/>
            <w:shd w:val="clear" w:color="auto" w:fill="auto"/>
            <w:vAlign w:val="center"/>
          </w:tcPr>
          <w:p w14:paraId="31AA2E6A">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p>
        </w:tc>
        <w:tc>
          <w:tcPr>
            <w:tcW w:w="576" w:type="dxa"/>
            <w:shd w:val="clear" w:color="auto" w:fill="auto"/>
            <w:vAlign w:val="center"/>
          </w:tcPr>
          <w:p w14:paraId="7BFB04D2">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台</w:t>
            </w:r>
          </w:p>
        </w:tc>
        <w:tc>
          <w:tcPr>
            <w:tcW w:w="7042" w:type="dxa"/>
            <w:vAlign w:val="center"/>
          </w:tcPr>
          <w:p w14:paraId="6FEB15E9">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1.重量：≤6.1kg，含电池、体外板和心电导联线。</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2.彩色TFT显示屏≥7英寸, 分辨率800×600像素，可显示≥3通道监护参数波形，有高对比度显示界面。</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3.支持中文操作界面。</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4.屏幕显示心电波形扫描时间≥16s。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具备手动除颤、心电监护、呼吸监护、自动体外除颤（AED）功能。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6.除颤采用双相波技术，具备自动阻抗补偿功能。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7.手动除颤分为同步和非同步两种方式，能量分20档以上，可通过体外电极板进行能量选择，最大能量可达360J。</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8.可配置体内除颤手柄，体内手动除颤能力选择：1/2/3/4/5/6/7/8/9/10/15/20/30/50 J</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9.支持至少三种尺寸体内除颤电极板，适用不同病人类型。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10.体外除颤电极板同时支持成人和小儿，一体化设计，支持快速切换。</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11.电极板支持能量选择，充电和放电三步操作，满足单人除颤操作。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12.AED除颤功能提供中文语音和中文提醒功能，对于抢救过程支持自动录音功能，记录时长≥60min。</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13.开机时间≤2s，符合临床使用。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14.除颤充电迅速，充电至200J≤4s。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15.除颤后心电基线恢复时间≤2.5s。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16.从开始AED分析到放电准备就绪≤10s。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17.支持病人接触状态和阻抗值实时显示。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18.支持配置体外起搏功能，起搏分为固定和按需两种模式。具备降速起搏功能。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19.支持配置CPR辅助功能，CPR传感器设计符合2015 AHA/ERC指南，提供即时的按压反馈，设备界面提供按压深度和按压频率实时参数显示。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20.心电波形速度支持50 mm/s、25 mm/s、12.5 mm/s、6.25 mm/s。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21.通过心电电极片可监测的心律失常分析种类≥24种。</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22.可选配监护功能：血氧饱和度、无创血压、呼吸末二氧化碳。</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23.提供的监护参数适用于成人，小儿和新生儿，并通过国家第三类医疗器械注册证。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24.无创血压收缩压测量范围：25-290mmHg（成人）、25-240mmHg（小儿）、25-140mmHg（新生儿），舒张压测量范围：10-250mmHg（成人）、10-200mmHg（小儿），10-115mmHg（新生儿）。</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25.支持连接中央站，与科室床旁监护仪共用监护网络。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26.支持提供IHE HL7协议，满足院前院内急救系统的联网通信。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27.标配1块外置智能锂电池，可支持200J除颤≥300次。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28.具备生理报警和技术报警功能，通过声音、文字和灯光3种方式进行报警。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29.配置50mm记录纸记录仪，自动打印除颤记录，单次波形记录时间最大不小于30s；支持连续波形记录。</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30.可存储24小时连续ECG波形，数据可导出至电脑查看。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31.关机状态下设备支持每天定时自动运行自检（含监护模块和治疗模块），支持定期自动大能量自检（最大放电能量）。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32.设备自检后支持对于自检报告进行自动打印或按需打印。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33.防尘防水级别IP44。</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34.满足救护车标准EN1789 中6.3.4.3 关于跌落试验的要求，裸机可承受6面0.75m跌落冲击。</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35.工作环境，温度范围：0°C-45°C，湿度范围：15%-95%，大气压范围：57.0 kPa ～ 106.2 kPa。</w:t>
            </w:r>
          </w:p>
        </w:tc>
      </w:tr>
      <w:tr w14:paraId="7CB0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16" w:type="dxa"/>
            <w:shd w:val="clear" w:color="auto" w:fill="auto"/>
            <w:vAlign w:val="center"/>
          </w:tcPr>
          <w:p w14:paraId="5B64FDFE">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550" w:type="dxa"/>
            <w:shd w:val="clear" w:color="auto" w:fill="auto"/>
            <w:vAlign w:val="center"/>
          </w:tcPr>
          <w:p w14:paraId="3CA0AE19">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心电监护仪</w:t>
            </w:r>
          </w:p>
        </w:tc>
        <w:tc>
          <w:tcPr>
            <w:tcW w:w="490" w:type="dxa"/>
            <w:shd w:val="clear" w:color="auto" w:fill="auto"/>
            <w:vAlign w:val="center"/>
          </w:tcPr>
          <w:p w14:paraId="41600289">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p>
        </w:tc>
        <w:tc>
          <w:tcPr>
            <w:tcW w:w="576" w:type="dxa"/>
            <w:shd w:val="clear" w:color="auto" w:fill="auto"/>
            <w:vAlign w:val="center"/>
          </w:tcPr>
          <w:p w14:paraId="53B2C626">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台</w:t>
            </w:r>
          </w:p>
        </w:tc>
        <w:tc>
          <w:tcPr>
            <w:tcW w:w="7042" w:type="dxa"/>
            <w:vAlign w:val="center"/>
          </w:tcPr>
          <w:p w14:paraId="2A610CB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主要功能要求：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1.一体化多参数监护仪，具备心电、呼吸、无创血压、血氧饱和度、脉率和体温监测功能。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2.可升级十二导心电，支持心电信号进行诊断分析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3.支持选配同品牌呼</w:t>
            </w:r>
            <w:r>
              <w:rPr>
                <w:rFonts w:hint="eastAsia" w:ascii="仿宋" w:hAnsi="仿宋" w:eastAsia="仿宋" w:cs="仿宋"/>
                <w:color w:val="auto"/>
                <w:sz w:val="24"/>
                <w:szCs w:val="24"/>
                <w:highlight w:val="none"/>
                <w:lang w:val="en-US" w:eastAsia="zh-CN"/>
              </w:rPr>
              <w:t>吸</w:t>
            </w:r>
            <w:r>
              <w:rPr>
                <w:rFonts w:hint="eastAsia" w:ascii="仿宋" w:hAnsi="仿宋" w:eastAsia="仿宋" w:cs="仿宋"/>
                <w:color w:val="auto"/>
                <w:sz w:val="24"/>
                <w:szCs w:val="24"/>
                <w:highlight w:val="none"/>
              </w:rPr>
              <w:t>末二氧化碳（EtCO</w:t>
            </w:r>
            <w:r>
              <w:rPr>
                <w:rFonts w:hint="eastAsia" w:ascii="仿宋" w:hAnsi="仿宋" w:eastAsia="仿宋" w:cs="仿宋"/>
                <w:color w:val="auto"/>
                <w:sz w:val="24"/>
                <w:szCs w:val="24"/>
                <w:highlight w:val="none"/>
                <w:vertAlign w:val="subscript"/>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二、显示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1.屏幕≥12英寸彩色显示屏，分辨率≥800×600，支持同屏显示≥12道波形以同时观察丰富的信息。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2.支持待机模式、夜间模式、演示模式、隐私模式、插管模式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1.主机支持选配一个VGA或HDMI接口以及配置不少于2个USB口，可用于外接条码枪扫描枪、键盘、U盘储存等设备。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2.支持网络流量监控及控制，设定流量限额，以提供网络安全管控，防止恶意软件攻击、支持AES 128位加密和TLS 256 位数据传输加密。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详细参数要求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1.主机重量＜3.5kg。</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2.在任何滤波模式下均可监测ST值。提供心电ST段分析功能，支持在专门的窗口中分组显示心脏不同位置的ST实时片段和参考片段。</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3.在诊断模式下，支持≥94dB的共模抑制比；在监护、手术模式下，支持≥105dB的共模抑制比。</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4.支持0.67Hz的高通滤波。</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5.支持≥29种心律失常分析，包括房颤分析、肢体低电压，满足心电监护临床应用。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6.QT和QTc实时监测参数测量范围：200～800 ms。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7.无创血压成人测量范围：收缩压25~290mmHg，舒张压10~200 mmHg。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8.无创血压提供手动、自动、连续、序列四种测量模式。自动模式支持自定义设置血压测量间隔，间隔时间支持从1-460分钟内的任意整数数值。</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9.支持用户自行安装激光打印机驱动。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10.具备技术报警和生理报警两个独立的报警灯位置，能够分别显示且同时显示两种报警，有利于医护人员远距离辨识报警情况。</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11.屏幕与物理按键上下分布。物理按键板和飞梭的位置需处于屏幕下方，按键受力位置低，避免机器左右移动，避免造成机器移动倾倒。</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12.电池舱门需采用螺钉固定，避免误开舱门意外掉电，保障供电稳定性。</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13.监护仪设计使用年限≥8年。</w:t>
            </w:r>
          </w:p>
        </w:tc>
      </w:tr>
      <w:tr w14:paraId="3C0E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074" w:type="dxa"/>
            <w:gridSpan w:val="5"/>
            <w:vAlign w:val="center"/>
          </w:tcPr>
          <w:p w14:paraId="1BFC607B">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商务要求：</w:t>
            </w:r>
          </w:p>
        </w:tc>
      </w:tr>
      <w:tr w14:paraId="448C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56" w:type="dxa"/>
            <w:gridSpan w:val="3"/>
            <w:vAlign w:val="center"/>
          </w:tcPr>
          <w:p w14:paraId="73232C68">
            <w:pPr>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color w:val="auto"/>
                <w:sz w:val="24"/>
                <w:szCs w:val="24"/>
                <w:highlight w:val="none"/>
              </w:rPr>
              <w:t>医疗器械注册或备案要求</w:t>
            </w:r>
          </w:p>
        </w:tc>
        <w:tc>
          <w:tcPr>
            <w:tcW w:w="7618" w:type="dxa"/>
            <w:gridSpan w:val="2"/>
            <w:vAlign w:val="center"/>
          </w:tcPr>
          <w:p w14:paraId="7967343A">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1.根据《医疗器械注册与备案管理办法》（国家市场监督管理总局令第47号）：</w:t>
            </w:r>
          </w:p>
          <w:p w14:paraId="6598AA48">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（1）竞标</w:t>
            </w:r>
            <w:r>
              <w:rPr>
                <w:rFonts w:hint="eastAsia" w:ascii="仿宋" w:hAnsi="仿宋" w:eastAsia="仿宋" w:cs="仿宋"/>
                <w:b w:val="0"/>
                <w:bCs/>
                <w:color w:val="auto"/>
                <w:sz w:val="24"/>
                <w:szCs w:val="24"/>
                <w:highlight w:val="none"/>
              </w:rPr>
              <w:t>产品属第一类医疗器械产品的，</w:t>
            </w:r>
            <w:r>
              <w:rPr>
                <w:rFonts w:hint="eastAsia" w:ascii="仿宋" w:hAnsi="仿宋" w:eastAsia="仿宋" w:cs="仿宋"/>
                <w:b w:val="0"/>
                <w:bCs/>
                <w:color w:val="auto"/>
                <w:sz w:val="24"/>
                <w:szCs w:val="24"/>
                <w:highlight w:val="none"/>
                <w:lang w:val="en-US" w:eastAsia="zh-CN"/>
              </w:rPr>
              <w:t>响应文件中</w:t>
            </w:r>
            <w:r>
              <w:rPr>
                <w:rFonts w:hint="eastAsia" w:ascii="仿宋" w:hAnsi="仿宋" w:eastAsia="仿宋" w:cs="仿宋"/>
                <w:b w:val="0"/>
                <w:bCs/>
                <w:color w:val="auto"/>
                <w:sz w:val="24"/>
                <w:szCs w:val="24"/>
                <w:highlight w:val="none"/>
              </w:rPr>
              <w:t>须提供</w:t>
            </w:r>
            <w:r>
              <w:rPr>
                <w:rFonts w:hint="eastAsia" w:ascii="仿宋" w:hAnsi="仿宋" w:eastAsia="仿宋" w:cs="仿宋"/>
                <w:b w:val="0"/>
                <w:bCs/>
                <w:color w:val="auto"/>
                <w:sz w:val="24"/>
                <w:szCs w:val="24"/>
                <w:highlight w:val="none"/>
                <w:lang w:val="en-US" w:eastAsia="zh-CN"/>
              </w:rPr>
              <w:t>竞标</w:t>
            </w:r>
            <w:r>
              <w:rPr>
                <w:rFonts w:hint="eastAsia" w:ascii="仿宋" w:hAnsi="仿宋" w:eastAsia="仿宋" w:cs="仿宋"/>
                <w:b w:val="0"/>
                <w:bCs/>
                <w:color w:val="auto"/>
                <w:sz w:val="24"/>
                <w:szCs w:val="24"/>
                <w:highlight w:val="none"/>
              </w:rPr>
              <w:t>产品在负责药品监督管理的部门提交备案资料证明材料扫描件；</w:t>
            </w:r>
          </w:p>
          <w:p w14:paraId="71B18230">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（2）竞标</w:t>
            </w:r>
            <w:r>
              <w:rPr>
                <w:rFonts w:hint="eastAsia" w:ascii="仿宋" w:hAnsi="仿宋" w:eastAsia="仿宋" w:cs="仿宋"/>
                <w:b w:val="0"/>
                <w:bCs/>
                <w:color w:val="auto"/>
                <w:sz w:val="24"/>
                <w:szCs w:val="24"/>
                <w:highlight w:val="none"/>
              </w:rPr>
              <w:t>产品属第二、三类医疗器械产品的</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响应文件中须</w:t>
            </w:r>
            <w:r>
              <w:rPr>
                <w:rFonts w:hint="eastAsia" w:ascii="仿宋" w:hAnsi="仿宋" w:eastAsia="仿宋" w:cs="仿宋"/>
                <w:b w:val="0"/>
                <w:bCs/>
                <w:color w:val="auto"/>
                <w:sz w:val="24"/>
                <w:szCs w:val="24"/>
                <w:highlight w:val="none"/>
              </w:rPr>
              <w:t>提供有效的药品监督管理部门出具的医疗器械注册证扫描件。</w:t>
            </w:r>
          </w:p>
          <w:p w14:paraId="1899CA9E">
            <w:pPr>
              <w:spacing w:line="360" w:lineRule="auto"/>
              <w:rPr>
                <w:rFonts w:hint="eastAsia" w:ascii="仿宋" w:hAnsi="仿宋" w:eastAsia="仿宋" w:cs="仿宋"/>
                <w:color w:val="auto"/>
                <w:highlight w:val="none"/>
                <w:lang w:val="en-US" w:eastAsia="zh-CN"/>
              </w:rPr>
            </w:pPr>
            <w:r>
              <w:rPr>
                <w:rFonts w:hint="eastAsia" w:ascii="仿宋" w:hAnsi="仿宋" w:eastAsia="仿宋" w:cs="仿宋"/>
                <w:b w:val="0"/>
                <w:bCs/>
                <w:color w:val="auto"/>
                <w:sz w:val="24"/>
                <w:szCs w:val="24"/>
                <w:highlight w:val="none"/>
                <w:lang w:val="en-US" w:eastAsia="zh-CN"/>
              </w:rPr>
              <w:t>2.响应文件中必须提供经供应商法定代表人签字确认并加盖公章的技术参数真实响应承诺书。</w:t>
            </w:r>
          </w:p>
        </w:tc>
      </w:tr>
      <w:tr w14:paraId="4366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56" w:type="dxa"/>
            <w:gridSpan w:val="3"/>
            <w:vAlign w:val="center"/>
          </w:tcPr>
          <w:p w14:paraId="039A8C5C">
            <w:pPr>
              <w:keepNext w:val="0"/>
              <w:keepLines w:val="0"/>
              <w:pageBreakBefore w:val="0"/>
              <w:widowControl/>
              <w:kinsoku/>
              <w:wordWrap/>
              <w:overflowPunct/>
              <w:topLinePunct w:val="0"/>
              <w:autoSpaceDE/>
              <w:autoSpaceDN/>
              <w:bidi w:val="0"/>
              <w:adjustRightInd/>
              <w:snapToGrid/>
              <w:spacing w:line="360" w:lineRule="auto"/>
              <w:jc w:val="center"/>
              <w:rPr>
                <w:rFonts w:hint="eastAsia" w:ascii="仿宋" w:hAnsi="仿宋" w:eastAsia="仿宋" w:cs="仿宋"/>
                <w:b w:val="0"/>
                <w:bCs w:val="0"/>
                <w:color w:val="auto"/>
                <w:kern w:val="1"/>
                <w:sz w:val="24"/>
                <w:szCs w:val="24"/>
                <w:highlight w:val="none"/>
              </w:rPr>
            </w:pPr>
            <w:r>
              <w:rPr>
                <w:rFonts w:hint="eastAsia" w:ascii="仿宋" w:hAnsi="仿宋" w:eastAsia="仿宋" w:cs="仿宋"/>
                <w:b w:val="0"/>
                <w:bCs w:val="0"/>
                <w:color w:val="auto"/>
                <w:sz w:val="24"/>
                <w:szCs w:val="24"/>
                <w:highlight w:val="none"/>
              </w:rPr>
              <w:t>合同签订时间</w:t>
            </w:r>
          </w:p>
        </w:tc>
        <w:tc>
          <w:tcPr>
            <w:tcW w:w="7618" w:type="dxa"/>
            <w:gridSpan w:val="2"/>
            <w:vAlign w:val="center"/>
          </w:tcPr>
          <w:p w14:paraId="5B075573">
            <w:pPr>
              <w:keepNext w:val="0"/>
              <w:keepLines w:val="0"/>
              <w:pageBreakBefore w:val="0"/>
              <w:widowControl/>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自成交通知书发出之日起25日内。</w:t>
            </w:r>
          </w:p>
        </w:tc>
      </w:tr>
      <w:tr w14:paraId="5866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56" w:type="dxa"/>
            <w:gridSpan w:val="3"/>
            <w:vAlign w:val="center"/>
          </w:tcPr>
          <w:p w14:paraId="3C2E207D">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color w:val="auto"/>
                <w:kern w:val="1"/>
                <w:sz w:val="24"/>
                <w:szCs w:val="24"/>
                <w:highlight w:val="none"/>
              </w:rPr>
            </w:pPr>
            <w:r>
              <w:rPr>
                <w:rFonts w:hint="eastAsia" w:ascii="仿宋" w:hAnsi="仿宋" w:eastAsia="仿宋" w:cs="仿宋"/>
                <w:b w:val="0"/>
                <w:bCs w:val="0"/>
                <w:color w:val="auto"/>
                <w:sz w:val="24"/>
                <w:szCs w:val="24"/>
                <w:highlight w:val="none"/>
              </w:rPr>
              <w:t>交货时间及地点</w:t>
            </w:r>
          </w:p>
        </w:tc>
        <w:tc>
          <w:tcPr>
            <w:tcW w:w="7618" w:type="dxa"/>
            <w:gridSpan w:val="2"/>
            <w:vAlign w:val="center"/>
          </w:tcPr>
          <w:p w14:paraId="50A13EC4">
            <w:pPr>
              <w:keepNext w:val="0"/>
              <w:keepLines w:val="0"/>
              <w:pageBreakBefore w:val="0"/>
              <w:tabs>
                <w:tab w:val="left" w:pos="420"/>
              </w:tabs>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交货时间：自签订合同之日起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0日历</w:t>
            </w:r>
            <w:r>
              <w:rPr>
                <w:rFonts w:hint="eastAsia" w:ascii="仿宋" w:hAnsi="仿宋" w:eastAsia="仿宋" w:cs="仿宋"/>
                <w:color w:val="auto"/>
                <w:sz w:val="24"/>
                <w:szCs w:val="24"/>
                <w:highlight w:val="none"/>
                <w:lang w:val="en-US" w:eastAsia="zh-CN"/>
              </w:rPr>
              <w:t>日</w:t>
            </w:r>
            <w:r>
              <w:rPr>
                <w:rFonts w:hint="eastAsia" w:ascii="仿宋" w:hAnsi="仿宋" w:eastAsia="仿宋" w:cs="仿宋"/>
                <w:color w:val="auto"/>
                <w:sz w:val="24"/>
                <w:szCs w:val="24"/>
                <w:highlight w:val="none"/>
              </w:rPr>
              <w:t>内到货安装调试完成并通过验收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交付采购人使用</w:t>
            </w:r>
            <w:r>
              <w:rPr>
                <w:rFonts w:hint="eastAsia" w:ascii="仿宋" w:hAnsi="仿宋" w:eastAsia="仿宋" w:cs="仿宋"/>
                <w:color w:val="auto"/>
                <w:sz w:val="24"/>
                <w:szCs w:val="24"/>
                <w:highlight w:val="none"/>
              </w:rPr>
              <w:t>。</w:t>
            </w:r>
          </w:p>
          <w:p w14:paraId="54F1B97F">
            <w:pPr>
              <w:keepNext w:val="0"/>
              <w:keepLines w:val="0"/>
              <w:pageBreakBefore w:val="0"/>
              <w:tabs>
                <w:tab w:val="left" w:pos="420"/>
              </w:tabs>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w:t>
            </w:r>
            <w:r>
              <w:rPr>
                <w:rFonts w:hint="eastAsia" w:ascii="仿宋" w:hAnsi="仿宋" w:eastAsia="仿宋" w:cs="仿宋"/>
                <w:color w:val="auto"/>
                <w:sz w:val="24"/>
                <w:szCs w:val="24"/>
                <w:highlight w:val="none"/>
                <w:lang w:eastAsia="zh-CN"/>
              </w:rPr>
              <w:t>广西</w:t>
            </w:r>
            <w:r>
              <w:rPr>
                <w:rFonts w:hint="eastAsia" w:ascii="仿宋" w:hAnsi="仿宋" w:eastAsia="仿宋" w:cs="仿宋"/>
                <w:color w:val="auto"/>
                <w:sz w:val="24"/>
                <w:szCs w:val="24"/>
                <w:highlight w:val="none"/>
                <w:lang w:val="en-US" w:eastAsia="zh-CN"/>
              </w:rPr>
              <w:t>区内采购人</w:t>
            </w:r>
            <w:r>
              <w:rPr>
                <w:rFonts w:hint="eastAsia" w:ascii="仿宋" w:hAnsi="仿宋" w:eastAsia="仿宋" w:cs="仿宋"/>
                <w:color w:val="auto"/>
                <w:sz w:val="24"/>
                <w:szCs w:val="24"/>
                <w:highlight w:val="none"/>
              </w:rPr>
              <w:t>指定地点</w:t>
            </w:r>
            <w:r>
              <w:rPr>
                <w:rFonts w:hint="eastAsia" w:ascii="仿宋" w:hAnsi="仿宋" w:eastAsia="仿宋" w:cs="仿宋"/>
                <w:color w:val="auto"/>
                <w:sz w:val="24"/>
                <w:szCs w:val="24"/>
                <w:highlight w:val="none"/>
                <w:lang w:val="en-US" w:eastAsia="zh-CN"/>
              </w:rPr>
              <w:t>免费交货</w:t>
            </w:r>
            <w:r>
              <w:rPr>
                <w:rFonts w:hint="eastAsia" w:ascii="仿宋" w:hAnsi="仿宋" w:eastAsia="仿宋" w:cs="仿宋"/>
                <w:color w:val="auto"/>
                <w:sz w:val="24"/>
                <w:szCs w:val="24"/>
                <w:highlight w:val="none"/>
              </w:rPr>
              <w:t>。</w:t>
            </w:r>
          </w:p>
          <w:p w14:paraId="374D2E94">
            <w:pPr>
              <w:keepNext w:val="0"/>
              <w:keepLines w:val="0"/>
              <w:pageBreakBefore w:val="0"/>
              <w:tabs>
                <w:tab w:val="left" w:pos="420"/>
              </w:tabs>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交货要求：交货时提供设备生产厂家出具的供货证明、质量保证书和售后承诺，确保货源和质量。</w:t>
            </w:r>
          </w:p>
        </w:tc>
      </w:tr>
      <w:tr w14:paraId="7EB4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56" w:type="dxa"/>
            <w:gridSpan w:val="3"/>
            <w:vAlign w:val="center"/>
          </w:tcPr>
          <w:p w14:paraId="61890F9A">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货物验收</w:t>
            </w:r>
          </w:p>
        </w:tc>
        <w:tc>
          <w:tcPr>
            <w:tcW w:w="7618" w:type="dxa"/>
            <w:gridSpan w:val="2"/>
            <w:vAlign w:val="center"/>
          </w:tcPr>
          <w:p w14:paraId="62285FCF">
            <w:pPr>
              <w:keepNext w:val="0"/>
              <w:keepLines w:val="0"/>
              <w:pageBreakBefore w:val="0"/>
              <w:tabs>
                <w:tab w:val="left" w:pos="420"/>
              </w:tabs>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货物验收时由采购人对照采购文件的《技术参数及性能（配置）要求》进行全面核对检验，对所有要求出具的文件和材料的原件进行核查，如不符合采购文件要求或提供虚假承诺的，采购人有权拒绝验收并做违约处理，供应商承担所有责任和费用，采购人保留进一步追究责任的权利。</w:t>
            </w:r>
          </w:p>
          <w:p w14:paraId="41F0725F">
            <w:pPr>
              <w:keepNext w:val="0"/>
              <w:keepLines w:val="0"/>
              <w:pageBreakBefore w:val="0"/>
              <w:tabs>
                <w:tab w:val="left" w:pos="420"/>
              </w:tabs>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2.货物经过双方检验认可后，签署验收报告。由成交供应商提供产品保修文件。</w:t>
            </w:r>
          </w:p>
          <w:p w14:paraId="40608F1D">
            <w:pPr>
              <w:keepNext w:val="0"/>
              <w:keepLines w:val="0"/>
              <w:pageBreakBefore w:val="0"/>
              <w:tabs>
                <w:tab w:val="left" w:pos="420"/>
              </w:tabs>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3.当满足以下条件时，采购人才向成交供应商签发货物验收报告：</w:t>
            </w:r>
          </w:p>
          <w:p w14:paraId="535F14E4">
            <w:pPr>
              <w:keepNext w:val="0"/>
              <w:keepLines w:val="0"/>
              <w:pageBreakBefore w:val="0"/>
              <w:tabs>
                <w:tab w:val="left" w:pos="420"/>
              </w:tabs>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（1）成交供应商已按照合同规定提供了全部产品及完整的技术资料。</w:t>
            </w:r>
          </w:p>
          <w:p w14:paraId="01B14201">
            <w:pPr>
              <w:keepNext w:val="0"/>
              <w:keepLines w:val="0"/>
              <w:pageBreakBefore w:val="0"/>
              <w:tabs>
                <w:tab w:val="left" w:pos="420"/>
              </w:tabs>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（2）货物各项参数完全符合《技术参数及性能（配置）要求》的要求，性能满足要求。</w:t>
            </w:r>
          </w:p>
          <w:p w14:paraId="083DC54F">
            <w:pPr>
              <w:keepNext w:val="0"/>
              <w:keepLines w:val="0"/>
              <w:pageBreakBefore w:val="0"/>
              <w:tabs>
                <w:tab w:val="left" w:pos="420"/>
              </w:tabs>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（3）成交供应商需负责安装、调试（测试），并完成采购人的使用操作培训。</w:t>
            </w:r>
          </w:p>
          <w:p w14:paraId="7D59432E">
            <w:pPr>
              <w:keepNext w:val="0"/>
              <w:keepLines w:val="0"/>
              <w:pageBreakBefore w:val="0"/>
              <w:tabs>
                <w:tab w:val="left" w:pos="420"/>
              </w:tabs>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lang w:val="en-US" w:eastAsia="zh-CN"/>
              </w:rPr>
              <w:t>完整的</w:t>
            </w:r>
            <w:r>
              <w:rPr>
                <w:rFonts w:hint="eastAsia" w:ascii="仿宋" w:hAnsi="仿宋" w:eastAsia="仿宋" w:cs="仿宋"/>
                <w:color w:val="auto"/>
                <w:sz w:val="24"/>
                <w:szCs w:val="24"/>
                <w:highlight w:val="none"/>
                <w:lang w:eastAsia="zh-CN"/>
              </w:rPr>
              <w:t>维护手册、维修手册、软件备份、故障代码表、备件清单</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w:t>
            </w:r>
          </w:p>
          <w:p w14:paraId="44C709DE">
            <w:pPr>
              <w:keepNext w:val="0"/>
              <w:keepLines w:val="0"/>
              <w:pageBreakBefore w:val="0"/>
              <w:tabs>
                <w:tab w:val="left" w:pos="420"/>
              </w:tabs>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4.验收过程中所产生的一切费用均由成交供应商承担，报价时应考虑相关费用。</w:t>
            </w:r>
          </w:p>
          <w:p w14:paraId="22D273E4">
            <w:pPr>
              <w:keepNext w:val="0"/>
              <w:keepLines w:val="0"/>
              <w:pageBreakBefore w:val="0"/>
              <w:tabs>
                <w:tab w:val="left" w:pos="420"/>
              </w:tabs>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5.成交产品不能涉及任何法律纠纷。</w:t>
            </w:r>
          </w:p>
        </w:tc>
      </w:tr>
      <w:tr w14:paraId="3797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56" w:type="dxa"/>
            <w:gridSpan w:val="3"/>
            <w:vAlign w:val="center"/>
          </w:tcPr>
          <w:p w14:paraId="742DA7E2">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质量保证要求</w:t>
            </w:r>
          </w:p>
        </w:tc>
        <w:tc>
          <w:tcPr>
            <w:tcW w:w="7618" w:type="dxa"/>
            <w:gridSpan w:val="2"/>
          </w:tcPr>
          <w:p w14:paraId="168E7FB7">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1.按国家有关产品“三包”规定执行“三包”政策，质量保证期不少于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年（分项货物或配置有明确要求的按分项要求；生产厂家承诺的质量保证期更长的按生产厂家的承诺），交货验收合格之日起计。</w:t>
            </w:r>
          </w:p>
          <w:p w14:paraId="73C657A2">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在质量保证期内出现的</w:t>
            </w:r>
            <w:r>
              <w:rPr>
                <w:rFonts w:hint="eastAsia" w:ascii="仿宋" w:hAnsi="仿宋" w:eastAsia="仿宋" w:cs="仿宋"/>
                <w:color w:val="auto"/>
                <w:sz w:val="24"/>
                <w:szCs w:val="24"/>
                <w:highlight w:val="none"/>
              </w:rPr>
              <w:t>任何故障及损失，成交供应商负责维修、更换配件，并负责软件更新升级、系统维护和远程服务。</w:t>
            </w:r>
          </w:p>
          <w:p w14:paraId="3DA32A36">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3.质量保证期满后，终身维护，且以市场最优惠价格提供维修和原厂新备件更换、软件更新升级，且承诺为用户提供终身技术咨询服务。</w:t>
            </w:r>
          </w:p>
        </w:tc>
      </w:tr>
      <w:tr w14:paraId="3A5A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56" w:type="dxa"/>
            <w:gridSpan w:val="3"/>
            <w:vAlign w:val="center"/>
          </w:tcPr>
          <w:p w14:paraId="3D369158">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售后服务要求</w:t>
            </w:r>
          </w:p>
        </w:tc>
        <w:tc>
          <w:tcPr>
            <w:tcW w:w="7618" w:type="dxa"/>
            <w:gridSpan w:val="2"/>
          </w:tcPr>
          <w:p w14:paraId="7172A067">
            <w:pPr>
              <w:keepNext w:val="0"/>
              <w:keepLines w:val="0"/>
              <w:pageBreakBefore w:val="0"/>
              <w:tabs>
                <w:tab w:val="left" w:pos="420"/>
              </w:tabs>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1.负责送货上门、提供产品原厂工程师现场安装、安装调试服务、技术培训和远程服务。</w:t>
            </w:r>
          </w:p>
          <w:p w14:paraId="55807B8A">
            <w:pPr>
              <w:keepNext w:val="0"/>
              <w:keepLines w:val="0"/>
              <w:pageBreakBefore w:val="0"/>
              <w:tabs>
                <w:tab w:val="left" w:pos="420"/>
              </w:tabs>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2.维修响应：售后服务要求7天×8小时工作制，成交供应商在接到用户维修电话后1小时内响应，3小时内到达现场处理，一般情况下24小时内恢复正常使用。若不能修复须有合理应对方案。</w:t>
            </w:r>
          </w:p>
          <w:p w14:paraId="3D103B2B">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kern w:val="0"/>
                <w:sz w:val="24"/>
                <w:szCs w:val="24"/>
                <w:highlight w:val="none"/>
              </w:rPr>
              <w:t>质量保证期</w:t>
            </w:r>
            <w:r>
              <w:rPr>
                <w:rFonts w:hint="eastAsia" w:ascii="仿宋" w:hAnsi="仿宋" w:eastAsia="仿宋" w:cs="仿宋"/>
                <w:color w:val="auto"/>
                <w:sz w:val="24"/>
                <w:szCs w:val="24"/>
                <w:highlight w:val="none"/>
              </w:rPr>
              <w:t>内因设备性能故障检修三次仍不能正常使用的，更换新设备。在超出</w:t>
            </w:r>
            <w:r>
              <w:rPr>
                <w:rFonts w:hint="eastAsia" w:ascii="仿宋" w:hAnsi="仿宋" w:eastAsia="仿宋" w:cs="仿宋"/>
                <w:bCs/>
                <w:color w:val="auto"/>
                <w:kern w:val="0"/>
                <w:sz w:val="24"/>
                <w:szCs w:val="24"/>
                <w:highlight w:val="none"/>
              </w:rPr>
              <w:t>质量保证期</w:t>
            </w:r>
            <w:r>
              <w:rPr>
                <w:rFonts w:hint="eastAsia" w:ascii="仿宋" w:hAnsi="仿宋" w:eastAsia="仿宋" w:cs="仿宋"/>
                <w:color w:val="auto"/>
                <w:sz w:val="24"/>
                <w:szCs w:val="24"/>
                <w:highlight w:val="none"/>
              </w:rPr>
              <w:t>后，如产品发生故障，可派技术员上门服务；如需更换配件，配件均按市场最优惠价格供应。</w:t>
            </w:r>
          </w:p>
          <w:p w14:paraId="32BAB8E3">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4.终身提供技术协助服务。</w:t>
            </w:r>
          </w:p>
          <w:p w14:paraId="4053B541">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5.提供原厂技术人员对采购人的操作技术培训和相关技术资料。提供不少于2次/每年的主要设备厂商工程师安装配置等实操培训课程，场地、交通等与培训相关的费用均由成交供应商承担。</w:t>
            </w:r>
          </w:p>
          <w:p w14:paraId="665D61D1">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6.提供验收与培训时开机实验必须的配件及耗材，以保障验收与培训的正常开展。</w:t>
            </w:r>
          </w:p>
          <w:p w14:paraId="277E7BA6">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7.成交供应商应在收到采购人通知后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小时内作出响应，</w:t>
            </w:r>
            <w:r>
              <w:rPr>
                <w:rFonts w:hint="eastAsia" w:ascii="仿宋" w:hAnsi="仿宋" w:eastAsia="仿宋" w:cs="仿宋"/>
                <w:color w:val="auto"/>
                <w:sz w:val="24"/>
                <w:szCs w:val="24"/>
                <w:highlight w:val="none"/>
                <w:lang w:val="en-US" w:eastAsia="zh-CN"/>
              </w:rPr>
              <w:t>重大故障4</w:t>
            </w:r>
            <w:r>
              <w:rPr>
                <w:rFonts w:hint="eastAsia" w:ascii="仿宋" w:hAnsi="仿宋" w:eastAsia="仿宋" w:cs="仿宋"/>
                <w:color w:val="auto"/>
                <w:sz w:val="24"/>
                <w:szCs w:val="24"/>
                <w:highlight w:val="none"/>
              </w:rPr>
              <w:t>小时内到达</w:t>
            </w:r>
            <w:r>
              <w:rPr>
                <w:rFonts w:hint="eastAsia" w:ascii="仿宋" w:hAnsi="仿宋" w:eastAsia="仿宋" w:cs="仿宋"/>
                <w:color w:val="auto"/>
                <w:sz w:val="24"/>
                <w:szCs w:val="24"/>
                <w:highlight w:val="none"/>
                <w:lang w:val="en-US" w:eastAsia="zh-CN"/>
              </w:rPr>
              <w:t>设备现场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日内解决故障（</w:t>
            </w:r>
            <w:r>
              <w:rPr>
                <w:rFonts w:hint="eastAsia" w:ascii="仿宋" w:hAnsi="仿宋" w:eastAsia="仿宋" w:cs="仿宋"/>
                <w:color w:val="auto"/>
                <w:sz w:val="24"/>
                <w:szCs w:val="24"/>
                <w:highlight w:val="none"/>
                <w:lang w:val="en-US" w:eastAsia="zh-CN"/>
              </w:rPr>
              <w:t>特殊故障问题由双方另行协商</w:t>
            </w:r>
            <w:r>
              <w:rPr>
                <w:rFonts w:hint="eastAsia" w:ascii="仿宋" w:hAnsi="仿宋" w:eastAsia="仿宋" w:cs="仿宋"/>
                <w:color w:val="auto"/>
                <w:sz w:val="24"/>
                <w:szCs w:val="24"/>
                <w:highlight w:val="none"/>
              </w:rPr>
              <w:t>）。</w:t>
            </w:r>
          </w:p>
          <w:p w14:paraId="4DDF82F9">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产品升级：在质保期内，如果</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供应商和制造商的产品或技术升级，</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供应商应及时通知采购人。</w:t>
            </w:r>
          </w:p>
          <w:p w14:paraId="2B61B93A">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每半年一次定期回访以及对设备维护。</w:t>
            </w:r>
          </w:p>
          <w:p w14:paraId="1632C7FA">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质保期外，</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人提供维修密码及所附软件在该项目的永久使用权并承担相应费用。</w:t>
            </w:r>
          </w:p>
          <w:p w14:paraId="4C33A6D0">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11.响应文件中必须提供经供应商法定代表人签字确认且加盖公章的售后服务承诺书。</w:t>
            </w:r>
          </w:p>
        </w:tc>
      </w:tr>
      <w:tr w14:paraId="43A1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56" w:type="dxa"/>
            <w:gridSpan w:val="3"/>
            <w:vAlign w:val="center"/>
          </w:tcPr>
          <w:p w14:paraId="36F9BF36">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z w:val="24"/>
                <w:szCs w:val="24"/>
                <w:highlight w:val="none"/>
              </w:rPr>
              <w:t>履约保证金</w:t>
            </w:r>
          </w:p>
        </w:tc>
        <w:tc>
          <w:tcPr>
            <w:tcW w:w="7618" w:type="dxa"/>
            <w:gridSpan w:val="2"/>
          </w:tcPr>
          <w:p w14:paraId="6B4B524D">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本项目不收取履约保证金。</w:t>
            </w:r>
          </w:p>
        </w:tc>
      </w:tr>
      <w:tr w14:paraId="047D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56" w:type="dxa"/>
            <w:gridSpan w:val="3"/>
            <w:vAlign w:val="center"/>
          </w:tcPr>
          <w:p w14:paraId="1DC2A422">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付款方式</w:t>
            </w:r>
          </w:p>
        </w:tc>
        <w:tc>
          <w:tcPr>
            <w:tcW w:w="7618" w:type="dxa"/>
            <w:gridSpan w:val="2"/>
            <w:vAlign w:val="center"/>
          </w:tcPr>
          <w:p w14:paraId="4F1F72A2">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签订采购合同后，</w:t>
            </w:r>
            <w:r>
              <w:rPr>
                <w:rFonts w:hint="eastAsia" w:ascii="仿宋" w:hAnsi="仿宋" w:eastAsia="仿宋" w:cs="仿宋"/>
                <w:color w:val="auto"/>
                <w:sz w:val="24"/>
                <w:szCs w:val="24"/>
                <w:highlight w:val="none"/>
              </w:rPr>
              <w:t>预付</w:t>
            </w:r>
            <w:r>
              <w:rPr>
                <w:rFonts w:hint="eastAsia" w:ascii="仿宋" w:hAnsi="仿宋" w:eastAsia="仿宋" w:cs="仿宋"/>
                <w:color w:val="auto"/>
                <w:sz w:val="24"/>
                <w:szCs w:val="24"/>
                <w:highlight w:val="none"/>
                <w:lang w:val="en-US" w:eastAsia="zh-CN"/>
              </w:rPr>
              <w:t>合同总金额的30%货</w:t>
            </w:r>
            <w:r>
              <w:rPr>
                <w:rFonts w:hint="eastAsia" w:ascii="仿宋" w:hAnsi="仿宋" w:eastAsia="仿宋" w:cs="仿宋"/>
                <w:color w:val="auto"/>
                <w:sz w:val="24"/>
                <w:szCs w:val="24"/>
                <w:highlight w:val="none"/>
              </w:rPr>
              <w:t>款，货物安装调试完毕并经验收合格后，成交供应商开具等额发票给采购人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15日内</w:t>
            </w:r>
            <w:r>
              <w:rPr>
                <w:rFonts w:hint="eastAsia" w:ascii="仿宋" w:hAnsi="仿宋" w:eastAsia="仿宋" w:cs="仿宋"/>
                <w:color w:val="auto"/>
                <w:sz w:val="24"/>
                <w:szCs w:val="24"/>
                <w:highlight w:val="none"/>
              </w:rPr>
              <w:t>向成交供应商支付</w:t>
            </w:r>
            <w:r>
              <w:rPr>
                <w:rFonts w:hint="eastAsia" w:ascii="仿宋" w:hAnsi="仿宋" w:eastAsia="仿宋" w:cs="仿宋"/>
                <w:color w:val="auto"/>
                <w:sz w:val="24"/>
                <w:szCs w:val="24"/>
                <w:highlight w:val="none"/>
                <w:lang w:val="en-US" w:eastAsia="zh-CN"/>
              </w:rPr>
              <w:t>完剩余</w:t>
            </w:r>
            <w:r>
              <w:rPr>
                <w:rFonts w:hint="eastAsia" w:ascii="仿宋" w:hAnsi="仿宋" w:eastAsia="仿宋" w:cs="仿宋"/>
                <w:color w:val="auto"/>
                <w:sz w:val="24"/>
                <w:szCs w:val="24"/>
                <w:highlight w:val="none"/>
              </w:rPr>
              <w:t>合同款（无息）。</w:t>
            </w:r>
          </w:p>
        </w:tc>
      </w:tr>
      <w:tr w14:paraId="7C74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56" w:type="dxa"/>
            <w:gridSpan w:val="3"/>
            <w:vAlign w:val="center"/>
          </w:tcPr>
          <w:p w14:paraId="616C20E2">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val="0"/>
                <w:bCs w:val="0"/>
                <w:color w:val="auto"/>
                <w:kern w:val="1"/>
                <w:sz w:val="24"/>
                <w:szCs w:val="24"/>
                <w:highlight w:val="none"/>
              </w:rPr>
            </w:pPr>
            <w:r>
              <w:rPr>
                <w:rFonts w:hint="eastAsia" w:ascii="仿宋" w:hAnsi="仿宋" w:eastAsia="仿宋" w:cs="仿宋"/>
                <w:b w:val="0"/>
                <w:bCs w:val="0"/>
                <w:color w:val="auto"/>
                <w:sz w:val="24"/>
                <w:szCs w:val="24"/>
                <w:highlight w:val="none"/>
              </w:rPr>
              <w:t>其他要求</w:t>
            </w:r>
          </w:p>
        </w:tc>
        <w:tc>
          <w:tcPr>
            <w:tcW w:w="7618" w:type="dxa"/>
            <w:gridSpan w:val="2"/>
            <w:vAlign w:val="center"/>
          </w:tcPr>
          <w:p w14:paraId="0C365DA3">
            <w:pPr>
              <w:keepNext w:val="0"/>
              <w:keepLines w:val="0"/>
              <w:pageBreakBefore w:val="0"/>
              <w:numPr>
                <w:ilvl w:val="0"/>
                <w:numId w:val="4"/>
              </w:numPr>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要求供货产品是全新的、未经改装的、合格的、满足本项目技术需求及</w:t>
            </w:r>
            <w:r>
              <w:rPr>
                <w:rFonts w:hint="eastAsia" w:ascii="仿宋" w:hAnsi="仿宋" w:eastAsia="仿宋" w:cs="仿宋"/>
                <w:color w:val="auto"/>
                <w:sz w:val="24"/>
                <w:szCs w:val="24"/>
                <w:highlight w:val="none"/>
                <w:lang w:val="en-US" w:eastAsia="zh-CN"/>
              </w:rPr>
              <w:t>行业标准</w:t>
            </w:r>
            <w:r>
              <w:rPr>
                <w:rFonts w:hint="eastAsia" w:ascii="仿宋" w:hAnsi="仿宋" w:eastAsia="仿宋" w:cs="仿宋"/>
                <w:color w:val="auto"/>
                <w:sz w:val="24"/>
                <w:szCs w:val="24"/>
                <w:highlight w:val="none"/>
              </w:rPr>
              <w:t>要求的货物。所有零部件、配件必须是未经使用的并符合国家有关质量安全标准的产品。</w:t>
            </w:r>
          </w:p>
          <w:p w14:paraId="1CB30065">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实行总价包干制，报价包含设备、随配附件、备品备件、辅助材料、工具、运抵指定交货地点、材料运输及人工搬运费、垃圾清理及排放、保险、现场安装、培训、调试及验收的各种费用和质量保证期内服务、售后服务、人工费、税费及其他所有成本费用的总和，成交供应商必须自行考虑项目需要的其他设备和材料，合同履行过程中，采购人不再支付合同以外的其他费用。</w:t>
            </w:r>
          </w:p>
          <w:p w14:paraId="1A22F5CA">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.成交供应商承担货物交付验收前的运输、安装等作业工人人身、设备安全责任。验收前，如果设备丢失</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因供应商自身原因及第三方原因导致</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损坏，成交供应商自行负责并承担不能交付货物的责任。</w:t>
            </w:r>
          </w:p>
          <w:p w14:paraId="1D101A68">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响应文件中必须提供经供应商法定代表人签字确认并加盖公章的按期交货承诺书。</w:t>
            </w:r>
          </w:p>
          <w:p w14:paraId="7C9B7845">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不接受进口产品（即通过中国海关报关验放进入中国境内且产自关境外的产品）</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，如有此类产品</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的按无效响应处理。</w:t>
            </w:r>
          </w:p>
        </w:tc>
      </w:tr>
    </w:tbl>
    <w:p w14:paraId="05023FDA">
      <w:pPr>
        <w:rPr>
          <w:rFonts w:hint="eastAsia" w:ascii="仿宋" w:hAnsi="仿宋" w:eastAsia="仿宋" w:cs="仿宋"/>
          <w:bCs/>
          <w:color w:val="auto"/>
          <w:sz w:val="24"/>
          <w:szCs w:val="24"/>
          <w:highlight w:val="none"/>
        </w:rPr>
      </w:pPr>
    </w:p>
    <w:p w14:paraId="4D8F4492">
      <w:pPr>
        <w:ind w:firstLine="640"/>
        <w:rPr>
          <w:rFonts w:hint="eastAsia" w:ascii="仿宋" w:hAnsi="仿宋" w:eastAsia="仿宋" w:cs="仿宋"/>
          <w:color w:val="auto"/>
          <w:sz w:val="32"/>
          <w:szCs w:val="32"/>
          <w:highlight w:val="none"/>
        </w:rPr>
      </w:pPr>
    </w:p>
    <w:p w14:paraId="5B24B090">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0C4670FB">
      <w:pPr>
        <w:spacing w:line="428" w:lineRule="exact"/>
        <w:ind w:left="119"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附件1：</w:t>
      </w:r>
    </w:p>
    <w:p w14:paraId="0568FBCB">
      <w:pPr>
        <w:spacing w:before="7"/>
        <w:ind w:firstLine="340"/>
        <w:rPr>
          <w:rFonts w:hint="eastAsia" w:ascii="仿宋" w:hAnsi="仿宋" w:eastAsia="仿宋" w:cs="仿宋"/>
          <w:color w:val="auto"/>
          <w:sz w:val="17"/>
          <w:szCs w:val="17"/>
          <w:highlight w:val="none"/>
        </w:rPr>
      </w:pPr>
    </w:p>
    <w:p w14:paraId="27904D79">
      <w:pPr>
        <w:spacing w:line="528" w:lineRule="exact"/>
        <w:ind w:left="220" w:firstLine="723"/>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节能产品政府采购品目清单</w:t>
      </w:r>
    </w:p>
    <w:tbl>
      <w:tblPr>
        <w:tblStyle w:val="22"/>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661"/>
        <w:gridCol w:w="1664"/>
        <w:gridCol w:w="1655"/>
        <w:gridCol w:w="3717"/>
      </w:tblGrid>
      <w:tr w14:paraId="75F4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65F8F3AC">
            <w:pPr>
              <w:jc w:val="center"/>
              <w:rPr>
                <w:rFonts w:hint="eastAsia" w:ascii="仿宋" w:hAnsi="仿宋" w:eastAsia="仿宋" w:cs="仿宋"/>
                <w:color w:val="auto"/>
                <w:sz w:val="24"/>
                <w:szCs w:val="24"/>
                <w:highlight w:val="none"/>
              </w:rPr>
            </w:pPr>
            <w:r>
              <w:rPr>
                <w:rFonts w:hint="eastAsia" w:ascii="仿宋" w:hAnsi="仿宋" w:eastAsia="仿宋" w:cs="仿宋"/>
                <w:b/>
                <w:bCs/>
                <w:color w:val="auto"/>
                <w:w w:val="99"/>
                <w:sz w:val="24"/>
                <w:szCs w:val="24"/>
                <w:highlight w:val="none"/>
              </w:rPr>
              <w:t>品目序号</w:t>
            </w:r>
          </w:p>
        </w:tc>
        <w:tc>
          <w:tcPr>
            <w:tcW w:w="4980" w:type="dxa"/>
            <w:gridSpan w:val="3"/>
            <w:tcBorders>
              <w:top w:val="single" w:color="000000" w:sz="4" w:space="0"/>
              <w:left w:val="single" w:color="000000" w:sz="4" w:space="0"/>
              <w:bottom w:val="single" w:color="000000" w:sz="4" w:space="0"/>
              <w:right w:val="single" w:color="000000" w:sz="4" w:space="0"/>
            </w:tcBorders>
            <w:vAlign w:val="center"/>
          </w:tcPr>
          <w:p w14:paraId="1AA8E9B9">
            <w:pPr>
              <w:jc w:val="center"/>
              <w:rPr>
                <w:rFonts w:hint="eastAsia" w:ascii="仿宋" w:hAnsi="仿宋" w:eastAsia="仿宋" w:cs="仿宋"/>
                <w:color w:val="auto"/>
                <w:sz w:val="24"/>
                <w:szCs w:val="24"/>
                <w:highlight w:val="none"/>
              </w:rPr>
            </w:pPr>
            <w:r>
              <w:rPr>
                <w:rFonts w:hint="eastAsia" w:ascii="仿宋" w:hAnsi="仿宋" w:eastAsia="仿宋" w:cs="仿宋"/>
                <w:b/>
                <w:bCs/>
                <w:color w:val="auto"/>
                <w:w w:val="99"/>
                <w:sz w:val="24"/>
                <w:szCs w:val="24"/>
                <w:highlight w:val="none"/>
              </w:rPr>
              <w:t>名称</w:t>
            </w:r>
          </w:p>
        </w:tc>
        <w:tc>
          <w:tcPr>
            <w:tcW w:w="3717" w:type="dxa"/>
            <w:tcBorders>
              <w:top w:val="single" w:color="000000" w:sz="4" w:space="0"/>
              <w:left w:val="single" w:color="000000" w:sz="4" w:space="0"/>
              <w:bottom w:val="single" w:color="000000" w:sz="4" w:space="0"/>
              <w:right w:val="single" w:color="000000" w:sz="4" w:space="0"/>
            </w:tcBorders>
            <w:vAlign w:val="center"/>
          </w:tcPr>
          <w:p w14:paraId="5D1B28AF">
            <w:pPr>
              <w:jc w:val="center"/>
              <w:rPr>
                <w:rFonts w:hint="eastAsia" w:ascii="仿宋" w:hAnsi="仿宋" w:eastAsia="仿宋" w:cs="仿宋"/>
                <w:color w:val="auto"/>
                <w:sz w:val="24"/>
                <w:szCs w:val="24"/>
                <w:highlight w:val="none"/>
              </w:rPr>
            </w:pPr>
            <w:r>
              <w:rPr>
                <w:rFonts w:hint="eastAsia" w:ascii="仿宋" w:hAnsi="仿宋" w:eastAsia="仿宋" w:cs="仿宋"/>
                <w:b/>
                <w:bCs/>
                <w:color w:val="auto"/>
                <w:w w:val="99"/>
                <w:sz w:val="24"/>
                <w:szCs w:val="24"/>
                <w:highlight w:val="none"/>
              </w:rPr>
              <w:t>依据的标准</w:t>
            </w:r>
          </w:p>
        </w:tc>
      </w:tr>
      <w:tr w14:paraId="39EC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14:paraId="47259EB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61" w:type="dxa"/>
            <w:vMerge w:val="restart"/>
            <w:tcBorders>
              <w:top w:val="single" w:color="000000" w:sz="4" w:space="0"/>
              <w:left w:val="single" w:color="000000" w:sz="4" w:space="0"/>
              <w:bottom w:val="single" w:color="000000" w:sz="4" w:space="0"/>
              <w:right w:val="single" w:color="000000" w:sz="4" w:space="0"/>
            </w:tcBorders>
            <w:vAlign w:val="center"/>
          </w:tcPr>
          <w:p w14:paraId="09467A4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A02010100</w:t>
            </w:r>
            <w:r>
              <w:rPr>
                <w:rFonts w:hint="eastAsia" w:ascii="仿宋" w:hAnsi="仿宋" w:eastAsia="仿宋" w:cs="仿宋"/>
                <w:color w:val="auto"/>
                <w:w w:val="99"/>
                <w:sz w:val="24"/>
                <w:szCs w:val="24"/>
                <w:highlight w:val="none"/>
              </w:rPr>
              <w:t>计算机</w:t>
            </w:r>
          </w:p>
        </w:tc>
        <w:tc>
          <w:tcPr>
            <w:tcW w:w="1664" w:type="dxa"/>
            <w:tcBorders>
              <w:top w:val="single" w:color="000000" w:sz="4" w:space="0"/>
              <w:left w:val="single" w:color="000000" w:sz="4" w:space="0"/>
              <w:bottom w:val="single" w:color="000000" w:sz="4" w:space="0"/>
              <w:right w:val="single" w:color="000000" w:sz="4" w:space="0"/>
            </w:tcBorders>
            <w:vAlign w:val="center"/>
          </w:tcPr>
          <w:p w14:paraId="6FCD6DD9">
            <w:pPr>
              <w:spacing w:before="93"/>
              <w:ind w:left="7" w:right="5"/>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w:t>
            </w:r>
            <w:r>
              <w:rPr>
                <w:rFonts w:hint="eastAsia" w:ascii="仿宋" w:hAnsi="仿宋" w:eastAsia="仿宋" w:cs="仿宋"/>
                <w:color w:val="auto"/>
                <w:sz w:val="24"/>
                <w:szCs w:val="24"/>
                <w:highlight w:val="none"/>
                <w:lang w:eastAsia="en-US"/>
              </w:rPr>
              <w:t>A02010105</w:t>
            </w:r>
            <w:r>
              <w:rPr>
                <w:rFonts w:hint="eastAsia" w:ascii="仿宋" w:hAnsi="仿宋" w:eastAsia="仿宋" w:cs="仿宋"/>
                <w:color w:val="auto"/>
                <w:w w:val="99"/>
                <w:sz w:val="24"/>
                <w:szCs w:val="24"/>
                <w:highlight w:val="none"/>
                <w:lang w:eastAsia="en-US"/>
              </w:rPr>
              <w:t>台式计算机</w:t>
            </w:r>
          </w:p>
        </w:tc>
        <w:tc>
          <w:tcPr>
            <w:tcW w:w="1655" w:type="dxa"/>
            <w:tcBorders>
              <w:top w:val="single" w:color="000000" w:sz="4" w:space="0"/>
              <w:left w:val="single" w:color="000000" w:sz="4" w:space="0"/>
              <w:bottom w:val="single" w:color="000000" w:sz="4" w:space="0"/>
              <w:right w:val="single" w:color="000000" w:sz="4" w:space="0"/>
            </w:tcBorders>
            <w:vAlign w:val="center"/>
          </w:tcPr>
          <w:p w14:paraId="36FC144B">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7FA361D3">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《微型计算机能效限定值及能效等级》（GB28380）</w:t>
            </w:r>
          </w:p>
        </w:tc>
      </w:tr>
      <w:tr w14:paraId="2FF5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81894E">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77D6548">
            <w:pPr>
              <w:widowControl/>
              <w:jc w:val="left"/>
              <w:rPr>
                <w:rFonts w:hint="eastAsia" w:ascii="仿宋" w:hAnsi="仿宋" w:eastAsia="仿宋" w:cs="仿宋"/>
                <w:color w:val="auto"/>
                <w:sz w:val="24"/>
                <w:szCs w:val="24"/>
                <w:highlight w:val="none"/>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60A33CDE">
            <w:pPr>
              <w:spacing w:before="44"/>
              <w:ind w:left="7" w:right="5"/>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w:t>
            </w:r>
            <w:r>
              <w:rPr>
                <w:rFonts w:hint="eastAsia" w:ascii="仿宋" w:hAnsi="仿宋" w:eastAsia="仿宋" w:cs="仿宋"/>
                <w:color w:val="auto"/>
                <w:sz w:val="24"/>
                <w:szCs w:val="24"/>
                <w:highlight w:val="none"/>
                <w:lang w:eastAsia="en-US"/>
              </w:rPr>
              <w:t>A02010108</w:t>
            </w:r>
            <w:r>
              <w:rPr>
                <w:rFonts w:hint="eastAsia" w:ascii="仿宋" w:hAnsi="仿宋" w:eastAsia="仿宋" w:cs="仿宋"/>
                <w:color w:val="auto"/>
                <w:w w:val="99"/>
                <w:sz w:val="24"/>
                <w:szCs w:val="24"/>
                <w:highlight w:val="none"/>
                <w:lang w:eastAsia="en-US"/>
              </w:rPr>
              <w:t>便携式计算机</w:t>
            </w:r>
          </w:p>
        </w:tc>
        <w:tc>
          <w:tcPr>
            <w:tcW w:w="1655" w:type="dxa"/>
            <w:tcBorders>
              <w:top w:val="single" w:color="000000" w:sz="4" w:space="0"/>
              <w:left w:val="single" w:color="000000" w:sz="4" w:space="0"/>
              <w:bottom w:val="single" w:color="000000" w:sz="4" w:space="0"/>
              <w:right w:val="single" w:color="000000" w:sz="4" w:space="0"/>
            </w:tcBorders>
            <w:vAlign w:val="center"/>
          </w:tcPr>
          <w:p w14:paraId="7162F5F3">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7C825B4B">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《微型计算机能效限定值及能效等级》（GB28380）</w:t>
            </w:r>
          </w:p>
        </w:tc>
      </w:tr>
      <w:tr w14:paraId="3527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F34702">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F80AF8">
            <w:pPr>
              <w:widowControl/>
              <w:jc w:val="left"/>
              <w:rPr>
                <w:rFonts w:hint="eastAsia" w:ascii="仿宋" w:hAnsi="仿宋" w:eastAsia="仿宋" w:cs="仿宋"/>
                <w:color w:val="auto"/>
                <w:sz w:val="24"/>
                <w:szCs w:val="24"/>
                <w:highlight w:val="none"/>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4EC98DA8">
            <w:pPr>
              <w:spacing w:before="64"/>
              <w:ind w:left="7" w:right="5"/>
              <w:jc w:val="center"/>
              <w:rPr>
                <w:rFonts w:hint="eastAsia" w:ascii="仿宋" w:hAnsi="仿宋" w:eastAsia="仿宋" w:cs="仿宋"/>
                <w:color w:val="auto"/>
                <w:sz w:val="24"/>
                <w:szCs w:val="24"/>
                <w:highlight w:val="none"/>
              </w:rPr>
            </w:pPr>
            <w:r>
              <w:rPr>
                <w:rFonts w:hint="eastAsia" w:ascii="仿宋" w:hAnsi="仿宋" w:eastAsia="仿宋" w:cs="仿宋"/>
                <w:color w:val="auto"/>
                <w:w w:val="99"/>
                <w:sz w:val="24"/>
                <w:szCs w:val="24"/>
                <w:highlight w:val="none"/>
              </w:rPr>
              <w:t>★</w:t>
            </w:r>
            <w:r>
              <w:rPr>
                <w:rFonts w:hint="eastAsia" w:ascii="仿宋" w:hAnsi="仿宋" w:eastAsia="仿宋" w:cs="仿宋"/>
                <w:color w:val="auto"/>
                <w:sz w:val="24"/>
                <w:szCs w:val="24"/>
                <w:highlight w:val="none"/>
              </w:rPr>
              <w:t>A02010109平板式计算机</w:t>
            </w:r>
          </w:p>
        </w:tc>
        <w:tc>
          <w:tcPr>
            <w:tcW w:w="1655" w:type="dxa"/>
            <w:tcBorders>
              <w:top w:val="single" w:color="000000" w:sz="4" w:space="0"/>
              <w:left w:val="single" w:color="000000" w:sz="4" w:space="0"/>
              <w:bottom w:val="single" w:color="000000" w:sz="4" w:space="0"/>
              <w:right w:val="single" w:color="000000" w:sz="4" w:space="0"/>
            </w:tcBorders>
            <w:vAlign w:val="center"/>
          </w:tcPr>
          <w:p w14:paraId="254C3D66">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78DC43F3">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《微型计算机能效限定值及能效等级》（GB28380）</w:t>
            </w:r>
          </w:p>
        </w:tc>
      </w:tr>
      <w:tr w14:paraId="4A70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14:paraId="4E875C4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61" w:type="dxa"/>
            <w:vMerge w:val="restart"/>
            <w:tcBorders>
              <w:top w:val="single" w:color="000000" w:sz="4" w:space="0"/>
              <w:left w:val="single" w:color="000000" w:sz="4" w:space="0"/>
              <w:bottom w:val="single" w:color="000000" w:sz="4" w:space="0"/>
              <w:right w:val="single" w:color="000000" w:sz="4" w:space="0"/>
            </w:tcBorders>
            <w:vAlign w:val="center"/>
          </w:tcPr>
          <w:p w14:paraId="39EB6995">
            <w:pPr>
              <w:ind w:left="7"/>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A02020000</w:t>
            </w:r>
            <w:r>
              <w:rPr>
                <w:rFonts w:hint="eastAsia" w:ascii="仿宋" w:hAnsi="仿宋" w:eastAsia="仿宋" w:cs="仿宋"/>
                <w:color w:val="auto"/>
                <w:w w:val="99"/>
                <w:sz w:val="24"/>
                <w:szCs w:val="24"/>
                <w:highlight w:val="none"/>
                <w:lang w:eastAsia="en-US"/>
              </w:rPr>
              <w:t>办公设备</w:t>
            </w:r>
          </w:p>
        </w:tc>
        <w:tc>
          <w:tcPr>
            <w:tcW w:w="1664" w:type="dxa"/>
            <w:vMerge w:val="restart"/>
            <w:tcBorders>
              <w:top w:val="single" w:color="000000" w:sz="4" w:space="0"/>
              <w:left w:val="single" w:color="000000" w:sz="4" w:space="0"/>
              <w:bottom w:val="single" w:color="000000" w:sz="4" w:space="0"/>
              <w:right w:val="single" w:color="000000" w:sz="4" w:space="0"/>
            </w:tcBorders>
            <w:vAlign w:val="center"/>
          </w:tcPr>
          <w:p w14:paraId="173E3A8B">
            <w:pPr>
              <w:jc w:val="center"/>
              <w:rPr>
                <w:rFonts w:hint="eastAsia" w:ascii="仿宋" w:hAnsi="仿宋" w:eastAsia="仿宋" w:cs="仿宋"/>
                <w:color w:val="auto"/>
                <w:sz w:val="24"/>
                <w:szCs w:val="24"/>
                <w:highlight w:val="none"/>
              </w:rPr>
            </w:pPr>
            <w:r>
              <w:rPr>
                <w:rFonts w:hint="eastAsia" w:ascii="仿宋" w:hAnsi="仿宋" w:eastAsia="仿宋" w:cs="仿宋"/>
                <w:color w:val="auto"/>
                <w:spacing w:val="1"/>
                <w:w w:val="99"/>
                <w:sz w:val="24"/>
                <w:szCs w:val="24"/>
                <w:highlight w:val="none"/>
              </w:rPr>
              <w:t>A02021000</w:t>
            </w:r>
            <w:r>
              <w:rPr>
                <w:rFonts w:hint="eastAsia" w:ascii="仿宋" w:hAnsi="仿宋" w:eastAsia="仿宋" w:cs="仿宋"/>
                <w:color w:val="auto"/>
                <w:sz w:val="24"/>
                <w:szCs w:val="24"/>
                <w:highlight w:val="none"/>
                <w:shd w:val="clear" w:color="auto" w:fill="FFFFFF"/>
              </w:rPr>
              <w:t>打印机</w:t>
            </w:r>
          </w:p>
        </w:tc>
        <w:tc>
          <w:tcPr>
            <w:tcW w:w="1655" w:type="dxa"/>
            <w:tcBorders>
              <w:top w:val="single" w:color="000000" w:sz="4" w:space="0"/>
              <w:left w:val="single" w:color="000000" w:sz="4" w:space="0"/>
              <w:bottom w:val="single" w:color="000000" w:sz="4" w:space="0"/>
              <w:right w:val="single" w:color="000000" w:sz="4" w:space="0"/>
            </w:tcBorders>
            <w:vAlign w:val="center"/>
          </w:tcPr>
          <w:p w14:paraId="4958AFE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A02021001 A3黑白打印机</w:t>
            </w:r>
          </w:p>
        </w:tc>
        <w:tc>
          <w:tcPr>
            <w:tcW w:w="3717" w:type="dxa"/>
            <w:tcBorders>
              <w:top w:val="single" w:color="000000" w:sz="4" w:space="0"/>
              <w:left w:val="single" w:color="000000" w:sz="4" w:space="0"/>
              <w:bottom w:val="single" w:color="000000" w:sz="4" w:space="0"/>
              <w:right w:val="single" w:color="000000" w:sz="4" w:space="0"/>
            </w:tcBorders>
          </w:tcPr>
          <w:p w14:paraId="6A61F13C">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《复印机、打印机和传真机能效限定值及能效等级》（GB21521）</w:t>
            </w:r>
          </w:p>
        </w:tc>
      </w:tr>
      <w:tr w14:paraId="6191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C590DF">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153B119">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BDF01D">
            <w:pPr>
              <w:widowControl/>
              <w:jc w:val="left"/>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1BB14ED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A02021002 A3彩色打印机</w:t>
            </w:r>
          </w:p>
        </w:tc>
        <w:tc>
          <w:tcPr>
            <w:tcW w:w="3717" w:type="dxa"/>
            <w:tcBorders>
              <w:top w:val="single" w:color="000000" w:sz="4" w:space="0"/>
              <w:left w:val="single" w:color="000000" w:sz="4" w:space="0"/>
              <w:bottom w:val="single" w:color="000000" w:sz="4" w:space="0"/>
              <w:right w:val="single" w:color="000000" w:sz="4" w:space="0"/>
            </w:tcBorders>
          </w:tcPr>
          <w:p w14:paraId="7C29904C">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《复印机、打印机和传真机能效限定值及能效等级》（GB21521）</w:t>
            </w:r>
          </w:p>
        </w:tc>
      </w:tr>
      <w:tr w14:paraId="0044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DD1628E">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BEABC4">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D0514D">
            <w:pPr>
              <w:widowControl/>
              <w:jc w:val="left"/>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1FCBBB4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A02021003 A4黑白打印机</w:t>
            </w:r>
          </w:p>
        </w:tc>
        <w:tc>
          <w:tcPr>
            <w:tcW w:w="3717" w:type="dxa"/>
            <w:tcBorders>
              <w:top w:val="single" w:color="000000" w:sz="4" w:space="0"/>
              <w:left w:val="single" w:color="000000" w:sz="4" w:space="0"/>
              <w:bottom w:val="single" w:color="000000" w:sz="4" w:space="0"/>
              <w:right w:val="single" w:color="000000" w:sz="4" w:space="0"/>
            </w:tcBorders>
          </w:tcPr>
          <w:p w14:paraId="65DD9259">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《复印机、打印机和传真机能效限定值及能效等级》（GB21521）</w:t>
            </w:r>
          </w:p>
        </w:tc>
      </w:tr>
      <w:tr w14:paraId="56CF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2CE578">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A6C059D">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2011CF">
            <w:pPr>
              <w:widowControl/>
              <w:jc w:val="left"/>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2257E76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A02021004 A4彩色打印机</w:t>
            </w:r>
          </w:p>
        </w:tc>
        <w:tc>
          <w:tcPr>
            <w:tcW w:w="3717" w:type="dxa"/>
            <w:tcBorders>
              <w:top w:val="single" w:color="000000" w:sz="4" w:space="0"/>
              <w:left w:val="single" w:color="000000" w:sz="4" w:space="0"/>
              <w:bottom w:val="single" w:color="000000" w:sz="4" w:space="0"/>
              <w:right w:val="single" w:color="000000" w:sz="4" w:space="0"/>
            </w:tcBorders>
          </w:tcPr>
          <w:p w14:paraId="21550C8C">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《复印机、打印机和传真机能效限定值及能效等级》（GB21521）</w:t>
            </w:r>
          </w:p>
        </w:tc>
      </w:tr>
      <w:tr w14:paraId="2D99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C614A4">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12C56C">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2CA503">
            <w:pPr>
              <w:widowControl/>
              <w:jc w:val="left"/>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2EC349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A02021005 3D打印机</w:t>
            </w:r>
          </w:p>
        </w:tc>
        <w:tc>
          <w:tcPr>
            <w:tcW w:w="3717" w:type="dxa"/>
            <w:tcBorders>
              <w:top w:val="single" w:color="000000" w:sz="4" w:space="0"/>
              <w:left w:val="single" w:color="000000" w:sz="4" w:space="0"/>
              <w:bottom w:val="single" w:color="000000" w:sz="4" w:space="0"/>
              <w:right w:val="single" w:color="000000" w:sz="4" w:space="0"/>
            </w:tcBorders>
          </w:tcPr>
          <w:p w14:paraId="14EEF0D5">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《复印机、打印机和传真机能效限定值及能效等级》（GB21521）</w:t>
            </w:r>
          </w:p>
        </w:tc>
      </w:tr>
      <w:tr w14:paraId="2271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1569116">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08B4EF">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121AA6">
            <w:pPr>
              <w:widowControl/>
              <w:jc w:val="left"/>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2F95585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A02021006票据打印机</w:t>
            </w:r>
          </w:p>
        </w:tc>
        <w:tc>
          <w:tcPr>
            <w:tcW w:w="3717" w:type="dxa"/>
            <w:tcBorders>
              <w:top w:val="single" w:color="000000" w:sz="4" w:space="0"/>
              <w:left w:val="single" w:color="000000" w:sz="4" w:space="0"/>
              <w:bottom w:val="single" w:color="000000" w:sz="4" w:space="0"/>
              <w:right w:val="single" w:color="000000" w:sz="4" w:space="0"/>
            </w:tcBorders>
          </w:tcPr>
          <w:p w14:paraId="0F6B4CE4">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《复印机、打印机和传真机能效限定值及能效等级》（GB21521）</w:t>
            </w:r>
          </w:p>
        </w:tc>
      </w:tr>
      <w:tr w14:paraId="03B9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3A41D8">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6FCE7D0">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560994">
            <w:pPr>
              <w:widowControl/>
              <w:jc w:val="left"/>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62BA45A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A02021007条码打印机</w:t>
            </w:r>
          </w:p>
        </w:tc>
        <w:tc>
          <w:tcPr>
            <w:tcW w:w="3717" w:type="dxa"/>
            <w:tcBorders>
              <w:top w:val="single" w:color="000000" w:sz="4" w:space="0"/>
              <w:left w:val="single" w:color="000000" w:sz="4" w:space="0"/>
              <w:bottom w:val="single" w:color="000000" w:sz="4" w:space="0"/>
              <w:right w:val="single" w:color="000000" w:sz="4" w:space="0"/>
            </w:tcBorders>
          </w:tcPr>
          <w:p w14:paraId="1F0E5403">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《复印机、打印机和传真机能效限定值及能效等级》（GB21521）</w:t>
            </w:r>
          </w:p>
        </w:tc>
      </w:tr>
      <w:tr w14:paraId="42FB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B1AFC6">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B0F8ED">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34A6634">
            <w:pPr>
              <w:widowControl/>
              <w:jc w:val="left"/>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483FA50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A02021008地址打印机</w:t>
            </w:r>
          </w:p>
        </w:tc>
        <w:tc>
          <w:tcPr>
            <w:tcW w:w="3717" w:type="dxa"/>
            <w:tcBorders>
              <w:top w:val="single" w:color="000000" w:sz="4" w:space="0"/>
              <w:left w:val="single" w:color="000000" w:sz="4" w:space="0"/>
              <w:bottom w:val="single" w:color="000000" w:sz="4" w:space="0"/>
              <w:right w:val="single" w:color="000000" w:sz="4" w:space="0"/>
            </w:tcBorders>
          </w:tcPr>
          <w:p w14:paraId="4CAA7946">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《复印机、打印机和传真机能效限定值及能效等级》（GB21521）</w:t>
            </w:r>
          </w:p>
        </w:tc>
      </w:tr>
      <w:tr w14:paraId="7A82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A17C26">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2481D7">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95EC3F">
            <w:pPr>
              <w:widowControl/>
              <w:jc w:val="left"/>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5E9510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A02021099其他打印机</w:t>
            </w:r>
          </w:p>
        </w:tc>
        <w:tc>
          <w:tcPr>
            <w:tcW w:w="3717" w:type="dxa"/>
            <w:tcBorders>
              <w:top w:val="single" w:color="000000" w:sz="4" w:space="0"/>
              <w:left w:val="single" w:color="000000" w:sz="4" w:space="0"/>
              <w:bottom w:val="single" w:color="000000" w:sz="4" w:space="0"/>
              <w:right w:val="single" w:color="000000" w:sz="4" w:space="0"/>
            </w:tcBorders>
          </w:tcPr>
          <w:p w14:paraId="179CEED2">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《复印机、打印机和传真机能效限定值及能效等级》（GB21521）</w:t>
            </w:r>
          </w:p>
        </w:tc>
      </w:tr>
      <w:tr w14:paraId="5F42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8176FD">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BE7A7D">
            <w:pPr>
              <w:widowControl/>
              <w:jc w:val="left"/>
              <w:rPr>
                <w:rFonts w:hint="eastAsia" w:ascii="仿宋" w:hAnsi="仿宋" w:eastAsia="仿宋" w:cs="仿宋"/>
                <w:color w:val="auto"/>
                <w:sz w:val="24"/>
                <w:szCs w:val="24"/>
                <w:highlight w:val="none"/>
              </w:rPr>
            </w:pPr>
          </w:p>
        </w:tc>
        <w:tc>
          <w:tcPr>
            <w:tcW w:w="1664" w:type="dxa"/>
            <w:vMerge w:val="restart"/>
            <w:tcBorders>
              <w:top w:val="single" w:color="000000" w:sz="4" w:space="0"/>
              <w:left w:val="single" w:color="000000" w:sz="4" w:space="0"/>
              <w:bottom w:val="single" w:color="000000" w:sz="4" w:space="0"/>
              <w:right w:val="single" w:color="000000" w:sz="4" w:space="0"/>
            </w:tcBorders>
            <w:vAlign w:val="center"/>
          </w:tcPr>
          <w:p w14:paraId="156DD83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A02021100输入输出设备</w:t>
            </w:r>
          </w:p>
        </w:tc>
        <w:tc>
          <w:tcPr>
            <w:tcW w:w="1655" w:type="dxa"/>
            <w:tcBorders>
              <w:top w:val="single" w:color="000000" w:sz="4" w:space="0"/>
              <w:left w:val="single" w:color="000000" w:sz="4" w:space="0"/>
              <w:bottom w:val="single" w:color="000000" w:sz="4" w:space="0"/>
              <w:right w:val="single" w:color="000000" w:sz="4" w:space="0"/>
            </w:tcBorders>
            <w:vAlign w:val="center"/>
          </w:tcPr>
          <w:p w14:paraId="320BA4EC">
            <w:pPr>
              <w:jc w:val="center"/>
              <w:rPr>
                <w:rFonts w:hint="eastAsia" w:ascii="仿宋" w:hAnsi="仿宋" w:eastAsia="仿宋" w:cs="仿宋"/>
                <w:color w:val="auto"/>
                <w:sz w:val="24"/>
                <w:szCs w:val="24"/>
                <w:highlight w:val="none"/>
              </w:rPr>
            </w:pPr>
            <w:r>
              <w:rPr>
                <w:rFonts w:hint="eastAsia" w:ascii="仿宋" w:hAnsi="仿宋" w:eastAsia="仿宋" w:cs="仿宋"/>
                <w:color w:val="auto"/>
                <w:w w:val="99"/>
                <w:sz w:val="24"/>
                <w:szCs w:val="24"/>
                <w:highlight w:val="none"/>
              </w:rPr>
              <w:t>★</w:t>
            </w:r>
            <w:r>
              <w:rPr>
                <w:rFonts w:hint="eastAsia" w:ascii="仿宋" w:hAnsi="仿宋" w:eastAsia="仿宋" w:cs="仿宋"/>
                <w:color w:val="auto"/>
                <w:sz w:val="24"/>
                <w:szCs w:val="24"/>
                <w:highlight w:val="none"/>
              </w:rPr>
              <w:t>A02021104液晶显示器</w:t>
            </w:r>
          </w:p>
        </w:tc>
        <w:tc>
          <w:tcPr>
            <w:tcW w:w="3717" w:type="dxa"/>
            <w:tcBorders>
              <w:top w:val="single" w:color="000000" w:sz="4" w:space="0"/>
              <w:left w:val="single" w:color="000000" w:sz="4" w:space="0"/>
              <w:bottom w:val="single" w:color="000000" w:sz="4" w:space="0"/>
              <w:right w:val="single" w:color="000000" w:sz="4" w:space="0"/>
            </w:tcBorders>
            <w:vAlign w:val="center"/>
          </w:tcPr>
          <w:p w14:paraId="03C2B267">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《计算机显示器能效限定值及能效等级》（GB21520）</w:t>
            </w:r>
          </w:p>
        </w:tc>
      </w:tr>
      <w:tr w14:paraId="03F0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53EF08">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05C957">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09FABA">
            <w:pPr>
              <w:widowControl/>
              <w:jc w:val="left"/>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10E48F9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A02021118扫描仪</w:t>
            </w:r>
          </w:p>
        </w:tc>
        <w:tc>
          <w:tcPr>
            <w:tcW w:w="3717" w:type="dxa"/>
            <w:tcBorders>
              <w:top w:val="single" w:color="000000" w:sz="4" w:space="0"/>
              <w:left w:val="single" w:color="000000" w:sz="4" w:space="0"/>
              <w:bottom w:val="single" w:color="000000" w:sz="4" w:space="0"/>
              <w:right w:val="single" w:color="000000" w:sz="4" w:space="0"/>
            </w:tcBorders>
            <w:vAlign w:val="center"/>
          </w:tcPr>
          <w:p w14:paraId="2B660593">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参照《复印机、打印机和传真机能效限定值及能效等级》（GB21521）中打印速度为15页/分的针式打印机相关要求</w:t>
            </w:r>
          </w:p>
        </w:tc>
      </w:tr>
      <w:tr w14:paraId="663A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43CA8802">
            <w:pPr>
              <w:jc w:val="center"/>
              <w:rPr>
                <w:rFonts w:hint="eastAsia" w:ascii="仿宋" w:hAnsi="仿宋" w:eastAsia="仿宋" w:cs="仿宋"/>
                <w:color w:val="auto"/>
                <w:sz w:val="24"/>
                <w:szCs w:val="24"/>
                <w:highlight w:val="none"/>
              </w:rPr>
            </w:pPr>
            <w:r>
              <w:rPr>
                <w:rFonts w:hint="eastAsia" w:ascii="仿宋" w:hAnsi="仿宋" w:eastAsia="仿宋" w:cs="仿宋"/>
                <w:color w:val="auto"/>
                <w:w w:val="99"/>
                <w:sz w:val="24"/>
                <w:szCs w:val="24"/>
                <w:highlight w:val="none"/>
              </w:rPr>
              <w:t>3</w:t>
            </w:r>
          </w:p>
        </w:tc>
        <w:tc>
          <w:tcPr>
            <w:tcW w:w="1661" w:type="dxa"/>
            <w:tcBorders>
              <w:top w:val="single" w:color="000000" w:sz="4" w:space="0"/>
              <w:left w:val="single" w:color="000000" w:sz="4" w:space="0"/>
              <w:bottom w:val="single" w:color="000000" w:sz="4" w:space="0"/>
              <w:right w:val="single" w:color="000000" w:sz="4" w:space="0"/>
            </w:tcBorders>
            <w:vAlign w:val="center"/>
          </w:tcPr>
          <w:p w14:paraId="4BD07B1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A02020200投影仪</w:t>
            </w:r>
          </w:p>
        </w:tc>
        <w:tc>
          <w:tcPr>
            <w:tcW w:w="1664" w:type="dxa"/>
            <w:tcBorders>
              <w:top w:val="single" w:color="000000" w:sz="4" w:space="0"/>
              <w:left w:val="single" w:color="000000" w:sz="4" w:space="0"/>
              <w:bottom w:val="single" w:color="000000" w:sz="4" w:space="0"/>
              <w:right w:val="single" w:color="000000" w:sz="4" w:space="0"/>
            </w:tcBorders>
            <w:vAlign w:val="center"/>
          </w:tcPr>
          <w:p w14:paraId="180EC3FA">
            <w:pPr>
              <w:jc w:val="center"/>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0980FE27">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vAlign w:val="center"/>
          </w:tcPr>
          <w:p w14:paraId="34A2D7B7">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《投影机能效限定值及能效等级》（GB32028）</w:t>
            </w:r>
          </w:p>
        </w:tc>
      </w:tr>
      <w:tr w14:paraId="6973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65D4799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661" w:type="dxa"/>
            <w:tcBorders>
              <w:top w:val="single" w:color="000000" w:sz="4" w:space="0"/>
              <w:left w:val="single" w:color="000000" w:sz="4" w:space="0"/>
              <w:bottom w:val="single" w:color="000000" w:sz="4" w:space="0"/>
              <w:right w:val="single" w:color="000000" w:sz="4" w:space="0"/>
            </w:tcBorders>
            <w:vAlign w:val="center"/>
          </w:tcPr>
          <w:p w14:paraId="23489C40">
            <w:pPr>
              <w:spacing w:before="66"/>
              <w:ind w:left="7"/>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A02020400</w:t>
            </w:r>
            <w:r>
              <w:rPr>
                <w:rFonts w:hint="eastAsia" w:ascii="仿宋" w:hAnsi="仿宋" w:eastAsia="仿宋" w:cs="仿宋"/>
                <w:color w:val="auto"/>
                <w:w w:val="99"/>
                <w:sz w:val="24"/>
                <w:szCs w:val="24"/>
                <w:highlight w:val="none"/>
                <w:lang w:eastAsia="en-US"/>
              </w:rPr>
              <w:t>多功能一体机</w:t>
            </w:r>
          </w:p>
        </w:tc>
        <w:tc>
          <w:tcPr>
            <w:tcW w:w="1664" w:type="dxa"/>
            <w:tcBorders>
              <w:top w:val="single" w:color="000000" w:sz="4" w:space="0"/>
              <w:left w:val="single" w:color="000000" w:sz="4" w:space="0"/>
              <w:bottom w:val="single" w:color="000000" w:sz="4" w:space="0"/>
              <w:right w:val="single" w:color="000000" w:sz="4" w:space="0"/>
            </w:tcBorders>
            <w:vAlign w:val="center"/>
          </w:tcPr>
          <w:p w14:paraId="339EFE4B">
            <w:pPr>
              <w:jc w:val="center"/>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758E622D">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vAlign w:val="center"/>
          </w:tcPr>
          <w:p w14:paraId="72595DDE">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《复印机、打印机和传真机能效限定值及能效等级》（GB21521）</w:t>
            </w:r>
          </w:p>
        </w:tc>
      </w:tr>
      <w:tr w14:paraId="3F99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7C1B4AA2">
            <w:pPr>
              <w:spacing w:before="160"/>
              <w:ind w:right="1"/>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5</w:t>
            </w:r>
          </w:p>
        </w:tc>
        <w:tc>
          <w:tcPr>
            <w:tcW w:w="1661" w:type="dxa"/>
            <w:tcBorders>
              <w:top w:val="single" w:color="000000" w:sz="4" w:space="0"/>
              <w:left w:val="single" w:color="000000" w:sz="4" w:space="0"/>
              <w:bottom w:val="single" w:color="000000" w:sz="4" w:space="0"/>
              <w:right w:val="single" w:color="000000" w:sz="4" w:space="0"/>
            </w:tcBorders>
            <w:vAlign w:val="center"/>
          </w:tcPr>
          <w:p w14:paraId="3E0B1067">
            <w:pPr>
              <w:spacing w:before="160"/>
              <w:ind w:left="7"/>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A02051900</w:t>
            </w:r>
            <w:r>
              <w:rPr>
                <w:rFonts w:hint="eastAsia" w:ascii="仿宋" w:hAnsi="仿宋" w:eastAsia="仿宋" w:cs="仿宋"/>
                <w:color w:val="auto"/>
                <w:w w:val="99"/>
                <w:sz w:val="24"/>
                <w:szCs w:val="24"/>
                <w:highlight w:val="none"/>
                <w:lang w:eastAsia="en-US"/>
              </w:rPr>
              <w:t>泵</w:t>
            </w:r>
          </w:p>
        </w:tc>
        <w:tc>
          <w:tcPr>
            <w:tcW w:w="1664" w:type="dxa"/>
            <w:tcBorders>
              <w:top w:val="single" w:color="000000" w:sz="4" w:space="0"/>
              <w:left w:val="single" w:color="000000" w:sz="4" w:space="0"/>
              <w:bottom w:val="single" w:color="000000" w:sz="4" w:space="0"/>
              <w:right w:val="single" w:color="000000" w:sz="4" w:space="0"/>
            </w:tcBorders>
            <w:vAlign w:val="center"/>
          </w:tcPr>
          <w:p w14:paraId="49811A75">
            <w:pPr>
              <w:spacing w:before="160"/>
              <w:ind w:left="7"/>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pacing w:val="1"/>
                <w:w w:val="99"/>
                <w:sz w:val="24"/>
                <w:szCs w:val="24"/>
                <w:highlight w:val="none"/>
                <w:lang w:eastAsia="en-US"/>
              </w:rPr>
              <w:t>A02</w:t>
            </w:r>
            <w:r>
              <w:rPr>
                <w:rFonts w:hint="eastAsia" w:ascii="仿宋" w:hAnsi="仿宋" w:eastAsia="仿宋" w:cs="仿宋"/>
                <w:color w:val="auto"/>
                <w:w w:val="99"/>
                <w:sz w:val="24"/>
                <w:szCs w:val="24"/>
                <w:highlight w:val="none"/>
                <w:lang w:eastAsia="en-US"/>
              </w:rPr>
              <w:t>05</w:t>
            </w:r>
            <w:r>
              <w:rPr>
                <w:rFonts w:hint="eastAsia" w:ascii="仿宋" w:hAnsi="仿宋" w:eastAsia="仿宋" w:cs="仿宋"/>
                <w:color w:val="auto"/>
                <w:spacing w:val="1"/>
                <w:w w:val="99"/>
                <w:sz w:val="24"/>
                <w:szCs w:val="24"/>
                <w:highlight w:val="none"/>
                <w:lang w:eastAsia="en-US"/>
              </w:rPr>
              <w:t>1</w:t>
            </w:r>
            <w:r>
              <w:rPr>
                <w:rFonts w:hint="eastAsia" w:ascii="仿宋" w:hAnsi="仿宋" w:eastAsia="仿宋" w:cs="仿宋"/>
                <w:color w:val="auto"/>
                <w:w w:val="99"/>
                <w:sz w:val="24"/>
                <w:szCs w:val="24"/>
                <w:highlight w:val="none"/>
                <w:lang w:eastAsia="en-US"/>
              </w:rPr>
              <w:t>901离心泵</w:t>
            </w:r>
          </w:p>
        </w:tc>
        <w:tc>
          <w:tcPr>
            <w:tcW w:w="1655" w:type="dxa"/>
            <w:tcBorders>
              <w:top w:val="single" w:color="000000" w:sz="4" w:space="0"/>
              <w:left w:val="single" w:color="000000" w:sz="4" w:space="0"/>
              <w:bottom w:val="single" w:color="000000" w:sz="4" w:space="0"/>
              <w:right w:val="single" w:color="000000" w:sz="4" w:space="0"/>
            </w:tcBorders>
            <w:vAlign w:val="center"/>
          </w:tcPr>
          <w:p w14:paraId="78E0C893">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627BB9F1">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《清水离心泵能效限定值及节能评价值》（GB19762）</w:t>
            </w:r>
          </w:p>
        </w:tc>
      </w:tr>
      <w:tr w14:paraId="2E9A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14:paraId="7733D15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661" w:type="dxa"/>
            <w:vMerge w:val="restart"/>
            <w:tcBorders>
              <w:top w:val="single" w:color="000000" w:sz="4" w:space="0"/>
              <w:left w:val="single" w:color="000000" w:sz="4" w:space="0"/>
              <w:bottom w:val="single" w:color="000000" w:sz="4" w:space="0"/>
              <w:right w:val="single" w:color="000000" w:sz="4" w:space="0"/>
            </w:tcBorders>
            <w:vAlign w:val="center"/>
          </w:tcPr>
          <w:p w14:paraId="19F36781">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A02052300</w:t>
            </w:r>
            <w:r>
              <w:rPr>
                <w:rFonts w:hint="eastAsia" w:ascii="仿宋" w:hAnsi="仿宋" w:eastAsia="仿宋" w:cs="仿宋"/>
                <w:color w:val="auto"/>
                <w:w w:val="99"/>
                <w:sz w:val="24"/>
                <w:szCs w:val="24"/>
                <w:highlight w:val="none"/>
                <w:lang w:eastAsia="en-US"/>
              </w:rPr>
              <w:t>制冷空调设备</w:t>
            </w:r>
          </w:p>
        </w:tc>
        <w:tc>
          <w:tcPr>
            <w:tcW w:w="1664" w:type="dxa"/>
            <w:vMerge w:val="restart"/>
            <w:tcBorders>
              <w:top w:val="single" w:color="000000" w:sz="4" w:space="0"/>
              <w:left w:val="single" w:color="000000" w:sz="4" w:space="0"/>
              <w:bottom w:val="single" w:color="000000" w:sz="4" w:space="0"/>
              <w:right w:val="single" w:color="000000" w:sz="4" w:space="0"/>
            </w:tcBorders>
            <w:vAlign w:val="center"/>
          </w:tcPr>
          <w:p w14:paraId="29D67271">
            <w:pPr>
              <w:spacing w:line="276" w:lineRule="auto"/>
              <w:ind w:right="5"/>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w:t>
            </w:r>
            <w:r>
              <w:rPr>
                <w:rFonts w:hint="eastAsia" w:ascii="仿宋" w:hAnsi="仿宋" w:eastAsia="仿宋" w:cs="仿宋"/>
                <w:color w:val="auto"/>
                <w:spacing w:val="1"/>
                <w:w w:val="99"/>
                <w:sz w:val="24"/>
                <w:szCs w:val="24"/>
                <w:highlight w:val="none"/>
                <w:lang w:eastAsia="en-US"/>
              </w:rPr>
              <w:t>A020</w:t>
            </w:r>
            <w:r>
              <w:rPr>
                <w:rFonts w:hint="eastAsia" w:ascii="仿宋" w:hAnsi="仿宋" w:eastAsia="仿宋" w:cs="仿宋"/>
                <w:color w:val="auto"/>
                <w:w w:val="99"/>
                <w:sz w:val="24"/>
                <w:szCs w:val="24"/>
                <w:highlight w:val="none"/>
                <w:lang w:eastAsia="en-US"/>
              </w:rPr>
              <w:t>52</w:t>
            </w:r>
            <w:r>
              <w:rPr>
                <w:rFonts w:hint="eastAsia" w:ascii="仿宋" w:hAnsi="仿宋" w:eastAsia="仿宋" w:cs="仿宋"/>
                <w:color w:val="auto"/>
                <w:spacing w:val="1"/>
                <w:w w:val="99"/>
                <w:sz w:val="24"/>
                <w:szCs w:val="24"/>
                <w:highlight w:val="none"/>
                <w:lang w:eastAsia="en-US"/>
              </w:rPr>
              <w:t>3</w:t>
            </w:r>
            <w:r>
              <w:rPr>
                <w:rFonts w:hint="eastAsia" w:ascii="仿宋" w:hAnsi="仿宋" w:eastAsia="仿宋" w:cs="仿宋"/>
                <w:color w:val="auto"/>
                <w:w w:val="99"/>
                <w:sz w:val="24"/>
                <w:szCs w:val="24"/>
                <w:highlight w:val="none"/>
                <w:lang w:eastAsia="en-US"/>
              </w:rPr>
              <w:t>01制冷压缩机</w:t>
            </w:r>
          </w:p>
        </w:tc>
        <w:tc>
          <w:tcPr>
            <w:tcW w:w="1655" w:type="dxa"/>
            <w:tcBorders>
              <w:top w:val="single" w:color="000000" w:sz="4" w:space="0"/>
              <w:left w:val="single" w:color="000000" w:sz="4" w:space="0"/>
              <w:bottom w:val="single" w:color="000000" w:sz="4" w:space="0"/>
              <w:right w:val="single" w:color="000000" w:sz="4" w:space="0"/>
            </w:tcBorders>
            <w:vAlign w:val="center"/>
          </w:tcPr>
          <w:p w14:paraId="22F123D5">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冷水机组</w:t>
            </w:r>
          </w:p>
        </w:tc>
        <w:tc>
          <w:tcPr>
            <w:tcW w:w="3717" w:type="dxa"/>
            <w:tcBorders>
              <w:top w:val="single" w:color="000000" w:sz="4" w:space="0"/>
              <w:left w:val="single" w:color="000000" w:sz="4" w:space="0"/>
              <w:bottom w:val="single" w:color="000000" w:sz="4" w:space="0"/>
              <w:right w:val="single" w:color="000000" w:sz="4" w:space="0"/>
            </w:tcBorders>
          </w:tcPr>
          <w:p w14:paraId="17F8607F">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《冷水机组能效限定值及能效等级》（GB19577），《低环境温度空气源热泵（冷水）机组能效限定值及能效等级》（GB37480）</w:t>
            </w:r>
          </w:p>
        </w:tc>
      </w:tr>
      <w:tr w14:paraId="5522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A6614B">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EF7DAC">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B4FA09">
            <w:pPr>
              <w:widowControl/>
              <w:jc w:val="left"/>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0BE9213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溴化锂吸收式冷水机组</w:t>
            </w:r>
          </w:p>
        </w:tc>
        <w:tc>
          <w:tcPr>
            <w:tcW w:w="3717" w:type="dxa"/>
            <w:tcBorders>
              <w:top w:val="single" w:color="000000" w:sz="4" w:space="0"/>
              <w:left w:val="single" w:color="000000" w:sz="4" w:space="0"/>
              <w:bottom w:val="single" w:color="000000" w:sz="4" w:space="0"/>
              <w:right w:val="single" w:color="000000" w:sz="4" w:space="0"/>
            </w:tcBorders>
            <w:vAlign w:val="center"/>
          </w:tcPr>
          <w:p w14:paraId="09ABC480">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《溴化锂吸收式冷水机组能效限</w:t>
            </w:r>
          </w:p>
          <w:p w14:paraId="1D9E189A">
            <w:pPr>
              <w:spacing w:before="131" w:line="276" w:lineRule="auto"/>
              <w:ind w:right="4"/>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定值及能效等级》（GB29540）</w:t>
            </w:r>
          </w:p>
        </w:tc>
      </w:tr>
      <w:tr w14:paraId="5AD7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53DA56">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3EBF095">
            <w:pPr>
              <w:widowControl/>
              <w:jc w:val="left"/>
              <w:rPr>
                <w:rFonts w:hint="eastAsia" w:ascii="仿宋" w:hAnsi="仿宋" w:eastAsia="仿宋" w:cs="仿宋"/>
                <w:color w:val="auto"/>
                <w:sz w:val="24"/>
                <w:szCs w:val="24"/>
                <w:highlight w:val="none"/>
              </w:rPr>
            </w:pPr>
          </w:p>
        </w:tc>
        <w:tc>
          <w:tcPr>
            <w:tcW w:w="1664" w:type="dxa"/>
            <w:vMerge w:val="restart"/>
            <w:tcBorders>
              <w:top w:val="single" w:color="000000" w:sz="4" w:space="0"/>
              <w:left w:val="single" w:color="000000" w:sz="4" w:space="0"/>
              <w:bottom w:val="single" w:color="000000" w:sz="4" w:space="0"/>
              <w:right w:val="single" w:color="000000" w:sz="4" w:space="0"/>
            </w:tcBorders>
            <w:vAlign w:val="center"/>
          </w:tcPr>
          <w:p w14:paraId="7D7947B6">
            <w:pPr>
              <w:spacing w:line="276" w:lineRule="auto"/>
              <w:ind w:right="5"/>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★A02052305空调机组</w:t>
            </w:r>
          </w:p>
        </w:tc>
        <w:tc>
          <w:tcPr>
            <w:tcW w:w="1655" w:type="dxa"/>
            <w:tcBorders>
              <w:top w:val="single" w:color="000000" w:sz="4" w:space="0"/>
              <w:left w:val="single" w:color="000000" w:sz="4" w:space="0"/>
              <w:bottom w:val="single" w:color="000000" w:sz="4" w:space="0"/>
              <w:right w:val="single" w:color="000000" w:sz="4" w:space="0"/>
            </w:tcBorders>
            <w:vAlign w:val="center"/>
          </w:tcPr>
          <w:p w14:paraId="30C10B2D">
            <w:pPr>
              <w:spacing w:before="4" w:line="276" w:lineRule="auto"/>
              <w:ind w:left="7" w:right="7"/>
              <w:jc w:val="center"/>
              <w:rPr>
                <w:rFonts w:hint="eastAsia" w:ascii="仿宋" w:hAnsi="仿宋" w:eastAsia="仿宋" w:cs="仿宋"/>
                <w:color w:val="auto"/>
                <w:w w:val="99"/>
                <w:sz w:val="24"/>
                <w:szCs w:val="24"/>
                <w:highlight w:val="none"/>
              </w:rPr>
            </w:pPr>
            <w:r>
              <w:rPr>
                <w:rFonts w:hint="eastAsia" w:ascii="仿宋" w:hAnsi="仿宋" w:eastAsia="仿宋" w:cs="仿宋"/>
                <w:color w:val="auto"/>
                <w:w w:val="99"/>
                <w:sz w:val="24"/>
                <w:szCs w:val="24"/>
                <w:highlight w:val="none"/>
              </w:rPr>
              <w:t>多联式空调（热泵）机组（制冷量&gt;14000W）</w:t>
            </w:r>
          </w:p>
        </w:tc>
        <w:tc>
          <w:tcPr>
            <w:tcW w:w="3717" w:type="dxa"/>
            <w:tcBorders>
              <w:top w:val="single" w:color="000000" w:sz="4" w:space="0"/>
              <w:left w:val="single" w:color="000000" w:sz="4" w:space="0"/>
              <w:bottom w:val="single" w:color="000000" w:sz="4" w:space="0"/>
              <w:right w:val="single" w:color="000000" w:sz="4" w:space="0"/>
            </w:tcBorders>
          </w:tcPr>
          <w:p w14:paraId="78D69323">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《多联式空调（热泵）机组能效限定值及能源效率等级》（GB21454）</w:t>
            </w:r>
          </w:p>
        </w:tc>
      </w:tr>
      <w:tr w14:paraId="7256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E55B78">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F2C498">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66C9EF6">
            <w:pPr>
              <w:widowControl/>
              <w:jc w:val="left"/>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001B0F80">
            <w:pPr>
              <w:jc w:val="center"/>
              <w:rPr>
                <w:rFonts w:hint="eastAsia" w:ascii="仿宋" w:hAnsi="仿宋" w:eastAsia="仿宋" w:cs="仿宋"/>
                <w:color w:val="auto"/>
                <w:sz w:val="24"/>
                <w:szCs w:val="24"/>
                <w:highlight w:val="none"/>
              </w:rPr>
            </w:pPr>
            <w:r>
              <w:rPr>
                <w:rFonts w:hint="eastAsia" w:ascii="仿宋" w:hAnsi="仿宋" w:eastAsia="仿宋" w:cs="仿宋"/>
                <w:color w:val="auto"/>
                <w:w w:val="99"/>
                <w:sz w:val="24"/>
                <w:szCs w:val="24"/>
                <w:highlight w:val="none"/>
              </w:rPr>
              <w:t>单元式空气调节机</w:t>
            </w:r>
          </w:p>
        </w:tc>
        <w:tc>
          <w:tcPr>
            <w:tcW w:w="3717" w:type="dxa"/>
            <w:tcBorders>
              <w:top w:val="single" w:color="000000" w:sz="4" w:space="0"/>
              <w:left w:val="single" w:color="000000" w:sz="4" w:space="0"/>
              <w:bottom w:val="single" w:color="000000" w:sz="4" w:space="0"/>
              <w:right w:val="single" w:color="000000" w:sz="4" w:space="0"/>
            </w:tcBorders>
          </w:tcPr>
          <w:p w14:paraId="292E5A99">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《单元式空气调节机能效限定值及能效等级》（GB19576）《风管送风式空调机组能效限定值及能效等级》（GB37479）</w:t>
            </w:r>
          </w:p>
        </w:tc>
      </w:tr>
      <w:tr w14:paraId="3636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18EB59">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099ADD">
            <w:pPr>
              <w:widowControl/>
              <w:jc w:val="left"/>
              <w:rPr>
                <w:rFonts w:hint="eastAsia" w:ascii="仿宋" w:hAnsi="仿宋" w:eastAsia="仿宋" w:cs="仿宋"/>
                <w:color w:val="auto"/>
                <w:sz w:val="24"/>
                <w:szCs w:val="24"/>
                <w:highlight w:val="none"/>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1586C88F">
            <w:pPr>
              <w:spacing w:before="83"/>
              <w:ind w:left="7"/>
              <w:jc w:val="center"/>
              <w:rPr>
                <w:rFonts w:hint="eastAsia" w:ascii="仿宋" w:hAnsi="仿宋" w:eastAsia="仿宋" w:cs="仿宋"/>
                <w:color w:val="auto"/>
                <w:w w:val="99"/>
                <w:sz w:val="24"/>
                <w:szCs w:val="24"/>
                <w:highlight w:val="none"/>
              </w:rPr>
            </w:pPr>
            <w:r>
              <w:rPr>
                <w:rFonts w:hint="eastAsia" w:ascii="仿宋" w:hAnsi="仿宋" w:eastAsia="仿宋" w:cs="仿宋"/>
                <w:color w:val="auto"/>
                <w:w w:val="99"/>
                <w:sz w:val="24"/>
                <w:szCs w:val="24"/>
                <w:highlight w:val="none"/>
              </w:rPr>
              <w:t>★A02052309专用制冷、空调设备</w:t>
            </w:r>
          </w:p>
        </w:tc>
        <w:tc>
          <w:tcPr>
            <w:tcW w:w="1655" w:type="dxa"/>
            <w:tcBorders>
              <w:top w:val="single" w:color="000000" w:sz="4" w:space="0"/>
              <w:left w:val="single" w:color="000000" w:sz="4" w:space="0"/>
              <w:bottom w:val="single" w:color="000000" w:sz="4" w:space="0"/>
              <w:right w:val="single" w:color="000000" w:sz="4" w:space="0"/>
            </w:tcBorders>
            <w:vAlign w:val="center"/>
          </w:tcPr>
          <w:p w14:paraId="6EC8D93B">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机房空调</w:t>
            </w:r>
          </w:p>
        </w:tc>
        <w:tc>
          <w:tcPr>
            <w:tcW w:w="3717" w:type="dxa"/>
            <w:tcBorders>
              <w:top w:val="single" w:color="000000" w:sz="4" w:space="0"/>
              <w:left w:val="single" w:color="000000" w:sz="4" w:space="0"/>
              <w:bottom w:val="single" w:color="000000" w:sz="4" w:space="0"/>
              <w:right w:val="single" w:color="000000" w:sz="4" w:space="0"/>
            </w:tcBorders>
          </w:tcPr>
          <w:p w14:paraId="2A42B0FC">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《单元式空气调节机能效限定值</w:t>
            </w:r>
          </w:p>
          <w:p w14:paraId="5B8C7376">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及能效等级》（GB19576）</w:t>
            </w:r>
          </w:p>
        </w:tc>
      </w:tr>
      <w:tr w14:paraId="0720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C43886F">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5D5F061">
            <w:pPr>
              <w:widowControl/>
              <w:jc w:val="left"/>
              <w:rPr>
                <w:rFonts w:hint="eastAsia" w:ascii="仿宋" w:hAnsi="仿宋" w:eastAsia="仿宋" w:cs="仿宋"/>
                <w:color w:val="auto"/>
                <w:sz w:val="24"/>
                <w:szCs w:val="24"/>
                <w:highlight w:val="none"/>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1B737BDA">
            <w:pPr>
              <w:spacing w:line="254" w:lineRule="exact"/>
              <w:ind w:left="7"/>
              <w:jc w:val="center"/>
              <w:rPr>
                <w:rFonts w:hint="eastAsia" w:ascii="仿宋" w:hAnsi="仿宋" w:eastAsia="仿宋" w:cs="仿宋"/>
                <w:color w:val="auto"/>
                <w:w w:val="99"/>
                <w:sz w:val="24"/>
                <w:szCs w:val="24"/>
                <w:highlight w:val="none"/>
                <w:lang w:eastAsia="en-US"/>
              </w:rPr>
            </w:pPr>
            <w:r>
              <w:rPr>
                <w:rFonts w:hint="eastAsia" w:ascii="仿宋" w:hAnsi="仿宋" w:eastAsia="仿宋" w:cs="仿宋"/>
                <w:color w:val="auto"/>
                <w:w w:val="99"/>
                <w:sz w:val="24"/>
                <w:szCs w:val="24"/>
                <w:highlight w:val="none"/>
                <w:lang w:eastAsia="en-US"/>
              </w:rPr>
              <w:t>A02052399其他制冷</w:t>
            </w:r>
          </w:p>
          <w:p w14:paraId="38632007">
            <w:pPr>
              <w:spacing w:line="254" w:lineRule="exact"/>
              <w:ind w:left="7"/>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空调设备</w:t>
            </w:r>
          </w:p>
        </w:tc>
        <w:tc>
          <w:tcPr>
            <w:tcW w:w="1655" w:type="dxa"/>
            <w:tcBorders>
              <w:top w:val="single" w:color="000000" w:sz="4" w:space="0"/>
              <w:left w:val="single" w:color="000000" w:sz="4" w:space="0"/>
              <w:bottom w:val="single" w:color="000000" w:sz="4" w:space="0"/>
              <w:right w:val="single" w:color="000000" w:sz="4" w:space="0"/>
            </w:tcBorders>
            <w:vAlign w:val="center"/>
          </w:tcPr>
          <w:p w14:paraId="4DD09179">
            <w:pPr>
              <w:widowControl/>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rPr>
              <w:t>冷却塔</w:t>
            </w:r>
          </w:p>
        </w:tc>
        <w:tc>
          <w:tcPr>
            <w:tcW w:w="3717" w:type="dxa"/>
            <w:tcBorders>
              <w:top w:val="single" w:color="000000" w:sz="4" w:space="0"/>
              <w:left w:val="single" w:color="000000" w:sz="4" w:space="0"/>
              <w:bottom w:val="single" w:color="000000" w:sz="4" w:space="0"/>
              <w:right w:val="single" w:color="000000" w:sz="4" w:space="0"/>
            </w:tcBorders>
          </w:tcPr>
          <w:p w14:paraId="55699C22">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《机械通风冷却塔第1部分：中小型开式冷却塔》（GB/T7190.1）</w:t>
            </w:r>
          </w:p>
          <w:p w14:paraId="4F97A1A3">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《机械通风冷却塔第2部分：大型开式冷却塔》（GB/T7190.2）</w:t>
            </w:r>
          </w:p>
        </w:tc>
      </w:tr>
      <w:tr w14:paraId="1982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0FDFF552">
            <w:pPr>
              <w:ind w:right="1"/>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7</w:t>
            </w:r>
          </w:p>
        </w:tc>
        <w:tc>
          <w:tcPr>
            <w:tcW w:w="1661" w:type="dxa"/>
            <w:tcBorders>
              <w:top w:val="single" w:color="000000" w:sz="4" w:space="0"/>
              <w:left w:val="single" w:color="000000" w:sz="4" w:space="0"/>
              <w:bottom w:val="single" w:color="000000" w:sz="4" w:space="0"/>
              <w:right w:val="single" w:color="000000" w:sz="4" w:space="0"/>
            </w:tcBorders>
            <w:vAlign w:val="center"/>
          </w:tcPr>
          <w:p w14:paraId="1DD303E3">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A02060100</w:t>
            </w:r>
            <w:r>
              <w:rPr>
                <w:rFonts w:hint="eastAsia" w:ascii="仿宋" w:hAnsi="仿宋" w:eastAsia="仿宋" w:cs="仿宋"/>
                <w:color w:val="auto"/>
                <w:w w:val="99"/>
                <w:sz w:val="24"/>
                <w:szCs w:val="24"/>
                <w:highlight w:val="none"/>
                <w:lang w:eastAsia="en-US"/>
              </w:rPr>
              <w:t>电机</w:t>
            </w:r>
          </w:p>
        </w:tc>
        <w:tc>
          <w:tcPr>
            <w:tcW w:w="1664" w:type="dxa"/>
            <w:tcBorders>
              <w:top w:val="single" w:color="000000" w:sz="4" w:space="0"/>
              <w:left w:val="single" w:color="000000" w:sz="4" w:space="0"/>
              <w:bottom w:val="single" w:color="000000" w:sz="4" w:space="0"/>
              <w:right w:val="single" w:color="000000" w:sz="4" w:space="0"/>
            </w:tcBorders>
            <w:vAlign w:val="center"/>
          </w:tcPr>
          <w:p w14:paraId="4348DEAD">
            <w:pPr>
              <w:jc w:val="center"/>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5D936A10">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7B58D222">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《中小型三相异步电动机能效限定值及能效等级》（GB18613）</w:t>
            </w:r>
          </w:p>
        </w:tc>
      </w:tr>
      <w:tr w14:paraId="00BF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3898E417">
            <w:pPr>
              <w:ind w:right="1"/>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8</w:t>
            </w:r>
          </w:p>
        </w:tc>
        <w:tc>
          <w:tcPr>
            <w:tcW w:w="1661" w:type="dxa"/>
            <w:tcBorders>
              <w:top w:val="single" w:color="000000" w:sz="4" w:space="0"/>
              <w:left w:val="single" w:color="000000" w:sz="4" w:space="0"/>
              <w:bottom w:val="single" w:color="000000" w:sz="4" w:space="0"/>
              <w:right w:val="single" w:color="000000" w:sz="4" w:space="0"/>
            </w:tcBorders>
            <w:vAlign w:val="center"/>
          </w:tcPr>
          <w:p w14:paraId="5C732836">
            <w:pPr>
              <w:spacing w:before="30"/>
              <w:ind w:left="7"/>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A02060200</w:t>
            </w:r>
            <w:r>
              <w:rPr>
                <w:rFonts w:hint="eastAsia" w:ascii="仿宋" w:hAnsi="仿宋" w:eastAsia="仿宋" w:cs="仿宋"/>
                <w:color w:val="auto"/>
                <w:w w:val="99"/>
                <w:sz w:val="24"/>
                <w:szCs w:val="24"/>
                <w:highlight w:val="none"/>
                <w:lang w:eastAsia="en-US"/>
              </w:rPr>
              <w:t>变压</w:t>
            </w:r>
          </w:p>
        </w:tc>
        <w:tc>
          <w:tcPr>
            <w:tcW w:w="1664" w:type="dxa"/>
            <w:tcBorders>
              <w:top w:val="single" w:color="000000" w:sz="4" w:space="0"/>
              <w:left w:val="single" w:color="000000" w:sz="4" w:space="0"/>
              <w:bottom w:val="single" w:color="000000" w:sz="4" w:space="0"/>
              <w:right w:val="single" w:color="000000" w:sz="4" w:space="0"/>
            </w:tcBorders>
            <w:vAlign w:val="center"/>
          </w:tcPr>
          <w:p w14:paraId="48DA81FF">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配电变压器</w:t>
            </w:r>
          </w:p>
        </w:tc>
        <w:tc>
          <w:tcPr>
            <w:tcW w:w="1655" w:type="dxa"/>
            <w:tcBorders>
              <w:top w:val="single" w:color="000000" w:sz="4" w:space="0"/>
              <w:left w:val="single" w:color="000000" w:sz="4" w:space="0"/>
              <w:bottom w:val="single" w:color="000000" w:sz="4" w:space="0"/>
              <w:right w:val="single" w:color="000000" w:sz="4" w:space="0"/>
            </w:tcBorders>
            <w:vAlign w:val="center"/>
          </w:tcPr>
          <w:p w14:paraId="01BA0070">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57AF7246">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《三相配电变压器能效限定值及能效等级》（GB 20052）</w:t>
            </w:r>
          </w:p>
        </w:tc>
      </w:tr>
      <w:tr w14:paraId="18CF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564F8949">
            <w:pPr>
              <w:ind w:right="1"/>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9</w:t>
            </w:r>
          </w:p>
        </w:tc>
        <w:tc>
          <w:tcPr>
            <w:tcW w:w="1661" w:type="dxa"/>
            <w:tcBorders>
              <w:top w:val="single" w:color="000000" w:sz="4" w:space="0"/>
              <w:left w:val="single" w:color="000000" w:sz="4" w:space="0"/>
              <w:bottom w:val="single" w:color="000000" w:sz="4" w:space="0"/>
              <w:right w:val="single" w:color="000000" w:sz="4" w:space="0"/>
            </w:tcBorders>
            <w:vAlign w:val="center"/>
          </w:tcPr>
          <w:p w14:paraId="445295F4">
            <w:pPr>
              <w:spacing w:before="126"/>
              <w:ind w:left="7"/>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★A02060900镇流器</w:t>
            </w:r>
          </w:p>
        </w:tc>
        <w:tc>
          <w:tcPr>
            <w:tcW w:w="1664" w:type="dxa"/>
            <w:tcBorders>
              <w:top w:val="single" w:color="000000" w:sz="4" w:space="0"/>
              <w:left w:val="single" w:color="000000" w:sz="4" w:space="0"/>
              <w:bottom w:val="single" w:color="000000" w:sz="4" w:space="0"/>
              <w:right w:val="single" w:color="000000" w:sz="4" w:space="0"/>
            </w:tcBorders>
            <w:vAlign w:val="center"/>
          </w:tcPr>
          <w:p w14:paraId="2F4F8E2E">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管型荧光灯镇流器</w:t>
            </w:r>
          </w:p>
        </w:tc>
        <w:tc>
          <w:tcPr>
            <w:tcW w:w="1655" w:type="dxa"/>
            <w:tcBorders>
              <w:top w:val="single" w:color="000000" w:sz="4" w:space="0"/>
              <w:left w:val="single" w:color="000000" w:sz="4" w:space="0"/>
              <w:bottom w:val="single" w:color="000000" w:sz="4" w:space="0"/>
              <w:right w:val="single" w:color="000000" w:sz="4" w:space="0"/>
            </w:tcBorders>
            <w:vAlign w:val="center"/>
          </w:tcPr>
          <w:p w14:paraId="1A0E3AB4">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2EEEC383">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《管形荧光灯镇流器能效限定值及能效等级》（GB17896）</w:t>
            </w:r>
          </w:p>
        </w:tc>
      </w:tr>
      <w:tr w14:paraId="0B38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14:paraId="64E1F466">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10</w:t>
            </w:r>
          </w:p>
        </w:tc>
        <w:tc>
          <w:tcPr>
            <w:tcW w:w="1661" w:type="dxa"/>
            <w:vMerge w:val="restart"/>
            <w:tcBorders>
              <w:top w:val="single" w:color="000000" w:sz="4" w:space="0"/>
              <w:left w:val="single" w:color="000000" w:sz="4" w:space="0"/>
              <w:bottom w:val="single" w:color="000000" w:sz="4" w:space="0"/>
              <w:right w:val="single" w:color="000000" w:sz="4" w:space="0"/>
            </w:tcBorders>
            <w:vAlign w:val="center"/>
          </w:tcPr>
          <w:p w14:paraId="4B69D282">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A02061800生活用电器</w:t>
            </w:r>
          </w:p>
        </w:tc>
        <w:tc>
          <w:tcPr>
            <w:tcW w:w="1664" w:type="dxa"/>
            <w:tcBorders>
              <w:top w:val="single" w:color="000000" w:sz="4" w:space="0"/>
              <w:left w:val="single" w:color="000000" w:sz="4" w:space="0"/>
              <w:bottom w:val="single" w:color="000000" w:sz="4" w:space="0"/>
              <w:right w:val="single" w:color="000000" w:sz="4" w:space="0"/>
            </w:tcBorders>
            <w:vAlign w:val="center"/>
          </w:tcPr>
          <w:p w14:paraId="35BD9CD2">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A02061801电冰箱</w:t>
            </w:r>
          </w:p>
        </w:tc>
        <w:tc>
          <w:tcPr>
            <w:tcW w:w="1655" w:type="dxa"/>
            <w:tcBorders>
              <w:top w:val="single" w:color="000000" w:sz="4" w:space="0"/>
              <w:left w:val="single" w:color="000000" w:sz="4" w:space="0"/>
              <w:bottom w:val="single" w:color="000000" w:sz="4" w:space="0"/>
              <w:right w:val="single" w:color="000000" w:sz="4" w:space="0"/>
            </w:tcBorders>
            <w:vAlign w:val="center"/>
          </w:tcPr>
          <w:p w14:paraId="4635E4BA">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1C949581">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《家用电冰箱耗电量限定值及能效等级》（GB12021.2）</w:t>
            </w:r>
          </w:p>
        </w:tc>
      </w:tr>
      <w:tr w14:paraId="39E0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E9C583">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14ADC8D">
            <w:pPr>
              <w:widowControl/>
              <w:jc w:val="left"/>
              <w:rPr>
                <w:rFonts w:hint="eastAsia" w:ascii="仿宋" w:hAnsi="仿宋" w:eastAsia="仿宋" w:cs="仿宋"/>
                <w:color w:val="auto"/>
                <w:sz w:val="24"/>
                <w:szCs w:val="24"/>
                <w:highlight w:val="none"/>
              </w:rPr>
            </w:pPr>
          </w:p>
        </w:tc>
        <w:tc>
          <w:tcPr>
            <w:tcW w:w="1664" w:type="dxa"/>
            <w:vMerge w:val="restart"/>
            <w:tcBorders>
              <w:top w:val="single" w:color="000000" w:sz="4" w:space="0"/>
              <w:left w:val="single" w:color="000000" w:sz="4" w:space="0"/>
              <w:bottom w:val="single" w:color="000000" w:sz="4" w:space="0"/>
              <w:right w:val="single" w:color="000000" w:sz="4" w:space="0"/>
            </w:tcBorders>
            <w:vAlign w:val="center"/>
          </w:tcPr>
          <w:p w14:paraId="3FFBDC46">
            <w:pPr>
              <w:spacing w:before="171"/>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w:t>
            </w:r>
            <w:r>
              <w:rPr>
                <w:rFonts w:hint="eastAsia" w:ascii="仿宋" w:hAnsi="仿宋" w:eastAsia="仿宋" w:cs="仿宋"/>
                <w:color w:val="auto"/>
                <w:sz w:val="24"/>
                <w:szCs w:val="24"/>
                <w:highlight w:val="none"/>
                <w:lang w:eastAsia="en-US"/>
              </w:rPr>
              <w:t>A02061804</w:t>
            </w:r>
            <w:r>
              <w:rPr>
                <w:rFonts w:hint="eastAsia" w:ascii="仿宋" w:hAnsi="仿宋" w:eastAsia="仿宋" w:cs="仿宋"/>
                <w:color w:val="auto"/>
                <w:w w:val="99"/>
                <w:sz w:val="24"/>
                <w:szCs w:val="24"/>
                <w:highlight w:val="none"/>
                <w:lang w:eastAsia="en-US"/>
              </w:rPr>
              <w:t>空调机</w:t>
            </w:r>
          </w:p>
        </w:tc>
        <w:tc>
          <w:tcPr>
            <w:tcW w:w="1655" w:type="dxa"/>
            <w:tcBorders>
              <w:top w:val="single" w:color="000000" w:sz="4" w:space="0"/>
              <w:left w:val="single" w:color="000000" w:sz="4" w:space="0"/>
              <w:bottom w:val="single" w:color="000000" w:sz="4" w:space="0"/>
              <w:right w:val="single" w:color="000000" w:sz="4" w:space="0"/>
            </w:tcBorders>
            <w:vAlign w:val="center"/>
          </w:tcPr>
          <w:p w14:paraId="3C3E351C">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房间空气调节器</w:t>
            </w:r>
          </w:p>
        </w:tc>
        <w:tc>
          <w:tcPr>
            <w:tcW w:w="3717" w:type="dxa"/>
            <w:tcBorders>
              <w:top w:val="single" w:color="000000" w:sz="4" w:space="0"/>
              <w:left w:val="single" w:color="000000" w:sz="4" w:space="0"/>
              <w:bottom w:val="single" w:color="000000" w:sz="4" w:space="0"/>
              <w:right w:val="single" w:color="000000" w:sz="4" w:space="0"/>
            </w:tcBorders>
          </w:tcPr>
          <w:p w14:paraId="3988382E">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《房间空气调节器能效限定值及能效等级》（GB21455-2019）</w:t>
            </w:r>
          </w:p>
        </w:tc>
      </w:tr>
      <w:tr w14:paraId="09A3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7A3D9F">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9AFC49">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CD8291">
            <w:pPr>
              <w:widowControl/>
              <w:jc w:val="left"/>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3516CCDE">
            <w:pPr>
              <w:spacing w:before="4" w:line="276" w:lineRule="auto"/>
              <w:ind w:left="7" w:right="7"/>
              <w:jc w:val="center"/>
              <w:rPr>
                <w:rFonts w:hint="eastAsia" w:ascii="仿宋" w:hAnsi="仿宋" w:eastAsia="仿宋" w:cs="仿宋"/>
                <w:color w:val="auto"/>
                <w:sz w:val="24"/>
                <w:szCs w:val="24"/>
                <w:highlight w:val="none"/>
              </w:rPr>
            </w:pPr>
            <w:r>
              <w:rPr>
                <w:rFonts w:hint="eastAsia" w:ascii="仿宋" w:hAnsi="仿宋" w:eastAsia="仿宋" w:cs="仿宋"/>
                <w:color w:val="auto"/>
                <w:w w:val="99"/>
                <w:sz w:val="24"/>
                <w:szCs w:val="24"/>
                <w:highlight w:val="none"/>
              </w:rPr>
              <w:t>多联式空调（热泵）机组（制冷量≤ 14000W）</w:t>
            </w:r>
          </w:p>
        </w:tc>
        <w:tc>
          <w:tcPr>
            <w:tcW w:w="3717" w:type="dxa"/>
            <w:tcBorders>
              <w:top w:val="single" w:color="000000" w:sz="4" w:space="0"/>
              <w:left w:val="single" w:color="000000" w:sz="4" w:space="0"/>
              <w:bottom w:val="single" w:color="000000" w:sz="4" w:space="0"/>
              <w:right w:val="single" w:color="000000" w:sz="4" w:space="0"/>
            </w:tcBorders>
          </w:tcPr>
          <w:p w14:paraId="46BE3278">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《多联式空调（热泵）机组能效限定值及能源效率等级》（GB21454）</w:t>
            </w:r>
          </w:p>
        </w:tc>
      </w:tr>
      <w:tr w14:paraId="3F8D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337FB8">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5B78259">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105544">
            <w:pPr>
              <w:widowControl/>
              <w:jc w:val="left"/>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49A3EFBD">
            <w:pPr>
              <w:jc w:val="center"/>
              <w:rPr>
                <w:rFonts w:hint="eastAsia" w:ascii="仿宋" w:hAnsi="仿宋" w:eastAsia="仿宋" w:cs="仿宋"/>
                <w:color w:val="auto"/>
                <w:sz w:val="24"/>
                <w:szCs w:val="24"/>
                <w:highlight w:val="none"/>
              </w:rPr>
            </w:pPr>
            <w:r>
              <w:rPr>
                <w:rFonts w:hint="eastAsia" w:ascii="仿宋" w:hAnsi="仿宋" w:eastAsia="仿宋" w:cs="仿宋"/>
                <w:color w:val="auto"/>
                <w:w w:val="99"/>
                <w:sz w:val="24"/>
                <w:szCs w:val="24"/>
                <w:highlight w:val="none"/>
              </w:rPr>
              <w:t>单元式空气调节机（制冷量≤ 14000W）</w:t>
            </w:r>
          </w:p>
        </w:tc>
        <w:tc>
          <w:tcPr>
            <w:tcW w:w="3717" w:type="dxa"/>
            <w:tcBorders>
              <w:top w:val="single" w:color="000000" w:sz="4" w:space="0"/>
              <w:left w:val="single" w:color="000000" w:sz="4" w:space="0"/>
              <w:bottom w:val="single" w:color="000000" w:sz="4" w:space="0"/>
              <w:right w:val="single" w:color="000000" w:sz="4" w:space="0"/>
            </w:tcBorders>
          </w:tcPr>
          <w:p w14:paraId="3130FE00">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《单元式空气调节机能效限定值及能源效率等级》（GB19576）《风管送风式空调机组能效限定值及能效等级》（GB37479）</w:t>
            </w:r>
          </w:p>
        </w:tc>
      </w:tr>
      <w:tr w14:paraId="6494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EE6290">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47F50B">
            <w:pPr>
              <w:widowControl/>
              <w:jc w:val="left"/>
              <w:rPr>
                <w:rFonts w:hint="eastAsia" w:ascii="仿宋" w:hAnsi="仿宋" w:eastAsia="仿宋" w:cs="仿宋"/>
                <w:color w:val="auto"/>
                <w:sz w:val="24"/>
                <w:szCs w:val="24"/>
                <w:highlight w:val="none"/>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2B9092D2">
            <w:pPr>
              <w:spacing w:before="162"/>
              <w:ind w:left="7"/>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A02061810</w:t>
            </w:r>
            <w:r>
              <w:rPr>
                <w:rFonts w:hint="eastAsia" w:ascii="仿宋" w:hAnsi="仿宋" w:eastAsia="仿宋" w:cs="仿宋"/>
                <w:color w:val="auto"/>
                <w:w w:val="99"/>
                <w:sz w:val="24"/>
                <w:szCs w:val="24"/>
                <w:highlight w:val="none"/>
                <w:lang w:eastAsia="en-US"/>
              </w:rPr>
              <w:t>洗衣机</w:t>
            </w:r>
          </w:p>
        </w:tc>
        <w:tc>
          <w:tcPr>
            <w:tcW w:w="1655" w:type="dxa"/>
            <w:tcBorders>
              <w:top w:val="single" w:color="000000" w:sz="4" w:space="0"/>
              <w:left w:val="single" w:color="000000" w:sz="4" w:space="0"/>
              <w:bottom w:val="single" w:color="000000" w:sz="4" w:space="0"/>
              <w:right w:val="single" w:color="000000" w:sz="4" w:space="0"/>
            </w:tcBorders>
            <w:vAlign w:val="center"/>
          </w:tcPr>
          <w:p w14:paraId="645D4460">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6914F8A7">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《电动洗衣机能效水效限定值及等级》（GB12021.4）</w:t>
            </w:r>
          </w:p>
        </w:tc>
      </w:tr>
      <w:tr w14:paraId="2DED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AD7FF8">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8131CAC">
            <w:pPr>
              <w:widowControl/>
              <w:jc w:val="left"/>
              <w:rPr>
                <w:rFonts w:hint="eastAsia" w:ascii="仿宋" w:hAnsi="仿宋" w:eastAsia="仿宋" w:cs="仿宋"/>
                <w:color w:val="auto"/>
                <w:sz w:val="24"/>
                <w:szCs w:val="24"/>
                <w:highlight w:val="none"/>
              </w:rPr>
            </w:pPr>
          </w:p>
        </w:tc>
        <w:tc>
          <w:tcPr>
            <w:tcW w:w="1664" w:type="dxa"/>
            <w:vMerge w:val="restart"/>
            <w:tcBorders>
              <w:top w:val="single" w:color="000000" w:sz="4" w:space="0"/>
              <w:left w:val="single" w:color="000000" w:sz="4" w:space="0"/>
              <w:bottom w:val="single" w:color="000000" w:sz="4" w:space="0"/>
              <w:right w:val="single" w:color="000000" w:sz="4" w:space="0"/>
            </w:tcBorders>
            <w:vAlign w:val="center"/>
          </w:tcPr>
          <w:p w14:paraId="303FA237">
            <w:pPr>
              <w:spacing w:before="161"/>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A02061819</w:t>
            </w:r>
            <w:r>
              <w:rPr>
                <w:rFonts w:hint="eastAsia" w:ascii="仿宋" w:hAnsi="仿宋" w:eastAsia="仿宋" w:cs="仿宋"/>
                <w:color w:val="auto"/>
                <w:w w:val="99"/>
                <w:sz w:val="24"/>
                <w:szCs w:val="24"/>
                <w:highlight w:val="none"/>
                <w:lang w:eastAsia="en-US"/>
              </w:rPr>
              <w:t>热水器</w:t>
            </w:r>
          </w:p>
        </w:tc>
        <w:tc>
          <w:tcPr>
            <w:tcW w:w="1655" w:type="dxa"/>
            <w:tcBorders>
              <w:top w:val="single" w:color="000000" w:sz="4" w:space="0"/>
              <w:left w:val="single" w:color="000000" w:sz="4" w:space="0"/>
              <w:bottom w:val="single" w:color="000000" w:sz="4" w:space="0"/>
              <w:right w:val="single" w:color="000000" w:sz="4" w:space="0"/>
            </w:tcBorders>
            <w:vAlign w:val="center"/>
          </w:tcPr>
          <w:p w14:paraId="143EE682">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★电热</w:t>
            </w:r>
            <w:r>
              <w:rPr>
                <w:rFonts w:hint="eastAsia" w:ascii="仿宋" w:hAnsi="仿宋" w:eastAsia="仿宋" w:cs="仿宋"/>
                <w:color w:val="auto"/>
                <w:spacing w:val="2"/>
                <w:w w:val="99"/>
                <w:sz w:val="24"/>
                <w:szCs w:val="24"/>
                <w:highlight w:val="none"/>
                <w:lang w:eastAsia="en-US"/>
              </w:rPr>
              <w:t>水</w:t>
            </w:r>
            <w:r>
              <w:rPr>
                <w:rFonts w:hint="eastAsia" w:ascii="仿宋" w:hAnsi="仿宋" w:eastAsia="仿宋" w:cs="仿宋"/>
                <w:color w:val="auto"/>
                <w:w w:val="99"/>
                <w:sz w:val="24"/>
                <w:szCs w:val="24"/>
                <w:highlight w:val="none"/>
                <w:lang w:eastAsia="en-US"/>
              </w:rPr>
              <w:t>器</w:t>
            </w:r>
          </w:p>
        </w:tc>
        <w:tc>
          <w:tcPr>
            <w:tcW w:w="3717" w:type="dxa"/>
            <w:tcBorders>
              <w:top w:val="single" w:color="000000" w:sz="4" w:space="0"/>
              <w:left w:val="single" w:color="000000" w:sz="4" w:space="0"/>
              <w:bottom w:val="single" w:color="000000" w:sz="4" w:space="0"/>
              <w:right w:val="single" w:color="000000" w:sz="4" w:space="0"/>
            </w:tcBorders>
          </w:tcPr>
          <w:p w14:paraId="4C1DCA7D">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《储水式电热水器能效限定值及能效等级》（GB21519）</w:t>
            </w:r>
          </w:p>
        </w:tc>
      </w:tr>
      <w:tr w14:paraId="66E0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E66B616">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64306C">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A2958C">
            <w:pPr>
              <w:widowControl/>
              <w:jc w:val="left"/>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2B4FEE6F">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燃气热</w:t>
            </w:r>
            <w:r>
              <w:rPr>
                <w:rFonts w:hint="eastAsia" w:ascii="仿宋" w:hAnsi="仿宋" w:eastAsia="仿宋" w:cs="仿宋"/>
                <w:color w:val="auto"/>
                <w:spacing w:val="2"/>
                <w:w w:val="99"/>
                <w:sz w:val="24"/>
                <w:szCs w:val="24"/>
                <w:highlight w:val="none"/>
                <w:lang w:eastAsia="en-US"/>
              </w:rPr>
              <w:t>水</w:t>
            </w:r>
            <w:r>
              <w:rPr>
                <w:rFonts w:hint="eastAsia" w:ascii="仿宋" w:hAnsi="仿宋" w:eastAsia="仿宋" w:cs="仿宋"/>
                <w:color w:val="auto"/>
                <w:w w:val="99"/>
                <w:sz w:val="24"/>
                <w:szCs w:val="24"/>
                <w:highlight w:val="none"/>
                <w:lang w:eastAsia="en-US"/>
              </w:rPr>
              <w:t>器</w:t>
            </w:r>
          </w:p>
        </w:tc>
        <w:tc>
          <w:tcPr>
            <w:tcW w:w="3717" w:type="dxa"/>
            <w:tcBorders>
              <w:top w:val="single" w:color="000000" w:sz="4" w:space="0"/>
              <w:left w:val="single" w:color="000000" w:sz="4" w:space="0"/>
              <w:bottom w:val="single" w:color="000000" w:sz="4" w:space="0"/>
              <w:right w:val="single" w:color="000000" w:sz="4" w:space="0"/>
            </w:tcBorders>
          </w:tcPr>
          <w:p w14:paraId="347AD23F">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《家用燃气快速热水器和燃气采暖热水炉能效限定值及能效等级》（GB20665）</w:t>
            </w:r>
          </w:p>
        </w:tc>
      </w:tr>
      <w:tr w14:paraId="6DF1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D4F7C6D">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D65500A">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2BC85CC">
            <w:pPr>
              <w:widowControl/>
              <w:jc w:val="left"/>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0565A7D3">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热泵热</w:t>
            </w:r>
            <w:r>
              <w:rPr>
                <w:rFonts w:hint="eastAsia" w:ascii="仿宋" w:hAnsi="仿宋" w:eastAsia="仿宋" w:cs="仿宋"/>
                <w:color w:val="auto"/>
                <w:spacing w:val="2"/>
                <w:w w:val="99"/>
                <w:sz w:val="24"/>
                <w:szCs w:val="24"/>
                <w:highlight w:val="none"/>
                <w:lang w:eastAsia="en-US"/>
              </w:rPr>
              <w:t>水</w:t>
            </w:r>
            <w:r>
              <w:rPr>
                <w:rFonts w:hint="eastAsia" w:ascii="仿宋" w:hAnsi="仿宋" w:eastAsia="仿宋" w:cs="仿宋"/>
                <w:color w:val="auto"/>
                <w:w w:val="99"/>
                <w:sz w:val="24"/>
                <w:szCs w:val="24"/>
                <w:highlight w:val="none"/>
                <w:lang w:eastAsia="en-US"/>
              </w:rPr>
              <w:t>器</w:t>
            </w:r>
          </w:p>
        </w:tc>
        <w:tc>
          <w:tcPr>
            <w:tcW w:w="3717" w:type="dxa"/>
            <w:tcBorders>
              <w:top w:val="single" w:color="000000" w:sz="4" w:space="0"/>
              <w:left w:val="single" w:color="000000" w:sz="4" w:space="0"/>
              <w:bottom w:val="single" w:color="000000" w:sz="4" w:space="0"/>
              <w:right w:val="single" w:color="000000" w:sz="4" w:space="0"/>
            </w:tcBorders>
          </w:tcPr>
          <w:p w14:paraId="27E3EC6C">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《热泵热水机（器）能效限定值及能效等级》（GB29541）</w:t>
            </w:r>
          </w:p>
        </w:tc>
      </w:tr>
      <w:tr w14:paraId="022D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B006B2A">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A1C182E">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D8622B">
            <w:pPr>
              <w:widowControl/>
              <w:jc w:val="left"/>
              <w:rPr>
                <w:rFonts w:hint="eastAsia" w:ascii="仿宋" w:hAnsi="仿宋" w:eastAsia="仿宋" w:cs="仿宋"/>
                <w:color w:val="auto"/>
                <w:sz w:val="24"/>
                <w:szCs w:val="24"/>
                <w:highlight w:val="none"/>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723AF412">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太阳能</w:t>
            </w:r>
            <w:r>
              <w:rPr>
                <w:rFonts w:hint="eastAsia" w:ascii="仿宋" w:hAnsi="仿宋" w:eastAsia="仿宋" w:cs="仿宋"/>
                <w:color w:val="auto"/>
                <w:spacing w:val="2"/>
                <w:w w:val="99"/>
                <w:sz w:val="24"/>
                <w:szCs w:val="24"/>
                <w:highlight w:val="none"/>
                <w:lang w:eastAsia="en-US"/>
              </w:rPr>
              <w:t>热</w:t>
            </w:r>
            <w:r>
              <w:rPr>
                <w:rFonts w:hint="eastAsia" w:ascii="仿宋" w:hAnsi="仿宋" w:eastAsia="仿宋" w:cs="仿宋"/>
                <w:color w:val="auto"/>
                <w:w w:val="99"/>
                <w:sz w:val="24"/>
                <w:szCs w:val="24"/>
                <w:highlight w:val="none"/>
                <w:lang w:eastAsia="en-US"/>
              </w:rPr>
              <w:t>水系统</w:t>
            </w:r>
          </w:p>
        </w:tc>
        <w:tc>
          <w:tcPr>
            <w:tcW w:w="3717" w:type="dxa"/>
            <w:tcBorders>
              <w:top w:val="single" w:color="000000" w:sz="4" w:space="0"/>
              <w:left w:val="single" w:color="000000" w:sz="4" w:space="0"/>
              <w:bottom w:val="single" w:color="000000" w:sz="4" w:space="0"/>
              <w:right w:val="single" w:color="000000" w:sz="4" w:space="0"/>
            </w:tcBorders>
          </w:tcPr>
          <w:p w14:paraId="5AB23878">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《家用太阳能热水系统能效限定值及能效等级》（GB26969）</w:t>
            </w:r>
          </w:p>
        </w:tc>
      </w:tr>
      <w:tr w14:paraId="1B32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14:paraId="1C8AB219">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pacing w:val="1"/>
                <w:w w:val="99"/>
                <w:sz w:val="24"/>
                <w:szCs w:val="24"/>
                <w:highlight w:val="none"/>
                <w:lang w:eastAsia="en-US"/>
              </w:rPr>
              <w:t>1</w:t>
            </w:r>
            <w:r>
              <w:rPr>
                <w:rFonts w:hint="eastAsia" w:ascii="仿宋" w:hAnsi="仿宋" w:eastAsia="仿宋" w:cs="仿宋"/>
                <w:color w:val="auto"/>
                <w:w w:val="99"/>
                <w:sz w:val="24"/>
                <w:szCs w:val="24"/>
                <w:highlight w:val="none"/>
                <w:lang w:eastAsia="en-US"/>
              </w:rPr>
              <w:t>1</w:t>
            </w:r>
          </w:p>
        </w:tc>
        <w:tc>
          <w:tcPr>
            <w:tcW w:w="1661" w:type="dxa"/>
            <w:vMerge w:val="restart"/>
            <w:tcBorders>
              <w:top w:val="single" w:color="000000" w:sz="4" w:space="0"/>
              <w:left w:val="single" w:color="000000" w:sz="4" w:space="0"/>
              <w:bottom w:val="single" w:color="000000" w:sz="4" w:space="0"/>
              <w:right w:val="single" w:color="000000" w:sz="4" w:space="0"/>
            </w:tcBorders>
            <w:vAlign w:val="center"/>
          </w:tcPr>
          <w:p w14:paraId="0FDF354A">
            <w:pPr>
              <w:spacing w:before="157"/>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pacing w:val="1"/>
                <w:w w:val="99"/>
                <w:sz w:val="24"/>
                <w:szCs w:val="24"/>
                <w:highlight w:val="none"/>
                <w:lang w:eastAsia="en-US"/>
              </w:rPr>
              <w:t>A02</w:t>
            </w:r>
            <w:r>
              <w:rPr>
                <w:rFonts w:hint="eastAsia" w:ascii="仿宋" w:hAnsi="仿宋" w:eastAsia="仿宋" w:cs="仿宋"/>
                <w:color w:val="auto"/>
                <w:w w:val="99"/>
                <w:sz w:val="24"/>
                <w:szCs w:val="24"/>
                <w:highlight w:val="none"/>
                <w:lang w:eastAsia="en-US"/>
              </w:rPr>
              <w:t>06</w:t>
            </w:r>
            <w:r>
              <w:rPr>
                <w:rFonts w:hint="eastAsia" w:ascii="仿宋" w:hAnsi="仿宋" w:eastAsia="仿宋" w:cs="仿宋"/>
                <w:color w:val="auto"/>
                <w:spacing w:val="1"/>
                <w:w w:val="99"/>
                <w:sz w:val="24"/>
                <w:szCs w:val="24"/>
                <w:highlight w:val="none"/>
                <w:lang w:eastAsia="en-US"/>
              </w:rPr>
              <w:t>1</w:t>
            </w:r>
            <w:r>
              <w:rPr>
                <w:rFonts w:hint="eastAsia" w:ascii="仿宋" w:hAnsi="仿宋" w:eastAsia="仿宋" w:cs="仿宋"/>
                <w:color w:val="auto"/>
                <w:w w:val="99"/>
                <w:sz w:val="24"/>
                <w:szCs w:val="24"/>
                <w:highlight w:val="none"/>
                <w:lang w:eastAsia="en-US"/>
              </w:rPr>
              <w:t>900照明设备</w:t>
            </w:r>
          </w:p>
        </w:tc>
        <w:tc>
          <w:tcPr>
            <w:tcW w:w="1664" w:type="dxa"/>
            <w:tcBorders>
              <w:top w:val="single" w:color="000000" w:sz="4" w:space="0"/>
              <w:left w:val="single" w:color="000000" w:sz="4" w:space="0"/>
              <w:bottom w:val="single" w:color="000000" w:sz="4" w:space="0"/>
              <w:right w:val="single" w:color="000000" w:sz="4" w:space="0"/>
            </w:tcBorders>
            <w:vAlign w:val="center"/>
          </w:tcPr>
          <w:p w14:paraId="010C17F3">
            <w:pPr>
              <w:spacing w:before="133" w:line="276" w:lineRule="auto"/>
              <w:ind w:left="7" w:right="7"/>
              <w:jc w:val="center"/>
              <w:rPr>
                <w:rFonts w:hint="eastAsia" w:ascii="仿宋" w:hAnsi="仿宋" w:eastAsia="仿宋" w:cs="仿宋"/>
                <w:color w:val="auto"/>
                <w:sz w:val="24"/>
                <w:szCs w:val="24"/>
                <w:highlight w:val="none"/>
              </w:rPr>
            </w:pPr>
            <w:r>
              <w:rPr>
                <w:rFonts w:hint="eastAsia" w:ascii="仿宋" w:hAnsi="仿宋" w:eastAsia="仿宋" w:cs="仿宋"/>
                <w:color w:val="auto"/>
                <w:w w:val="99"/>
                <w:sz w:val="24"/>
                <w:szCs w:val="24"/>
                <w:highlight w:val="none"/>
              </w:rPr>
              <w:t>★普通照明用双端荧光灯</w:t>
            </w:r>
          </w:p>
        </w:tc>
        <w:tc>
          <w:tcPr>
            <w:tcW w:w="1655" w:type="dxa"/>
            <w:tcBorders>
              <w:top w:val="single" w:color="000000" w:sz="4" w:space="0"/>
              <w:left w:val="single" w:color="000000" w:sz="4" w:space="0"/>
              <w:bottom w:val="single" w:color="000000" w:sz="4" w:space="0"/>
              <w:right w:val="single" w:color="000000" w:sz="4" w:space="0"/>
            </w:tcBorders>
            <w:vAlign w:val="center"/>
          </w:tcPr>
          <w:p w14:paraId="47FF845E">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3085E1BE">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《普通照明用双端荧光灯能效限定值及能效等级》（GB19043）</w:t>
            </w:r>
          </w:p>
        </w:tc>
      </w:tr>
      <w:tr w14:paraId="6D57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80BB02">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D933ABB">
            <w:pPr>
              <w:widowControl/>
              <w:jc w:val="left"/>
              <w:rPr>
                <w:rFonts w:hint="eastAsia" w:ascii="仿宋" w:hAnsi="仿宋" w:eastAsia="仿宋" w:cs="仿宋"/>
                <w:color w:val="auto"/>
                <w:sz w:val="24"/>
                <w:szCs w:val="24"/>
                <w:highlight w:val="none"/>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0440ED35">
            <w:pPr>
              <w:spacing w:before="92" w:line="276" w:lineRule="auto"/>
              <w:ind w:left="7" w:right="2"/>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pacing w:val="1"/>
                <w:w w:val="99"/>
                <w:sz w:val="24"/>
                <w:szCs w:val="24"/>
                <w:highlight w:val="none"/>
                <w:lang w:eastAsia="en-US"/>
              </w:rPr>
              <w:t>LE</w:t>
            </w:r>
            <w:r>
              <w:rPr>
                <w:rFonts w:hint="eastAsia" w:ascii="仿宋" w:hAnsi="仿宋" w:eastAsia="仿宋" w:cs="仿宋"/>
                <w:color w:val="auto"/>
                <w:w w:val="99"/>
                <w:sz w:val="24"/>
                <w:szCs w:val="24"/>
                <w:highlight w:val="none"/>
                <w:lang w:eastAsia="en-US"/>
              </w:rPr>
              <w:t>D</w:t>
            </w:r>
            <w:r>
              <w:rPr>
                <w:rFonts w:hint="eastAsia" w:ascii="仿宋" w:hAnsi="仿宋" w:eastAsia="仿宋" w:cs="仿宋"/>
                <w:color w:val="auto"/>
                <w:spacing w:val="12"/>
                <w:w w:val="99"/>
                <w:sz w:val="24"/>
                <w:szCs w:val="24"/>
                <w:highlight w:val="none"/>
                <w:lang w:eastAsia="en-US"/>
              </w:rPr>
              <w:t>道</w:t>
            </w:r>
            <w:r>
              <w:rPr>
                <w:rFonts w:hint="eastAsia" w:ascii="仿宋" w:hAnsi="仿宋" w:eastAsia="仿宋" w:cs="仿宋"/>
                <w:color w:val="auto"/>
                <w:spacing w:val="9"/>
                <w:w w:val="99"/>
                <w:sz w:val="24"/>
                <w:szCs w:val="24"/>
                <w:highlight w:val="none"/>
                <w:lang w:eastAsia="en-US"/>
              </w:rPr>
              <w:t>路</w:t>
            </w:r>
            <w:r>
              <w:rPr>
                <w:rFonts w:hint="eastAsia" w:ascii="仿宋" w:hAnsi="仿宋" w:eastAsia="仿宋" w:cs="仿宋"/>
                <w:color w:val="auto"/>
                <w:spacing w:val="13"/>
                <w:w w:val="99"/>
                <w:sz w:val="24"/>
                <w:szCs w:val="24"/>
                <w:highlight w:val="none"/>
                <w:lang w:eastAsia="en-US"/>
              </w:rPr>
              <w:t>/</w:t>
            </w:r>
            <w:r>
              <w:rPr>
                <w:rFonts w:hint="eastAsia" w:ascii="仿宋" w:hAnsi="仿宋" w:eastAsia="仿宋" w:cs="仿宋"/>
                <w:color w:val="auto"/>
                <w:spacing w:val="12"/>
                <w:w w:val="99"/>
                <w:sz w:val="24"/>
                <w:szCs w:val="24"/>
                <w:highlight w:val="none"/>
                <w:lang w:eastAsia="en-US"/>
              </w:rPr>
              <w:t>隧道照</w:t>
            </w:r>
            <w:r>
              <w:rPr>
                <w:rFonts w:hint="eastAsia" w:ascii="仿宋" w:hAnsi="仿宋" w:eastAsia="仿宋" w:cs="仿宋"/>
                <w:color w:val="auto"/>
                <w:w w:val="99"/>
                <w:sz w:val="24"/>
                <w:szCs w:val="24"/>
                <w:highlight w:val="none"/>
                <w:lang w:eastAsia="en-US"/>
              </w:rPr>
              <w:t>明产品</w:t>
            </w:r>
          </w:p>
        </w:tc>
        <w:tc>
          <w:tcPr>
            <w:tcW w:w="1655" w:type="dxa"/>
            <w:tcBorders>
              <w:top w:val="single" w:color="000000" w:sz="4" w:space="0"/>
              <w:left w:val="single" w:color="000000" w:sz="4" w:space="0"/>
              <w:bottom w:val="single" w:color="000000" w:sz="4" w:space="0"/>
              <w:right w:val="single" w:color="000000" w:sz="4" w:space="0"/>
            </w:tcBorders>
            <w:vAlign w:val="center"/>
          </w:tcPr>
          <w:p w14:paraId="49D8B27D">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19445402">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《道路和隧道照明用LED灯具能效限定值及能效等级》（GB37478）</w:t>
            </w:r>
          </w:p>
        </w:tc>
      </w:tr>
      <w:tr w14:paraId="2145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20D09D6">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3F402A">
            <w:pPr>
              <w:widowControl/>
              <w:jc w:val="left"/>
              <w:rPr>
                <w:rFonts w:hint="eastAsia" w:ascii="仿宋" w:hAnsi="仿宋" w:eastAsia="仿宋" w:cs="仿宋"/>
                <w:color w:val="auto"/>
                <w:sz w:val="24"/>
                <w:szCs w:val="24"/>
                <w:highlight w:val="none"/>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6A8D7AE6">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pacing w:val="1"/>
                <w:w w:val="99"/>
                <w:sz w:val="24"/>
                <w:szCs w:val="24"/>
                <w:highlight w:val="none"/>
                <w:lang w:eastAsia="en-US"/>
              </w:rPr>
              <w:t>LE</w:t>
            </w:r>
            <w:r>
              <w:rPr>
                <w:rFonts w:hint="eastAsia" w:ascii="仿宋" w:hAnsi="仿宋" w:eastAsia="仿宋" w:cs="仿宋"/>
                <w:color w:val="auto"/>
                <w:w w:val="99"/>
                <w:sz w:val="24"/>
                <w:szCs w:val="24"/>
                <w:highlight w:val="none"/>
                <w:lang w:eastAsia="en-US"/>
              </w:rPr>
              <w:t>D筒灯</w:t>
            </w:r>
          </w:p>
        </w:tc>
        <w:tc>
          <w:tcPr>
            <w:tcW w:w="1655" w:type="dxa"/>
            <w:tcBorders>
              <w:top w:val="single" w:color="000000" w:sz="4" w:space="0"/>
              <w:left w:val="single" w:color="000000" w:sz="4" w:space="0"/>
              <w:bottom w:val="single" w:color="000000" w:sz="4" w:space="0"/>
              <w:right w:val="single" w:color="000000" w:sz="4" w:space="0"/>
            </w:tcBorders>
            <w:vAlign w:val="center"/>
          </w:tcPr>
          <w:p w14:paraId="50B0BC1F">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272DC0B0">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《室内照明用LED产品能效限定值及能效等级》（GB30255）</w:t>
            </w:r>
          </w:p>
        </w:tc>
      </w:tr>
      <w:tr w14:paraId="27DB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E5B77D">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4BCF6ED">
            <w:pPr>
              <w:widowControl/>
              <w:jc w:val="left"/>
              <w:rPr>
                <w:rFonts w:hint="eastAsia" w:ascii="仿宋" w:hAnsi="仿宋" w:eastAsia="仿宋" w:cs="仿宋"/>
                <w:color w:val="auto"/>
                <w:sz w:val="24"/>
                <w:szCs w:val="24"/>
                <w:highlight w:val="none"/>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5059A4A2">
            <w:pPr>
              <w:spacing w:line="276" w:lineRule="auto"/>
              <w:ind w:right="7"/>
              <w:jc w:val="center"/>
              <w:rPr>
                <w:rFonts w:hint="eastAsia" w:ascii="仿宋" w:hAnsi="仿宋" w:eastAsia="仿宋" w:cs="仿宋"/>
                <w:color w:val="auto"/>
                <w:sz w:val="24"/>
                <w:szCs w:val="24"/>
                <w:highlight w:val="none"/>
              </w:rPr>
            </w:pPr>
            <w:r>
              <w:rPr>
                <w:rFonts w:hint="eastAsia" w:ascii="仿宋" w:hAnsi="仿宋" w:eastAsia="仿宋" w:cs="仿宋"/>
                <w:color w:val="auto"/>
                <w:w w:val="99"/>
                <w:sz w:val="24"/>
                <w:szCs w:val="24"/>
                <w:highlight w:val="none"/>
              </w:rPr>
              <w:t>普</w:t>
            </w:r>
            <w:r>
              <w:rPr>
                <w:rFonts w:hint="eastAsia" w:ascii="仿宋" w:hAnsi="仿宋" w:eastAsia="仿宋" w:cs="仿宋"/>
                <w:color w:val="auto"/>
                <w:spacing w:val="24"/>
                <w:w w:val="99"/>
                <w:sz w:val="24"/>
                <w:szCs w:val="24"/>
                <w:highlight w:val="none"/>
              </w:rPr>
              <w:t>通</w:t>
            </w:r>
            <w:r>
              <w:rPr>
                <w:rFonts w:hint="eastAsia" w:ascii="仿宋" w:hAnsi="仿宋" w:eastAsia="仿宋" w:cs="仿宋"/>
                <w:color w:val="auto"/>
                <w:w w:val="99"/>
                <w:sz w:val="24"/>
                <w:szCs w:val="24"/>
                <w:highlight w:val="none"/>
              </w:rPr>
              <w:t>照明用非</w:t>
            </w:r>
            <w:r>
              <w:rPr>
                <w:rFonts w:hint="eastAsia" w:ascii="仿宋" w:hAnsi="仿宋" w:eastAsia="仿宋" w:cs="仿宋"/>
                <w:color w:val="auto"/>
                <w:spacing w:val="24"/>
                <w:w w:val="99"/>
                <w:sz w:val="24"/>
                <w:szCs w:val="24"/>
                <w:highlight w:val="none"/>
              </w:rPr>
              <w:t>定</w:t>
            </w:r>
            <w:r>
              <w:rPr>
                <w:rFonts w:hint="eastAsia" w:ascii="仿宋" w:hAnsi="仿宋" w:eastAsia="仿宋" w:cs="仿宋"/>
                <w:color w:val="auto"/>
                <w:w w:val="99"/>
                <w:sz w:val="24"/>
                <w:szCs w:val="24"/>
                <w:highlight w:val="none"/>
              </w:rPr>
              <w:t>向自镇流</w:t>
            </w:r>
            <w:r>
              <w:rPr>
                <w:rFonts w:hint="eastAsia" w:ascii="仿宋" w:hAnsi="仿宋" w:eastAsia="仿宋" w:cs="仿宋"/>
                <w:color w:val="auto"/>
                <w:spacing w:val="1"/>
                <w:w w:val="99"/>
                <w:sz w:val="24"/>
                <w:szCs w:val="24"/>
                <w:highlight w:val="none"/>
              </w:rPr>
              <w:t>LE</w:t>
            </w:r>
            <w:r>
              <w:rPr>
                <w:rFonts w:hint="eastAsia" w:ascii="仿宋" w:hAnsi="仿宋" w:eastAsia="仿宋" w:cs="仿宋"/>
                <w:color w:val="auto"/>
                <w:w w:val="99"/>
                <w:sz w:val="24"/>
                <w:szCs w:val="24"/>
                <w:highlight w:val="none"/>
              </w:rPr>
              <w:t>D灯</w:t>
            </w:r>
          </w:p>
        </w:tc>
        <w:tc>
          <w:tcPr>
            <w:tcW w:w="1655" w:type="dxa"/>
            <w:tcBorders>
              <w:top w:val="single" w:color="000000" w:sz="4" w:space="0"/>
              <w:left w:val="single" w:color="000000" w:sz="4" w:space="0"/>
              <w:bottom w:val="single" w:color="000000" w:sz="4" w:space="0"/>
              <w:right w:val="single" w:color="000000" w:sz="4" w:space="0"/>
            </w:tcBorders>
            <w:vAlign w:val="center"/>
          </w:tcPr>
          <w:p w14:paraId="1A0DC015">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1C8EA851">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《室内照明用LED产品能效限定值及能效等级》（GB30255）</w:t>
            </w:r>
          </w:p>
        </w:tc>
      </w:tr>
      <w:tr w14:paraId="18D0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3CCEA9E1">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pacing w:val="1"/>
                <w:w w:val="99"/>
                <w:sz w:val="24"/>
                <w:szCs w:val="24"/>
                <w:highlight w:val="none"/>
                <w:lang w:eastAsia="en-US"/>
              </w:rPr>
              <w:t>1</w:t>
            </w:r>
            <w:r>
              <w:rPr>
                <w:rFonts w:hint="eastAsia" w:ascii="仿宋" w:hAnsi="仿宋" w:eastAsia="仿宋" w:cs="仿宋"/>
                <w:color w:val="auto"/>
                <w:w w:val="99"/>
                <w:sz w:val="24"/>
                <w:szCs w:val="24"/>
                <w:highlight w:val="none"/>
                <w:lang w:eastAsia="en-US"/>
              </w:rPr>
              <w:t>2</w:t>
            </w:r>
          </w:p>
        </w:tc>
        <w:tc>
          <w:tcPr>
            <w:tcW w:w="1661" w:type="dxa"/>
            <w:tcBorders>
              <w:top w:val="single" w:color="000000" w:sz="4" w:space="0"/>
              <w:left w:val="single" w:color="000000" w:sz="4" w:space="0"/>
              <w:bottom w:val="single" w:color="000000" w:sz="4" w:space="0"/>
              <w:right w:val="single" w:color="000000" w:sz="4" w:space="0"/>
            </w:tcBorders>
            <w:vAlign w:val="center"/>
          </w:tcPr>
          <w:p w14:paraId="5F57EA4A">
            <w:pPr>
              <w:spacing w:before="81"/>
              <w:ind w:left="7"/>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w:t>
            </w:r>
            <w:r>
              <w:rPr>
                <w:rFonts w:hint="eastAsia" w:ascii="仿宋" w:hAnsi="仿宋" w:eastAsia="仿宋" w:cs="仿宋"/>
                <w:color w:val="auto"/>
                <w:spacing w:val="1"/>
                <w:w w:val="99"/>
                <w:sz w:val="24"/>
                <w:szCs w:val="24"/>
                <w:highlight w:val="none"/>
                <w:lang w:eastAsia="en-US"/>
              </w:rPr>
              <w:t>A020</w:t>
            </w:r>
            <w:r>
              <w:rPr>
                <w:rFonts w:hint="eastAsia" w:ascii="仿宋" w:hAnsi="仿宋" w:eastAsia="仿宋" w:cs="仿宋"/>
                <w:color w:val="auto"/>
                <w:w w:val="99"/>
                <w:sz w:val="24"/>
                <w:szCs w:val="24"/>
                <w:highlight w:val="none"/>
                <w:lang w:eastAsia="en-US"/>
              </w:rPr>
              <w:t>91000电视设备</w:t>
            </w:r>
          </w:p>
        </w:tc>
        <w:tc>
          <w:tcPr>
            <w:tcW w:w="1664" w:type="dxa"/>
            <w:tcBorders>
              <w:top w:val="single" w:color="000000" w:sz="4" w:space="0"/>
              <w:left w:val="single" w:color="000000" w:sz="4" w:space="0"/>
              <w:bottom w:val="single" w:color="000000" w:sz="4" w:space="0"/>
              <w:right w:val="single" w:color="000000" w:sz="4" w:space="0"/>
            </w:tcBorders>
            <w:vAlign w:val="center"/>
          </w:tcPr>
          <w:p w14:paraId="4AC3F2A6">
            <w:pPr>
              <w:spacing w:before="81" w:line="276" w:lineRule="auto"/>
              <w:ind w:left="7" w:right="5"/>
              <w:jc w:val="center"/>
              <w:rPr>
                <w:rFonts w:hint="eastAsia" w:ascii="仿宋" w:hAnsi="仿宋" w:eastAsia="仿宋" w:cs="仿宋"/>
                <w:color w:val="auto"/>
                <w:sz w:val="24"/>
                <w:szCs w:val="24"/>
                <w:highlight w:val="none"/>
              </w:rPr>
            </w:pPr>
            <w:r>
              <w:rPr>
                <w:rFonts w:hint="eastAsia" w:ascii="仿宋" w:hAnsi="仿宋" w:eastAsia="仿宋" w:cs="仿宋"/>
                <w:color w:val="auto"/>
                <w:spacing w:val="1"/>
                <w:w w:val="99"/>
                <w:sz w:val="24"/>
                <w:szCs w:val="24"/>
                <w:highlight w:val="none"/>
              </w:rPr>
              <w:t>A02</w:t>
            </w:r>
            <w:r>
              <w:rPr>
                <w:rFonts w:hint="eastAsia" w:ascii="仿宋" w:hAnsi="仿宋" w:eastAsia="仿宋" w:cs="仿宋"/>
                <w:color w:val="auto"/>
                <w:w w:val="99"/>
                <w:sz w:val="24"/>
                <w:szCs w:val="24"/>
                <w:highlight w:val="none"/>
              </w:rPr>
              <w:t>09</w:t>
            </w:r>
            <w:r>
              <w:rPr>
                <w:rFonts w:hint="eastAsia" w:ascii="仿宋" w:hAnsi="仿宋" w:eastAsia="仿宋" w:cs="仿宋"/>
                <w:color w:val="auto"/>
                <w:spacing w:val="1"/>
                <w:w w:val="99"/>
                <w:sz w:val="24"/>
                <w:szCs w:val="24"/>
                <w:highlight w:val="none"/>
              </w:rPr>
              <w:t>1</w:t>
            </w:r>
            <w:r>
              <w:rPr>
                <w:rFonts w:hint="eastAsia" w:ascii="仿宋" w:hAnsi="仿宋" w:eastAsia="仿宋" w:cs="仿宋"/>
                <w:color w:val="auto"/>
                <w:w w:val="99"/>
                <w:sz w:val="24"/>
                <w:szCs w:val="24"/>
                <w:highlight w:val="none"/>
              </w:rPr>
              <w:t>001普通电视设备（</w:t>
            </w:r>
            <w:r>
              <w:rPr>
                <w:rFonts w:hint="eastAsia" w:ascii="仿宋" w:hAnsi="仿宋" w:eastAsia="仿宋" w:cs="仿宋"/>
                <w:color w:val="auto"/>
                <w:spacing w:val="2"/>
                <w:w w:val="99"/>
                <w:sz w:val="24"/>
                <w:szCs w:val="24"/>
                <w:highlight w:val="none"/>
              </w:rPr>
              <w:t>电</w:t>
            </w:r>
            <w:r>
              <w:rPr>
                <w:rFonts w:hint="eastAsia" w:ascii="仿宋" w:hAnsi="仿宋" w:eastAsia="仿宋" w:cs="仿宋"/>
                <w:color w:val="auto"/>
                <w:w w:val="99"/>
                <w:sz w:val="24"/>
                <w:szCs w:val="24"/>
                <w:highlight w:val="none"/>
              </w:rPr>
              <w:t>视机）</w:t>
            </w:r>
          </w:p>
        </w:tc>
        <w:tc>
          <w:tcPr>
            <w:tcW w:w="1655" w:type="dxa"/>
            <w:tcBorders>
              <w:top w:val="single" w:color="000000" w:sz="4" w:space="0"/>
              <w:left w:val="single" w:color="000000" w:sz="4" w:space="0"/>
              <w:bottom w:val="single" w:color="000000" w:sz="4" w:space="0"/>
              <w:right w:val="single" w:color="000000" w:sz="4" w:space="0"/>
            </w:tcBorders>
            <w:vAlign w:val="center"/>
          </w:tcPr>
          <w:p w14:paraId="5A409502">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7AA14B3C">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《平板电视能效限定值及能效等级》（GB24850）</w:t>
            </w:r>
          </w:p>
        </w:tc>
      </w:tr>
      <w:tr w14:paraId="5627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05F50F71">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pacing w:val="1"/>
                <w:w w:val="99"/>
                <w:sz w:val="24"/>
                <w:szCs w:val="24"/>
                <w:highlight w:val="none"/>
                <w:lang w:eastAsia="en-US"/>
              </w:rPr>
              <w:t>1</w:t>
            </w:r>
            <w:r>
              <w:rPr>
                <w:rFonts w:hint="eastAsia" w:ascii="仿宋" w:hAnsi="仿宋" w:eastAsia="仿宋" w:cs="仿宋"/>
                <w:color w:val="auto"/>
                <w:w w:val="99"/>
                <w:sz w:val="24"/>
                <w:szCs w:val="24"/>
                <w:highlight w:val="none"/>
                <w:lang w:eastAsia="en-US"/>
              </w:rPr>
              <w:t>3</w:t>
            </w:r>
          </w:p>
        </w:tc>
        <w:tc>
          <w:tcPr>
            <w:tcW w:w="1661" w:type="dxa"/>
            <w:tcBorders>
              <w:top w:val="single" w:color="000000" w:sz="4" w:space="0"/>
              <w:left w:val="single" w:color="000000" w:sz="4" w:space="0"/>
              <w:bottom w:val="single" w:color="000000" w:sz="4" w:space="0"/>
              <w:right w:val="single" w:color="000000" w:sz="4" w:space="0"/>
            </w:tcBorders>
            <w:vAlign w:val="center"/>
          </w:tcPr>
          <w:p w14:paraId="255E233E">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w:t>
            </w:r>
            <w:r>
              <w:rPr>
                <w:rFonts w:hint="eastAsia" w:ascii="仿宋" w:hAnsi="仿宋" w:eastAsia="仿宋" w:cs="仿宋"/>
                <w:color w:val="auto"/>
                <w:spacing w:val="1"/>
                <w:w w:val="99"/>
                <w:sz w:val="24"/>
                <w:szCs w:val="24"/>
                <w:highlight w:val="none"/>
                <w:lang w:eastAsia="en-US"/>
              </w:rPr>
              <w:t>A020</w:t>
            </w:r>
            <w:r>
              <w:rPr>
                <w:rFonts w:hint="eastAsia" w:ascii="仿宋" w:hAnsi="仿宋" w:eastAsia="仿宋" w:cs="仿宋"/>
                <w:color w:val="auto"/>
                <w:w w:val="99"/>
                <w:sz w:val="24"/>
                <w:szCs w:val="24"/>
                <w:highlight w:val="none"/>
                <w:lang w:eastAsia="en-US"/>
              </w:rPr>
              <w:t>91100视频设备</w:t>
            </w:r>
          </w:p>
        </w:tc>
        <w:tc>
          <w:tcPr>
            <w:tcW w:w="1664" w:type="dxa"/>
            <w:tcBorders>
              <w:top w:val="single" w:color="000000" w:sz="4" w:space="0"/>
              <w:left w:val="single" w:color="000000" w:sz="4" w:space="0"/>
              <w:bottom w:val="single" w:color="000000" w:sz="4" w:space="0"/>
              <w:right w:val="single" w:color="000000" w:sz="4" w:space="0"/>
            </w:tcBorders>
            <w:vAlign w:val="center"/>
          </w:tcPr>
          <w:p w14:paraId="277AB60D">
            <w:pPr>
              <w:spacing w:line="276" w:lineRule="auto"/>
              <w:ind w:right="5"/>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pacing w:val="1"/>
                <w:w w:val="99"/>
                <w:sz w:val="24"/>
                <w:szCs w:val="24"/>
                <w:highlight w:val="none"/>
                <w:lang w:eastAsia="en-US"/>
              </w:rPr>
              <w:t>A02</w:t>
            </w:r>
            <w:r>
              <w:rPr>
                <w:rFonts w:hint="eastAsia" w:ascii="仿宋" w:hAnsi="仿宋" w:eastAsia="仿宋" w:cs="仿宋"/>
                <w:color w:val="auto"/>
                <w:w w:val="99"/>
                <w:sz w:val="24"/>
                <w:szCs w:val="24"/>
                <w:highlight w:val="none"/>
                <w:lang w:eastAsia="en-US"/>
              </w:rPr>
              <w:t>09</w:t>
            </w:r>
            <w:r>
              <w:rPr>
                <w:rFonts w:hint="eastAsia" w:ascii="仿宋" w:hAnsi="仿宋" w:eastAsia="仿宋" w:cs="仿宋"/>
                <w:color w:val="auto"/>
                <w:spacing w:val="1"/>
                <w:w w:val="99"/>
                <w:sz w:val="24"/>
                <w:szCs w:val="24"/>
                <w:highlight w:val="none"/>
                <w:lang w:eastAsia="en-US"/>
              </w:rPr>
              <w:t>1</w:t>
            </w:r>
            <w:r>
              <w:rPr>
                <w:rFonts w:hint="eastAsia" w:ascii="仿宋" w:hAnsi="仿宋" w:eastAsia="仿宋" w:cs="仿宋"/>
                <w:color w:val="auto"/>
                <w:w w:val="99"/>
                <w:sz w:val="24"/>
                <w:szCs w:val="24"/>
                <w:highlight w:val="none"/>
                <w:lang w:eastAsia="en-US"/>
              </w:rPr>
              <w:t>107视频监控设备</w:t>
            </w:r>
          </w:p>
        </w:tc>
        <w:tc>
          <w:tcPr>
            <w:tcW w:w="1655" w:type="dxa"/>
            <w:tcBorders>
              <w:top w:val="single" w:color="000000" w:sz="4" w:space="0"/>
              <w:left w:val="single" w:color="000000" w:sz="4" w:space="0"/>
              <w:bottom w:val="single" w:color="000000" w:sz="4" w:space="0"/>
              <w:right w:val="single" w:color="000000" w:sz="4" w:space="0"/>
            </w:tcBorders>
            <w:vAlign w:val="center"/>
          </w:tcPr>
          <w:p w14:paraId="29A6D0DD">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监视器</w:t>
            </w:r>
          </w:p>
        </w:tc>
        <w:tc>
          <w:tcPr>
            <w:tcW w:w="3717" w:type="dxa"/>
            <w:tcBorders>
              <w:top w:val="single" w:color="000000" w:sz="4" w:space="0"/>
              <w:left w:val="single" w:color="000000" w:sz="4" w:space="0"/>
              <w:bottom w:val="single" w:color="000000" w:sz="4" w:space="0"/>
              <w:right w:val="single" w:color="000000" w:sz="4" w:space="0"/>
            </w:tcBorders>
          </w:tcPr>
          <w:p w14:paraId="7FA77457">
            <w:pPr>
              <w:spacing w:before="131" w:line="276" w:lineRule="auto"/>
              <w:ind w:left="7" w:right="4"/>
              <w:jc w:val="left"/>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以射频信号为主要信号输入的监视器应符合《平板电视能效限定值及能效等级》（GB24850），以数字信号为主要信号输入的监视器应符合《计算机显示器能效限定值及能效等级》（GB21520）</w:t>
            </w:r>
          </w:p>
        </w:tc>
      </w:tr>
      <w:tr w14:paraId="61C4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3720DB04">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pacing w:val="1"/>
                <w:w w:val="99"/>
                <w:sz w:val="24"/>
                <w:szCs w:val="24"/>
                <w:highlight w:val="none"/>
                <w:lang w:eastAsia="en-US"/>
              </w:rPr>
              <w:t>1</w:t>
            </w:r>
            <w:r>
              <w:rPr>
                <w:rFonts w:hint="eastAsia" w:ascii="仿宋" w:hAnsi="仿宋" w:eastAsia="仿宋" w:cs="仿宋"/>
                <w:color w:val="auto"/>
                <w:w w:val="99"/>
                <w:sz w:val="24"/>
                <w:szCs w:val="24"/>
                <w:highlight w:val="none"/>
                <w:lang w:eastAsia="en-US"/>
              </w:rPr>
              <w:t>4</w:t>
            </w:r>
          </w:p>
        </w:tc>
        <w:tc>
          <w:tcPr>
            <w:tcW w:w="1661" w:type="dxa"/>
            <w:tcBorders>
              <w:top w:val="single" w:color="000000" w:sz="4" w:space="0"/>
              <w:left w:val="single" w:color="000000" w:sz="4" w:space="0"/>
              <w:bottom w:val="single" w:color="000000" w:sz="4" w:space="0"/>
              <w:right w:val="single" w:color="000000" w:sz="4" w:space="0"/>
            </w:tcBorders>
            <w:vAlign w:val="center"/>
          </w:tcPr>
          <w:p w14:paraId="027EEE71">
            <w:pPr>
              <w:spacing w:before="76"/>
              <w:ind w:left="7"/>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A02241000</w:t>
            </w:r>
            <w:r>
              <w:rPr>
                <w:rFonts w:hint="eastAsia" w:ascii="仿宋" w:hAnsi="仿宋" w:eastAsia="仿宋" w:cs="仿宋"/>
                <w:color w:val="auto"/>
                <w:w w:val="99"/>
                <w:sz w:val="24"/>
                <w:szCs w:val="24"/>
                <w:highlight w:val="none"/>
                <w:lang w:eastAsia="en-US"/>
              </w:rPr>
              <w:t>饮食炊事机械</w:t>
            </w:r>
          </w:p>
        </w:tc>
        <w:tc>
          <w:tcPr>
            <w:tcW w:w="1664" w:type="dxa"/>
            <w:tcBorders>
              <w:top w:val="single" w:color="000000" w:sz="4" w:space="0"/>
              <w:left w:val="single" w:color="000000" w:sz="4" w:space="0"/>
              <w:bottom w:val="single" w:color="000000" w:sz="4" w:space="0"/>
              <w:right w:val="single" w:color="000000" w:sz="4" w:space="0"/>
            </w:tcBorders>
            <w:vAlign w:val="center"/>
          </w:tcPr>
          <w:p w14:paraId="5A8E0B30">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商用燃</w:t>
            </w:r>
            <w:r>
              <w:rPr>
                <w:rFonts w:hint="eastAsia" w:ascii="仿宋" w:hAnsi="仿宋" w:eastAsia="仿宋" w:cs="仿宋"/>
                <w:color w:val="auto"/>
                <w:spacing w:val="2"/>
                <w:w w:val="99"/>
                <w:sz w:val="24"/>
                <w:szCs w:val="24"/>
                <w:highlight w:val="none"/>
                <w:lang w:eastAsia="en-US"/>
              </w:rPr>
              <w:t>气</w:t>
            </w:r>
            <w:r>
              <w:rPr>
                <w:rFonts w:hint="eastAsia" w:ascii="仿宋" w:hAnsi="仿宋" w:eastAsia="仿宋" w:cs="仿宋"/>
                <w:color w:val="auto"/>
                <w:w w:val="99"/>
                <w:sz w:val="24"/>
                <w:szCs w:val="24"/>
                <w:highlight w:val="none"/>
                <w:lang w:eastAsia="en-US"/>
              </w:rPr>
              <w:t>灶具</w:t>
            </w:r>
          </w:p>
        </w:tc>
        <w:tc>
          <w:tcPr>
            <w:tcW w:w="1655" w:type="dxa"/>
            <w:tcBorders>
              <w:top w:val="single" w:color="000000" w:sz="4" w:space="0"/>
              <w:left w:val="single" w:color="000000" w:sz="4" w:space="0"/>
              <w:bottom w:val="single" w:color="000000" w:sz="4" w:space="0"/>
              <w:right w:val="single" w:color="000000" w:sz="4" w:space="0"/>
            </w:tcBorders>
            <w:vAlign w:val="center"/>
          </w:tcPr>
          <w:p w14:paraId="16501BBD">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1A44F056">
            <w:pPr>
              <w:spacing w:before="131" w:line="276" w:lineRule="auto"/>
              <w:ind w:left="7" w:right="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《商用燃气灶具能效限定值及能效等级》（GB30531）</w:t>
            </w:r>
          </w:p>
        </w:tc>
      </w:tr>
      <w:tr w14:paraId="690F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14:paraId="592FE2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661" w:type="dxa"/>
            <w:vMerge w:val="restart"/>
            <w:tcBorders>
              <w:top w:val="single" w:color="000000" w:sz="4" w:space="0"/>
              <w:left w:val="single" w:color="000000" w:sz="4" w:space="0"/>
              <w:bottom w:val="single" w:color="000000" w:sz="4" w:space="0"/>
              <w:right w:val="single" w:color="000000" w:sz="4" w:space="0"/>
            </w:tcBorders>
            <w:vAlign w:val="center"/>
          </w:tcPr>
          <w:p w14:paraId="1D1776E4">
            <w:pPr>
              <w:jc w:val="center"/>
              <w:rPr>
                <w:rFonts w:hint="eastAsia" w:ascii="仿宋" w:hAnsi="仿宋" w:eastAsia="仿宋" w:cs="仿宋"/>
                <w:color w:val="auto"/>
                <w:w w:val="99"/>
                <w:sz w:val="24"/>
                <w:szCs w:val="24"/>
                <w:highlight w:val="none"/>
                <w:lang w:eastAsia="en-US"/>
              </w:rPr>
            </w:pPr>
            <w:r>
              <w:rPr>
                <w:rFonts w:hint="eastAsia" w:ascii="仿宋" w:hAnsi="仿宋" w:eastAsia="仿宋" w:cs="仿宋"/>
                <w:color w:val="auto"/>
                <w:w w:val="99"/>
                <w:sz w:val="24"/>
                <w:szCs w:val="24"/>
                <w:highlight w:val="none"/>
                <w:lang w:eastAsia="en-US"/>
              </w:rPr>
              <w:t>★</w:t>
            </w:r>
            <w:r>
              <w:rPr>
                <w:rFonts w:hint="eastAsia" w:ascii="仿宋" w:hAnsi="仿宋" w:eastAsia="仿宋" w:cs="仿宋"/>
                <w:color w:val="auto"/>
                <w:sz w:val="24"/>
                <w:szCs w:val="24"/>
                <w:highlight w:val="none"/>
                <w:lang w:eastAsia="en-US"/>
              </w:rPr>
              <w:t>A05020105</w:t>
            </w:r>
            <w:r>
              <w:rPr>
                <w:rFonts w:hint="eastAsia" w:ascii="仿宋" w:hAnsi="仿宋" w:eastAsia="仿宋" w:cs="仿宋"/>
                <w:color w:val="auto"/>
                <w:w w:val="99"/>
                <w:sz w:val="24"/>
                <w:szCs w:val="24"/>
                <w:highlight w:val="none"/>
                <w:lang w:eastAsia="en-US"/>
              </w:rPr>
              <w:t>便器</w:t>
            </w:r>
          </w:p>
        </w:tc>
        <w:tc>
          <w:tcPr>
            <w:tcW w:w="1664" w:type="dxa"/>
            <w:tcBorders>
              <w:top w:val="single" w:color="000000" w:sz="4" w:space="0"/>
              <w:left w:val="single" w:color="000000" w:sz="4" w:space="0"/>
              <w:bottom w:val="single" w:color="000000" w:sz="4" w:space="0"/>
              <w:right w:val="single" w:color="000000" w:sz="4" w:space="0"/>
            </w:tcBorders>
            <w:vAlign w:val="center"/>
          </w:tcPr>
          <w:p w14:paraId="2838C838">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坐便器</w:t>
            </w:r>
          </w:p>
        </w:tc>
        <w:tc>
          <w:tcPr>
            <w:tcW w:w="1655" w:type="dxa"/>
            <w:tcBorders>
              <w:top w:val="single" w:color="000000" w:sz="4" w:space="0"/>
              <w:left w:val="single" w:color="000000" w:sz="4" w:space="0"/>
              <w:bottom w:val="single" w:color="000000" w:sz="4" w:space="0"/>
              <w:right w:val="single" w:color="000000" w:sz="4" w:space="0"/>
            </w:tcBorders>
            <w:vAlign w:val="center"/>
          </w:tcPr>
          <w:p w14:paraId="2565D972">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4F53C0BB">
            <w:pPr>
              <w:spacing w:before="131" w:line="276" w:lineRule="auto"/>
              <w:ind w:left="7" w:right="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《坐便器水效限定值及水效等级》</w:t>
            </w:r>
          </w:p>
          <w:p w14:paraId="5B15A95D">
            <w:pPr>
              <w:spacing w:before="131" w:line="276" w:lineRule="auto"/>
              <w:ind w:left="7" w:right="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（GB25502）</w:t>
            </w:r>
          </w:p>
        </w:tc>
      </w:tr>
      <w:tr w14:paraId="1FE0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B31F58">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0C6246C">
            <w:pPr>
              <w:widowControl/>
              <w:jc w:val="left"/>
              <w:rPr>
                <w:rFonts w:hint="eastAsia" w:ascii="仿宋" w:hAnsi="仿宋" w:eastAsia="仿宋" w:cs="仿宋"/>
                <w:color w:val="auto"/>
                <w:w w:val="99"/>
                <w:sz w:val="24"/>
                <w:szCs w:val="24"/>
                <w:highlight w:val="none"/>
                <w:lang w:eastAsia="en-US"/>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6C701893">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蹲便器</w:t>
            </w:r>
          </w:p>
        </w:tc>
        <w:tc>
          <w:tcPr>
            <w:tcW w:w="1655" w:type="dxa"/>
            <w:tcBorders>
              <w:top w:val="single" w:color="000000" w:sz="4" w:space="0"/>
              <w:left w:val="single" w:color="000000" w:sz="4" w:space="0"/>
              <w:bottom w:val="single" w:color="000000" w:sz="4" w:space="0"/>
              <w:right w:val="single" w:color="000000" w:sz="4" w:space="0"/>
            </w:tcBorders>
            <w:vAlign w:val="center"/>
          </w:tcPr>
          <w:p w14:paraId="236BBB56">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76FE9680">
            <w:pPr>
              <w:spacing w:before="131" w:line="276" w:lineRule="auto"/>
              <w:ind w:left="7" w:right="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《蹲便器用水效率限定值及用水效率等级》（GB30717）</w:t>
            </w:r>
          </w:p>
        </w:tc>
      </w:tr>
      <w:tr w14:paraId="3A98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490A01">
            <w:pPr>
              <w:widowControl/>
              <w:jc w:val="left"/>
              <w:rPr>
                <w:rFonts w:hint="eastAsia" w:ascii="仿宋" w:hAnsi="仿宋" w:eastAsia="仿宋" w:cs="仿宋"/>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11855B">
            <w:pPr>
              <w:widowControl/>
              <w:jc w:val="left"/>
              <w:rPr>
                <w:rFonts w:hint="eastAsia" w:ascii="仿宋" w:hAnsi="仿宋" w:eastAsia="仿宋" w:cs="仿宋"/>
                <w:color w:val="auto"/>
                <w:w w:val="99"/>
                <w:sz w:val="24"/>
                <w:szCs w:val="24"/>
                <w:highlight w:val="none"/>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2A35C85B">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w w:val="99"/>
                <w:sz w:val="24"/>
                <w:szCs w:val="24"/>
                <w:highlight w:val="none"/>
                <w:lang w:eastAsia="en-US"/>
              </w:rPr>
              <w:t>小便器</w:t>
            </w:r>
          </w:p>
        </w:tc>
        <w:tc>
          <w:tcPr>
            <w:tcW w:w="1655" w:type="dxa"/>
            <w:tcBorders>
              <w:top w:val="single" w:color="000000" w:sz="4" w:space="0"/>
              <w:left w:val="single" w:color="000000" w:sz="4" w:space="0"/>
              <w:bottom w:val="single" w:color="000000" w:sz="4" w:space="0"/>
              <w:right w:val="single" w:color="000000" w:sz="4" w:space="0"/>
            </w:tcBorders>
            <w:vAlign w:val="center"/>
          </w:tcPr>
          <w:p w14:paraId="6C540BCB">
            <w:pPr>
              <w:jc w:val="center"/>
              <w:rPr>
                <w:rFonts w:hint="eastAsia" w:ascii="仿宋" w:hAnsi="仿宋" w:eastAsia="仿宋" w:cs="仿宋"/>
                <w:color w:val="auto"/>
                <w:sz w:val="24"/>
                <w:szCs w:val="24"/>
                <w:highlight w:val="none"/>
              </w:rPr>
            </w:pPr>
          </w:p>
        </w:tc>
        <w:tc>
          <w:tcPr>
            <w:tcW w:w="3717" w:type="dxa"/>
            <w:tcBorders>
              <w:top w:val="single" w:color="000000" w:sz="4" w:space="0"/>
              <w:left w:val="single" w:color="000000" w:sz="4" w:space="0"/>
              <w:bottom w:val="single" w:color="000000" w:sz="4" w:space="0"/>
              <w:right w:val="single" w:color="000000" w:sz="4" w:space="0"/>
            </w:tcBorders>
          </w:tcPr>
          <w:p w14:paraId="6F55688C">
            <w:pPr>
              <w:spacing w:before="131" w:line="276" w:lineRule="auto"/>
              <w:ind w:left="7" w:right="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《小便器用水效率限定值及用水效率等级》（GB28377）</w:t>
            </w:r>
          </w:p>
        </w:tc>
      </w:tr>
      <w:tr w14:paraId="1DF8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115D901D">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16</w:t>
            </w:r>
          </w:p>
        </w:tc>
        <w:tc>
          <w:tcPr>
            <w:tcW w:w="1661" w:type="dxa"/>
            <w:tcBorders>
              <w:top w:val="single" w:color="000000" w:sz="4" w:space="0"/>
              <w:left w:val="single" w:color="000000" w:sz="4" w:space="0"/>
              <w:bottom w:val="single" w:color="000000" w:sz="4" w:space="0"/>
              <w:right w:val="single" w:color="000000" w:sz="4" w:space="0"/>
            </w:tcBorders>
            <w:vAlign w:val="center"/>
          </w:tcPr>
          <w:p w14:paraId="4D6E6D9E">
            <w:pPr>
              <w:spacing w:before="153"/>
              <w:ind w:left="7"/>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★A05020106水</w:t>
            </w:r>
            <w:r>
              <w:rPr>
                <w:rFonts w:hint="eastAsia" w:ascii="仿宋" w:hAnsi="仿宋" w:eastAsia="仿宋" w:cs="仿宋"/>
                <w:color w:val="auto"/>
                <w:w w:val="99"/>
                <w:sz w:val="24"/>
                <w:szCs w:val="24"/>
                <w:highlight w:val="none"/>
                <w:lang w:eastAsia="en-US"/>
              </w:rPr>
              <w:t>嘴</w:t>
            </w:r>
          </w:p>
        </w:tc>
        <w:tc>
          <w:tcPr>
            <w:tcW w:w="1664" w:type="dxa"/>
            <w:tcBorders>
              <w:top w:val="single" w:color="000000" w:sz="4" w:space="0"/>
              <w:left w:val="single" w:color="000000" w:sz="4" w:space="0"/>
              <w:bottom w:val="single" w:color="000000" w:sz="4" w:space="0"/>
              <w:right w:val="single" w:color="000000" w:sz="4" w:space="0"/>
            </w:tcBorders>
            <w:vAlign w:val="center"/>
          </w:tcPr>
          <w:p w14:paraId="2070325F">
            <w:pPr>
              <w:jc w:val="center"/>
              <w:rPr>
                <w:rFonts w:hint="eastAsia" w:ascii="仿宋" w:hAnsi="仿宋" w:eastAsia="仿宋" w:cs="仿宋"/>
                <w:color w:val="auto"/>
                <w:sz w:val="24"/>
                <w:szCs w:val="24"/>
                <w:highlight w:val="none"/>
                <w:lang w:eastAsia="en-US"/>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0B49368A">
            <w:pPr>
              <w:jc w:val="center"/>
              <w:rPr>
                <w:rFonts w:hint="eastAsia" w:ascii="仿宋" w:hAnsi="仿宋" w:eastAsia="仿宋" w:cs="仿宋"/>
                <w:color w:val="auto"/>
                <w:sz w:val="24"/>
                <w:szCs w:val="24"/>
                <w:highlight w:val="none"/>
                <w:lang w:eastAsia="en-US"/>
              </w:rPr>
            </w:pPr>
          </w:p>
        </w:tc>
        <w:tc>
          <w:tcPr>
            <w:tcW w:w="3717" w:type="dxa"/>
            <w:tcBorders>
              <w:top w:val="single" w:color="000000" w:sz="4" w:space="0"/>
              <w:left w:val="single" w:color="000000" w:sz="4" w:space="0"/>
              <w:bottom w:val="single" w:color="000000" w:sz="4" w:space="0"/>
              <w:right w:val="single" w:color="000000" w:sz="4" w:space="0"/>
            </w:tcBorders>
          </w:tcPr>
          <w:p w14:paraId="12BDFF50">
            <w:pPr>
              <w:spacing w:before="153" w:line="276" w:lineRule="auto"/>
              <w:ind w:left="7" w:right="4"/>
              <w:jc w:val="left"/>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《水嘴用水效率限定值及用水效</w:t>
            </w:r>
            <w:r>
              <w:rPr>
                <w:rFonts w:hint="eastAsia" w:ascii="仿宋" w:hAnsi="仿宋" w:eastAsia="仿宋" w:cs="仿宋"/>
                <w:color w:val="auto"/>
                <w:sz w:val="24"/>
                <w:szCs w:val="24"/>
                <w:highlight w:val="none"/>
              </w:rPr>
              <w:t>率等级》（GB 25501）</w:t>
            </w:r>
          </w:p>
        </w:tc>
      </w:tr>
      <w:tr w14:paraId="2328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5B02C2CB">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17</w:t>
            </w:r>
          </w:p>
        </w:tc>
        <w:tc>
          <w:tcPr>
            <w:tcW w:w="1661" w:type="dxa"/>
            <w:tcBorders>
              <w:top w:val="single" w:color="000000" w:sz="4" w:space="0"/>
              <w:left w:val="single" w:color="000000" w:sz="4" w:space="0"/>
              <w:bottom w:val="single" w:color="000000" w:sz="4" w:space="0"/>
              <w:right w:val="single" w:color="000000" w:sz="4" w:space="0"/>
            </w:tcBorders>
            <w:vAlign w:val="center"/>
          </w:tcPr>
          <w:p w14:paraId="13F7D8D7">
            <w:pPr>
              <w:spacing w:before="112"/>
              <w:ind w:left="7"/>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A05020107便器冲洗阀</w:t>
            </w:r>
          </w:p>
        </w:tc>
        <w:tc>
          <w:tcPr>
            <w:tcW w:w="1664" w:type="dxa"/>
            <w:tcBorders>
              <w:top w:val="single" w:color="000000" w:sz="4" w:space="0"/>
              <w:left w:val="single" w:color="000000" w:sz="4" w:space="0"/>
              <w:bottom w:val="single" w:color="000000" w:sz="4" w:space="0"/>
              <w:right w:val="single" w:color="000000" w:sz="4" w:space="0"/>
            </w:tcBorders>
            <w:vAlign w:val="center"/>
          </w:tcPr>
          <w:p w14:paraId="26466395">
            <w:pPr>
              <w:jc w:val="center"/>
              <w:rPr>
                <w:rFonts w:hint="eastAsia" w:ascii="仿宋" w:hAnsi="仿宋" w:eastAsia="仿宋" w:cs="仿宋"/>
                <w:color w:val="auto"/>
                <w:sz w:val="24"/>
                <w:szCs w:val="24"/>
                <w:highlight w:val="none"/>
                <w:lang w:eastAsia="en-US"/>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75671CCC">
            <w:pPr>
              <w:jc w:val="center"/>
              <w:rPr>
                <w:rFonts w:hint="eastAsia" w:ascii="仿宋" w:hAnsi="仿宋" w:eastAsia="仿宋" w:cs="仿宋"/>
                <w:color w:val="auto"/>
                <w:sz w:val="24"/>
                <w:szCs w:val="24"/>
                <w:highlight w:val="none"/>
                <w:lang w:eastAsia="en-US"/>
              </w:rPr>
            </w:pPr>
          </w:p>
        </w:tc>
        <w:tc>
          <w:tcPr>
            <w:tcW w:w="3717" w:type="dxa"/>
            <w:tcBorders>
              <w:top w:val="single" w:color="000000" w:sz="4" w:space="0"/>
              <w:left w:val="single" w:color="000000" w:sz="4" w:space="0"/>
              <w:bottom w:val="single" w:color="000000" w:sz="4" w:space="0"/>
              <w:right w:val="single" w:color="000000" w:sz="4" w:space="0"/>
            </w:tcBorders>
          </w:tcPr>
          <w:p w14:paraId="0FC8BDDE">
            <w:pPr>
              <w:spacing w:before="112" w:line="276" w:lineRule="auto"/>
              <w:ind w:left="7" w:right="4"/>
              <w:jc w:val="left"/>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《便器冲洗阀用水效率限定值及</w:t>
            </w:r>
            <w:r>
              <w:rPr>
                <w:rFonts w:hint="eastAsia" w:ascii="仿宋" w:hAnsi="仿宋" w:eastAsia="仿宋" w:cs="仿宋"/>
                <w:color w:val="auto"/>
                <w:sz w:val="24"/>
                <w:szCs w:val="24"/>
                <w:highlight w:val="none"/>
              </w:rPr>
              <w:t>用水效率等级》（GB28379）</w:t>
            </w:r>
          </w:p>
        </w:tc>
      </w:tr>
      <w:tr w14:paraId="2566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22" w:type="dxa"/>
            <w:tcBorders>
              <w:top w:val="single" w:color="000000" w:sz="4" w:space="0"/>
              <w:left w:val="single" w:color="000000" w:sz="4" w:space="0"/>
              <w:bottom w:val="single" w:color="000000" w:sz="4" w:space="0"/>
              <w:right w:val="single" w:color="000000" w:sz="4" w:space="0"/>
            </w:tcBorders>
            <w:vAlign w:val="center"/>
          </w:tcPr>
          <w:p w14:paraId="66FF6E36">
            <w:pPr>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18</w:t>
            </w:r>
          </w:p>
        </w:tc>
        <w:tc>
          <w:tcPr>
            <w:tcW w:w="1661" w:type="dxa"/>
            <w:tcBorders>
              <w:top w:val="single" w:color="000000" w:sz="4" w:space="0"/>
              <w:left w:val="single" w:color="000000" w:sz="4" w:space="0"/>
              <w:bottom w:val="single" w:color="000000" w:sz="4" w:space="0"/>
              <w:right w:val="single" w:color="000000" w:sz="4" w:space="0"/>
            </w:tcBorders>
            <w:vAlign w:val="center"/>
          </w:tcPr>
          <w:p w14:paraId="7033FBD6">
            <w:pPr>
              <w:spacing w:before="131"/>
              <w:ind w:left="7"/>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A05020110淋浴</w:t>
            </w:r>
            <w:r>
              <w:rPr>
                <w:rFonts w:hint="eastAsia" w:ascii="仿宋" w:hAnsi="仿宋" w:eastAsia="仿宋" w:cs="仿宋"/>
                <w:color w:val="auto"/>
                <w:w w:val="99"/>
                <w:sz w:val="24"/>
                <w:szCs w:val="24"/>
                <w:highlight w:val="none"/>
                <w:lang w:eastAsia="en-US"/>
              </w:rPr>
              <w:t>器</w:t>
            </w:r>
          </w:p>
        </w:tc>
        <w:tc>
          <w:tcPr>
            <w:tcW w:w="1664" w:type="dxa"/>
            <w:tcBorders>
              <w:top w:val="single" w:color="000000" w:sz="4" w:space="0"/>
              <w:left w:val="single" w:color="000000" w:sz="4" w:space="0"/>
              <w:bottom w:val="single" w:color="000000" w:sz="4" w:space="0"/>
              <w:right w:val="single" w:color="000000" w:sz="4" w:space="0"/>
            </w:tcBorders>
            <w:vAlign w:val="center"/>
          </w:tcPr>
          <w:p w14:paraId="15512201">
            <w:pPr>
              <w:jc w:val="center"/>
              <w:rPr>
                <w:rFonts w:hint="eastAsia" w:ascii="仿宋" w:hAnsi="仿宋" w:eastAsia="仿宋" w:cs="仿宋"/>
                <w:color w:val="auto"/>
                <w:sz w:val="24"/>
                <w:szCs w:val="24"/>
                <w:highlight w:val="none"/>
                <w:lang w:eastAsia="en-US"/>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64922B25">
            <w:pPr>
              <w:jc w:val="center"/>
              <w:rPr>
                <w:rFonts w:hint="eastAsia" w:ascii="仿宋" w:hAnsi="仿宋" w:eastAsia="仿宋" w:cs="仿宋"/>
                <w:color w:val="auto"/>
                <w:sz w:val="24"/>
                <w:szCs w:val="24"/>
                <w:highlight w:val="none"/>
                <w:lang w:eastAsia="en-US"/>
              </w:rPr>
            </w:pPr>
          </w:p>
        </w:tc>
        <w:tc>
          <w:tcPr>
            <w:tcW w:w="3717" w:type="dxa"/>
            <w:tcBorders>
              <w:top w:val="single" w:color="000000" w:sz="4" w:space="0"/>
              <w:left w:val="single" w:color="000000" w:sz="4" w:space="0"/>
              <w:bottom w:val="single" w:color="000000" w:sz="4" w:space="0"/>
              <w:right w:val="single" w:color="000000" w:sz="4" w:space="0"/>
            </w:tcBorders>
          </w:tcPr>
          <w:p w14:paraId="568E1FC7">
            <w:pPr>
              <w:spacing w:before="131" w:line="276" w:lineRule="auto"/>
              <w:ind w:left="7" w:right="4"/>
              <w:jc w:val="left"/>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《淋浴器用水效率限定值及用水</w:t>
            </w:r>
            <w:r>
              <w:rPr>
                <w:rFonts w:hint="eastAsia" w:ascii="仿宋" w:hAnsi="仿宋" w:eastAsia="仿宋" w:cs="仿宋"/>
                <w:color w:val="auto"/>
                <w:sz w:val="24"/>
                <w:szCs w:val="24"/>
                <w:highlight w:val="none"/>
              </w:rPr>
              <w:t>效率等级》（GB28378）</w:t>
            </w:r>
          </w:p>
        </w:tc>
      </w:tr>
    </w:tbl>
    <w:p w14:paraId="5528DF47">
      <w:pPr>
        <w:widowControl/>
        <w:rPr>
          <w:rFonts w:hint="eastAsia" w:ascii="仿宋" w:hAnsi="仿宋" w:eastAsia="仿宋" w:cs="仿宋"/>
          <w:color w:val="auto"/>
          <w:sz w:val="24"/>
          <w:szCs w:val="24"/>
          <w:highlight w:val="none"/>
        </w:rPr>
      </w:pPr>
    </w:p>
    <w:p w14:paraId="1C0A8B6D">
      <w:pPr>
        <w:spacing w:line="360" w:lineRule="auto"/>
        <w:ind w:firstLine="468" w:firstLineChars="200"/>
        <w:rPr>
          <w:rFonts w:hint="eastAsia" w:ascii="仿宋" w:hAnsi="仿宋" w:eastAsia="仿宋" w:cs="仿宋"/>
          <w:color w:val="auto"/>
          <w:spacing w:val="-3"/>
          <w:kern w:val="0"/>
          <w:sz w:val="24"/>
          <w:szCs w:val="24"/>
          <w:highlight w:val="none"/>
        </w:rPr>
      </w:pPr>
      <w:r>
        <w:rPr>
          <w:rFonts w:hint="eastAsia" w:ascii="仿宋" w:hAnsi="仿宋" w:eastAsia="仿宋" w:cs="仿宋"/>
          <w:color w:val="auto"/>
          <w:spacing w:val="-3"/>
          <w:kern w:val="0"/>
          <w:sz w:val="24"/>
          <w:szCs w:val="24"/>
          <w:highlight w:val="none"/>
        </w:rPr>
        <w:t>注：1.节能产品认证应依据相关国家标准的最新版本，依据国家标准中二级能效（水效）指标。</w:t>
      </w:r>
    </w:p>
    <w:p w14:paraId="5B9385E6">
      <w:pPr>
        <w:spacing w:line="360" w:lineRule="auto"/>
        <w:ind w:firstLine="468" w:firstLineChars="200"/>
        <w:rPr>
          <w:rFonts w:hint="eastAsia" w:ascii="仿宋" w:hAnsi="仿宋" w:eastAsia="仿宋" w:cs="仿宋"/>
          <w:color w:val="auto"/>
          <w:spacing w:val="-3"/>
          <w:kern w:val="0"/>
          <w:sz w:val="24"/>
          <w:szCs w:val="24"/>
          <w:highlight w:val="none"/>
        </w:rPr>
      </w:pPr>
      <w:r>
        <w:rPr>
          <w:rFonts w:hint="eastAsia" w:ascii="仿宋" w:hAnsi="仿宋" w:eastAsia="仿宋" w:cs="仿宋"/>
          <w:color w:val="auto"/>
          <w:spacing w:val="-3"/>
          <w:kern w:val="0"/>
          <w:sz w:val="24"/>
          <w:szCs w:val="24"/>
          <w:highlight w:val="none"/>
        </w:rPr>
        <w:t>2.以“★”标注的为政府强制采购产品。</w:t>
      </w:r>
    </w:p>
    <w:p w14:paraId="4584B653">
      <w:pPr>
        <w:spacing w:after="120" w:line="360" w:lineRule="auto"/>
        <w:ind w:firstLine="468" w:firstLineChars="200"/>
        <w:rPr>
          <w:rFonts w:hint="eastAsia" w:ascii="仿宋" w:hAnsi="仿宋" w:eastAsia="仿宋" w:cs="仿宋"/>
          <w:b/>
          <w:bCs/>
          <w:color w:val="auto"/>
          <w:szCs w:val="24"/>
          <w:highlight w:val="none"/>
        </w:rPr>
      </w:pPr>
      <w:r>
        <w:rPr>
          <w:rFonts w:hint="eastAsia" w:ascii="仿宋" w:hAnsi="仿宋" w:eastAsia="仿宋" w:cs="仿宋"/>
          <w:color w:val="auto"/>
          <w:spacing w:val="-3"/>
          <w:kern w:val="0"/>
          <w:sz w:val="24"/>
          <w:szCs w:val="24"/>
          <w:highlight w:val="none"/>
        </w:rPr>
        <w:t>3.本表格原为《关于印发节能产品政府采购品目清单的通知》（财库〔2019〕19号）规定的表格附件，其中名称及编码已根据《财政部关于印发〈政府采购品目分类目录〉的通知》（财库〔2022〕31号）修改</w:t>
      </w:r>
      <w:r>
        <w:rPr>
          <w:rFonts w:hint="eastAsia" w:ascii="仿宋" w:hAnsi="仿宋" w:eastAsia="仿宋" w:cs="仿宋"/>
          <w:b/>
          <w:bCs/>
          <w:color w:val="auto"/>
          <w:szCs w:val="24"/>
          <w:highlight w:val="none"/>
        </w:rPr>
        <w:t>。</w:t>
      </w:r>
    </w:p>
    <w:p w14:paraId="0F536BF7">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0E61A618">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附件2：</w:t>
      </w:r>
    </w:p>
    <w:p w14:paraId="532DA582">
      <w:pPr>
        <w:spacing w:line="528" w:lineRule="exact"/>
        <w:ind w:left="220" w:firstLine="723"/>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中小微企业划型标准</w:t>
      </w:r>
    </w:p>
    <w:tbl>
      <w:tblPr>
        <w:tblStyle w:val="22"/>
        <w:tblW w:w="9418" w:type="dxa"/>
        <w:jc w:val="center"/>
        <w:tblLayout w:type="fixed"/>
        <w:tblCellMar>
          <w:top w:w="0" w:type="dxa"/>
          <w:left w:w="108" w:type="dxa"/>
          <w:bottom w:w="0" w:type="dxa"/>
          <w:right w:w="108" w:type="dxa"/>
        </w:tblCellMar>
      </w:tblPr>
      <w:tblGrid>
        <w:gridCol w:w="2007"/>
        <w:gridCol w:w="1633"/>
        <w:gridCol w:w="1077"/>
        <w:gridCol w:w="1911"/>
        <w:gridCol w:w="1699"/>
        <w:gridCol w:w="1091"/>
      </w:tblGrid>
      <w:tr w14:paraId="7D0F14AD">
        <w:tblPrEx>
          <w:tblCellMar>
            <w:top w:w="0" w:type="dxa"/>
            <w:left w:w="108" w:type="dxa"/>
            <w:bottom w:w="0" w:type="dxa"/>
            <w:right w:w="108" w:type="dxa"/>
          </w:tblCellMar>
        </w:tblPrEx>
        <w:trPr>
          <w:trHeight w:val="364" w:hRule="atLeast"/>
          <w:jc w:val="center"/>
        </w:trPr>
        <w:tc>
          <w:tcPr>
            <w:tcW w:w="2007" w:type="dxa"/>
            <w:tcBorders>
              <w:top w:val="single" w:color="auto" w:sz="4" w:space="0"/>
              <w:left w:val="single" w:color="auto" w:sz="4" w:space="0"/>
              <w:bottom w:val="single" w:color="auto" w:sz="4" w:space="0"/>
              <w:right w:val="single" w:color="auto" w:sz="4" w:space="0"/>
            </w:tcBorders>
            <w:vAlign w:val="center"/>
          </w:tcPr>
          <w:p w14:paraId="19334E4F">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行业名称</w:t>
            </w:r>
          </w:p>
        </w:tc>
        <w:tc>
          <w:tcPr>
            <w:tcW w:w="1633" w:type="dxa"/>
            <w:tcBorders>
              <w:top w:val="single" w:color="auto" w:sz="4" w:space="0"/>
              <w:left w:val="nil"/>
              <w:bottom w:val="single" w:color="auto" w:sz="4" w:space="0"/>
              <w:right w:val="single" w:color="auto" w:sz="4" w:space="0"/>
            </w:tcBorders>
            <w:vAlign w:val="center"/>
          </w:tcPr>
          <w:p w14:paraId="604FFD9F">
            <w:pPr>
              <w:widowControl/>
              <w:ind w:firstLine="4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指标名称</w:t>
            </w:r>
          </w:p>
        </w:tc>
        <w:tc>
          <w:tcPr>
            <w:tcW w:w="1077" w:type="dxa"/>
            <w:tcBorders>
              <w:top w:val="single" w:color="auto" w:sz="4" w:space="0"/>
              <w:left w:val="nil"/>
              <w:bottom w:val="single" w:color="auto" w:sz="4" w:space="0"/>
              <w:right w:val="single" w:color="auto" w:sz="4" w:space="0"/>
            </w:tcBorders>
            <w:vAlign w:val="center"/>
          </w:tcPr>
          <w:p w14:paraId="77C19D31">
            <w:pPr>
              <w:widowControl/>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计量单位</w:t>
            </w:r>
          </w:p>
        </w:tc>
        <w:tc>
          <w:tcPr>
            <w:tcW w:w="1911" w:type="dxa"/>
            <w:tcBorders>
              <w:top w:val="single" w:color="auto" w:sz="4" w:space="0"/>
              <w:left w:val="nil"/>
              <w:bottom w:val="single" w:color="auto" w:sz="4" w:space="0"/>
              <w:right w:val="single" w:color="auto" w:sz="4" w:space="0"/>
            </w:tcBorders>
            <w:vAlign w:val="center"/>
          </w:tcPr>
          <w:p w14:paraId="59B8583C">
            <w:pPr>
              <w:widowControl/>
              <w:ind w:firstLine="4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中型</w:t>
            </w:r>
          </w:p>
        </w:tc>
        <w:tc>
          <w:tcPr>
            <w:tcW w:w="1699" w:type="dxa"/>
            <w:tcBorders>
              <w:top w:val="single" w:color="auto" w:sz="4" w:space="0"/>
              <w:left w:val="nil"/>
              <w:bottom w:val="single" w:color="auto" w:sz="4" w:space="0"/>
              <w:right w:val="single" w:color="auto" w:sz="4" w:space="0"/>
            </w:tcBorders>
            <w:vAlign w:val="center"/>
          </w:tcPr>
          <w:p w14:paraId="101DE452">
            <w:pPr>
              <w:widowControl/>
              <w:ind w:firstLine="4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小型</w:t>
            </w:r>
          </w:p>
        </w:tc>
        <w:tc>
          <w:tcPr>
            <w:tcW w:w="1091" w:type="dxa"/>
            <w:tcBorders>
              <w:top w:val="single" w:color="auto" w:sz="4" w:space="0"/>
              <w:left w:val="nil"/>
              <w:bottom w:val="single" w:color="auto" w:sz="4" w:space="0"/>
              <w:right w:val="single" w:color="auto" w:sz="4" w:space="0"/>
            </w:tcBorders>
            <w:vAlign w:val="center"/>
          </w:tcPr>
          <w:p w14:paraId="65CCCE31">
            <w:pPr>
              <w:widowControl/>
              <w:ind w:firstLine="40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微型</w:t>
            </w:r>
          </w:p>
        </w:tc>
      </w:tr>
      <w:tr w14:paraId="60CD52A0">
        <w:tblPrEx>
          <w:tblCellMar>
            <w:top w:w="0" w:type="dxa"/>
            <w:left w:w="108" w:type="dxa"/>
            <w:bottom w:w="0" w:type="dxa"/>
            <w:right w:w="108" w:type="dxa"/>
          </w:tblCellMar>
        </w:tblPrEx>
        <w:trPr>
          <w:trHeight w:val="364" w:hRule="atLeast"/>
          <w:jc w:val="center"/>
        </w:trPr>
        <w:tc>
          <w:tcPr>
            <w:tcW w:w="2007" w:type="dxa"/>
            <w:tcBorders>
              <w:top w:val="nil"/>
              <w:left w:val="single" w:color="auto" w:sz="4" w:space="0"/>
              <w:bottom w:val="single" w:color="auto" w:sz="4" w:space="0"/>
              <w:right w:val="single" w:color="auto" w:sz="4" w:space="0"/>
            </w:tcBorders>
            <w:vAlign w:val="bottom"/>
          </w:tcPr>
          <w:p w14:paraId="469919BF">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农、林、牧、渔</w:t>
            </w:r>
          </w:p>
        </w:tc>
        <w:tc>
          <w:tcPr>
            <w:tcW w:w="1633" w:type="dxa"/>
            <w:tcBorders>
              <w:top w:val="nil"/>
              <w:left w:val="nil"/>
              <w:bottom w:val="single" w:color="auto" w:sz="4" w:space="0"/>
              <w:right w:val="single" w:color="auto" w:sz="4" w:space="0"/>
            </w:tcBorders>
            <w:vAlign w:val="center"/>
          </w:tcPr>
          <w:p w14:paraId="7A7D999D">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3F7B051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6D7EE9F1">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500≤Y＜20000</w:t>
            </w:r>
          </w:p>
        </w:tc>
        <w:tc>
          <w:tcPr>
            <w:tcW w:w="1699" w:type="dxa"/>
            <w:tcBorders>
              <w:top w:val="nil"/>
              <w:left w:val="nil"/>
              <w:bottom w:val="single" w:color="auto" w:sz="4" w:space="0"/>
              <w:right w:val="single" w:color="auto" w:sz="4" w:space="0"/>
            </w:tcBorders>
            <w:vAlign w:val="center"/>
          </w:tcPr>
          <w:p w14:paraId="38E1B14C">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50≤Y＜500</w:t>
            </w:r>
          </w:p>
        </w:tc>
        <w:tc>
          <w:tcPr>
            <w:tcW w:w="1091" w:type="dxa"/>
            <w:tcBorders>
              <w:top w:val="nil"/>
              <w:left w:val="nil"/>
              <w:bottom w:val="single" w:color="auto" w:sz="4" w:space="0"/>
              <w:right w:val="single" w:color="auto" w:sz="4" w:space="0"/>
            </w:tcBorders>
            <w:vAlign w:val="center"/>
          </w:tcPr>
          <w:p w14:paraId="455B7611">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Y＜50</w:t>
            </w:r>
          </w:p>
        </w:tc>
      </w:tr>
      <w:tr w14:paraId="75B4B5BC">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3FE7A5E8">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工业</w:t>
            </w:r>
          </w:p>
        </w:tc>
        <w:tc>
          <w:tcPr>
            <w:tcW w:w="1633" w:type="dxa"/>
            <w:tcBorders>
              <w:top w:val="nil"/>
              <w:left w:val="nil"/>
              <w:bottom w:val="single" w:color="auto" w:sz="4" w:space="0"/>
              <w:right w:val="single" w:color="auto" w:sz="4" w:space="0"/>
            </w:tcBorders>
            <w:vAlign w:val="center"/>
          </w:tcPr>
          <w:p w14:paraId="34D490B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59BFC737">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2D4A7EEB">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1699" w:type="dxa"/>
            <w:tcBorders>
              <w:top w:val="nil"/>
              <w:left w:val="nil"/>
              <w:bottom w:val="single" w:color="auto" w:sz="4" w:space="0"/>
              <w:right w:val="single" w:color="auto" w:sz="4" w:space="0"/>
            </w:tcBorders>
            <w:vAlign w:val="center"/>
          </w:tcPr>
          <w:p w14:paraId="1DF3D377">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20≤X＜300</w:t>
            </w:r>
          </w:p>
        </w:tc>
        <w:tc>
          <w:tcPr>
            <w:tcW w:w="1091" w:type="dxa"/>
            <w:tcBorders>
              <w:top w:val="nil"/>
              <w:left w:val="nil"/>
              <w:bottom w:val="single" w:color="auto" w:sz="4" w:space="0"/>
              <w:right w:val="single" w:color="auto" w:sz="4" w:space="0"/>
            </w:tcBorders>
            <w:vAlign w:val="center"/>
          </w:tcPr>
          <w:p w14:paraId="2E044AC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5DB228C9">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30ACF585">
            <w:pPr>
              <w:widowControl/>
              <w:jc w:val="center"/>
              <w:rPr>
                <w:rFonts w:hint="eastAsia" w:ascii="仿宋" w:hAnsi="仿宋" w:eastAsia="仿宋" w:cs="仿宋"/>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7653AB7B">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02E6886C">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610C38BA">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2000≤Y＜40000</w:t>
            </w:r>
          </w:p>
        </w:tc>
        <w:tc>
          <w:tcPr>
            <w:tcW w:w="1699" w:type="dxa"/>
            <w:tcBorders>
              <w:top w:val="nil"/>
              <w:left w:val="nil"/>
              <w:bottom w:val="single" w:color="auto" w:sz="4" w:space="0"/>
              <w:right w:val="single" w:color="auto" w:sz="4" w:space="0"/>
            </w:tcBorders>
            <w:vAlign w:val="center"/>
          </w:tcPr>
          <w:p w14:paraId="2CE918D5">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300≤Y＜2000</w:t>
            </w:r>
          </w:p>
        </w:tc>
        <w:tc>
          <w:tcPr>
            <w:tcW w:w="1091" w:type="dxa"/>
            <w:tcBorders>
              <w:top w:val="nil"/>
              <w:left w:val="nil"/>
              <w:bottom w:val="single" w:color="auto" w:sz="4" w:space="0"/>
              <w:right w:val="single" w:color="auto" w:sz="4" w:space="0"/>
            </w:tcBorders>
            <w:vAlign w:val="center"/>
          </w:tcPr>
          <w:p w14:paraId="056A6505">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Y＜300</w:t>
            </w:r>
          </w:p>
        </w:tc>
      </w:tr>
      <w:tr w14:paraId="42ECD3F2">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16D39B29">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建筑业</w:t>
            </w:r>
          </w:p>
        </w:tc>
        <w:tc>
          <w:tcPr>
            <w:tcW w:w="1633" w:type="dxa"/>
            <w:tcBorders>
              <w:top w:val="nil"/>
              <w:left w:val="nil"/>
              <w:bottom w:val="single" w:color="auto" w:sz="4" w:space="0"/>
              <w:right w:val="single" w:color="auto" w:sz="4" w:space="0"/>
            </w:tcBorders>
            <w:vAlign w:val="center"/>
          </w:tcPr>
          <w:p w14:paraId="4EF43C33">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0AB6553C">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0FF0971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6000≤Y＜80000</w:t>
            </w:r>
          </w:p>
        </w:tc>
        <w:tc>
          <w:tcPr>
            <w:tcW w:w="1699" w:type="dxa"/>
            <w:tcBorders>
              <w:top w:val="nil"/>
              <w:left w:val="nil"/>
              <w:bottom w:val="single" w:color="auto" w:sz="4" w:space="0"/>
              <w:right w:val="single" w:color="auto" w:sz="4" w:space="0"/>
            </w:tcBorders>
            <w:vAlign w:val="center"/>
          </w:tcPr>
          <w:p w14:paraId="1BE050D4">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300≤Y＜6000</w:t>
            </w:r>
          </w:p>
        </w:tc>
        <w:tc>
          <w:tcPr>
            <w:tcW w:w="1091" w:type="dxa"/>
            <w:tcBorders>
              <w:top w:val="nil"/>
              <w:left w:val="nil"/>
              <w:bottom w:val="single" w:color="auto" w:sz="4" w:space="0"/>
              <w:right w:val="single" w:color="auto" w:sz="4" w:space="0"/>
            </w:tcBorders>
            <w:vAlign w:val="center"/>
          </w:tcPr>
          <w:p w14:paraId="07898CD7">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Y＜300</w:t>
            </w:r>
          </w:p>
        </w:tc>
      </w:tr>
      <w:tr w14:paraId="718E12F1">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128BBB77">
            <w:pPr>
              <w:widowControl/>
              <w:jc w:val="center"/>
              <w:rPr>
                <w:rFonts w:hint="eastAsia" w:ascii="仿宋" w:hAnsi="仿宋" w:eastAsia="仿宋" w:cs="仿宋"/>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15A381D3">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资产总额（Z）</w:t>
            </w:r>
          </w:p>
        </w:tc>
        <w:tc>
          <w:tcPr>
            <w:tcW w:w="1077" w:type="dxa"/>
            <w:tcBorders>
              <w:top w:val="nil"/>
              <w:left w:val="nil"/>
              <w:bottom w:val="single" w:color="auto" w:sz="4" w:space="0"/>
              <w:right w:val="single" w:color="auto" w:sz="4" w:space="0"/>
            </w:tcBorders>
            <w:vAlign w:val="center"/>
          </w:tcPr>
          <w:p w14:paraId="3CB83AF8">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02BB023B">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5000≤Z＜80000</w:t>
            </w:r>
          </w:p>
        </w:tc>
        <w:tc>
          <w:tcPr>
            <w:tcW w:w="1699" w:type="dxa"/>
            <w:tcBorders>
              <w:top w:val="nil"/>
              <w:left w:val="nil"/>
              <w:bottom w:val="single" w:color="auto" w:sz="4" w:space="0"/>
              <w:right w:val="single" w:color="auto" w:sz="4" w:space="0"/>
            </w:tcBorders>
            <w:vAlign w:val="center"/>
          </w:tcPr>
          <w:p w14:paraId="5B51458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300≤Z＜5000</w:t>
            </w:r>
          </w:p>
        </w:tc>
        <w:tc>
          <w:tcPr>
            <w:tcW w:w="1091" w:type="dxa"/>
            <w:tcBorders>
              <w:top w:val="nil"/>
              <w:left w:val="nil"/>
              <w:bottom w:val="single" w:color="auto" w:sz="4" w:space="0"/>
              <w:right w:val="single" w:color="auto" w:sz="4" w:space="0"/>
            </w:tcBorders>
            <w:vAlign w:val="center"/>
          </w:tcPr>
          <w:p w14:paraId="57E46F48">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Z＜300</w:t>
            </w:r>
          </w:p>
        </w:tc>
      </w:tr>
      <w:tr w14:paraId="7D2C2FEA">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72799611">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批发业</w:t>
            </w:r>
          </w:p>
        </w:tc>
        <w:tc>
          <w:tcPr>
            <w:tcW w:w="1633" w:type="dxa"/>
            <w:tcBorders>
              <w:top w:val="nil"/>
              <w:left w:val="nil"/>
              <w:bottom w:val="single" w:color="auto" w:sz="4" w:space="0"/>
              <w:right w:val="single" w:color="auto" w:sz="4" w:space="0"/>
            </w:tcBorders>
            <w:vAlign w:val="center"/>
          </w:tcPr>
          <w:p w14:paraId="3D7F076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4D4B0228">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519EA447">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20≤X＜200</w:t>
            </w:r>
          </w:p>
        </w:tc>
        <w:tc>
          <w:tcPr>
            <w:tcW w:w="1699" w:type="dxa"/>
            <w:tcBorders>
              <w:top w:val="nil"/>
              <w:left w:val="nil"/>
              <w:bottom w:val="single" w:color="auto" w:sz="4" w:space="0"/>
              <w:right w:val="single" w:color="auto" w:sz="4" w:space="0"/>
            </w:tcBorders>
            <w:vAlign w:val="center"/>
          </w:tcPr>
          <w:p w14:paraId="4E11194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5≤X＜20</w:t>
            </w:r>
          </w:p>
        </w:tc>
        <w:tc>
          <w:tcPr>
            <w:tcW w:w="1091" w:type="dxa"/>
            <w:tcBorders>
              <w:top w:val="nil"/>
              <w:left w:val="nil"/>
              <w:bottom w:val="single" w:color="auto" w:sz="4" w:space="0"/>
              <w:right w:val="single" w:color="auto" w:sz="4" w:space="0"/>
            </w:tcBorders>
            <w:vAlign w:val="center"/>
          </w:tcPr>
          <w:p w14:paraId="0103785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X＜5</w:t>
            </w:r>
          </w:p>
        </w:tc>
      </w:tr>
      <w:tr w14:paraId="5379D8DC">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23371873">
            <w:pPr>
              <w:widowControl/>
              <w:jc w:val="center"/>
              <w:rPr>
                <w:rFonts w:hint="eastAsia" w:ascii="仿宋" w:hAnsi="仿宋" w:eastAsia="仿宋" w:cs="仿宋"/>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13B1BD23">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24B1948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4B9BA3FB">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5000≤Y＜40000</w:t>
            </w:r>
          </w:p>
        </w:tc>
        <w:tc>
          <w:tcPr>
            <w:tcW w:w="1699" w:type="dxa"/>
            <w:tcBorders>
              <w:top w:val="nil"/>
              <w:left w:val="nil"/>
              <w:bottom w:val="single" w:color="auto" w:sz="4" w:space="0"/>
              <w:right w:val="single" w:color="auto" w:sz="4" w:space="0"/>
            </w:tcBorders>
            <w:vAlign w:val="center"/>
          </w:tcPr>
          <w:p w14:paraId="2CEEC314">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1000≤Y＜5000</w:t>
            </w:r>
          </w:p>
        </w:tc>
        <w:tc>
          <w:tcPr>
            <w:tcW w:w="1091" w:type="dxa"/>
            <w:tcBorders>
              <w:top w:val="nil"/>
              <w:left w:val="nil"/>
              <w:bottom w:val="single" w:color="auto" w:sz="4" w:space="0"/>
              <w:right w:val="single" w:color="auto" w:sz="4" w:space="0"/>
            </w:tcBorders>
            <w:vAlign w:val="center"/>
          </w:tcPr>
          <w:p w14:paraId="5EBEA98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Y＜1000</w:t>
            </w:r>
          </w:p>
        </w:tc>
      </w:tr>
      <w:tr w14:paraId="0A4E9F67">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04815AB3">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零售业</w:t>
            </w:r>
          </w:p>
        </w:tc>
        <w:tc>
          <w:tcPr>
            <w:tcW w:w="1633" w:type="dxa"/>
            <w:tcBorders>
              <w:top w:val="nil"/>
              <w:left w:val="nil"/>
              <w:bottom w:val="single" w:color="auto" w:sz="4" w:space="0"/>
              <w:right w:val="single" w:color="auto" w:sz="4" w:space="0"/>
            </w:tcBorders>
            <w:vAlign w:val="center"/>
          </w:tcPr>
          <w:p w14:paraId="71813248">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0472E94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476BD24F">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50≤X＜300</w:t>
            </w:r>
          </w:p>
        </w:tc>
        <w:tc>
          <w:tcPr>
            <w:tcW w:w="1699" w:type="dxa"/>
            <w:tcBorders>
              <w:top w:val="nil"/>
              <w:left w:val="nil"/>
              <w:bottom w:val="single" w:color="auto" w:sz="4" w:space="0"/>
              <w:right w:val="single" w:color="auto" w:sz="4" w:space="0"/>
            </w:tcBorders>
            <w:vAlign w:val="center"/>
          </w:tcPr>
          <w:p w14:paraId="0E6FFD2A">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10≤X＜50</w:t>
            </w:r>
          </w:p>
        </w:tc>
        <w:tc>
          <w:tcPr>
            <w:tcW w:w="1091" w:type="dxa"/>
            <w:tcBorders>
              <w:top w:val="nil"/>
              <w:left w:val="nil"/>
              <w:bottom w:val="single" w:color="auto" w:sz="4" w:space="0"/>
              <w:right w:val="single" w:color="auto" w:sz="4" w:space="0"/>
            </w:tcBorders>
            <w:vAlign w:val="center"/>
          </w:tcPr>
          <w:p w14:paraId="794FED4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04088EB4">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0545E765">
            <w:pPr>
              <w:widowControl/>
              <w:jc w:val="center"/>
              <w:rPr>
                <w:rFonts w:hint="eastAsia" w:ascii="仿宋" w:hAnsi="仿宋" w:eastAsia="仿宋" w:cs="仿宋"/>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65CAD14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30CB647D">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05DAE52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500≤Y＜20000</w:t>
            </w:r>
          </w:p>
        </w:tc>
        <w:tc>
          <w:tcPr>
            <w:tcW w:w="1699" w:type="dxa"/>
            <w:tcBorders>
              <w:top w:val="nil"/>
              <w:left w:val="nil"/>
              <w:bottom w:val="single" w:color="auto" w:sz="4" w:space="0"/>
              <w:right w:val="single" w:color="auto" w:sz="4" w:space="0"/>
            </w:tcBorders>
            <w:vAlign w:val="center"/>
          </w:tcPr>
          <w:p w14:paraId="3994F50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100≤Y＜500</w:t>
            </w:r>
          </w:p>
        </w:tc>
        <w:tc>
          <w:tcPr>
            <w:tcW w:w="1091" w:type="dxa"/>
            <w:tcBorders>
              <w:top w:val="nil"/>
              <w:left w:val="nil"/>
              <w:bottom w:val="single" w:color="auto" w:sz="4" w:space="0"/>
              <w:right w:val="single" w:color="auto" w:sz="4" w:space="0"/>
            </w:tcBorders>
            <w:vAlign w:val="center"/>
          </w:tcPr>
          <w:p w14:paraId="22893024">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60CC96D2">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575736A7">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交通运输业</w:t>
            </w:r>
          </w:p>
        </w:tc>
        <w:tc>
          <w:tcPr>
            <w:tcW w:w="1633" w:type="dxa"/>
            <w:tcBorders>
              <w:top w:val="nil"/>
              <w:left w:val="nil"/>
              <w:bottom w:val="single" w:color="auto" w:sz="4" w:space="0"/>
              <w:right w:val="single" w:color="auto" w:sz="4" w:space="0"/>
            </w:tcBorders>
            <w:vAlign w:val="center"/>
          </w:tcPr>
          <w:p w14:paraId="47D8856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58828700">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2281E8E3">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1699" w:type="dxa"/>
            <w:tcBorders>
              <w:top w:val="nil"/>
              <w:left w:val="nil"/>
              <w:bottom w:val="single" w:color="auto" w:sz="4" w:space="0"/>
              <w:right w:val="single" w:color="auto" w:sz="4" w:space="0"/>
            </w:tcBorders>
            <w:vAlign w:val="center"/>
          </w:tcPr>
          <w:p w14:paraId="6CD016CB">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20≤X＜300</w:t>
            </w:r>
          </w:p>
        </w:tc>
        <w:tc>
          <w:tcPr>
            <w:tcW w:w="1091" w:type="dxa"/>
            <w:tcBorders>
              <w:top w:val="nil"/>
              <w:left w:val="nil"/>
              <w:bottom w:val="single" w:color="auto" w:sz="4" w:space="0"/>
              <w:right w:val="single" w:color="auto" w:sz="4" w:space="0"/>
            </w:tcBorders>
            <w:vAlign w:val="center"/>
          </w:tcPr>
          <w:p w14:paraId="06074AC8">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70B46F03">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23C2F106">
            <w:pPr>
              <w:widowControl/>
              <w:jc w:val="center"/>
              <w:rPr>
                <w:rFonts w:hint="eastAsia" w:ascii="仿宋" w:hAnsi="仿宋" w:eastAsia="仿宋" w:cs="仿宋"/>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08A53AE4">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45D0E9C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7AA59D4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3000≤Y＜30000</w:t>
            </w:r>
          </w:p>
        </w:tc>
        <w:tc>
          <w:tcPr>
            <w:tcW w:w="1699" w:type="dxa"/>
            <w:tcBorders>
              <w:top w:val="nil"/>
              <w:left w:val="nil"/>
              <w:bottom w:val="single" w:color="auto" w:sz="4" w:space="0"/>
              <w:right w:val="single" w:color="auto" w:sz="4" w:space="0"/>
            </w:tcBorders>
            <w:vAlign w:val="center"/>
          </w:tcPr>
          <w:p w14:paraId="3E8ED3A1">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200≤Y＜3000</w:t>
            </w:r>
          </w:p>
        </w:tc>
        <w:tc>
          <w:tcPr>
            <w:tcW w:w="1091" w:type="dxa"/>
            <w:tcBorders>
              <w:top w:val="nil"/>
              <w:left w:val="nil"/>
              <w:bottom w:val="single" w:color="auto" w:sz="4" w:space="0"/>
              <w:right w:val="single" w:color="auto" w:sz="4" w:space="0"/>
            </w:tcBorders>
            <w:vAlign w:val="center"/>
          </w:tcPr>
          <w:p w14:paraId="08599BA3">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Y＜200</w:t>
            </w:r>
          </w:p>
        </w:tc>
      </w:tr>
      <w:tr w14:paraId="1D8E2487">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5513CC23">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仓储业</w:t>
            </w:r>
          </w:p>
        </w:tc>
        <w:tc>
          <w:tcPr>
            <w:tcW w:w="1633" w:type="dxa"/>
            <w:tcBorders>
              <w:top w:val="nil"/>
              <w:left w:val="nil"/>
              <w:bottom w:val="single" w:color="auto" w:sz="4" w:space="0"/>
              <w:right w:val="single" w:color="auto" w:sz="4" w:space="0"/>
            </w:tcBorders>
            <w:vAlign w:val="center"/>
          </w:tcPr>
          <w:p w14:paraId="738B32E7">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3E2CC01A">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55D28CC5">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100≤X＜200</w:t>
            </w:r>
          </w:p>
        </w:tc>
        <w:tc>
          <w:tcPr>
            <w:tcW w:w="1699" w:type="dxa"/>
            <w:tcBorders>
              <w:top w:val="nil"/>
              <w:left w:val="nil"/>
              <w:bottom w:val="single" w:color="auto" w:sz="4" w:space="0"/>
              <w:right w:val="single" w:color="auto" w:sz="4" w:space="0"/>
            </w:tcBorders>
            <w:vAlign w:val="center"/>
          </w:tcPr>
          <w:p w14:paraId="096F4DEB">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20≤X＜100</w:t>
            </w:r>
          </w:p>
        </w:tc>
        <w:tc>
          <w:tcPr>
            <w:tcW w:w="1091" w:type="dxa"/>
            <w:tcBorders>
              <w:top w:val="nil"/>
              <w:left w:val="nil"/>
              <w:bottom w:val="single" w:color="auto" w:sz="4" w:space="0"/>
              <w:right w:val="single" w:color="auto" w:sz="4" w:space="0"/>
            </w:tcBorders>
            <w:vAlign w:val="center"/>
          </w:tcPr>
          <w:p w14:paraId="0E0CD683">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1B0FC247">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711C06B6">
            <w:pPr>
              <w:widowControl/>
              <w:jc w:val="center"/>
              <w:rPr>
                <w:rFonts w:hint="eastAsia" w:ascii="仿宋" w:hAnsi="仿宋" w:eastAsia="仿宋" w:cs="仿宋"/>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5B3A72BF">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6C50E253">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76077B4B">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1000≤Y＜30000</w:t>
            </w:r>
          </w:p>
        </w:tc>
        <w:tc>
          <w:tcPr>
            <w:tcW w:w="1699" w:type="dxa"/>
            <w:tcBorders>
              <w:top w:val="nil"/>
              <w:left w:val="nil"/>
              <w:bottom w:val="single" w:color="auto" w:sz="4" w:space="0"/>
              <w:right w:val="single" w:color="auto" w:sz="4" w:space="0"/>
            </w:tcBorders>
            <w:vAlign w:val="center"/>
          </w:tcPr>
          <w:p w14:paraId="1811D0E1">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100≤Y＜1000</w:t>
            </w:r>
          </w:p>
        </w:tc>
        <w:tc>
          <w:tcPr>
            <w:tcW w:w="1091" w:type="dxa"/>
            <w:tcBorders>
              <w:top w:val="nil"/>
              <w:left w:val="nil"/>
              <w:bottom w:val="single" w:color="auto" w:sz="4" w:space="0"/>
              <w:right w:val="single" w:color="auto" w:sz="4" w:space="0"/>
            </w:tcBorders>
            <w:vAlign w:val="center"/>
          </w:tcPr>
          <w:p w14:paraId="7E86F91D">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300767DB">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469CD145">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邮政业</w:t>
            </w:r>
          </w:p>
        </w:tc>
        <w:tc>
          <w:tcPr>
            <w:tcW w:w="1633" w:type="dxa"/>
            <w:tcBorders>
              <w:top w:val="nil"/>
              <w:left w:val="nil"/>
              <w:bottom w:val="single" w:color="auto" w:sz="4" w:space="0"/>
              <w:right w:val="single" w:color="auto" w:sz="4" w:space="0"/>
            </w:tcBorders>
            <w:vAlign w:val="center"/>
          </w:tcPr>
          <w:p w14:paraId="091515BE">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08EFCD0E">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729A39F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1699" w:type="dxa"/>
            <w:tcBorders>
              <w:top w:val="nil"/>
              <w:left w:val="nil"/>
              <w:bottom w:val="single" w:color="auto" w:sz="4" w:space="0"/>
              <w:right w:val="single" w:color="auto" w:sz="4" w:space="0"/>
            </w:tcBorders>
            <w:vAlign w:val="center"/>
          </w:tcPr>
          <w:p w14:paraId="21ADEB08">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20≤X＜300</w:t>
            </w:r>
          </w:p>
        </w:tc>
        <w:tc>
          <w:tcPr>
            <w:tcW w:w="1091" w:type="dxa"/>
            <w:tcBorders>
              <w:top w:val="nil"/>
              <w:left w:val="nil"/>
              <w:bottom w:val="single" w:color="auto" w:sz="4" w:space="0"/>
              <w:right w:val="single" w:color="auto" w:sz="4" w:space="0"/>
            </w:tcBorders>
            <w:vAlign w:val="center"/>
          </w:tcPr>
          <w:p w14:paraId="281E5DF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X＜20</w:t>
            </w:r>
          </w:p>
        </w:tc>
      </w:tr>
      <w:tr w14:paraId="67B784BE">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27280CF5">
            <w:pPr>
              <w:widowControl/>
              <w:jc w:val="center"/>
              <w:rPr>
                <w:rFonts w:hint="eastAsia" w:ascii="仿宋" w:hAnsi="仿宋" w:eastAsia="仿宋" w:cs="仿宋"/>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4685E90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1A4952BD">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09F7E20C">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2000≤Y＜30000</w:t>
            </w:r>
          </w:p>
        </w:tc>
        <w:tc>
          <w:tcPr>
            <w:tcW w:w="1699" w:type="dxa"/>
            <w:tcBorders>
              <w:top w:val="nil"/>
              <w:left w:val="nil"/>
              <w:bottom w:val="single" w:color="auto" w:sz="4" w:space="0"/>
              <w:right w:val="single" w:color="auto" w:sz="4" w:space="0"/>
            </w:tcBorders>
            <w:vAlign w:val="center"/>
          </w:tcPr>
          <w:p w14:paraId="05A7A17B">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100≤Y＜2000</w:t>
            </w:r>
          </w:p>
        </w:tc>
        <w:tc>
          <w:tcPr>
            <w:tcW w:w="1091" w:type="dxa"/>
            <w:tcBorders>
              <w:top w:val="nil"/>
              <w:left w:val="nil"/>
              <w:bottom w:val="single" w:color="auto" w:sz="4" w:space="0"/>
              <w:right w:val="single" w:color="auto" w:sz="4" w:space="0"/>
            </w:tcBorders>
            <w:vAlign w:val="center"/>
          </w:tcPr>
          <w:p w14:paraId="0AEAAB3A">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4ED7648D">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066C6177">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住宿业</w:t>
            </w:r>
          </w:p>
        </w:tc>
        <w:tc>
          <w:tcPr>
            <w:tcW w:w="1633" w:type="dxa"/>
            <w:tcBorders>
              <w:top w:val="nil"/>
              <w:left w:val="nil"/>
              <w:bottom w:val="single" w:color="auto" w:sz="4" w:space="0"/>
              <w:right w:val="single" w:color="auto" w:sz="4" w:space="0"/>
            </w:tcBorders>
            <w:vAlign w:val="center"/>
          </w:tcPr>
          <w:p w14:paraId="06E3D00D">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6CB13094">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64A17DE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1699" w:type="dxa"/>
            <w:tcBorders>
              <w:top w:val="nil"/>
              <w:left w:val="nil"/>
              <w:bottom w:val="single" w:color="auto" w:sz="4" w:space="0"/>
              <w:right w:val="single" w:color="auto" w:sz="4" w:space="0"/>
            </w:tcBorders>
            <w:vAlign w:val="center"/>
          </w:tcPr>
          <w:p w14:paraId="2267BC3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091" w:type="dxa"/>
            <w:tcBorders>
              <w:top w:val="nil"/>
              <w:left w:val="nil"/>
              <w:bottom w:val="single" w:color="auto" w:sz="4" w:space="0"/>
              <w:right w:val="single" w:color="auto" w:sz="4" w:space="0"/>
            </w:tcBorders>
            <w:vAlign w:val="center"/>
          </w:tcPr>
          <w:p w14:paraId="00AB8343">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7E407816">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38394C71">
            <w:pPr>
              <w:widowControl/>
              <w:jc w:val="center"/>
              <w:rPr>
                <w:rFonts w:hint="eastAsia" w:ascii="仿宋" w:hAnsi="仿宋" w:eastAsia="仿宋" w:cs="仿宋"/>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09365A7A">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0539C27B">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13E69917">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2000≤Y＜10000</w:t>
            </w:r>
          </w:p>
        </w:tc>
        <w:tc>
          <w:tcPr>
            <w:tcW w:w="1699" w:type="dxa"/>
            <w:tcBorders>
              <w:top w:val="nil"/>
              <w:left w:val="nil"/>
              <w:bottom w:val="single" w:color="auto" w:sz="4" w:space="0"/>
              <w:right w:val="single" w:color="auto" w:sz="4" w:space="0"/>
            </w:tcBorders>
            <w:vAlign w:val="center"/>
          </w:tcPr>
          <w:p w14:paraId="108BC7DF">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100≤Y＜2000</w:t>
            </w:r>
          </w:p>
        </w:tc>
        <w:tc>
          <w:tcPr>
            <w:tcW w:w="1091" w:type="dxa"/>
            <w:tcBorders>
              <w:top w:val="nil"/>
              <w:left w:val="nil"/>
              <w:bottom w:val="single" w:color="auto" w:sz="4" w:space="0"/>
              <w:right w:val="single" w:color="auto" w:sz="4" w:space="0"/>
            </w:tcBorders>
            <w:vAlign w:val="center"/>
          </w:tcPr>
          <w:p w14:paraId="5D7F788C">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3D5F8737">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0A4BCD0C">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餐饮业</w:t>
            </w:r>
          </w:p>
        </w:tc>
        <w:tc>
          <w:tcPr>
            <w:tcW w:w="1633" w:type="dxa"/>
            <w:tcBorders>
              <w:top w:val="nil"/>
              <w:left w:val="nil"/>
              <w:bottom w:val="single" w:color="auto" w:sz="4" w:space="0"/>
              <w:right w:val="single" w:color="auto" w:sz="4" w:space="0"/>
            </w:tcBorders>
            <w:vAlign w:val="center"/>
          </w:tcPr>
          <w:p w14:paraId="1905EBF3">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133991A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2295C5B5">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1699" w:type="dxa"/>
            <w:tcBorders>
              <w:top w:val="nil"/>
              <w:left w:val="nil"/>
              <w:bottom w:val="single" w:color="auto" w:sz="4" w:space="0"/>
              <w:right w:val="single" w:color="auto" w:sz="4" w:space="0"/>
            </w:tcBorders>
            <w:vAlign w:val="center"/>
          </w:tcPr>
          <w:p w14:paraId="66CE64E7">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091" w:type="dxa"/>
            <w:tcBorders>
              <w:top w:val="nil"/>
              <w:left w:val="nil"/>
              <w:bottom w:val="single" w:color="auto" w:sz="4" w:space="0"/>
              <w:right w:val="single" w:color="auto" w:sz="4" w:space="0"/>
            </w:tcBorders>
            <w:vAlign w:val="center"/>
          </w:tcPr>
          <w:p w14:paraId="1701DBF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0B5C7A33">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14D31A95">
            <w:pPr>
              <w:widowControl/>
              <w:jc w:val="center"/>
              <w:rPr>
                <w:rFonts w:hint="eastAsia" w:ascii="仿宋" w:hAnsi="仿宋" w:eastAsia="仿宋" w:cs="仿宋"/>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01AF7231">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42BC6DC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51CC836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2000≤Y＜10000</w:t>
            </w:r>
          </w:p>
        </w:tc>
        <w:tc>
          <w:tcPr>
            <w:tcW w:w="1699" w:type="dxa"/>
            <w:tcBorders>
              <w:top w:val="nil"/>
              <w:left w:val="nil"/>
              <w:bottom w:val="single" w:color="auto" w:sz="4" w:space="0"/>
              <w:right w:val="single" w:color="auto" w:sz="4" w:space="0"/>
            </w:tcBorders>
            <w:vAlign w:val="center"/>
          </w:tcPr>
          <w:p w14:paraId="2DD9C68F">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100≤Y＜2000</w:t>
            </w:r>
          </w:p>
        </w:tc>
        <w:tc>
          <w:tcPr>
            <w:tcW w:w="1091" w:type="dxa"/>
            <w:tcBorders>
              <w:top w:val="nil"/>
              <w:left w:val="nil"/>
              <w:bottom w:val="single" w:color="auto" w:sz="4" w:space="0"/>
              <w:right w:val="single" w:color="auto" w:sz="4" w:space="0"/>
            </w:tcBorders>
            <w:vAlign w:val="center"/>
          </w:tcPr>
          <w:p w14:paraId="16A32203">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460BE1C5">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75C8B756">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信息传输业</w:t>
            </w:r>
          </w:p>
        </w:tc>
        <w:tc>
          <w:tcPr>
            <w:tcW w:w="1633" w:type="dxa"/>
            <w:tcBorders>
              <w:top w:val="nil"/>
              <w:left w:val="nil"/>
              <w:bottom w:val="single" w:color="auto" w:sz="4" w:space="0"/>
              <w:right w:val="single" w:color="auto" w:sz="4" w:space="0"/>
            </w:tcBorders>
            <w:vAlign w:val="center"/>
          </w:tcPr>
          <w:p w14:paraId="302E6304">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7E99653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5DCC19B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100≤X＜2000</w:t>
            </w:r>
          </w:p>
        </w:tc>
        <w:tc>
          <w:tcPr>
            <w:tcW w:w="1699" w:type="dxa"/>
            <w:tcBorders>
              <w:top w:val="nil"/>
              <w:left w:val="nil"/>
              <w:bottom w:val="single" w:color="auto" w:sz="4" w:space="0"/>
              <w:right w:val="single" w:color="auto" w:sz="4" w:space="0"/>
            </w:tcBorders>
            <w:vAlign w:val="center"/>
          </w:tcPr>
          <w:p w14:paraId="7A034058">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091" w:type="dxa"/>
            <w:tcBorders>
              <w:top w:val="nil"/>
              <w:left w:val="nil"/>
              <w:bottom w:val="single" w:color="auto" w:sz="4" w:space="0"/>
              <w:right w:val="single" w:color="auto" w:sz="4" w:space="0"/>
            </w:tcBorders>
            <w:vAlign w:val="center"/>
          </w:tcPr>
          <w:p w14:paraId="69C85904">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15086A6B">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50E10AF2">
            <w:pPr>
              <w:widowControl/>
              <w:jc w:val="center"/>
              <w:rPr>
                <w:rFonts w:hint="eastAsia" w:ascii="仿宋" w:hAnsi="仿宋" w:eastAsia="仿宋" w:cs="仿宋"/>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646DD19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640E4201">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12070A64">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1000≤Y＜100000</w:t>
            </w:r>
          </w:p>
        </w:tc>
        <w:tc>
          <w:tcPr>
            <w:tcW w:w="1699" w:type="dxa"/>
            <w:tcBorders>
              <w:top w:val="nil"/>
              <w:left w:val="nil"/>
              <w:bottom w:val="single" w:color="auto" w:sz="4" w:space="0"/>
              <w:right w:val="single" w:color="auto" w:sz="4" w:space="0"/>
            </w:tcBorders>
            <w:vAlign w:val="center"/>
          </w:tcPr>
          <w:p w14:paraId="332652A1">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100≤Y＜1000</w:t>
            </w:r>
          </w:p>
        </w:tc>
        <w:tc>
          <w:tcPr>
            <w:tcW w:w="1091" w:type="dxa"/>
            <w:tcBorders>
              <w:top w:val="nil"/>
              <w:left w:val="nil"/>
              <w:bottom w:val="single" w:color="auto" w:sz="4" w:space="0"/>
              <w:right w:val="single" w:color="auto" w:sz="4" w:space="0"/>
            </w:tcBorders>
            <w:vAlign w:val="center"/>
          </w:tcPr>
          <w:p w14:paraId="603CBC15">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3C740E3B">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7EE736DA">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软件和信息技术服务业</w:t>
            </w:r>
          </w:p>
        </w:tc>
        <w:tc>
          <w:tcPr>
            <w:tcW w:w="1633" w:type="dxa"/>
            <w:tcBorders>
              <w:top w:val="nil"/>
              <w:left w:val="nil"/>
              <w:bottom w:val="single" w:color="auto" w:sz="4" w:space="0"/>
              <w:right w:val="single" w:color="auto" w:sz="4" w:space="0"/>
            </w:tcBorders>
            <w:vAlign w:val="center"/>
          </w:tcPr>
          <w:p w14:paraId="07303AF1">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6051D8D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3EF866CE">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1699" w:type="dxa"/>
            <w:tcBorders>
              <w:top w:val="nil"/>
              <w:left w:val="nil"/>
              <w:bottom w:val="single" w:color="auto" w:sz="4" w:space="0"/>
              <w:right w:val="single" w:color="auto" w:sz="4" w:space="0"/>
            </w:tcBorders>
            <w:vAlign w:val="center"/>
          </w:tcPr>
          <w:p w14:paraId="5A8CB73D">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091" w:type="dxa"/>
            <w:tcBorders>
              <w:top w:val="nil"/>
              <w:left w:val="nil"/>
              <w:bottom w:val="single" w:color="auto" w:sz="4" w:space="0"/>
              <w:right w:val="single" w:color="auto" w:sz="4" w:space="0"/>
            </w:tcBorders>
            <w:vAlign w:val="center"/>
          </w:tcPr>
          <w:p w14:paraId="635E872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302844F5">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4B52BB35">
            <w:pPr>
              <w:widowControl/>
              <w:jc w:val="center"/>
              <w:rPr>
                <w:rFonts w:hint="eastAsia" w:ascii="仿宋" w:hAnsi="仿宋" w:eastAsia="仿宋" w:cs="仿宋"/>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3FE4CEEC">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47E31870">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6E2D5F5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1000≤Y＜10000</w:t>
            </w:r>
          </w:p>
        </w:tc>
        <w:tc>
          <w:tcPr>
            <w:tcW w:w="1699" w:type="dxa"/>
            <w:tcBorders>
              <w:top w:val="nil"/>
              <w:left w:val="nil"/>
              <w:bottom w:val="single" w:color="auto" w:sz="4" w:space="0"/>
              <w:right w:val="single" w:color="auto" w:sz="4" w:space="0"/>
            </w:tcBorders>
            <w:vAlign w:val="center"/>
          </w:tcPr>
          <w:p w14:paraId="5DAEB670">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50≤Y＜1000</w:t>
            </w:r>
          </w:p>
        </w:tc>
        <w:tc>
          <w:tcPr>
            <w:tcW w:w="1091" w:type="dxa"/>
            <w:tcBorders>
              <w:top w:val="nil"/>
              <w:left w:val="nil"/>
              <w:bottom w:val="single" w:color="auto" w:sz="4" w:space="0"/>
              <w:right w:val="single" w:color="auto" w:sz="4" w:space="0"/>
            </w:tcBorders>
            <w:vAlign w:val="center"/>
          </w:tcPr>
          <w:p w14:paraId="1299C50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Y＜50</w:t>
            </w:r>
          </w:p>
        </w:tc>
      </w:tr>
      <w:tr w14:paraId="58E39D32">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13EA3350">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房地产开发经营</w:t>
            </w:r>
          </w:p>
        </w:tc>
        <w:tc>
          <w:tcPr>
            <w:tcW w:w="1633" w:type="dxa"/>
            <w:tcBorders>
              <w:top w:val="nil"/>
              <w:left w:val="nil"/>
              <w:bottom w:val="single" w:color="auto" w:sz="4" w:space="0"/>
              <w:right w:val="single" w:color="auto" w:sz="4" w:space="0"/>
            </w:tcBorders>
            <w:vAlign w:val="center"/>
          </w:tcPr>
          <w:p w14:paraId="1ABF4268">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3663480E">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19D00460">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1000≤Y＜200000</w:t>
            </w:r>
          </w:p>
        </w:tc>
        <w:tc>
          <w:tcPr>
            <w:tcW w:w="1699" w:type="dxa"/>
            <w:tcBorders>
              <w:top w:val="nil"/>
              <w:left w:val="nil"/>
              <w:bottom w:val="single" w:color="auto" w:sz="4" w:space="0"/>
              <w:right w:val="single" w:color="auto" w:sz="4" w:space="0"/>
            </w:tcBorders>
            <w:vAlign w:val="center"/>
          </w:tcPr>
          <w:p w14:paraId="5C448EB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100≤X＜1000</w:t>
            </w:r>
          </w:p>
        </w:tc>
        <w:tc>
          <w:tcPr>
            <w:tcW w:w="1091" w:type="dxa"/>
            <w:tcBorders>
              <w:top w:val="nil"/>
              <w:left w:val="nil"/>
              <w:bottom w:val="single" w:color="auto" w:sz="4" w:space="0"/>
              <w:right w:val="single" w:color="auto" w:sz="4" w:space="0"/>
            </w:tcBorders>
            <w:vAlign w:val="center"/>
          </w:tcPr>
          <w:p w14:paraId="4D2328DE">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X＜100</w:t>
            </w:r>
          </w:p>
        </w:tc>
      </w:tr>
      <w:tr w14:paraId="4CE5A632">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2F126B1F">
            <w:pPr>
              <w:widowControl/>
              <w:jc w:val="center"/>
              <w:rPr>
                <w:rFonts w:hint="eastAsia" w:ascii="仿宋" w:hAnsi="仿宋" w:eastAsia="仿宋" w:cs="仿宋"/>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70A44393">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资产总额（Z）</w:t>
            </w:r>
          </w:p>
        </w:tc>
        <w:tc>
          <w:tcPr>
            <w:tcW w:w="1077" w:type="dxa"/>
            <w:tcBorders>
              <w:top w:val="nil"/>
              <w:left w:val="nil"/>
              <w:bottom w:val="single" w:color="auto" w:sz="4" w:space="0"/>
              <w:right w:val="single" w:color="auto" w:sz="4" w:space="0"/>
            </w:tcBorders>
            <w:vAlign w:val="center"/>
          </w:tcPr>
          <w:p w14:paraId="68C14AE5">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5A6333FE">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5000≤Z＜10000</w:t>
            </w:r>
          </w:p>
        </w:tc>
        <w:tc>
          <w:tcPr>
            <w:tcW w:w="1699" w:type="dxa"/>
            <w:tcBorders>
              <w:top w:val="nil"/>
              <w:left w:val="nil"/>
              <w:bottom w:val="single" w:color="auto" w:sz="4" w:space="0"/>
              <w:right w:val="single" w:color="auto" w:sz="4" w:space="0"/>
            </w:tcBorders>
            <w:vAlign w:val="center"/>
          </w:tcPr>
          <w:p w14:paraId="2ACE7A55">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2000≤Y＜5000</w:t>
            </w:r>
          </w:p>
        </w:tc>
        <w:tc>
          <w:tcPr>
            <w:tcW w:w="1091" w:type="dxa"/>
            <w:tcBorders>
              <w:top w:val="nil"/>
              <w:left w:val="nil"/>
              <w:bottom w:val="single" w:color="auto" w:sz="4" w:space="0"/>
              <w:right w:val="single" w:color="auto" w:sz="4" w:space="0"/>
            </w:tcBorders>
            <w:vAlign w:val="center"/>
          </w:tcPr>
          <w:p w14:paraId="4E37C74D">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Y＜2000</w:t>
            </w:r>
          </w:p>
        </w:tc>
      </w:tr>
      <w:tr w14:paraId="09AF0651">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2125A21C">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物业管理</w:t>
            </w:r>
          </w:p>
        </w:tc>
        <w:tc>
          <w:tcPr>
            <w:tcW w:w="1633" w:type="dxa"/>
            <w:tcBorders>
              <w:top w:val="nil"/>
              <w:left w:val="nil"/>
              <w:bottom w:val="single" w:color="auto" w:sz="4" w:space="0"/>
              <w:right w:val="single" w:color="auto" w:sz="4" w:space="0"/>
            </w:tcBorders>
            <w:vAlign w:val="center"/>
          </w:tcPr>
          <w:p w14:paraId="3BC8CCC3">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21641E5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18ECF714">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300≤X＜1000</w:t>
            </w:r>
          </w:p>
        </w:tc>
        <w:tc>
          <w:tcPr>
            <w:tcW w:w="1699" w:type="dxa"/>
            <w:tcBorders>
              <w:top w:val="nil"/>
              <w:left w:val="nil"/>
              <w:bottom w:val="single" w:color="auto" w:sz="4" w:space="0"/>
              <w:right w:val="single" w:color="auto" w:sz="4" w:space="0"/>
            </w:tcBorders>
            <w:vAlign w:val="center"/>
          </w:tcPr>
          <w:p w14:paraId="55CF7D53">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1091" w:type="dxa"/>
            <w:tcBorders>
              <w:top w:val="nil"/>
              <w:left w:val="nil"/>
              <w:bottom w:val="single" w:color="auto" w:sz="4" w:space="0"/>
              <w:right w:val="single" w:color="auto" w:sz="4" w:space="0"/>
            </w:tcBorders>
            <w:vAlign w:val="center"/>
          </w:tcPr>
          <w:p w14:paraId="1407C8CC">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X＜100</w:t>
            </w:r>
          </w:p>
        </w:tc>
      </w:tr>
      <w:tr w14:paraId="3A6894BE">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1A91FA7D">
            <w:pPr>
              <w:widowControl/>
              <w:jc w:val="center"/>
              <w:rPr>
                <w:rFonts w:hint="eastAsia" w:ascii="仿宋" w:hAnsi="仿宋" w:eastAsia="仿宋" w:cs="仿宋"/>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6D435590">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营业收入（Y）</w:t>
            </w:r>
          </w:p>
        </w:tc>
        <w:tc>
          <w:tcPr>
            <w:tcW w:w="1077" w:type="dxa"/>
            <w:tcBorders>
              <w:top w:val="nil"/>
              <w:left w:val="nil"/>
              <w:bottom w:val="single" w:color="auto" w:sz="4" w:space="0"/>
              <w:right w:val="single" w:color="auto" w:sz="4" w:space="0"/>
            </w:tcBorders>
            <w:vAlign w:val="center"/>
          </w:tcPr>
          <w:p w14:paraId="4B367271">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02D14015">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1000≤Y＜5000</w:t>
            </w:r>
          </w:p>
        </w:tc>
        <w:tc>
          <w:tcPr>
            <w:tcW w:w="1699" w:type="dxa"/>
            <w:tcBorders>
              <w:top w:val="nil"/>
              <w:left w:val="nil"/>
              <w:bottom w:val="single" w:color="auto" w:sz="4" w:space="0"/>
              <w:right w:val="single" w:color="auto" w:sz="4" w:space="0"/>
            </w:tcBorders>
            <w:vAlign w:val="center"/>
          </w:tcPr>
          <w:p w14:paraId="30940FBD">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500≤Y＜1000</w:t>
            </w:r>
          </w:p>
        </w:tc>
        <w:tc>
          <w:tcPr>
            <w:tcW w:w="1091" w:type="dxa"/>
            <w:tcBorders>
              <w:top w:val="nil"/>
              <w:left w:val="nil"/>
              <w:bottom w:val="single" w:color="auto" w:sz="4" w:space="0"/>
              <w:right w:val="single" w:color="auto" w:sz="4" w:space="0"/>
            </w:tcBorders>
            <w:vAlign w:val="center"/>
          </w:tcPr>
          <w:p w14:paraId="3B2CA2A6">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Y＜500</w:t>
            </w:r>
          </w:p>
        </w:tc>
      </w:tr>
      <w:tr w14:paraId="423926D3">
        <w:tblPrEx>
          <w:tblCellMar>
            <w:top w:w="0" w:type="dxa"/>
            <w:left w:w="108" w:type="dxa"/>
            <w:bottom w:w="0" w:type="dxa"/>
            <w:right w:w="108" w:type="dxa"/>
          </w:tblCellMar>
        </w:tblPrEx>
        <w:trPr>
          <w:trHeight w:val="364" w:hRule="atLeast"/>
          <w:jc w:val="center"/>
        </w:trPr>
        <w:tc>
          <w:tcPr>
            <w:tcW w:w="2007" w:type="dxa"/>
            <w:vMerge w:val="restart"/>
            <w:tcBorders>
              <w:top w:val="nil"/>
              <w:left w:val="single" w:color="auto" w:sz="4" w:space="0"/>
              <w:bottom w:val="single" w:color="auto" w:sz="4" w:space="0"/>
              <w:right w:val="single" w:color="auto" w:sz="4" w:space="0"/>
            </w:tcBorders>
            <w:vAlign w:val="bottom"/>
          </w:tcPr>
          <w:p w14:paraId="591F2014">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租赁和商务服务业</w:t>
            </w:r>
          </w:p>
        </w:tc>
        <w:tc>
          <w:tcPr>
            <w:tcW w:w="1633" w:type="dxa"/>
            <w:tcBorders>
              <w:top w:val="nil"/>
              <w:left w:val="nil"/>
              <w:bottom w:val="single" w:color="auto" w:sz="4" w:space="0"/>
              <w:right w:val="single" w:color="auto" w:sz="4" w:space="0"/>
            </w:tcBorders>
            <w:vAlign w:val="center"/>
          </w:tcPr>
          <w:p w14:paraId="1A1E7E0D">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1ED689F3">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2776DEDC">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1699" w:type="dxa"/>
            <w:tcBorders>
              <w:top w:val="nil"/>
              <w:left w:val="nil"/>
              <w:bottom w:val="single" w:color="auto" w:sz="4" w:space="0"/>
              <w:right w:val="single" w:color="auto" w:sz="4" w:space="0"/>
            </w:tcBorders>
            <w:vAlign w:val="center"/>
          </w:tcPr>
          <w:p w14:paraId="16505E83">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091" w:type="dxa"/>
            <w:tcBorders>
              <w:top w:val="nil"/>
              <w:left w:val="nil"/>
              <w:bottom w:val="single" w:color="auto" w:sz="4" w:space="0"/>
              <w:right w:val="single" w:color="auto" w:sz="4" w:space="0"/>
            </w:tcBorders>
            <w:vAlign w:val="center"/>
          </w:tcPr>
          <w:p w14:paraId="2446911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r w14:paraId="08CD6AAE">
        <w:tblPrEx>
          <w:tblCellMar>
            <w:top w:w="0" w:type="dxa"/>
            <w:left w:w="108" w:type="dxa"/>
            <w:bottom w:w="0" w:type="dxa"/>
            <w:right w:w="108" w:type="dxa"/>
          </w:tblCellMar>
        </w:tblPrEx>
        <w:trPr>
          <w:trHeight w:val="364" w:hRule="atLeast"/>
          <w:jc w:val="center"/>
        </w:trPr>
        <w:tc>
          <w:tcPr>
            <w:tcW w:w="2007" w:type="dxa"/>
            <w:vMerge w:val="continue"/>
            <w:tcBorders>
              <w:top w:val="nil"/>
              <w:left w:val="single" w:color="auto" w:sz="4" w:space="0"/>
              <w:bottom w:val="single" w:color="auto" w:sz="4" w:space="0"/>
              <w:right w:val="single" w:color="auto" w:sz="4" w:space="0"/>
            </w:tcBorders>
            <w:vAlign w:val="center"/>
          </w:tcPr>
          <w:p w14:paraId="25935614">
            <w:pPr>
              <w:widowControl/>
              <w:jc w:val="center"/>
              <w:rPr>
                <w:rFonts w:hint="eastAsia" w:ascii="仿宋" w:hAnsi="仿宋" w:eastAsia="仿宋" w:cs="仿宋"/>
                <w:b/>
                <w:color w:val="auto"/>
                <w:kern w:val="0"/>
                <w:szCs w:val="21"/>
                <w:highlight w:val="none"/>
              </w:rPr>
            </w:pPr>
          </w:p>
        </w:tc>
        <w:tc>
          <w:tcPr>
            <w:tcW w:w="1633" w:type="dxa"/>
            <w:tcBorders>
              <w:top w:val="nil"/>
              <w:left w:val="nil"/>
              <w:bottom w:val="single" w:color="auto" w:sz="4" w:space="0"/>
              <w:right w:val="single" w:color="auto" w:sz="4" w:space="0"/>
            </w:tcBorders>
            <w:vAlign w:val="center"/>
          </w:tcPr>
          <w:p w14:paraId="205A068C">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资产总额（Z）</w:t>
            </w:r>
          </w:p>
        </w:tc>
        <w:tc>
          <w:tcPr>
            <w:tcW w:w="1077" w:type="dxa"/>
            <w:tcBorders>
              <w:top w:val="nil"/>
              <w:left w:val="nil"/>
              <w:bottom w:val="single" w:color="auto" w:sz="4" w:space="0"/>
              <w:right w:val="single" w:color="auto" w:sz="4" w:space="0"/>
            </w:tcBorders>
            <w:vAlign w:val="center"/>
          </w:tcPr>
          <w:p w14:paraId="38B9F510">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911" w:type="dxa"/>
            <w:tcBorders>
              <w:top w:val="nil"/>
              <w:left w:val="nil"/>
              <w:bottom w:val="single" w:color="auto" w:sz="4" w:space="0"/>
              <w:right w:val="single" w:color="auto" w:sz="4" w:space="0"/>
            </w:tcBorders>
            <w:vAlign w:val="center"/>
          </w:tcPr>
          <w:p w14:paraId="50FB363C">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8000≤Z＜120000</w:t>
            </w:r>
          </w:p>
        </w:tc>
        <w:tc>
          <w:tcPr>
            <w:tcW w:w="1699" w:type="dxa"/>
            <w:tcBorders>
              <w:top w:val="nil"/>
              <w:left w:val="nil"/>
              <w:bottom w:val="single" w:color="auto" w:sz="4" w:space="0"/>
              <w:right w:val="single" w:color="auto" w:sz="4" w:space="0"/>
            </w:tcBorders>
            <w:vAlign w:val="center"/>
          </w:tcPr>
          <w:p w14:paraId="505C8A51">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100≤Z＜8000</w:t>
            </w:r>
          </w:p>
        </w:tc>
        <w:tc>
          <w:tcPr>
            <w:tcW w:w="1091" w:type="dxa"/>
            <w:tcBorders>
              <w:top w:val="nil"/>
              <w:left w:val="nil"/>
              <w:bottom w:val="single" w:color="auto" w:sz="4" w:space="0"/>
              <w:right w:val="single" w:color="auto" w:sz="4" w:space="0"/>
            </w:tcBorders>
            <w:vAlign w:val="center"/>
          </w:tcPr>
          <w:p w14:paraId="09331C3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Y＜100</w:t>
            </w:r>
          </w:p>
        </w:tc>
      </w:tr>
      <w:tr w14:paraId="0D56007B">
        <w:tblPrEx>
          <w:tblCellMar>
            <w:top w:w="0" w:type="dxa"/>
            <w:left w:w="108" w:type="dxa"/>
            <w:bottom w:w="0" w:type="dxa"/>
            <w:right w:w="108" w:type="dxa"/>
          </w:tblCellMar>
        </w:tblPrEx>
        <w:trPr>
          <w:trHeight w:val="375" w:hRule="atLeast"/>
          <w:jc w:val="center"/>
        </w:trPr>
        <w:tc>
          <w:tcPr>
            <w:tcW w:w="2007" w:type="dxa"/>
            <w:tcBorders>
              <w:top w:val="nil"/>
              <w:left w:val="single" w:color="auto" w:sz="4" w:space="0"/>
              <w:bottom w:val="single" w:color="auto" w:sz="4" w:space="0"/>
              <w:right w:val="single" w:color="auto" w:sz="4" w:space="0"/>
            </w:tcBorders>
            <w:vAlign w:val="bottom"/>
          </w:tcPr>
          <w:p w14:paraId="4B8257BF">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其他未列明行业</w:t>
            </w:r>
          </w:p>
        </w:tc>
        <w:tc>
          <w:tcPr>
            <w:tcW w:w="1633" w:type="dxa"/>
            <w:tcBorders>
              <w:top w:val="nil"/>
              <w:left w:val="nil"/>
              <w:bottom w:val="single" w:color="auto" w:sz="4" w:space="0"/>
              <w:right w:val="single" w:color="auto" w:sz="4" w:space="0"/>
            </w:tcBorders>
            <w:vAlign w:val="center"/>
          </w:tcPr>
          <w:p w14:paraId="626D1F9D">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从业人员（X）</w:t>
            </w:r>
          </w:p>
        </w:tc>
        <w:tc>
          <w:tcPr>
            <w:tcW w:w="1077" w:type="dxa"/>
            <w:tcBorders>
              <w:top w:val="nil"/>
              <w:left w:val="nil"/>
              <w:bottom w:val="single" w:color="auto" w:sz="4" w:space="0"/>
              <w:right w:val="single" w:color="auto" w:sz="4" w:space="0"/>
            </w:tcBorders>
            <w:vAlign w:val="center"/>
          </w:tcPr>
          <w:p w14:paraId="0F62B317">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911" w:type="dxa"/>
            <w:tcBorders>
              <w:top w:val="nil"/>
              <w:left w:val="nil"/>
              <w:bottom w:val="single" w:color="auto" w:sz="4" w:space="0"/>
              <w:right w:val="single" w:color="auto" w:sz="4" w:space="0"/>
            </w:tcBorders>
            <w:vAlign w:val="center"/>
          </w:tcPr>
          <w:p w14:paraId="587D1FCB">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100≤X＜300</w:t>
            </w:r>
          </w:p>
        </w:tc>
        <w:tc>
          <w:tcPr>
            <w:tcW w:w="1699" w:type="dxa"/>
            <w:tcBorders>
              <w:top w:val="nil"/>
              <w:left w:val="nil"/>
              <w:bottom w:val="single" w:color="auto" w:sz="4" w:space="0"/>
              <w:right w:val="single" w:color="auto" w:sz="4" w:space="0"/>
            </w:tcBorders>
            <w:vAlign w:val="center"/>
          </w:tcPr>
          <w:p w14:paraId="53398F8D">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10≤X＜100</w:t>
            </w:r>
          </w:p>
        </w:tc>
        <w:tc>
          <w:tcPr>
            <w:tcW w:w="1091" w:type="dxa"/>
            <w:tcBorders>
              <w:top w:val="nil"/>
              <w:left w:val="nil"/>
              <w:bottom w:val="single" w:color="auto" w:sz="4" w:space="0"/>
              <w:right w:val="single" w:color="auto" w:sz="4" w:space="0"/>
            </w:tcBorders>
            <w:vAlign w:val="center"/>
          </w:tcPr>
          <w:p w14:paraId="62450823">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X＜10</w:t>
            </w:r>
          </w:p>
        </w:tc>
      </w:tr>
    </w:tbl>
    <w:p w14:paraId="375D3963">
      <w:pPr>
        <w:ind w:firstLine="602" w:firstLineChars="2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0E6F687B">
      <w:pPr>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4904F9F0">
      <w:pPr>
        <w:widowControl/>
        <w:jc w:val="left"/>
        <w:rPr>
          <w:rFonts w:hint="eastAsia" w:ascii="仿宋" w:hAnsi="仿宋" w:eastAsia="仿宋" w:cs="仿宋"/>
          <w:color w:val="auto"/>
          <w:sz w:val="24"/>
          <w:highlight w:val="none"/>
        </w:rPr>
        <w:sectPr>
          <w:footerReference r:id="rId8" w:type="default"/>
          <w:pgSz w:w="11905" w:h="16838"/>
          <w:pgMar w:top="1417" w:right="1417" w:bottom="1417" w:left="1417" w:header="850" w:footer="992" w:gutter="0"/>
          <w:pgNumType w:start="1"/>
          <w:cols w:space="0" w:num="1"/>
          <w:docGrid w:type="lines" w:linePitch="318" w:charSpace="0"/>
        </w:sectPr>
      </w:pPr>
    </w:p>
    <w:p w14:paraId="3FE30D42">
      <w:pPr>
        <w:keepNext/>
        <w:keepLines/>
        <w:spacing w:line="360" w:lineRule="auto"/>
        <w:jc w:val="center"/>
        <w:outlineLvl w:val="0"/>
        <w:rPr>
          <w:rFonts w:hint="eastAsia" w:ascii="仿宋" w:hAnsi="仿宋" w:eastAsia="仿宋" w:cs="仿宋"/>
          <w:b/>
          <w:bCs/>
          <w:color w:val="auto"/>
          <w:kern w:val="44"/>
          <w:sz w:val="44"/>
          <w:szCs w:val="44"/>
          <w:highlight w:val="none"/>
        </w:rPr>
      </w:pPr>
      <w:r>
        <w:rPr>
          <w:rFonts w:hint="eastAsia" w:ascii="仿宋" w:hAnsi="仿宋" w:eastAsia="仿宋" w:cs="仿宋"/>
          <w:b/>
          <w:bCs/>
          <w:color w:val="auto"/>
          <w:kern w:val="44"/>
          <w:sz w:val="44"/>
          <w:szCs w:val="44"/>
          <w:highlight w:val="none"/>
        </w:rPr>
        <w:t>第四章</w:t>
      </w:r>
      <w:bookmarkStart w:id="25" w:name="_Hlk68601507"/>
      <w:r>
        <w:rPr>
          <w:rFonts w:hint="eastAsia" w:ascii="仿宋" w:hAnsi="仿宋" w:eastAsia="仿宋" w:cs="仿宋"/>
          <w:b/>
          <w:bCs/>
          <w:color w:val="auto"/>
          <w:kern w:val="44"/>
          <w:sz w:val="44"/>
          <w:szCs w:val="44"/>
          <w:highlight w:val="none"/>
        </w:rPr>
        <w:t xml:space="preserve"> 评审程序和评定成交的标准</w:t>
      </w:r>
      <w:bookmarkEnd w:id="25"/>
    </w:p>
    <w:p w14:paraId="04807D90">
      <w:pPr>
        <w:spacing w:line="360" w:lineRule="auto"/>
        <w:ind w:firstLine="643"/>
        <w:jc w:val="center"/>
        <w:rPr>
          <w:rFonts w:hint="eastAsia" w:ascii="仿宋" w:hAnsi="仿宋" w:eastAsia="仿宋" w:cs="仿宋"/>
          <w:b/>
          <w:color w:val="auto"/>
          <w:sz w:val="32"/>
          <w:szCs w:val="32"/>
          <w:highlight w:val="none"/>
        </w:rPr>
      </w:pPr>
    </w:p>
    <w:p w14:paraId="505DB5F5">
      <w:pPr>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一、评审程序</w:t>
      </w:r>
    </w:p>
    <w:p w14:paraId="361A5E22">
      <w:pPr>
        <w:spacing w:line="360" w:lineRule="auto"/>
        <w:ind w:firstLine="482" w:firstLineChars="200"/>
        <w:rPr>
          <w:rFonts w:hint="eastAsia" w:ascii="仿宋" w:hAnsi="仿宋" w:eastAsia="仿宋" w:cs="仿宋"/>
          <w:b/>
          <w:bCs/>
          <w:color w:val="auto"/>
          <w:sz w:val="24"/>
          <w:szCs w:val="24"/>
          <w:highlight w:val="none"/>
        </w:rPr>
      </w:pPr>
    </w:p>
    <w:p w14:paraId="2C9A07EF">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1.确认谈判文件</w:t>
      </w:r>
    </w:p>
    <w:p w14:paraId="2C2F1D8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由谈判小组确认谈判文件。</w:t>
      </w:r>
    </w:p>
    <w:p w14:paraId="268CF613">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2.资格审查</w:t>
      </w:r>
    </w:p>
    <w:p w14:paraId="08C9009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2.1响应文件开启后，谈判小组依法对供应商的资格证明文件进行审查。</w:t>
      </w:r>
    </w:p>
    <w:p w14:paraId="222736A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（1）查询渠道：“信用中国”网站（www.creditchina.gov.cn）、中国政府采购网（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www.ccgp.gov.cn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 </w:t>
      </w:r>
    </w:p>
    <w:p w14:paraId="55679FA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（2）信用查询截止时点：资格审查结束前</w:t>
      </w:r>
    </w:p>
    <w:p w14:paraId="03655384">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（3）查询记录和证据留存方式：将查询网站中的查询记录截图并作为评审资料保存。</w:t>
      </w:r>
    </w:p>
    <w:p w14:paraId="6141B41C">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（4）信用信息使用规则：信用信息使用规则：根据财政部《关于在政府采购活动中查询及使用信用记录有关问题的通知》（财库〔2016〕125号）的规定，对在“信用中国”网站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www.creditchina.gov.cn</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、中国政府采购网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www.ccgp.gov.cn</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被列入失信被执行人、重大税收违法失信主体、政府采购严重违法失信行为记录名单及其他不符合《中华人民共和国政府采购法》第二十二条规定条件的供应商，不得参与政府采购活动。</w:t>
      </w:r>
    </w:p>
    <w:p w14:paraId="30A7891D">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2.2资格审查标准为本谈判文件中载明对供应商资格要求的条件。本项目资格审查采用合格制，凡符合谈判文件规定的供应商资格要求的供应商均通过资格审查。</w:t>
      </w:r>
    </w:p>
    <w:p w14:paraId="2643E970">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供应商有下列情形之一的，资格审查不通过，其响应文件按无效响应处理：</w:t>
      </w:r>
    </w:p>
    <w:p w14:paraId="165F479B">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（1）不具备谈判文件中规定的资格要求的；</w:t>
      </w:r>
    </w:p>
    <w:p w14:paraId="604AB795">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（2）响应文件中的资格证明文件缺少任一项“供应商须知前附表”资格证明文件规定的“必须提供”的文件资料的；</w:t>
      </w:r>
    </w:p>
    <w:p w14:paraId="2D71CAC3">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（3）响应文件中的资格证明文件出现任一项不符合“供应商须知前附表”资格证明文件规定的“必须提供”的文件资料要求或者无效的；</w:t>
      </w:r>
    </w:p>
    <w:p w14:paraId="017C6972">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1CE5DC4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2.4通过资格审查的合格供应商不足3家（本章3.7条规定除外）的，不得进入符合性审查环节，应当重新开展采购活动。</w:t>
      </w:r>
    </w:p>
    <w:p w14:paraId="394093E5">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3.符合性审查</w:t>
      </w:r>
    </w:p>
    <w:p w14:paraId="7D76801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3.1由谈判小组对资格审查的合格的供应商的响应文件进行竞争性谈判报价、商务、技术等实质性要求符合性审查，以确定其是否满足谈判文件的实质性要求。</w:t>
      </w:r>
    </w:p>
    <w:p w14:paraId="461C9D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D39C68">
      <w:pPr>
        <w:spacing w:line="360" w:lineRule="auto"/>
        <w:ind w:firstLine="480"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由法定代表人或者其委托代理人签字或者加盖供应商公章。</w:t>
      </w:r>
    </w:p>
    <w:p w14:paraId="1B241840">
      <w:pPr>
        <w:spacing w:line="360" w:lineRule="auto"/>
        <w:ind w:firstLine="456" w:firstLineChars="20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3.4</w:t>
      </w:r>
      <w:r>
        <w:rPr>
          <w:rFonts w:hint="eastAsia" w:ascii="仿宋" w:hAnsi="仿宋" w:eastAsia="仿宋" w:cs="仿宋"/>
          <w:color w:val="auto"/>
          <w:sz w:val="24"/>
          <w:szCs w:val="24"/>
          <w:highlight w:val="none"/>
        </w:rPr>
        <w:t xml:space="preserve">首次响应文件报价出现前后不一致的，按照下列规定修正： </w:t>
      </w:r>
    </w:p>
    <w:p w14:paraId="52C31A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（1）响应文件中报价表内容与响应文件中相应内容不一致的，以报价表为准；</w:t>
      </w:r>
    </w:p>
    <w:p w14:paraId="21D302A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3718E49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（3）单价金额小数点或者百分比有明显错位的，以报价表的总价为准，并修改单价；</w:t>
      </w:r>
    </w:p>
    <w:p w14:paraId="5105F8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6D2A88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同时出现两种以上不一致的，按照以上（1）-（4）规定的顺序逐条进行修正。修正后的报价经供应商确认后产生约束力，供应商不确认的，其响应文件按无效响应处理。</w:t>
      </w:r>
    </w:p>
    <w:p w14:paraId="13C023D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3.5商务技术报价评审</w:t>
      </w:r>
    </w:p>
    <w:p w14:paraId="4D2B1CE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在评审时，如发现下列情形之一的，将被视为响应文件无效响应处理：</w:t>
      </w:r>
    </w:p>
    <w:p w14:paraId="0A00E6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（1）商务技术评审</w:t>
      </w:r>
    </w:p>
    <w:p w14:paraId="5F9847E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1）响应文件未按谈判文件要求签署、盖章的；</w:t>
      </w:r>
    </w:p>
    <w:p w14:paraId="700BE6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2）委托代理人未能出具有效身份证或者出具的身份证与授权委托书中的信息不符的； </w:t>
      </w:r>
    </w:p>
    <w:p w14:paraId="13A1230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3）提交的谈判保证金无效的或者未按照谈判文件的规定提交谈判保证金；</w:t>
      </w:r>
    </w:p>
    <w:p w14:paraId="27CAA3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4）响应文件中的报价商务技术文件出现任一项不符合“供应商须知前附表”中“必须提供”或者“委托时必须提供”文件资料要求的规定或者提供的报价商务技术文件无效。</w:t>
      </w:r>
    </w:p>
    <w:p w14:paraId="23FFC51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5）商务条款中标“▲”的条款发生负偏离或者允许负偏离的条款数超过“供应商须知前附表”规定项数的；</w:t>
      </w:r>
    </w:p>
    <w:p w14:paraId="2639D9B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6）未对竞争性谈判有效期作出响应或者响应文件承诺的竞争性谈判有效期不满足谈判文件要求；</w:t>
      </w:r>
    </w:p>
    <w:p w14:paraId="1461A50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7）响应文件的实质性内容未使用中文表述、使用计量单位不符合谈判文件要求的；</w:t>
      </w:r>
    </w:p>
    <w:p w14:paraId="010416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8）响应文件中的文件资料因填写不齐全或者内容虚假或者出现其他情形而导致被谈判小组认定无效的；</w:t>
      </w:r>
    </w:p>
    <w:p w14:paraId="14E668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9）响应文件含有采购人不能接受的附加条件的；</w:t>
      </w:r>
    </w:p>
    <w:p w14:paraId="665324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10）属于“供应商须知正文”第7.4条的情形的；</w:t>
      </w:r>
    </w:p>
    <w:p w14:paraId="1E9A42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11）技术要求中标“▲”的条款发生负偏离或允许负偏离的条款数超过“供应商须知前附表”规定项数的；</w:t>
      </w:r>
    </w:p>
    <w:p w14:paraId="1EF606C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12）虚假响应，或者出现其他情形而导致被谈判小组认定无效的；</w:t>
      </w:r>
    </w:p>
    <w:p w14:paraId="5F6E2DA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bookmarkStart w:id="26" w:name="_Hlk71704147"/>
      <w:r>
        <w:rPr>
          <w:rFonts w:hint="eastAsia" w:ascii="仿宋" w:hAnsi="仿宋" w:eastAsia="仿宋" w:cs="仿宋"/>
          <w:color w:val="auto"/>
          <w:sz w:val="24"/>
          <w:szCs w:val="24"/>
          <w:highlight w:val="none"/>
        </w:rPr>
        <w:t>谈判文件未载明允许提供备选（替代）响应方案或明确不允许提供备选（替代）响应方案时，供应商提供了备选（替代）响应方案的；</w:t>
      </w:r>
      <w:bookmarkEnd w:id="26"/>
    </w:p>
    <w:p w14:paraId="20DA05B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14）响应文件标注的项目名称或者项目编号与谈判文件标注的项目名称或者项目编号不一致的；</w:t>
      </w:r>
    </w:p>
    <w:p w14:paraId="671ABB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b/>
          <w:color w:val="auto"/>
          <w:sz w:val="24"/>
          <w:szCs w:val="24"/>
          <w:highlight w:val="none"/>
        </w:rPr>
        <w:t>谈判文件明确不允许分包，响应文件拟分包的；</w:t>
      </w:r>
    </w:p>
    <w:p w14:paraId="078EDB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16）未响应谈判文件实质性要求；</w:t>
      </w:r>
    </w:p>
    <w:p w14:paraId="0E876F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17）法律、法规和谈判文件规定的其他无效情形。</w:t>
      </w:r>
    </w:p>
    <w:p w14:paraId="7CBB3B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（2）报价评审</w:t>
      </w:r>
    </w:p>
    <w:p w14:paraId="35F4120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1）响应文件未提供“供应商须知前附表” 报价商务技术文件中规定的“竞争性谈判报价表”的；</w:t>
      </w:r>
    </w:p>
    <w:p w14:paraId="6F639B4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2）未采用人民币报价或者未按照谈判文件标明的币种报价的；</w:t>
      </w:r>
    </w:p>
    <w:p w14:paraId="5B49211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3）供应商未就所</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分标进行报价或者存在漏项报价的；供应商未就所</w:t>
      </w:r>
      <w:r>
        <w:rPr>
          <w:rFonts w:hint="eastAsia" w:ascii="仿宋" w:hAnsi="仿宋" w:eastAsia="仿宋" w:cs="仿宋"/>
          <w:color w:val="auto"/>
          <w:sz w:val="24"/>
          <w:szCs w:val="24"/>
          <w:highlight w:val="none"/>
          <w:lang w:eastAsia="zh-CN"/>
        </w:rPr>
        <w:t>竞</w:t>
      </w:r>
      <w:r>
        <w:rPr>
          <w:rFonts w:hint="eastAsia" w:ascii="仿宋" w:hAnsi="仿宋" w:eastAsia="仿宋" w:cs="仿宋"/>
          <w:color w:val="auto"/>
          <w:sz w:val="24"/>
          <w:szCs w:val="24"/>
          <w:highlight w:val="none"/>
        </w:rPr>
        <w:t>分标的单项内容作唯一报价的；供应商未就所竞分标的全部内容作完整唯一总价报价的；供应商响应文件中存在有选择、有条件报价的（谈判文件允许有备选方案或者其他约定的除外）；</w:t>
      </w:r>
    </w:p>
    <w:p w14:paraId="1F86C2E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4）竞争性谈判报价（包含首次报价、最后报价）超过</w:t>
      </w:r>
      <w:r>
        <w:rPr>
          <w:rFonts w:hint="eastAsia" w:ascii="仿宋" w:hAnsi="仿宋" w:eastAsia="仿宋" w:cs="仿宋"/>
          <w:color w:val="auto"/>
          <w:sz w:val="24"/>
          <w:szCs w:val="24"/>
          <w:highlight w:val="none"/>
          <w:lang w:eastAsia="zh-CN"/>
        </w:rPr>
        <w:t>所竞分标</w:t>
      </w:r>
      <w:r>
        <w:rPr>
          <w:rFonts w:hint="eastAsia" w:ascii="仿宋" w:hAnsi="仿宋" w:eastAsia="仿宋" w:cs="仿宋"/>
          <w:color w:val="auto"/>
          <w:sz w:val="24"/>
          <w:szCs w:val="24"/>
          <w:highlight w:val="none"/>
        </w:rPr>
        <w:t>规定的采购预算金额或者最高限价的；</w:t>
      </w:r>
    </w:p>
    <w:p w14:paraId="0FF0BC9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5）竞争性谈判报价（包含首次报价、最后报价）超过分项采购预算金额或者最高限价的，其响应文件将作无效处理；</w:t>
      </w:r>
    </w:p>
    <w:p w14:paraId="217FB31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6）修正后的报价，供应商不确认的；或者经供应商确认修正后的最后报价超过</w:t>
      </w:r>
      <w:r>
        <w:rPr>
          <w:rFonts w:hint="eastAsia" w:ascii="仿宋" w:hAnsi="仿宋" w:eastAsia="仿宋" w:cs="仿宋"/>
          <w:color w:val="auto"/>
          <w:sz w:val="24"/>
          <w:szCs w:val="24"/>
          <w:highlight w:val="none"/>
          <w:lang w:eastAsia="zh-CN"/>
        </w:rPr>
        <w:t>所竞分标</w:t>
      </w:r>
      <w:r>
        <w:rPr>
          <w:rFonts w:hint="eastAsia" w:ascii="仿宋" w:hAnsi="仿宋" w:eastAsia="仿宋" w:cs="仿宋"/>
          <w:color w:val="auto"/>
          <w:sz w:val="24"/>
          <w:szCs w:val="24"/>
          <w:highlight w:val="none"/>
        </w:rPr>
        <w:t>规定的采购预算金额或者最高限价（如本项目公布了最高限价）；</w:t>
      </w:r>
    </w:p>
    <w:p w14:paraId="3B054E3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7）响应文件响应的标的数量及单位与竞争性谈判采购文件要求实质性不一致的。</w:t>
      </w:r>
    </w:p>
    <w:p w14:paraId="559699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谈判小组对响应文件进行评审，未实质性响应谈判文件的响应文件按无效响应处理。谈判小组应当将资格和符合性不通过的情况告知有关供应商。谈判小组从符合谈判文件规定的相应资格条件的供应商名单中确定不少于3家的供应商参加谈判。</w:t>
      </w:r>
    </w:p>
    <w:p w14:paraId="0D8317F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竞争性谈判方式采购的货物、服务项目，竞争性谈判过程中提交响应文件或者经评审实质性响应文件要求的供应商只有两家时，采购人、采购代理机构按照《政府采购非招标采购方式管理办法》（财政部74号令）第四条经本级财政部门批准后可以与该两家供应商进行竞争性谈判采购，采购人、采购代理机构应当根据竞争性谈判文件中的采购需求编制谈判文件，成立谈判小组，由谈判小组对谈判文件进行确认。</w:t>
      </w:r>
    </w:p>
    <w:p w14:paraId="793AB95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3.8通过符合性审查的合格供应商不足3家的，不得进入谈判环节，应当重新开展采购活动。</w:t>
      </w:r>
    </w:p>
    <w:p w14:paraId="5CE5264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4.谈判程序</w:t>
      </w:r>
    </w:p>
    <w:p w14:paraId="5DFB67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4.1谈判小组按照“供应商须知前附表”第26条确定的</w:t>
      </w:r>
      <w:r>
        <w:rPr>
          <w:rFonts w:hint="eastAsia" w:ascii="仿宋" w:hAnsi="仿宋" w:eastAsia="仿宋" w:cs="仿宋"/>
          <w:color w:val="auto"/>
          <w:sz w:val="24"/>
          <w:szCs w:val="24"/>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14:paraId="10B16E2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01DBBB5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4.3对谈判文件作出的实质性变动是谈判文件的有效组成部分，谈判小组应当及时以电子谈判记录形式同时通知所有参加谈判的供应商。</w:t>
      </w:r>
    </w:p>
    <w:p w14:paraId="65AEC50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4.4供应商必须按照谈判文件的变动情况和谈判小组的要求以电子回函的形式重新提交响应文件，并由其法定代表人或者委托代理人签字或者加盖供应商公章。由委托代理人签字的，</w:t>
      </w:r>
      <w:r>
        <w:rPr>
          <w:rFonts w:hint="eastAsia" w:ascii="仿宋" w:hAnsi="仿宋" w:eastAsia="仿宋" w:cs="仿宋"/>
          <w:bCs/>
          <w:color w:val="auto"/>
          <w:sz w:val="24"/>
          <w:szCs w:val="24"/>
          <w:highlight w:val="none"/>
        </w:rPr>
        <w:t>若委托代理人不是响应文件中授权的委托代理人时，必须同时出示有效的授权委托书原件</w:t>
      </w:r>
      <w:r>
        <w:rPr>
          <w:rFonts w:hint="eastAsia" w:ascii="仿宋" w:hAnsi="仿宋" w:eastAsia="仿宋" w:cs="仿宋"/>
          <w:color w:val="auto"/>
          <w:sz w:val="24"/>
          <w:szCs w:val="24"/>
          <w:highlight w:val="none"/>
        </w:rPr>
        <w:t>。供应商为自然人的，必须由本人签字并附身份证明。参加谈判的供应商未在规定时间内以电子回函的形式重新提交响应文件的，视同退出谈判，其响应文件按无效响应处理。</w:t>
      </w:r>
    </w:p>
    <w:p w14:paraId="7CC9A83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4.5谈判中，谈判的任何一方不得透露与谈判有关的其他供应商的技术资料、价格和其他信息。</w:t>
      </w:r>
    </w:p>
    <w:p w14:paraId="5F47FEF4">
      <w:pPr>
        <w:tabs>
          <w:tab w:val="left" w:pos="2835"/>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4.6对谈判过程提交的响应文件进行有效性、完整性和响应程度审查，通过审查的合格供应商不足3家的，采购人或者采购代理机构应当重新开展采购活动。</w:t>
      </w:r>
    </w:p>
    <w:p w14:paraId="680CCBE7">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5.最后报价</w:t>
      </w:r>
    </w:p>
    <w:p w14:paraId="4DF741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谈判文件能够详细列明采购标的的技术、服务要求的，谈判结束后，谈判小组应当要求所有继续参加谈判的供应商在规定时间内以电子文件形式提交最后报价，提交最后报价的供应商不得少于3家，除本章第3.7条外，否则必须重新采购。</w:t>
      </w:r>
    </w:p>
    <w:p w14:paraId="218650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以电子文件形式提交最后报价。</w:t>
      </w:r>
    </w:p>
    <w:p w14:paraId="38C8703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5.3最后报价是供应商响应文件的有效组成部分。</w:t>
      </w:r>
    </w:p>
    <w:p w14:paraId="7C85C92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5.4已经提交响应文件的供应商，在提交最后报价之前，可以根据谈判情况退出谈判。采购人、采购代理机构将退还退出谈判的供应商的保证金。</w:t>
      </w:r>
    </w:p>
    <w:p w14:paraId="338352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5.5供应商未在规定时间内提交最后报价的，视为退出谈判，其响应文件按无效响应处理。</w:t>
      </w:r>
    </w:p>
    <w:p w14:paraId="5005ECC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5.6谈判小组收齐某一分标最后报价后或达到规定时间后统一开启，谈判小组对最后报价进行有效性、完整性和响应程度的审查。</w:t>
      </w:r>
    </w:p>
    <w:p w14:paraId="0E59D65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5.7响应文件首次及最后报价出现前后不一致的，按照本章第3.4条的规定修正。 </w:t>
      </w:r>
    </w:p>
    <w:p w14:paraId="278113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5.8经供应商确认修正后的最后报价作为评审及签订合同的依据。</w:t>
      </w:r>
    </w:p>
    <w:p w14:paraId="1DE0DEB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5.9供应商出现最后报价按无效响应处理或者响应文件按无效响应处理时，谈判小组应当告知有关供应商。</w:t>
      </w:r>
    </w:p>
    <w:p w14:paraId="56CDAE8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5.10最后报价结束后，谈判小组不得再与供应商进行任何形式的商谈。</w:t>
      </w:r>
    </w:p>
    <w:p w14:paraId="2BAD8840">
      <w:pPr>
        <w:spacing w:line="360" w:lineRule="auto"/>
        <w:ind w:firstLine="472" w:firstLineChars="196"/>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6.最后报价政府采购政策性扣除</w:t>
      </w:r>
    </w:p>
    <w:p w14:paraId="3B50C7D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6.1评标价为供应商的最后报价进行政策性扣除后的价格，评标价只是作为评审时使用。最终成交供应商的成交金额等于最后报价（如有修正，以确认修正后的最后报价为准）。</w:t>
      </w:r>
    </w:p>
    <w:p w14:paraId="250FF6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6.2政策性扣除计算方法。</w:t>
      </w:r>
    </w:p>
    <w:p w14:paraId="707AD81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政府采购促进中小企业发展管理办法》（财库〔2020〕46号）及《广西壮族自治区财政厅关于持续优化政府采购营商环境推动高质量发展的通知》（桂财采〔2024〕55号）的规定，调整对小微企业的价格评审优惠幅度，供应商属于《政府采购促进中小企业发展管理办法》规定的小微企业的，对竞争性谈判报价给予10%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最后报价×（1 - 扣除比例）。</w:t>
      </w:r>
    </w:p>
    <w:p w14:paraId="33C0626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68C4CC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F69768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6.5除上述情况外，评标价＝最后报价。</w:t>
      </w:r>
    </w:p>
    <w:p w14:paraId="0BF61BE7">
      <w:pPr>
        <w:spacing w:line="360" w:lineRule="auto"/>
        <w:ind w:firstLine="480" w:firstLineChars="200"/>
        <w:rPr>
          <w:rFonts w:hint="eastAsia" w:ascii="仿宋" w:hAnsi="仿宋" w:eastAsia="仿宋" w:cs="仿宋"/>
          <w:color w:val="auto"/>
          <w:sz w:val="24"/>
          <w:szCs w:val="24"/>
          <w:highlight w:val="none"/>
        </w:rPr>
      </w:pPr>
    </w:p>
    <w:p w14:paraId="7B991933">
      <w:pPr>
        <w:spacing w:line="360" w:lineRule="auto"/>
        <w:ind w:firstLine="482"/>
        <w:jc w:val="center"/>
        <w:rPr>
          <w:rFonts w:hint="eastAsia" w:ascii="仿宋" w:hAnsi="仿宋" w:eastAsia="仿宋" w:cs="仿宋"/>
          <w:b/>
          <w:color w:val="auto"/>
          <w:sz w:val="24"/>
          <w:szCs w:val="24"/>
          <w:highlight w:val="none"/>
        </w:rPr>
      </w:pPr>
    </w:p>
    <w:p w14:paraId="3B68A0C7">
      <w:pPr>
        <w:spacing w:line="360" w:lineRule="auto"/>
        <w:ind w:left="0" w:leftChars="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二、评定成交的标准</w:t>
      </w:r>
    </w:p>
    <w:p w14:paraId="37ECD7D2">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7.成交候选人推荐原则</w:t>
      </w:r>
    </w:p>
    <w:p w14:paraId="142071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小组应当从质量和服务均能满足谈判文件实质性响应要求的供应商中，按照评标价由低到高的顺序提出3名以上成交候选人（评标价相同时，按照最后报价由低到高顺序依次推荐；最后报价相同时，由谈判小组按“供应商须知前附表”第26条规定的顺序推荐）,并编写评审报告。</w:t>
      </w:r>
    </w:p>
    <w:p w14:paraId="3BBC7483">
      <w:pPr>
        <w:keepNext/>
        <w:keepLines/>
        <w:spacing w:line="360" w:lineRule="auto"/>
        <w:ind w:firstLine="482"/>
        <w:jc w:val="center"/>
        <w:outlineLvl w:val="0"/>
        <w:rPr>
          <w:rFonts w:hint="eastAsia" w:ascii="仿宋" w:hAnsi="仿宋" w:eastAsia="仿宋" w:cs="仿宋"/>
          <w:b/>
          <w:bCs/>
          <w:color w:val="auto"/>
          <w:kern w:val="44"/>
          <w:sz w:val="44"/>
          <w:szCs w:val="44"/>
          <w:highlight w:val="none"/>
        </w:rPr>
      </w:pPr>
      <w:r>
        <w:rPr>
          <w:rFonts w:hint="eastAsia" w:ascii="仿宋" w:hAnsi="仿宋" w:eastAsia="仿宋" w:cs="仿宋"/>
          <w:b/>
          <w:bCs/>
          <w:color w:val="auto"/>
          <w:kern w:val="44"/>
          <w:sz w:val="24"/>
          <w:szCs w:val="24"/>
          <w:highlight w:val="none"/>
        </w:rPr>
        <w:br w:type="page"/>
      </w:r>
    </w:p>
    <w:p w14:paraId="47CEA7E5">
      <w:pPr>
        <w:ind w:firstLine="420"/>
        <w:rPr>
          <w:rFonts w:hint="eastAsia" w:ascii="仿宋" w:hAnsi="仿宋" w:eastAsia="仿宋" w:cs="仿宋"/>
          <w:color w:val="auto"/>
          <w:szCs w:val="24"/>
          <w:highlight w:val="none"/>
        </w:rPr>
      </w:pPr>
    </w:p>
    <w:p w14:paraId="5E0BE204">
      <w:pPr>
        <w:keepNext/>
        <w:keepLines/>
        <w:spacing w:line="578" w:lineRule="auto"/>
        <w:ind w:left="0" w:leftChars="0" w:firstLine="0" w:firstLineChars="0"/>
        <w:jc w:val="center"/>
        <w:outlineLvl w:val="0"/>
        <w:rPr>
          <w:rFonts w:hint="eastAsia" w:ascii="仿宋" w:hAnsi="仿宋" w:eastAsia="仿宋" w:cs="仿宋"/>
          <w:b/>
          <w:bCs/>
          <w:color w:val="auto"/>
          <w:kern w:val="44"/>
          <w:sz w:val="44"/>
          <w:szCs w:val="44"/>
          <w:highlight w:val="none"/>
        </w:rPr>
      </w:pPr>
      <w:bookmarkStart w:id="27" w:name="_Toc74322012"/>
      <w:r>
        <w:rPr>
          <w:rFonts w:hint="eastAsia" w:ascii="仿宋" w:hAnsi="仿宋" w:eastAsia="仿宋" w:cs="仿宋"/>
          <w:b/>
          <w:bCs/>
          <w:color w:val="auto"/>
          <w:kern w:val="44"/>
          <w:sz w:val="44"/>
          <w:szCs w:val="44"/>
          <w:highlight w:val="none"/>
        </w:rPr>
        <w:t>第五章 响应文件格式</w:t>
      </w:r>
      <w:bookmarkEnd w:id="27"/>
    </w:p>
    <w:p w14:paraId="08EAADE4">
      <w:pPr>
        <w:spacing w:line="240" w:lineRule="atLeast"/>
        <w:ind w:firstLine="643"/>
        <w:rPr>
          <w:rFonts w:hint="eastAsia" w:ascii="仿宋" w:hAnsi="仿宋" w:eastAsia="仿宋" w:cs="仿宋"/>
          <w:b/>
          <w:color w:val="auto"/>
          <w:sz w:val="32"/>
          <w:szCs w:val="32"/>
          <w:highlight w:val="none"/>
        </w:rPr>
      </w:pPr>
    </w:p>
    <w:p w14:paraId="2E1DAFAA">
      <w:pPr>
        <w:spacing w:line="240" w:lineRule="atLeast"/>
        <w:ind w:firstLine="643"/>
        <w:jc w:val="center"/>
        <w:rPr>
          <w:rFonts w:hint="eastAsia" w:ascii="仿宋" w:hAnsi="仿宋" w:eastAsia="仿宋" w:cs="仿宋"/>
          <w:b/>
          <w:color w:val="auto"/>
          <w:sz w:val="32"/>
          <w:szCs w:val="32"/>
          <w:highlight w:val="none"/>
        </w:rPr>
      </w:pPr>
    </w:p>
    <w:p w14:paraId="43E8CA33">
      <w:pPr>
        <w:spacing w:line="360" w:lineRule="auto"/>
        <w:ind w:firstLine="643"/>
        <w:jc w:val="center"/>
        <w:rPr>
          <w:rFonts w:hint="eastAsia" w:ascii="仿宋" w:hAnsi="仿宋" w:eastAsia="仿宋" w:cs="仿宋"/>
          <w:b/>
          <w:color w:val="auto"/>
          <w:sz w:val="32"/>
          <w:szCs w:val="32"/>
          <w:highlight w:val="none"/>
        </w:rPr>
      </w:pPr>
      <w:bookmarkStart w:id="28" w:name="_Toc71366060"/>
      <w:bookmarkStart w:id="29" w:name="_Toc71365382"/>
      <w:r>
        <w:rPr>
          <w:rFonts w:hint="eastAsia" w:ascii="仿宋" w:hAnsi="仿宋" w:eastAsia="仿宋" w:cs="仿宋"/>
          <w:b/>
          <w:color w:val="auto"/>
          <w:sz w:val="32"/>
          <w:szCs w:val="32"/>
          <w:highlight w:val="none"/>
        </w:rPr>
        <w:t>一、资格证明文件格式</w:t>
      </w:r>
      <w:bookmarkEnd w:id="28"/>
      <w:bookmarkEnd w:id="29"/>
    </w:p>
    <w:p w14:paraId="54A1DE44">
      <w:pPr>
        <w:snapToGrid w:val="0"/>
        <w:spacing w:line="360" w:lineRule="auto"/>
        <w:ind w:firstLine="643"/>
        <w:jc w:val="center"/>
        <w:rPr>
          <w:rFonts w:hint="eastAsia" w:ascii="仿宋" w:hAnsi="仿宋" w:eastAsia="仿宋" w:cs="仿宋"/>
          <w:b/>
          <w:color w:val="auto"/>
          <w:sz w:val="24"/>
          <w:szCs w:val="24"/>
          <w:highlight w:val="none"/>
        </w:rPr>
      </w:pPr>
      <w:r>
        <w:rPr>
          <w:rFonts w:hint="eastAsia" w:ascii="仿宋" w:hAnsi="仿宋" w:eastAsia="仿宋" w:cs="仿宋"/>
          <w:b/>
          <w:color w:val="auto"/>
          <w:sz w:val="32"/>
          <w:szCs w:val="32"/>
          <w:highlight w:val="none"/>
        </w:rPr>
        <w:t>1.资格证明文件封面格式：</w:t>
      </w:r>
    </w:p>
    <w:p w14:paraId="60D8CB71">
      <w:pPr>
        <w:snapToGrid w:val="0"/>
        <w:spacing w:line="360" w:lineRule="auto"/>
        <w:rPr>
          <w:rFonts w:hint="eastAsia" w:ascii="仿宋" w:hAnsi="仿宋" w:eastAsia="仿宋" w:cs="仿宋"/>
          <w:bCs/>
          <w:color w:val="auto"/>
          <w:sz w:val="32"/>
          <w:szCs w:val="20"/>
          <w:highlight w:val="none"/>
        </w:rPr>
      </w:pPr>
      <w:r>
        <w:rPr>
          <w:rFonts w:hint="eastAsia" w:ascii="仿宋" w:hAnsi="仿宋" w:eastAsia="仿宋" w:cs="仿宋"/>
          <w:color w:val="auto"/>
          <w:sz w:val="24"/>
          <w:szCs w:val="24"/>
          <w:highlight w:val="none"/>
        </w:rPr>
        <w:t xml:space="preserve">                                                  </w:t>
      </w:r>
    </w:p>
    <w:p w14:paraId="6DC147C2">
      <w:pPr>
        <w:snapToGrid w:val="0"/>
        <w:spacing w:line="360" w:lineRule="auto"/>
        <w:ind w:left="0" w:leftChars="0" w:firstLine="0" w:firstLineChars="0"/>
        <w:jc w:val="center"/>
        <w:rPr>
          <w:rFonts w:hint="eastAsia" w:ascii="仿宋" w:hAnsi="仿宋" w:eastAsia="仿宋" w:cs="仿宋"/>
          <w:bCs/>
          <w:color w:val="auto"/>
          <w:sz w:val="84"/>
          <w:szCs w:val="84"/>
          <w:highlight w:val="none"/>
        </w:rPr>
      </w:pPr>
      <w:r>
        <w:rPr>
          <w:rFonts w:hint="eastAsia" w:ascii="仿宋" w:hAnsi="仿宋" w:eastAsia="仿宋" w:cs="仿宋"/>
          <w:bCs/>
          <w:color w:val="auto"/>
          <w:sz w:val="84"/>
          <w:szCs w:val="84"/>
          <w:highlight w:val="none"/>
        </w:rPr>
        <w:t>响  应  文  件</w:t>
      </w:r>
    </w:p>
    <w:p w14:paraId="2AEABF1C">
      <w:pPr>
        <w:snapToGrid w:val="0"/>
        <w:spacing w:line="360" w:lineRule="auto"/>
        <w:rPr>
          <w:rFonts w:hint="eastAsia" w:ascii="仿宋" w:hAnsi="仿宋" w:eastAsia="仿宋" w:cs="仿宋"/>
          <w:color w:val="auto"/>
          <w:sz w:val="24"/>
          <w:szCs w:val="20"/>
          <w:highlight w:val="none"/>
        </w:rPr>
      </w:pPr>
    </w:p>
    <w:p w14:paraId="0AB262BA">
      <w:pPr>
        <w:snapToGrid w:val="0"/>
        <w:spacing w:line="360" w:lineRule="auto"/>
        <w:ind w:left="0" w:leftChars="0" w:firstLine="0" w:firstLineChars="0"/>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资  格  证  明  文  件</w:t>
      </w:r>
    </w:p>
    <w:p w14:paraId="78822CF8">
      <w:pPr>
        <w:snapToGrid w:val="0"/>
        <w:spacing w:line="360" w:lineRule="auto"/>
        <w:rPr>
          <w:rFonts w:hint="eastAsia" w:ascii="仿宋" w:hAnsi="仿宋" w:eastAsia="仿宋" w:cs="仿宋"/>
          <w:bCs/>
          <w:color w:val="auto"/>
          <w:sz w:val="24"/>
          <w:szCs w:val="20"/>
          <w:highlight w:val="none"/>
        </w:rPr>
      </w:pPr>
    </w:p>
    <w:p w14:paraId="35041729">
      <w:pPr>
        <w:snapToGrid w:val="0"/>
        <w:spacing w:line="360" w:lineRule="auto"/>
        <w:rPr>
          <w:rFonts w:hint="eastAsia" w:ascii="仿宋" w:hAnsi="仿宋" w:eastAsia="仿宋" w:cs="仿宋"/>
          <w:bCs/>
          <w:color w:val="auto"/>
          <w:sz w:val="24"/>
          <w:szCs w:val="20"/>
          <w:highlight w:val="none"/>
        </w:rPr>
      </w:pPr>
    </w:p>
    <w:p w14:paraId="78F95D7A">
      <w:pPr>
        <w:snapToGrid w:val="0"/>
        <w:spacing w:line="360" w:lineRule="auto"/>
        <w:ind w:firstLine="2739" w:firstLineChars="856"/>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11840C81">
      <w:pPr>
        <w:snapToGrid w:val="0"/>
        <w:spacing w:line="360" w:lineRule="auto"/>
        <w:ind w:firstLine="2739" w:firstLineChars="856"/>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项目编号： </w:t>
      </w:r>
    </w:p>
    <w:p w14:paraId="11E07C05">
      <w:pPr>
        <w:snapToGrid w:val="0"/>
        <w:spacing w:line="360" w:lineRule="auto"/>
        <w:ind w:firstLine="2739" w:firstLineChars="856"/>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所竞分标（如有）：</w:t>
      </w:r>
    </w:p>
    <w:p w14:paraId="6C028668">
      <w:pPr>
        <w:snapToGrid w:val="0"/>
        <w:spacing w:line="360" w:lineRule="auto"/>
        <w:ind w:firstLine="2739" w:firstLineChars="856"/>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201092AC">
      <w:pPr>
        <w:snapToGrid w:val="0"/>
        <w:spacing w:line="360" w:lineRule="auto"/>
        <w:ind w:firstLine="2739" w:firstLineChars="856"/>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w:t>
      </w:r>
      <w:r>
        <w:rPr>
          <w:rFonts w:hint="eastAsia" w:ascii="仿宋" w:hAnsi="仿宋" w:eastAsia="仿宋" w:cs="仿宋"/>
          <w:bCs/>
          <w:color w:val="auto"/>
          <w:sz w:val="32"/>
          <w:szCs w:val="32"/>
          <w:highlight w:val="none"/>
          <w:lang w:val="en-US" w:eastAsia="zh-CN"/>
        </w:rPr>
        <w:t>地址</w:t>
      </w:r>
      <w:r>
        <w:rPr>
          <w:rFonts w:hint="eastAsia" w:ascii="仿宋" w:hAnsi="仿宋" w:eastAsia="仿宋" w:cs="仿宋"/>
          <w:bCs/>
          <w:color w:val="auto"/>
          <w:sz w:val="32"/>
          <w:szCs w:val="32"/>
          <w:highlight w:val="none"/>
        </w:rPr>
        <w:t>：</w:t>
      </w:r>
    </w:p>
    <w:p w14:paraId="41299738">
      <w:pPr>
        <w:pStyle w:val="2"/>
        <w:rPr>
          <w:rFonts w:hint="eastAsia"/>
          <w:color w:val="auto"/>
          <w:highlight w:val="none"/>
        </w:rPr>
      </w:pPr>
    </w:p>
    <w:p w14:paraId="37EB45A2">
      <w:pPr>
        <w:snapToGrid w:val="0"/>
        <w:spacing w:line="360" w:lineRule="auto"/>
        <w:ind w:firstLine="640"/>
        <w:rPr>
          <w:rFonts w:hint="eastAsia" w:ascii="仿宋" w:hAnsi="仿宋" w:eastAsia="仿宋" w:cs="仿宋"/>
          <w:bCs/>
          <w:color w:val="auto"/>
          <w:sz w:val="32"/>
          <w:szCs w:val="32"/>
          <w:highlight w:val="none"/>
        </w:rPr>
      </w:pPr>
    </w:p>
    <w:p w14:paraId="57DB2973">
      <w:pPr>
        <w:snapToGrid w:val="0"/>
        <w:spacing w:line="360" w:lineRule="auto"/>
        <w:ind w:firstLine="1280" w:firstLineChars="400"/>
        <w:rPr>
          <w:rFonts w:hint="eastAsia" w:ascii="仿宋" w:hAnsi="仿宋" w:eastAsia="仿宋" w:cs="仿宋"/>
          <w:bCs/>
          <w:color w:val="auto"/>
          <w:sz w:val="32"/>
          <w:szCs w:val="32"/>
          <w:highlight w:val="none"/>
        </w:rPr>
      </w:pPr>
    </w:p>
    <w:p w14:paraId="0DD1F334">
      <w:pPr>
        <w:snapToGrid w:val="0"/>
        <w:spacing w:line="360" w:lineRule="auto"/>
        <w:ind w:firstLine="64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4A6BBDE0">
      <w:pPr>
        <w:snapToGrid w:val="0"/>
        <w:spacing w:line="360" w:lineRule="auto"/>
        <w:jc w:val="left"/>
        <w:rPr>
          <w:rFonts w:hint="eastAsia" w:ascii="仿宋" w:hAnsi="仿宋" w:eastAsia="仿宋" w:cs="仿宋"/>
          <w:b/>
          <w:bCs/>
          <w:color w:val="auto"/>
          <w:sz w:val="32"/>
          <w:szCs w:val="32"/>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32"/>
          <w:szCs w:val="32"/>
          <w:highlight w:val="none"/>
        </w:rPr>
        <w:t>2.资格证明文件目录</w:t>
      </w:r>
    </w:p>
    <w:p w14:paraId="226005C1">
      <w:pPr>
        <w:snapToGrid w:val="0"/>
        <w:spacing w:line="360" w:lineRule="auto"/>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根据谈判文件规定及供应商提供的材料自行编写目录（部分格式后附）。</w:t>
      </w:r>
    </w:p>
    <w:p w14:paraId="58C98C9C">
      <w:pPr>
        <w:snapToGrid w:val="0"/>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47243229">
      <w:pPr>
        <w:spacing w:line="360" w:lineRule="auto"/>
        <w:ind w:firstLine="420"/>
        <w:rPr>
          <w:rFonts w:hint="eastAsia" w:ascii="仿宋" w:hAnsi="仿宋" w:eastAsia="仿宋" w:cs="仿宋"/>
          <w:color w:val="auto"/>
          <w:szCs w:val="21"/>
          <w:highlight w:val="none"/>
        </w:rPr>
      </w:pPr>
    </w:p>
    <w:p w14:paraId="52A5218A">
      <w:pPr>
        <w:spacing w:line="360" w:lineRule="auto"/>
        <w:ind w:firstLine="420"/>
        <w:rPr>
          <w:rFonts w:hint="eastAsia" w:ascii="仿宋" w:hAnsi="仿宋" w:eastAsia="仿宋" w:cs="仿宋"/>
          <w:color w:val="auto"/>
          <w:szCs w:val="21"/>
          <w:highlight w:val="none"/>
        </w:rPr>
      </w:pPr>
    </w:p>
    <w:p w14:paraId="24049263">
      <w:pPr>
        <w:spacing w:line="360" w:lineRule="auto"/>
        <w:ind w:firstLine="420"/>
        <w:rPr>
          <w:rFonts w:hint="eastAsia" w:ascii="仿宋" w:hAnsi="仿宋" w:eastAsia="仿宋" w:cs="仿宋"/>
          <w:color w:val="auto"/>
          <w:szCs w:val="21"/>
          <w:highlight w:val="none"/>
        </w:rPr>
      </w:pPr>
    </w:p>
    <w:p w14:paraId="5E709EFA">
      <w:pPr>
        <w:spacing w:line="360" w:lineRule="auto"/>
        <w:ind w:firstLine="420"/>
        <w:rPr>
          <w:rFonts w:hint="eastAsia" w:ascii="仿宋" w:hAnsi="仿宋" w:eastAsia="仿宋" w:cs="仿宋"/>
          <w:color w:val="auto"/>
          <w:szCs w:val="21"/>
          <w:highlight w:val="none"/>
        </w:rPr>
      </w:pPr>
    </w:p>
    <w:p w14:paraId="218FD3CF">
      <w:pPr>
        <w:spacing w:line="360" w:lineRule="auto"/>
        <w:ind w:firstLine="420"/>
        <w:rPr>
          <w:rFonts w:hint="eastAsia" w:ascii="仿宋" w:hAnsi="仿宋" w:eastAsia="仿宋" w:cs="仿宋"/>
          <w:color w:val="auto"/>
          <w:szCs w:val="21"/>
          <w:highlight w:val="none"/>
        </w:rPr>
      </w:pPr>
    </w:p>
    <w:p w14:paraId="25BD70C3">
      <w:pPr>
        <w:spacing w:line="360" w:lineRule="auto"/>
        <w:ind w:firstLine="420"/>
        <w:rPr>
          <w:rFonts w:hint="eastAsia" w:ascii="仿宋" w:hAnsi="仿宋" w:eastAsia="仿宋" w:cs="仿宋"/>
          <w:color w:val="auto"/>
          <w:szCs w:val="21"/>
          <w:highlight w:val="none"/>
        </w:rPr>
      </w:pPr>
    </w:p>
    <w:p w14:paraId="6F9BA408">
      <w:pPr>
        <w:spacing w:line="360" w:lineRule="auto"/>
        <w:ind w:firstLine="420"/>
        <w:rPr>
          <w:rFonts w:hint="eastAsia" w:ascii="仿宋" w:hAnsi="仿宋" w:eastAsia="仿宋" w:cs="仿宋"/>
          <w:color w:val="auto"/>
          <w:szCs w:val="21"/>
          <w:highlight w:val="none"/>
        </w:rPr>
      </w:pPr>
    </w:p>
    <w:p w14:paraId="40F0B3C7">
      <w:pPr>
        <w:spacing w:line="360" w:lineRule="auto"/>
        <w:ind w:firstLine="420"/>
        <w:rPr>
          <w:rFonts w:hint="eastAsia" w:ascii="仿宋" w:hAnsi="仿宋" w:eastAsia="仿宋" w:cs="仿宋"/>
          <w:color w:val="auto"/>
          <w:szCs w:val="21"/>
          <w:highlight w:val="none"/>
        </w:rPr>
      </w:pPr>
    </w:p>
    <w:p w14:paraId="6D2DB048">
      <w:pPr>
        <w:spacing w:line="360" w:lineRule="auto"/>
        <w:ind w:firstLine="420"/>
        <w:rPr>
          <w:rFonts w:hint="eastAsia" w:ascii="仿宋" w:hAnsi="仿宋" w:eastAsia="仿宋" w:cs="仿宋"/>
          <w:color w:val="auto"/>
          <w:szCs w:val="21"/>
          <w:highlight w:val="none"/>
        </w:rPr>
      </w:pPr>
    </w:p>
    <w:p w14:paraId="0CD0B5F1">
      <w:pPr>
        <w:spacing w:line="360" w:lineRule="auto"/>
        <w:ind w:firstLine="420"/>
        <w:rPr>
          <w:rFonts w:hint="eastAsia" w:ascii="仿宋" w:hAnsi="仿宋" w:eastAsia="仿宋" w:cs="仿宋"/>
          <w:color w:val="auto"/>
          <w:szCs w:val="21"/>
          <w:highlight w:val="none"/>
        </w:rPr>
      </w:pPr>
    </w:p>
    <w:p w14:paraId="3DE094B9">
      <w:pPr>
        <w:spacing w:line="360" w:lineRule="auto"/>
        <w:ind w:firstLine="420"/>
        <w:rPr>
          <w:rFonts w:hint="eastAsia" w:ascii="仿宋" w:hAnsi="仿宋" w:eastAsia="仿宋" w:cs="仿宋"/>
          <w:color w:val="auto"/>
          <w:szCs w:val="21"/>
          <w:highlight w:val="none"/>
        </w:rPr>
      </w:pPr>
    </w:p>
    <w:p w14:paraId="6BB6638F">
      <w:pPr>
        <w:spacing w:line="360" w:lineRule="auto"/>
        <w:ind w:firstLine="420"/>
        <w:rPr>
          <w:rFonts w:hint="eastAsia" w:ascii="仿宋" w:hAnsi="仿宋" w:eastAsia="仿宋" w:cs="仿宋"/>
          <w:color w:val="auto"/>
          <w:szCs w:val="21"/>
          <w:highlight w:val="none"/>
        </w:rPr>
      </w:pPr>
    </w:p>
    <w:p w14:paraId="4F16436F">
      <w:pPr>
        <w:spacing w:line="360" w:lineRule="auto"/>
        <w:ind w:firstLine="420"/>
        <w:rPr>
          <w:rFonts w:hint="eastAsia" w:ascii="仿宋" w:hAnsi="仿宋" w:eastAsia="仿宋" w:cs="仿宋"/>
          <w:color w:val="auto"/>
          <w:szCs w:val="21"/>
          <w:highlight w:val="none"/>
        </w:rPr>
      </w:pPr>
    </w:p>
    <w:p w14:paraId="2425D51D">
      <w:pPr>
        <w:spacing w:line="360" w:lineRule="auto"/>
        <w:ind w:firstLine="420"/>
        <w:rPr>
          <w:rFonts w:hint="eastAsia" w:ascii="仿宋" w:hAnsi="仿宋" w:eastAsia="仿宋" w:cs="仿宋"/>
          <w:color w:val="auto"/>
          <w:szCs w:val="21"/>
          <w:highlight w:val="none"/>
        </w:rPr>
      </w:pPr>
    </w:p>
    <w:p w14:paraId="5A6D8091">
      <w:pPr>
        <w:spacing w:line="360" w:lineRule="auto"/>
        <w:ind w:firstLine="420"/>
        <w:rPr>
          <w:rFonts w:hint="eastAsia" w:ascii="仿宋" w:hAnsi="仿宋" w:eastAsia="仿宋" w:cs="仿宋"/>
          <w:color w:val="auto"/>
          <w:szCs w:val="21"/>
          <w:highlight w:val="none"/>
        </w:rPr>
      </w:pPr>
    </w:p>
    <w:p w14:paraId="35EA1C02">
      <w:pPr>
        <w:spacing w:line="360" w:lineRule="auto"/>
        <w:ind w:firstLine="420"/>
        <w:jc w:val="left"/>
        <w:rPr>
          <w:rFonts w:hint="eastAsia" w:ascii="仿宋" w:hAnsi="仿宋" w:eastAsia="仿宋" w:cs="仿宋"/>
          <w:color w:val="auto"/>
          <w:szCs w:val="21"/>
          <w:highlight w:val="none"/>
        </w:rPr>
      </w:pPr>
    </w:p>
    <w:p w14:paraId="714150B1">
      <w:pPr>
        <w:snapToGrid w:val="0"/>
        <w:spacing w:line="360" w:lineRule="auto"/>
        <w:ind w:left="0" w:leftChars="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3.供应商直接控股、管理关系信息表</w:t>
      </w:r>
    </w:p>
    <w:p w14:paraId="71C17994">
      <w:pPr>
        <w:snapToGrid w:val="0"/>
        <w:spacing w:line="360" w:lineRule="auto"/>
        <w:ind w:firstLine="643"/>
        <w:jc w:val="center"/>
        <w:rPr>
          <w:rFonts w:hint="eastAsia" w:ascii="仿宋" w:hAnsi="仿宋" w:eastAsia="仿宋" w:cs="仿宋"/>
          <w:b/>
          <w:color w:val="auto"/>
          <w:sz w:val="32"/>
          <w:szCs w:val="32"/>
          <w:highlight w:val="none"/>
        </w:rPr>
      </w:pPr>
    </w:p>
    <w:p w14:paraId="26621688">
      <w:pPr>
        <w:snapToGrid w:val="0"/>
        <w:spacing w:line="360" w:lineRule="auto"/>
        <w:ind w:left="0" w:leftChars="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供应商直接控股股东信息表</w:t>
      </w:r>
    </w:p>
    <w:p w14:paraId="1C072B50">
      <w:pPr>
        <w:snapToGrid w:val="0"/>
        <w:spacing w:line="360" w:lineRule="auto"/>
        <w:ind w:firstLine="643"/>
        <w:jc w:val="center"/>
        <w:rPr>
          <w:rFonts w:hint="eastAsia" w:ascii="仿宋" w:hAnsi="仿宋" w:eastAsia="仿宋" w:cs="仿宋"/>
          <w:b/>
          <w:color w:val="auto"/>
          <w:sz w:val="32"/>
          <w:szCs w:val="32"/>
          <w:highlight w:val="none"/>
        </w:rPr>
      </w:pPr>
    </w:p>
    <w:tbl>
      <w:tblPr>
        <w:tblStyle w:val="22"/>
        <w:tblW w:w="9318" w:type="dxa"/>
        <w:jc w:val="center"/>
        <w:shd w:val="clear" w:color="auto" w:fill="FBFBFB"/>
        <w:tblLayout w:type="fixed"/>
        <w:tblCellMar>
          <w:top w:w="0" w:type="dxa"/>
          <w:left w:w="0" w:type="dxa"/>
          <w:bottom w:w="0" w:type="dxa"/>
          <w:right w:w="0" w:type="dxa"/>
        </w:tblCellMar>
      </w:tblPr>
      <w:tblGrid>
        <w:gridCol w:w="880"/>
        <w:gridCol w:w="2655"/>
        <w:gridCol w:w="1455"/>
        <w:gridCol w:w="3503"/>
        <w:gridCol w:w="825"/>
      </w:tblGrid>
      <w:tr w14:paraId="283F0674">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154F9D">
            <w:pPr>
              <w:widowControl/>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9C12AC">
            <w:pPr>
              <w:widowControl/>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4854C1E">
            <w:pPr>
              <w:widowControl/>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出资比例</w:t>
            </w:r>
          </w:p>
        </w:tc>
        <w:tc>
          <w:tcPr>
            <w:tcW w:w="350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C5E9A6">
            <w:pPr>
              <w:widowControl/>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身份证号码或者统一社会信用代码</w:t>
            </w:r>
          </w:p>
        </w:tc>
        <w:tc>
          <w:tcPr>
            <w:tcW w:w="82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BA15B78">
            <w:pPr>
              <w:widowControl/>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备注</w:t>
            </w:r>
          </w:p>
        </w:tc>
      </w:tr>
      <w:tr w14:paraId="646F901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E74D5C">
            <w:pPr>
              <w:widowControl/>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8F8543">
            <w:pPr>
              <w:widowControl/>
              <w:spacing w:line="360" w:lineRule="auto"/>
              <w:ind w:firstLine="560"/>
              <w:jc w:val="center"/>
              <w:rPr>
                <w:rFonts w:hint="eastAsia" w:ascii="仿宋" w:hAnsi="仿宋" w:eastAsia="仿宋" w:cs="仿宋"/>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F80FB8">
            <w:pPr>
              <w:widowControl/>
              <w:spacing w:line="360" w:lineRule="auto"/>
              <w:ind w:firstLine="560"/>
              <w:jc w:val="center"/>
              <w:rPr>
                <w:rFonts w:hint="eastAsia" w:ascii="仿宋" w:hAnsi="仿宋" w:eastAsia="仿宋" w:cs="仿宋"/>
                <w:color w:val="auto"/>
                <w:kern w:val="0"/>
                <w:sz w:val="28"/>
                <w:szCs w:val="28"/>
                <w:highlight w:val="none"/>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7FB80C">
            <w:pPr>
              <w:widowControl/>
              <w:spacing w:line="360" w:lineRule="auto"/>
              <w:ind w:firstLine="560"/>
              <w:jc w:val="center"/>
              <w:rPr>
                <w:rFonts w:hint="eastAsia" w:ascii="仿宋" w:hAnsi="仿宋" w:eastAsia="仿宋" w:cs="仿宋"/>
                <w:color w:val="auto"/>
                <w:kern w:val="0"/>
                <w:sz w:val="28"/>
                <w:szCs w:val="28"/>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C472A9">
            <w:pPr>
              <w:widowControl/>
              <w:spacing w:line="360" w:lineRule="auto"/>
              <w:ind w:firstLine="560"/>
              <w:jc w:val="center"/>
              <w:rPr>
                <w:rFonts w:hint="eastAsia" w:ascii="仿宋" w:hAnsi="仿宋" w:eastAsia="仿宋" w:cs="仿宋"/>
                <w:color w:val="auto"/>
                <w:kern w:val="0"/>
                <w:sz w:val="28"/>
                <w:szCs w:val="28"/>
                <w:highlight w:val="none"/>
              </w:rPr>
            </w:pPr>
          </w:p>
        </w:tc>
      </w:tr>
      <w:tr w14:paraId="5B123E6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F896C2">
            <w:pPr>
              <w:widowControl/>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BC4B5F">
            <w:pPr>
              <w:widowControl/>
              <w:spacing w:line="360" w:lineRule="auto"/>
              <w:ind w:firstLine="560"/>
              <w:jc w:val="center"/>
              <w:rPr>
                <w:rFonts w:hint="eastAsia" w:ascii="仿宋" w:hAnsi="仿宋" w:eastAsia="仿宋" w:cs="仿宋"/>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A44C83">
            <w:pPr>
              <w:widowControl/>
              <w:spacing w:line="360" w:lineRule="auto"/>
              <w:ind w:firstLine="560"/>
              <w:jc w:val="center"/>
              <w:rPr>
                <w:rFonts w:hint="eastAsia" w:ascii="仿宋" w:hAnsi="仿宋" w:eastAsia="仿宋" w:cs="仿宋"/>
                <w:color w:val="auto"/>
                <w:kern w:val="0"/>
                <w:sz w:val="28"/>
                <w:szCs w:val="28"/>
                <w:highlight w:val="none"/>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17FEA1">
            <w:pPr>
              <w:widowControl/>
              <w:spacing w:line="360" w:lineRule="auto"/>
              <w:ind w:firstLine="560"/>
              <w:jc w:val="center"/>
              <w:rPr>
                <w:rFonts w:hint="eastAsia" w:ascii="仿宋" w:hAnsi="仿宋" w:eastAsia="仿宋" w:cs="仿宋"/>
                <w:color w:val="auto"/>
                <w:kern w:val="0"/>
                <w:sz w:val="28"/>
                <w:szCs w:val="28"/>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903370">
            <w:pPr>
              <w:widowControl/>
              <w:spacing w:line="360" w:lineRule="auto"/>
              <w:ind w:firstLine="560"/>
              <w:jc w:val="center"/>
              <w:rPr>
                <w:rFonts w:hint="eastAsia" w:ascii="仿宋" w:hAnsi="仿宋" w:eastAsia="仿宋" w:cs="仿宋"/>
                <w:color w:val="auto"/>
                <w:kern w:val="0"/>
                <w:sz w:val="28"/>
                <w:szCs w:val="28"/>
                <w:highlight w:val="none"/>
              </w:rPr>
            </w:pPr>
          </w:p>
        </w:tc>
      </w:tr>
      <w:tr w14:paraId="2DE3B75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F1EDC8">
            <w:pPr>
              <w:widowControl/>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3BFA1C">
            <w:pPr>
              <w:widowControl/>
              <w:spacing w:line="360" w:lineRule="auto"/>
              <w:ind w:firstLine="560"/>
              <w:jc w:val="center"/>
              <w:rPr>
                <w:rFonts w:hint="eastAsia" w:ascii="仿宋" w:hAnsi="仿宋" w:eastAsia="仿宋" w:cs="仿宋"/>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F6BF97">
            <w:pPr>
              <w:widowControl/>
              <w:spacing w:line="360" w:lineRule="auto"/>
              <w:ind w:firstLine="560"/>
              <w:jc w:val="center"/>
              <w:rPr>
                <w:rFonts w:hint="eastAsia" w:ascii="仿宋" w:hAnsi="仿宋" w:eastAsia="仿宋" w:cs="仿宋"/>
                <w:color w:val="auto"/>
                <w:kern w:val="0"/>
                <w:sz w:val="28"/>
                <w:szCs w:val="28"/>
                <w:highlight w:val="none"/>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20DF45">
            <w:pPr>
              <w:widowControl/>
              <w:spacing w:line="360" w:lineRule="auto"/>
              <w:ind w:firstLine="560"/>
              <w:jc w:val="center"/>
              <w:rPr>
                <w:rFonts w:hint="eastAsia" w:ascii="仿宋" w:hAnsi="仿宋" w:eastAsia="仿宋" w:cs="仿宋"/>
                <w:color w:val="auto"/>
                <w:kern w:val="0"/>
                <w:sz w:val="28"/>
                <w:szCs w:val="28"/>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22249E">
            <w:pPr>
              <w:widowControl/>
              <w:spacing w:line="360" w:lineRule="auto"/>
              <w:ind w:firstLine="560"/>
              <w:jc w:val="center"/>
              <w:rPr>
                <w:rFonts w:hint="eastAsia" w:ascii="仿宋" w:hAnsi="仿宋" w:eastAsia="仿宋" w:cs="仿宋"/>
                <w:color w:val="auto"/>
                <w:kern w:val="0"/>
                <w:sz w:val="28"/>
                <w:szCs w:val="28"/>
                <w:highlight w:val="none"/>
              </w:rPr>
            </w:pPr>
          </w:p>
        </w:tc>
      </w:tr>
      <w:tr w14:paraId="22582AD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FD347D">
            <w:pPr>
              <w:widowControl/>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D35581">
            <w:pPr>
              <w:widowControl/>
              <w:spacing w:line="360" w:lineRule="auto"/>
              <w:ind w:firstLine="560"/>
              <w:jc w:val="center"/>
              <w:rPr>
                <w:rFonts w:hint="eastAsia" w:ascii="仿宋" w:hAnsi="仿宋" w:eastAsia="仿宋" w:cs="仿宋"/>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843B9D">
            <w:pPr>
              <w:widowControl/>
              <w:spacing w:line="360" w:lineRule="auto"/>
              <w:ind w:firstLine="560"/>
              <w:jc w:val="center"/>
              <w:rPr>
                <w:rFonts w:hint="eastAsia" w:ascii="仿宋" w:hAnsi="仿宋" w:eastAsia="仿宋" w:cs="仿宋"/>
                <w:color w:val="auto"/>
                <w:kern w:val="0"/>
                <w:sz w:val="28"/>
                <w:szCs w:val="28"/>
                <w:highlight w:val="none"/>
              </w:rPr>
            </w:pPr>
          </w:p>
        </w:tc>
        <w:tc>
          <w:tcPr>
            <w:tcW w:w="350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EFB25B">
            <w:pPr>
              <w:widowControl/>
              <w:spacing w:line="360" w:lineRule="auto"/>
              <w:ind w:firstLine="560"/>
              <w:jc w:val="center"/>
              <w:rPr>
                <w:rFonts w:hint="eastAsia" w:ascii="仿宋" w:hAnsi="仿宋" w:eastAsia="仿宋" w:cs="仿宋"/>
                <w:color w:val="auto"/>
                <w:kern w:val="0"/>
                <w:sz w:val="28"/>
                <w:szCs w:val="28"/>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9A0901">
            <w:pPr>
              <w:widowControl/>
              <w:spacing w:line="360" w:lineRule="auto"/>
              <w:ind w:firstLine="560"/>
              <w:jc w:val="center"/>
              <w:rPr>
                <w:rFonts w:hint="eastAsia" w:ascii="仿宋" w:hAnsi="仿宋" w:eastAsia="仿宋" w:cs="仿宋"/>
                <w:color w:val="auto"/>
                <w:kern w:val="0"/>
                <w:sz w:val="28"/>
                <w:szCs w:val="28"/>
                <w:highlight w:val="none"/>
              </w:rPr>
            </w:pPr>
          </w:p>
        </w:tc>
      </w:tr>
    </w:tbl>
    <w:p w14:paraId="2B6FDB16">
      <w:pPr>
        <w:spacing w:line="360" w:lineRule="auto"/>
        <w:ind w:firstLine="482"/>
        <w:contextualSpacing/>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14:paraId="7D34AD2F">
      <w:pPr>
        <w:spacing w:line="360" w:lineRule="auto"/>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8E4EE3D">
      <w:pPr>
        <w:spacing w:line="360" w:lineRule="auto"/>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2.本表所指的控股关系仅限于直接控股关系，不包括间接的控股关系。公司实际控制人与公司之间的关系不属于本表所指的直接控股关系。</w:t>
      </w:r>
    </w:p>
    <w:p w14:paraId="31949844">
      <w:pPr>
        <w:spacing w:line="360" w:lineRule="auto"/>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3.供应商不存在直接控股股东的，则填“无”。</w:t>
      </w:r>
    </w:p>
    <w:p w14:paraId="2CA23714">
      <w:pPr>
        <w:spacing w:line="360" w:lineRule="auto"/>
        <w:contextualSpacing/>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法定代表人或者委托代理人签字：</w:t>
      </w:r>
      <w:r>
        <w:rPr>
          <w:rFonts w:hint="eastAsia" w:ascii="仿宋" w:hAnsi="仿宋" w:eastAsia="仿宋" w:cs="仿宋"/>
          <w:color w:val="auto"/>
          <w:sz w:val="24"/>
          <w:szCs w:val="24"/>
          <w:highlight w:val="none"/>
          <w:u w:val="single"/>
        </w:rPr>
        <w:t xml:space="preserve">                    </w:t>
      </w:r>
    </w:p>
    <w:p w14:paraId="6627D3F4">
      <w:pPr>
        <w:spacing w:line="360" w:lineRule="auto"/>
        <w:ind w:firstLine="3120" w:firstLineChars="13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供应商（公章 ）： </w:t>
      </w:r>
      <w:r>
        <w:rPr>
          <w:rFonts w:hint="eastAsia" w:ascii="仿宋" w:hAnsi="仿宋" w:eastAsia="仿宋" w:cs="仿宋"/>
          <w:color w:val="auto"/>
          <w:sz w:val="24"/>
          <w:szCs w:val="24"/>
          <w:highlight w:val="none"/>
          <w:u w:val="single"/>
        </w:rPr>
        <w:t xml:space="preserve">                              </w:t>
      </w:r>
    </w:p>
    <w:p w14:paraId="20FB21BE">
      <w:pPr>
        <w:spacing w:line="360" w:lineRule="auto"/>
        <w:ind w:firstLine="3120" w:firstLineChars="1300"/>
        <w:contextualSpacing/>
        <w:rPr>
          <w:rFonts w:hint="eastAsia" w:ascii="仿宋" w:hAnsi="仿宋" w:eastAsia="仿宋" w:cs="仿宋"/>
          <w:b/>
          <w:color w:val="auto"/>
          <w:sz w:val="28"/>
          <w:szCs w:val="28"/>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年</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月</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日</w:t>
      </w:r>
      <w:r>
        <w:rPr>
          <w:rFonts w:hint="eastAsia" w:ascii="仿宋" w:hAnsi="仿宋" w:eastAsia="仿宋" w:cs="仿宋"/>
          <w:b/>
          <w:color w:val="auto"/>
          <w:sz w:val="28"/>
          <w:szCs w:val="28"/>
          <w:highlight w:val="none"/>
        </w:rPr>
        <w:br w:type="page"/>
      </w:r>
    </w:p>
    <w:p w14:paraId="5D4A314A">
      <w:pPr>
        <w:snapToGrid w:val="0"/>
        <w:spacing w:line="360" w:lineRule="auto"/>
        <w:ind w:left="0" w:leftChars="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供应商直接管理关系信息表</w:t>
      </w:r>
    </w:p>
    <w:p w14:paraId="0251D7BA">
      <w:pPr>
        <w:snapToGrid w:val="0"/>
        <w:spacing w:line="360" w:lineRule="auto"/>
        <w:ind w:firstLine="643"/>
        <w:jc w:val="center"/>
        <w:rPr>
          <w:rFonts w:hint="eastAsia" w:ascii="仿宋" w:hAnsi="仿宋" w:eastAsia="仿宋" w:cs="仿宋"/>
          <w:b/>
          <w:color w:val="auto"/>
          <w:sz w:val="32"/>
          <w:szCs w:val="32"/>
          <w:highlight w:val="none"/>
        </w:rPr>
      </w:pPr>
    </w:p>
    <w:tbl>
      <w:tblPr>
        <w:tblStyle w:val="22"/>
        <w:tblW w:w="8942" w:type="dxa"/>
        <w:jc w:val="center"/>
        <w:shd w:val="clear" w:color="auto" w:fill="FBFBFB"/>
        <w:tblLayout w:type="fixed"/>
        <w:tblCellMar>
          <w:top w:w="0" w:type="dxa"/>
          <w:left w:w="0" w:type="dxa"/>
          <w:bottom w:w="0" w:type="dxa"/>
          <w:right w:w="0" w:type="dxa"/>
        </w:tblCellMar>
      </w:tblPr>
      <w:tblGrid>
        <w:gridCol w:w="808"/>
        <w:gridCol w:w="3600"/>
        <w:gridCol w:w="3555"/>
        <w:gridCol w:w="979"/>
      </w:tblGrid>
      <w:tr w14:paraId="5828223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8CDA701">
            <w:pPr>
              <w:widowControl/>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48CA031">
            <w:pPr>
              <w:widowControl/>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1EA4594">
            <w:pPr>
              <w:widowControl/>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统一社会信用代码</w:t>
            </w:r>
          </w:p>
        </w:tc>
        <w:tc>
          <w:tcPr>
            <w:tcW w:w="9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7C0712">
            <w:pPr>
              <w:widowControl/>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备注</w:t>
            </w:r>
          </w:p>
        </w:tc>
      </w:tr>
      <w:tr w14:paraId="72819B1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B68329">
            <w:pPr>
              <w:widowControl/>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D27F2D">
            <w:pPr>
              <w:widowControl/>
              <w:spacing w:line="360" w:lineRule="auto"/>
              <w:jc w:val="center"/>
              <w:rPr>
                <w:rFonts w:hint="eastAsia" w:ascii="仿宋" w:hAnsi="仿宋" w:eastAsia="仿宋" w:cs="仿宋"/>
                <w:b/>
                <w:bCs/>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5E5E6">
            <w:pPr>
              <w:widowControl/>
              <w:wordWrap w:val="0"/>
              <w:spacing w:line="360" w:lineRule="auto"/>
              <w:ind w:firstLine="560"/>
              <w:jc w:val="center"/>
              <w:rPr>
                <w:rFonts w:hint="eastAsia" w:ascii="仿宋" w:hAnsi="仿宋" w:eastAsia="仿宋" w:cs="仿宋"/>
                <w:color w:val="auto"/>
                <w:kern w:val="0"/>
                <w:sz w:val="28"/>
                <w:szCs w:val="28"/>
                <w:highlight w:val="none"/>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316878">
            <w:pPr>
              <w:widowControl/>
              <w:wordWrap w:val="0"/>
              <w:spacing w:line="360" w:lineRule="auto"/>
              <w:ind w:firstLine="560"/>
              <w:jc w:val="center"/>
              <w:rPr>
                <w:rFonts w:hint="eastAsia" w:ascii="仿宋" w:hAnsi="仿宋" w:eastAsia="仿宋" w:cs="仿宋"/>
                <w:color w:val="auto"/>
                <w:kern w:val="0"/>
                <w:sz w:val="28"/>
                <w:szCs w:val="28"/>
                <w:highlight w:val="none"/>
              </w:rPr>
            </w:pPr>
          </w:p>
        </w:tc>
      </w:tr>
      <w:tr w14:paraId="6C9AD8C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286101">
            <w:pPr>
              <w:widowControl/>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1E497E">
            <w:pPr>
              <w:widowControl/>
              <w:spacing w:line="360" w:lineRule="auto"/>
              <w:jc w:val="center"/>
              <w:rPr>
                <w:rFonts w:hint="eastAsia" w:ascii="仿宋" w:hAnsi="仿宋" w:eastAsia="仿宋" w:cs="仿宋"/>
                <w:b/>
                <w:bCs/>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F6306D">
            <w:pPr>
              <w:widowControl/>
              <w:wordWrap w:val="0"/>
              <w:spacing w:line="360" w:lineRule="auto"/>
              <w:ind w:firstLine="560"/>
              <w:jc w:val="center"/>
              <w:rPr>
                <w:rFonts w:hint="eastAsia" w:ascii="仿宋" w:hAnsi="仿宋" w:eastAsia="仿宋" w:cs="仿宋"/>
                <w:color w:val="auto"/>
                <w:kern w:val="0"/>
                <w:sz w:val="28"/>
                <w:szCs w:val="28"/>
                <w:highlight w:val="none"/>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ACB4A5">
            <w:pPr>
              <w:widowControl/>
              <w:wordWrap w:val="0"/>
              <w:spacing w:line="360" w:lineRule="auto"/>
              <w:ind w:firstLine="560"/>
              <w:jc w:val="center"/>
              <w:rPr>
                <w:rFonts w:hint="eastAsia" w:ascii="仿宋" w:hAnsi="仿宋" w:eastAsia="仿宋" w:cs="仿宋"/>
                <w:color w:val="auto"/>
                <w:kern w:val="0"/>
                <w:sz w:val="28"/>
                <w:szCs w:val="28"/>
                <w:highlight w:val="none"/>
              </w:rPr>
            </w:pPr>
          </w:p>
        </w:tc>
      </w:tr>
      <w:tr w14:paraId="535FC5A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7A7ADF">
            <w:pPr>
              <w:widowControl/>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C8822B">
            <w:pPr>
              <w:widowControl/>
              <w:spacing w:line="360" w:lineRule="auto"/>
              <w:jc w:val="center"/>
              <w:rPr>
                <w:rFonts w:hint="eastAsia" w:ascii="仿宋" w:hAnsi="仿宋" w:eastAsia="仿宋" w:cs="仿宋"/>
                <w:b/>
                <w:bCs/>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369E90">
            <w:pPr>
              <w:widowControl/>
              <w:wordWrap w:val="0"/>
              <w:spacing w:line="360" w:lineRule="auto"/>
              <w:ind w:firstLine="560"/>
              <w:jc w:val="center"/>
              <w:rPr>
                <w:rFonts w:hint="eastAsia" w:ascii="仿宋" w:hAnsi="仿宋" w:eastAsia="仿宋" w:cs="仿宋"/>
                <w:color w:val="auto"/>
                <w:kern w:val="0"/>
                <w:sz w:val="28"/>
                <w:szCs w:val="28"/>
                <w:highlight w:val="none"/>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6DC65E">
            <w:pPr>
              <w:widowControl/>
              <w:wordWrap w:val="0"/>
              <w:spacing w:line="360" w:lineRule="auto"/>
              <w:ind w:firstLine="560"/>
              <w:jc w:val="center"/>
              <w:rPr>
                <w:rFonts w:hint="eastAsia" w:ascii="仿宋" w:hAnsi="仿宋" w:eastAsia="仿宋" w:cs="仿宋"/>
                <w:color w:val="auto"/>
                <w:kern w:val="0"/>
                <w:sz w:val="28"/>
                <w:szCs w:val="28"/>
                <w:highlight w:val="none"/>
              </w:rPr>
            </w:pPr>
          </w:p>
        </w:tc>
      </w:tr>
      <w:tr w14:paraId="294553A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2DCE9E">
            <w:pPr>
              <w:widowControl/>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5C330E">
            <w:pPr>
              <w:widowControl/>
              <w:spacing w:line="360" w:lineRule="auto"/>
              <w:jc w:val="center"/>
              <w:rPr>
                <w:rFonts w:hint="eastAsia" w:ascii="仿宋" w:hAnsi="仿宋" w:eastAsia="仿宋" w:cs="仿宋"/>
                <w:b/>
                <w:bCs/>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1F67A6">
            <w:pPr>
              <w:widowControl/>
              <w:wordWrap w:val="0"/>
              <w:spacing w:line="360" w:lineRule="auto"/>
              <w:ind w:firstLine="560"/>
              <w:jc w:val="center"/>
              <w:rPr>
                <w:rFonts w:hint="eastAsia" w:ascii="仿宋" w:hAnsi="仿宋" w:eastAsia="仿宋" w:cs="仿宋"/>
                <w:color w:val="auto"/>
                <w:kern w:val="0"/>
                <w:sz w:val="28"/>
                <w:szCs w:val="28"/>
                <w:highlight w:val="none"/>
              </w:rPr>
            </w:pPr>
          </w:p>
        </w:tc>
        <w:tc>
          <w:tcPr>
            <w:tcW w:w="9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D7EA53">
            <w:pPr>
              <w:widowControl/>
              <w:wordWrap w:val="0"/>
              <w:spacing w:line="360" w:lineRule="auto"/>
              <w:ind w:firstLine="560"/>
              <w:jc w:val="center"/>
              <w:rPr>
                <w:rFonts w:hint="eastAsia" w:ascii="仿宋" w:hAnsi="仿宋" w:eastAsia="仿宋" w:cs="仿宋"/>
                <w:color w:val="auto"/>
                <w:kern w:val="0"/>
                <w:sz w:val="28"/>
                <w:szCs w:val="28"/>
                <w:highlight w:val="none"/>
              </w:rPr>
            </w:pPr>
          </w:p>
        </w:tc>
      </w:tr>
    </w:tbl>
    <w:p w14:paraId="63A66223">
      <w:pPr>
        <w:spacing w:line="360" w:lineRule="auto"/>
        <w:ind w:firstLine="482"/>
        <w:contextualSpacing/>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14:paraId="010FD553">
      <w:pPr>
        <w:spacing w:line="360" w:lineRule="auto"/>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1.管理关系：是指不具有出资持股关系的其他单位之间存在的管理与被管理关系，如一些上下级关系的事业单位和团体组织。</w:t>
      </w:r>
    </w:p>
    <w:p w14:paraId="57778740">
      <w:pPr>
        <w:spacing w:line="360" w:lineRule="auto"/>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pacing w:val="-6"/>
          <w:sz w:val="24"/>
          <w:szCs w:val="24"/>
          <w:highlight w:val="none"/>
        </w:rPr>
        <w:t>本表所指的管理关系仅限于直接管理关系，不包括间接的管理关系。</w:t>
      </w:r>
    </w:p>
    <w:p w14:paraId="1F8C81A3">
      <w:pPr>
        <w:spacing w:line="360" w:lineRule="auto"/>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3.供应商不存在直接管理关系的，则填“无”。</w:t>
      </w:r>
    </w:p>
    <w:p w14:paraId="6C5611EB">
      <w:pPr>
        <w:spacing w:line="360" w:lineRule="auto"/>
        <w:ind w:firstLine="560"/>
        <w:contextualSpacing/>
        <w:jc w:val="left"/>
        <w:rPr>
          <w:rFonts w:hint="eastAsia" w:ascii="仿宋" w:hAnsi="仿宋" w:eastAsia="仿宋" w:cs="仿宋"/>
          <w:color w:val="auto"/>
          <w:sz w:val="28"/>
          <w:szCs w:val="28"/>
          <w:highlight w:val="none"/>
        </w:rPr>
      </w:pPr>
    </w:p>
    <w:p w14:paraId="3CFA5E0E">
      <w:pPr>
        <w:spacing w:line="360" w:lineRule="auto"/>
        <w:ind w:firstLine="560"/>
        <w:contextualSpacing/>
        <w:jc w:val="left"/>
        <w:rPr>
          <w:rFonts w:hint="eastAsia" w:ascii="仿宋" w:hAnsi="仿宋" w:eastAsia="仿宋" w:cs="仿宋"/>
          <w:color w:val="auto"/>
          <w:sz w:val="28"/>
          <w:szCs w:val="28"/>
          <w:highlight w:val="none"/>
        </w:rPr>
      </w:pPr>
    </w:p>
    <w:p w14:paraId="6BF71853">
      <w:pPr>
        <w:spacing w:line="360" w:lineRule="auto"/>
        <w:ind w:firstLine="560"/>
        <w:contextualSpacing/>
        <w:jc w:val="left"/>
        <w:rPr>
          <w:rFonts w:hint="eastAsia" w:ascii="仿宋" w:hAnsi="仿宋" w:eastAsia="仿宋" w:cs="仿宋"/>
          <w:color w:val="auto"/>
          <w:sz w:val="28"/>
          <w:szCs w:val="28"/>
          <w:highlight w:val="none"/>
        </w:rPr>
      </w:pPr>
    </w:p>
    <w:p w14:paraId="016D0ECF">
      <w:pPr>
        <w:spacing w:line="360" w:lineRule="auto"/>
        <w:contextualSpacing/>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法定代表人或者委托代理人签字：</w:t>
      </w:r>
      <w:r>
        <w:rPr>
          <w:rFonts w:hint="eastAsia" w:ascii="仿宋" w:hAnsi="仿宋" w:eastAsia="仿宋" w:cs="仿宋"/>
          <w:color w:val="auto"/>
          <w:sz w:val="24"/>
          <w:szCs w:val="24"/>
          <w:highlight w:val="none"/>
          <w:u w:val="single"/>
        </w:rPr>
        <w:t xml:space="preserve">                   </w:t>
      </w:r>
    </w:p>
    <w:p w14:paraId="4FDDC8FB">
      <w:pPr>
        <w:spacing w:line="360" w:lineRule="auto"/>
        <w:ind w:firstLine="3600" w:firstLineChars="15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r>
        <w:rPr>
          <w:rFonts w:hint="eastAsia" w:ascii="仿宋" w:hAnsi="仿宋" w:eastAsia="仿宋" w:cs="仿宋"/>
          <w:color w:val="auto"/>
          <w:sz w:val="24"/>
          <w:szCs w:val="24"/>
          <w:highlight w:val="none"/>
          <w:u w:val="single"/>
        </w:rPr>
        <w:t xml:space="preserve">                </w:t>
      </w:r>
    </w:p>
    <w:p w14:paraId="0A741E5A">
      <w:pPr>
        <w:spacing w:line="360" w:lineRule="auto"/>
        <w:ind w:firstLine="240" w:firstLineChars="100"/>
        <w:contextualSpacing/>
        <w:jc w:val="center"/>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年</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月</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日</w:t>
      </w:r>
    </w:p>
    <w:p w14:paraId="23BD277B">
      <w:pPr>
        <w:spacing w:line="360" w:lineRule="auto"/>
        <w:ind w:left="0" w:leftChars="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lang w:eastAsia="zh-CN"/>
        </w:rPr>
        <w:t>竞标</w:t>
      </w:r>
      <w:r>
        <w:rPr>
          <w:rFonts w:hint="eastAsia" w:ascii="仿宋" w:hAnsi="仿宋" w:eastAsia="仿宋" w:cs="仿宋"/>
          <w:b/>
          <w:color w:val="auto"/>
          <w:sz w:val="32"/>
          <w:szCs w:val="32"/>
          <w:highlight w:val="none"/>
        </w:rPr>
        <w:t>声明</w:t>
      </w:r>
    </w:p>
    <w:p w14:paraId="2AA069C9">
      <w:pPr>
        <w:spacing w:line="360" w:lineRule="auto"/>
        <w:jc w:val="center"/>
        <w:rPr>
          <w:rFonts w:hint="eastAsia" w:ascii="仿宋" w:hAnsi="仿宋" w:eastAsia="仿宋" w:cs="仿宋"/>
          <w:color w:val="auto"/>
          <w:sz w:val="24"/>
          <w:szCs w:val="20"/>
          <w:highlight w:val="none"/>
        </w:rPr>
      </w:pPr>
    </w:p>
    <w:p w14:paraId="6706FE29">
      <w:pPr>
        <w:keepNext w:val="0"/>
        <w:keepLines w:val="0"/>
        <w:pageBreakBefore w:val="0"/>
        <w:widowControl w:val="0"/>
        <w:kinsoku/>
        <w:wordWrap w:val="0"/>
        <w:overflowPunct/>
        <w:topLinePunct w:val="0"/>
        <w:autoSpaceDE/>
        <w:autoSpaceDN/>
        <w:bidi w:val="0"/>
        <w:adjustRightInd/>
        <w:snapToGrid/>
        <w:spacing w:line="360" w:lineRule="auto"/>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w:t>
      </w:r>
    </w:p>
    <w:p w14:paraId="1251694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系中华人民共和国合法供应商，经营地址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84172D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我方愿意参加贵方组织的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项目的竞争性谈判，为便于贵方公正、择优地确定成交供应商及其</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的产品和服务，我方就本次</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有关事项郑重声明如下：</w:t>
      </w:r>
    </w:p>
    <w:p w14:paraId="61E02B20">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1.我方向贵方提交的所有响应文件、资料都是准确的和真实的。</w:t>
      </w:r>
    </w:p>
    <w:p w14:paraId="6FE35638">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2.我方不是为本次采购项目提供整体设计、规范编制或者项目管理、监理、检测等服务的供应商。</w:t>
      </w:r>
    </w:p>
    <w:p w14:paraId="7F6F9C40">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3.在此，我方宣布同意如下：</w:t>
      </w:r>
    </w:p>
    <w:p w14:paraId="77CA3177">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（1）将按谈判文件的约定履行合同责任和义务；</w:t>
      </w:r>
    </w:p>
    <w:p w14:paraId="22D8A9ED">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（2）已详细审查全部谈判文件，包括补遗文件（如有）；</w:t>
      </w:r>
    </w:p>
    <w:p w14:paraId="6CFBC123">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（3）同意提供按照贵方可能要求的与谈判有关的一切数据或者资料；</w:t>
      </w:r>
    </w:p>
    <w:p w14:paraId="112D45F7">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（4）响应谈判文件规定的竞争性谈判有效期。</w:t>
      </w:r>
    </w:p>
    <w:p w14:paraId="10E1DE17">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4.我方承诺符合《中华人民共和国政府采购法》第二十二条规定：</w:t>
      </w:r>
    </w:p>
    <w:p w14:paraId="4411C52A">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78C5A78F">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51BA07D8">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68CBBCB6">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6B138AC0">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67BED285">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1E9F3261">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C5C6297">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F3F3343">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□我方本次响应文件</w:t>
      </w:r>
      <w:r>
        <w:rPr>
          <w:rFonts w:hint="eastAsia" w:ascii="仿宋" w:hAnsi="仿宋" w:eastAsia="仿宋" w:cs="仿宋"/>
          <w:color w:val="auto"/>
          <w:kern w:val="0"/>
          <w:sz w:val="24"/>
          <w:szCs w:val="24"/>
          <w:highlight w:val="none"/>
        </w:rPr>
        <w:t>内容中</w:t>
      </w:r>
      <w:r>
        <w:rPr>
          <w:rFonts w:hint="eastAsia" w:ascii="仿宋" w:hAnsi="仿宋" w:eastAsia="仿宋" w:cs="仿宋"/>
          <w:color w:val="auto"/>
          <w:sz w:val="24"/>
          <w:szCs w:val="24"/>
          <w:highlight w:val="none"/>
        </w:rPr>
        <w:t>未</w:t>
      </w:r>
      <w:r>
        <w:rPr>
          <w:rFonts w:hint="eastAsia" w:ascii="仿宋" w:hAnsi="仿宋" w:eastAsia="仿宋" w:cs="仿宋"/>
          <w:color w:val="auto"/>
          <w:kern w:val="0"/>
          <w:sz w:val="24"/>
          <w:szCs w:val="24"/>
          <w:highlight w:val="none"/>
        </w:rPr>
        <w:t>涉及商业秘密；</w:t>
      </w:r>
    </w:p>
    <w:p w14:paraId="169E8D93">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□我方本次响应文件</w:t>
      </w:r>
      <w:r>
        <w:rPr>
          <w:rFonts w:hint="eastAsia" w:ascii="仿宋" w:hAnsi="仿宋" w:eastAsia="仿宋" w:cs="仿宋"/>
          <w:color w:val="auto"/>
          <w:kern w:val="0"/>
          <w:sz w:val="24"/>
          <w:szCs w:val="24"/>
          <w:highlight w:val="none"/>
        </w:rPr>
        <w:t>涉及商业秘密的内容有：</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5BA9FA05">
      <w:pPr>
        <w:tabs>
          <w:tab w:val="left" w:pos="939"/>
        </w:tabs>
        <w:spacing w:line="360" w:lineRule="auto"/>
        <w:ind w:firstLine="360" w:firstLineChars="15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7.与本谈判有关的一切正式往来信函请寄：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邮政编码：</w:t>
      </w:r>
      <w:r>
        <w:rPr>
          <w:rFonts w:hint="eastAsia" w:ascii="仿宋" w:hAnsi="仿宋" w:eastAsia="仿宋" w:cs="仿宋"/>
          <w:color w:val="auto"/>
          <w:sz w:val="24"/>
          <w:szCs w:val="24"/>
          <w:highlight w:val="none"/>
          <w:u w:val="single"/>
        </w:rPr>
        <w:t xml:space="preserve">    </w:t>
      </w:r>
    </w:p>
    <w:p w14:paraId="22E985CF">
      <w:pPr>
        <w:tabs>
          <w:tab w:val="left" w:pos="939"/>
        </w:tabs>
        <w:spacing w:line="360" w:lineRule="auto"/>
        <w:ind w:firstLine="360" w:firstLineChars="15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电话/传真：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 </w:t>
      </w:r>
      <w:r>
        <w:rPr>
          <w:rFonts w:hint="eastAsia" w:ascii="仿宋" w:hAnsi="仿宋" w:eastAsia="仿宋" w:cs="仿宋"/>
          <w:color w:val="auto"/>
          <w:sz w:val="24"/>
          <w:szCs w:val="24"/>
          <w:highlight w:val="none"/>
          <w:u w:val="single"/>
        </w:rPr>
        <w:t xml:space="preserve">                </w:t>
      </w:r>
    </w:p>
    <w:p w14:paraId="73BF1091">
      <w:pPr>
        <w:tabs>
          <w:tab w:val="left" w:pos="939"/>
        </w:tabs>
        <w:spacing w:line="360" w:lineRule="auto"/>
        <w:ind w:firstLine="360" w:firstLineChars="15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开户银行：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帐号/行号：</w:t>
      </w:r>
      <w:r>
        <w:rPr>
          <w:rFonts w:hint="eastAsia" w:ascii="仿宋" w:hAnsi="仿宋" w:eastAsia="仿宋" w:cs="仿宋"/>
          <w:color w:val="auto"/>
          <w:sz w:val="24"/>
          <w:szCs w:val="24"/>
          <w:highlight w:val="none"/>
          <w:u w:val="single"/>
        </w:rPr>
        <w:t xml:space="preserve">               </w:t>
      </w:r>
    </w:p>
    <w:p w14:paraId="1D812661">
      <w:pPr>
        <w:tabs>
          <w:tab w:val="left" w:pos="939"/>
        </w:tabs>
        <w:spacing w:line="360" w:lineRule="auto"/>
        <w:ind w:firstLine="360" w:firstLineChars="1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8.以上事项如有虚假或者隐瞒，我方愿意承担一切后果，并不再寻求任何旨在减轻或者免除法律责任的辩解。</w:t>
      </w:r>
    </w:p>
    <w:p w14:paraId="7EAA09D0">
      <w:pPr>
        <w:tabs>
          <w:tab w:val="left" w:pos="939"/>
        </w:tabs>
        <w:spacing w:line="360" w:lineRule="auto"/>
        <w:ind w:firstLine="360" w:firstLineChars="150"/>
        <w:contextualSpacing/>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特此承诺。</w:t>
      </w:r>
    </w:p>
    <w:p w14:paraId="5C4761B4">
      <w:pPr>
        <w:spacing w:line="360" w:lineRule="auto"/>
        <w:ind w:firstLine="482"/>
        <w:contextualSpacing/>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注：如为联合体</w:t>
      </w:r>
      <w:r>
        <w:rPr>
          <w:rFonts w:hint="eastAsia" w:ascii="仿宋" w:hAnsi="仿宋" w:eastAsia="仿宋" w:cs="仿宋"/>
          <w:b/>
          <w:color w:val="auto"/>
          <w:sz w:val="24"/>
          <w:szCs w:val="24"/>
          <w:highlight w:val="none"/>
          <w:lang w:eastAsia="zh-CN"/>
        </w:rPr>
        <w:t>竞标</w:t>
      </w:r>
      <w:r>
        <w:rPr>
          <w:rFonts w:hint="eastAsia" w:ascii="仿宋" w:hAnsi="仿宋" w:eastAsia="仿宋" w:cs="仿宋"/>
          <w:b/>
          <w:color w:val="auto"/>
          <w:sz w:val="24"/>
          <w:szCs w:val="24"/>
          <w:highlight w:val="none"/>
        </w:rPr>
        <w:t>，盖章处须加盖联合体各方公章并由联合体各方法定代表人分别签署，否则响应文件按无效响应处理。</w:t>
      </w:r>
    </w:p>
    <w:p w14:paraId="397C1B05">
      <w:pPr>
        <w:spacing w:line="360" w:lineRule="auto"/>
        <w:ind w:firstLine="420"/>
        <w:contextualSpacing/>
        <w:jc w:val="left"/>
        <w:rPr>
          <w:rFonts w:hint="eastAsia" w:ascii="仿宋" w:hAnsi="仿宋" w:eastAsia="仿宋" w:cs="仿宋"/>
          <w:color w:val="auto"/>
          <w:szCs w:val="21"/>
          <w:highlight w:val="none"/>
        </w:rPr>
      </w:pPr>
    </w:p>
    <w:p w14:paraId="6925667B">
      <w:pPr>
        <w:spacing w:line="360" w:lineRule="auto"/>
        <w:ind w:firstLine="4320" w:firstLineChars="18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AD96A74">
      <w:pPr>
        <w:spacing w:line="360" w:lineRule="auto"/>
        <w:ind w:firstLine="4320" w:firstLineChars="18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1D5C1F3">
      <w:pPr>
        <w:spacing w:line="360" w:lineRule="auto"/>
        <w:ind w:left="0" w:leftChars="0" w:firstLine="0" w:firstLineChars="0"/>
        <w:contextualSpacing/>
        <w:jc w:val="center"/>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 xml:space="preserve">                      日期： </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年</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月</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日</w:t>
      </w:r>
      <w:r>
        <w:rPr>
          <w:rFonts w:hint="eastAsia" w:ascii="仿宋" w:hAnsi="仿宋" w:eastAsia="仿宋" w:cs="仿宋"/>
          <w:color w:val="auto"/>
          <w:sz w:val="32"/>
          <w:szCs w:val="32"/>
          <w:highlight w:val="none"/>
        </w:rPr>
        <w:br w:type="page"/>
      </w:r>
      <w:r>
        <w:rPr>
          <w:rFonts w:hint="eastAsia" w:ascii="仿宋" w:hAnsi="仿宋" w:eastAsia="仿宋" w:cs="仿宋"/>
          <w:b/>
          <w:color w:val="auto"/>
          <w:sz w:val="32"/>
          <w:szCs w:val="32"/>
          <w:highlight w:val="none"/>
        </w:rPr>
        <w:t>联合体</w:t>
      </w:r>
      <w:r>
        <w:rPr>
          <w:rFonts w:hint="eastAsia" w:ascii="仿宋" w:hAnsi="仿宋" w:eastAsia="仿宋" w:cs="仿宋"/>
          <w:b/>
          <w:color w:val="auto"/>
          <w:sz w:val="32"/>
          <w:szCs w:val="32"/>
          <w:highlight w:val="none"/>
          <w:lang w:eastAsia="zh-CN"/>
        </w:rPr>
        <w:t>竞标</w:t>
      </w:r>
      <w:r>
        <w:rPr>
          <w:rFonts w:hint="eastAsia" w:ascii="仿宋" w:hAnsi="仿宋" w:eastAsia="仿宋" w:cs="仿宋"/>
          <w:b/>
          <w:color w:val="auto"/>
          <w:sz w:val="32"/>
          <w:szCs w:val="32"/>
          <w:highlight w:val="none"/>
        </w:rPr>
        <w:t>协议书</w:t>
      </w:r>
    </w:p>
    <w:p w14:paraId="607E7100">
      <w:pPr>
        <w:overflowPunct w:val="0"/>
        <w:spacing w:line="360" w:lineRule="auto"/>
        <w:contextualSpacing/>
        <w:rPr>
          <w:rFonts w:hint="eastAsia" w:ascii="仿宋" w:hAnsi="仿宋" w:eastAsia="仿宋" w:cs="仿宋"/>
          <w:color w:val="auto"/>
          <w:sz w:val="24"/>
          <w:szCs w:val="24"/>
          <w:highlight w:val="none"/>
        </w:rPr>
      </w:pPr>
    </w:p>
    <w:p w14:paraId="6DC1F227">
      <w:pPr>
        <w:overflowPunct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（所有成员单位名称）自愿组成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（联合体名称）联合体，共同参加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（项目名称）采购项目</w:t>
      </w:r>
      <w:r>
        <w:rPr>
          <w:rFonts w:hint="eastAsia" w:ascii="仿宋" w:hAnsi="仿宋" w:eastAsia="仿宋" w:cs="仿宋"/>
          <w:color w:val="auto"/>
          <w:sz w:val="24"/>
          <w:szCs w:val="20"/>
          <w:highlight w:val="none"/>
        </w:rPr>
        <w:t>竞争性谈判</w:t>
      </w:r>
      <w:r>
        <w:rPr>
          <w:rFonts w:hint="eastAsia" w:ascii="仿宋" w:hAnsi="仿宋" w:eastAsia="仿宋" w:cs="仿宋"/>
          <w:color w:val="auto"/>
          <w:sz w:val="24"/>
          <w:szCs w:val="24"/>
          <w:highlight w:val="none"/>
        </w:rPr>
        <w:t>。现就联合体</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事宜订立如下协议。</w:t>
      </w:r>
    </w:p>
    <w:p w14:paraId="4473A440">
      <w:pPr>
        <w:overflowPunct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（某成员单位名称）为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（联合体名称）牵头人。</w:t>
      </w:r>
    </w:p>
    <w:p w14:paraId="2370FC40">
      <w:pPr>
        <w:overflowPunct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2.联合体各成员授权牵头人代表联合体参加</w:t>
      </w:r>
      <w:r>
        <w:rPr>
          <w:rFonts w:hint="eastAsia" w:ascii="仿宋" w:hAnsi="仿宋" w:eastAsia="仿宋" w:cs="仿宋"/>
          <w:color w:val="auto"/>
          <w:sz w:val="24"/>
          <w:szCs w:val="20"/>
          <w:highlight w:val="none"/>
        </w:rPr>
        <w:t>竞争性谈判</w:t>
      </w:r>
      <w:r>
        <w:rPr>
          <w:rFonts w:hint="eastAsia" w:ascii="仿宋" w:hAnsi="仿宋" w:eastAsia="仿宋" w:cs="仿宋"/>
          <w:color w:val="auto"/>
          <w:sz w:val="24"/>
          <w:szCs w:val="24"/>
          <w:highlight w:val="none"/>
        </w:rPr>
        <w:t>活动，签署文件及对文件的盖章，提交和接收相关的资料、信息及指示，进行合同谈判活动，负责合同实施阶段的组织和协调工作，以及处理与本</w:t>
      </w:r>
      <w:r>
        <w:rPr>
          <w:rFonts w:hint="eastAsia" w:ascii="仿宋" w:hAnsi="仿宋" w:eastAsia="仿宋" w:cs="仿宋"/>
          <w:color w:val="auto"/>
          <w:sz w:val="24"/>
          <w:szCs w:val="20"/>
          <w:highlight w:val="none"/>
        </w:rPr>
        <w:t>竞争性谈判</w:t>
      </w:r>
      <w:r>
        <w:rPr>
          <w:rFonts w:hint="eastAsia" w:ascii="仿宋" w:hAnsi="仿宋" w:eastAsia="仿宋" w:cs="仿宋"/>
          <w:color w:val="auto"/>
          <w:sz w:val="24"/>
          <w:szCs w:val="24"/>
          <w:highlight w:val="none"/>
        </w:rPr>
        <w:t>项目有关的一切事宜。</w:t>
      </w:r>
    </w:p>
    <w:p w14:paraId="4089E44A">
      <w:pPr>
        <w:overflowPunct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3.联合体牵头人在本项目中签署和盖章的一切文件和处理的一切事宜，联合体各成员均予以承认。联合体各成员将严格按照谈判文件、响应文件和合同的要求全面履行义务，并向采购人承担连带责任。</w:t>
      </w:r>
    </w:p>
    <w:p w14:paraId="0507B7D7">
      <w:pPr>
        <w:overflowPunct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4.联合体各成员单位内部的职责分工如下：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4245520">
      <w:pPr>
        <w:overflowPunct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w:t>
      </w:r>
      <w:r>
        <w:rPr>
          <w:rFonts w:hint="eastAsia" w:ascii="仿宋" w:hAnsi="仿宋" w:eastAsia="仿宋" w:cs="仿宋"/>
          <w:color w:val="auto"/>
          <w:spacing w:val="-6"/>
          <w:sz w:val="24"/>
          <w:szCs w:val="24"/>
          <w:highlight w:val="none"/>
        </w:rPr>
        <w:t>协议书自所有成员单位法定代表人或者其委托代理人签字或者盖单位章之日起生效，合同履行完毕后自动失效。</w:t>
      </w:r>
    </w:p>
    <w:p w14:paraId="50E271EF">
      <w:pPr>
        <w:overflowPunct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6.本协议书一式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份，联合体成员和采购人各执壹份。</w:t>
      </w:r>
    </w:p>
    <w:p w14:paraId="1A39B857">
      <w:pPr>
        <w:overflowPunct w:val="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注：本协议书由法定代表人签字的，应附法定代表人身份证明；由委托代理人签字的，应附联合体协议签订授权委托书（格式自拟）。</w:t>
      </w:r>
    </w:p>
    <w:p w14:paraId="3361A544">
      <w:pPr>
        <w:overflowPunct w:val="0"/>
        <w:spacing w:line="360" w:lineRule="auto"/>
        <w:ind w:firstLine="420" w:firstLineChars="175"/>
        <w:contextualSpacing/>
        <w:rPr>
          <w:rFonts w:hint="eastAsia" w:ascii="仿宋" w:hAnsi="仿宋" w:eastAsia="仿宋" w:cs="仿宋"/>
          <w:color w:val="auto"/>
          <w:sz w:val="24"/>
          <w:szCs w:val="24"/>
          <w:highlight w:val="none"/>
        </w:rPr>
      </w:pPr>
    </w:p>
    <w:p w14:paraId="440DFC5E">
      <w:pPr>
        <w:overflowPunct w:val="0"/>
        <w:spacing w:line="360" w:lineRule="auto"/>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联合体牵头人名称（公章）：</w:t>
      </w:r>
      <w:r>
        <w:rPr>
          <w:rFonts w:hint="eastAsia" w:ascii="仿宋" w:hAnsi="仿宋" w:eastAsia="仿宋" w:cs="仿宋"/>
          <w:color w:val="auto"/>
          <w:sz w:val="24"/>
          <w:szCs w:val="24"/>
          <w:highlight w:val="none"/>
          <w:u w:val="single"/>
        </w:rPr>
        <w:t xml:space="preserve">                </w:t>
      </w:r>
    </w:p>
    <w:p w14:paraId="679773BE">
      <w:pPr>
        <w:overflowPunct w:val="0"/>
        <w:spacing w:line="360" w:lineRule="auto"/>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法定代表人或者其委托代理人（签字）：</w:t>
      </w:r>
      <w:r>
        <w:rPr>
          <w:rFonts w:hint="eastAsia" w:ascii="仿宋" w:hAnsi="仿宋" w:eastAsia="仿宋" w:cs="仿宋"/>
          <w:color w:val="auto"/>
          <w:sz w:val="24"/>
          <w:szCs w:val="24"/>
          <w:highlight w:val="none"/>
          <w:u w:val="single"/>
        </w:rPr>
        <w:t xml:space="preserve">                </w:t>
      </w:r>
    </w:p>
    <w:p w14:paraId="384038CF">
      <w:pPr>
        <w:overflowPunct w:val="0"/>
        <w:spacing w:line="360" w:lineRule="auto"/>
        <w:contextualSpacing/>
        <w:rPr>
          <w:rFonts w:hint="eastAsia" w:ascii="仿宋" w:hAnsi="仿宋" w:eastAsia="仿宋" w:cs="仿宋"/>
          <w:color w:val="auto"/>
          <w:sz w:val="24"/>
          <w:szCs w:val="24"/>
          <w:highlight w:val="none"/>
        </w:rPr>
      </w:pPr>
    </w:p>
    <w:p w14:paraId="12D02F8C">
      <w:pPr>
        <w:overflowPunct w:val="0"/>
        <w:spacing w:line="360" w:lineRule="auto"/>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联合体成员名称（公章）：</w:t>
      </w:r>
      <w:r>
        <w:rPr>
          <w:rFonts w:hint="eastAsia" w:ascii="仿宋" w:hAnsi="仿宋" w:eastAsia="仿宋" w:cs="仿宋"/>
          <w:color w:val="auto"/>
          <w:sz w:val="24"/>
          <w:szCs w:val="24"/>
          <w:highlight w:val="none"/>
          <w:u w:val="single"/>
        </w:rPr>
        <w:t xml:space="preserve">               </w:t>
      </w:r>
    </w:p>
    <w:p w14:paraId="57BCD93C">
      <w:pPr>
        <w:overflowPunct w:val="0"/>
        <w:spacing w:line="360" w:lineRule="auto"/>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法定代表人或者其委托代理人（签字）：</w:t>
      </w:r>
      <w:r>
        <w:rPr>
          <w:rFonts w:hint="eastAsia" w:ascii="仿宋" w:hAnsi="仿宋" w:eastAsia="仿宋" w:cs="仿宋"/>
          <w:color w:val="auto"/>
          <w:sz w:val="24"/>
          <w:szCs w:val="24"/>
          <w:highlight w:val="none"/>
          <w:u w:val="single"/>
        </w:rPr>
        <w:t xml:space="preserve">               </w:t>
      </w:r>
    </w:p>
    <w:p w14:paraId="02E6C8AA">
      <w:pPr>
        <w:overflowPunct w:val="0"/>
        <w:spacing w:line="360" w:lineRule="auto"/>
        <w:contextualSpacing/>
        <w:rPr>
          <w:rFonts w:hint="eastAsia" w:ascii="仿宋" w:hAnsi="仿宋" w:eastAsia="仿宋" w:cs="仿宋"/>
          <w:color w:val="auto"/>
          <w:sz w:val="24"/>
          <w:szCs w:val="24"/>
          <w:highlight w:val="none"/>
        </w:rPr>
      </w:pPr>
    </w:p>
    <w:p w14:paraId="6AACCA84">
      <w:pPr>
        <w:overflowPunct w:val="0"/>
        <w:spacing w:line="360" w:lineRule="auto"/>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联合体成员名称（公章）：</w:t>
      </w:r>
      <w:r>
        <w:rPr>
          <w:rFonts w:hint="eastAsia" w:ascii="仿宋" w:hAnsi="仿宋" w:eastAsia="仿宋" w:cs="仿宋"/>
          <w:color w:val="auto"/>
          <w:sz w:val="24"/>
          <w:szCs w:val="24"/>
          <w:highlight w:val="none"/>
          <w:u w:val="single"/>
        </w:rPr>
        <w:t xml:space="preserve">                 </w:t>
      </w:r>
    </w:p>
    <w:p w14:paraId="01E222F8">
      <w:pPr>
        <w:overflowPunct w:val="0"/>
        <w:spacing w:line="360" w:lineRule="auto"/>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法定代表人或者其委托代理人（签字）：</w:t>
      </w:r>
      <w:r>
        <w:rPr>
          <w:rFonts w:hint="eastAsia" w:ascii="仿宋" w:hAnsi="仿宋" w:eastAsia="仿宋" w:cs="仿宋"/>
          <w:color w:val="auto"/>
          <w:sz w:val="24"/>
          <w:szCs w:val="24"/>
          <w:highlight w:val="none"/>
          <w:u w:val="single"/>
        </w:rPr>
        <w:t xml:space="preserve">              </w:t>
      </w:r>
    </w:p>
    <w:p w14:paraId="5B64359F">
      <w:pPr>
        <w:overflowPunct w:val="0"/>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2E69F114">
      <w:pPr>
        <w:spacing w:line="360" w:lineRule="auto"/>
        <w:contextualSpacing/>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年</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月</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日</w:t>
      </w:r>
      <w:r>
        <w:rPr>
          <w:rFonts w:hint="eastAsia" w:ascii="仿宋" w:hAnsi="仿宋" w:eastAsia="仿宋" w:cs="仿宋"/>
          <w:color w:val="auto"/>
          <w:sz w:val="32"/>
          <w:szCs w:val="32"/>
          <w:highlight w:val="none"/>
        </w:rPr>
        <w:t xml:space="preserve"> </w:t>
      </w:r>
    </w:p>
    <w:p w14:paraId="31524E5B">
      <w:pPr>
        <w:spacing w:line="360" w:lineRule="auto"/>
        <w:ind w:firstLine="420"/>
        <w:contextualSpacing/>
        <w:jc w:val="left"/>
        <w:rPr>
          <w:rFonts w:hint="eastAsia" w:ascii="仿宋" w:hAnsi="仿宋" w:eastAsia="仿宋" w:cs="仿宋"/>
          <w:b/>
          <w:color w:val="auto"/>
          <w:sz w:val="32"/>
          <w:szCs w:val="32"/>
          <w:highlight w:val="none"/>
        </w:rPr>
      </w:pPr>
      <w:r>
        <w:rPr>
          <w:rFonts w:hint="eastAsia" w:ascii="仿宋" w:hAnsi="仿宋" w:eastAsia="仿宋" w:cs="仿宋"/>
          <w:color w:val="auto"/>
          <w:szCs w:val="21"/>
          <w:highlight w:val="none"/>
        </w:rPr>
        <w:br w:type="page"/>
      </w:r>
      <w:r>
        <w:rPr>
          <w:rFonts w:hint="eastAsia" w:ascii="仿宋" w:hAnsi="仿宋" w:eastAsia="仿宋" w:cs="仿宋"/>
          <w:b/>
          <w:bCs/>
          <w:color w:val="auto"/>
          <w:sz w:val="32"/>
          <w:szCs w:val="32"/>
          <w:highlight w:val="none"/>
        </w:rPr>
        <w:t>二、</w:t>
      </w:r>
      <w:r>
        <w:rPr>
          <w:rFonts w:hint="eastAsia" w:ascii="仿宋" w:hAnsi="仿宋" w:eastAsia="仿宋" w:cs="仿宋"/>
          <w:b/>
          <w:color w:val="auto"/>
          <w:sz w:val="32"/>
          <w:szCs w:val="32"/>
          <w:highlight w:val="none"/>
        </w:rPr>
        <w:t xml:space="preserve">报价商务技术文件格式 </w:t>
      </w:r>
    </w:p>
    <w:p w14:paraId="3D94B47A">
      <w:pPr>
        <w:snapToGrid w:val="0"/>
        <w:spacing w:line="360" w:lineRule="auto"/>
        <w:ind w:firstLine="643"/>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1.报价商务技术文件封面格式</w:t>
      </w:r>
    </w:p>
    <w:p w14:paraId="0CDC87B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35001DB">
      <w:pPr>
        <w:snapToGrid w:val="0"/>
        <w:spacing w:line="360" w:lineRule="auto"/>
        <w:rPr>
          <w:rFonts w:hint="eastAsia" w:ascii="仿宋" w:hAnsi="仿宋" w:eastAsia="仿宋" w:cs="仿宋"/>
          <w:color w:val="auto"/>
          <w:sz w:val="24"/>
          <w:szCs w:val="24"/>
          <w:highlight w:val="none"/>
        </w:rPr>
      </w:pPr>
    </w:p>
    <w:p w14:paraId="2F63D7C5">
      <w:pPr>
        <w:snapToGrid w:val="0"/>
        <w:spacing w:line="360" w:lineRule="auto"/>
        <w:rPr>
          <w:rFonts w:hint="eastAsia" w:ascii="仿宋" w:hAnsi="仿宋" w:eastAsia="仿宋" w:cs="仿宋"/>
          <w:color w:val="auto"/>
          <w:sz w:val="24"/>
          <w:szCs w:val="20"/>
          <w:highlight w:val="none"/>
        </w:rPr>
      </w:pPr>
    </w:p>
    <w:p w14:paraId="245976AA">
      <w:pPr>
        <w:snapToGrid w:val="0"/>
        <w:spacing w:line="360" w:lineRule="auto"/>
        <w:jc w:val="center"/>
        <w:rPr>
          <w:rFonts w:hint="eastAsia" w:ascii="仿宋" w:hAnsi="仿宋" w:eastAsia="仿宋" w:cs="仿宋"/>
          <w:bCs/>
          <w:color w:val="auto"/>
          <w:sz w:val="84"/>
          <w:szCs w:val="84"/>
          <w:highlight w:val="none"/>
        </w:rPr>
      </w:pPr>
      <w:r>
        <w:rPr>
          <w:rFonts w:hint="eastAsia" w:ascii="仿宋" w:hAnsi="仿宋" w:eastAsia="仿宋" w:cs="仿宋"/>
          <w:b/>
          <w:color w:val="auto"/>
          <w:sz w:val="84"/>
          <w:szCs w:val="84"/>
          <w:highlight w:val="none"/>
        </w:rPr>
        <w:t>响  应  文  件</w:t>
      </w:r>
    </w:p>
    <w:p w14:paraId="172A16ED">
      <w:pPr>
        <w:snapToGrid w:val="0"/>
        <w:spacing w:line="360" w:lineRule="auto"/>
        <w:rPr>
          <w:rFonts w:hint="eastAsia" w:ascii="仿宋" w:hAnsi="仿宋" w:eastAsia="仿宋" w:cs="仿宋"/>
          <w:color w:val="auto"/>
          <w:sz w:val="24"/>
          <w:szCs w:val="20"/>
          <w:highlight w:val="none"/>
        </w:rPr>
      </w:pPr>
    </w:p>
    <w:p w14:paraId="44BE3A4B">
      <w:pPr>
        <w:snapToGrid w:val="0"/>
        <w:spacing w:line="360" w:lineRule="auto"/>
        <w:ind w:firstLine="640"/>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报价商务技术文件</w:t>
      </w:r>
    </w:p>
    <w:p w14:paraId="50CF31ED">
      <w:pPr>
        <w:snapToGrid w:val="0"/>
        <w:spacing w:line="360" w:lineRule="auto"/>
        <w:ind w:firstLine="560"/>
        <w:rPr>
          <w:rFonts w:hint="eastAsia" w:ascii="仿宋" w:hAnsi="仿宋" w:eastAsia="仿宋" w:cs="仿宋"/>
          <w:bCs/>
          <w:color w:val="auto"/>
          <w:sz w:val="28"/>
          <w:szCs w:val="28"/>
          <w:highlight w:val="none"/>
        </w:rPr>
      </w:pPr>
    </w:p>
    <w:p w14:paraId="37BB3368">
      <w:pPr>
        <w:snapToGrid w:val="0"/>
        <w:spacing w:line="360" w:lineRule="auto"/>
        <w:ind w:firstLine="560"/>
        <w:rPr>
          <w:rFonts w:hint="eastAsia" w:ascii="仿宋" w:hAnsi="仿宋" w:eastAsia="仿宋" w:cs="仿宋"/>
          <w:bCs/>
          <w:color w:val="auto"/>
          <w:sz w:val="28"/>
          <w:szCs w:val="28"/>
          <w:highlight w:val="none"/>
        </w:rPr>
      </w:pPr>
    </w:p>
    <w:p w14:paraId="23AFDC3F">
      <w:pPr>
        <w:snapToGrid w:val="0"/>
        <w:spacing w:line="360" w:lineRule="auto"/>
        <w:ind w:firstLine="1680" w:firstLineChars="6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项目名称：</w:t>
      </w:r>
    </w:p>
    <w:p w14:paraId="2CA130F5">
      <w:pPr>
        <w:snapToGrid w:val="0"/>
        <w:spacing w:line="360" w:lineRule="auto"/>
        <w:ind w:firstLine="1680" w:firstLineChars="6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项目编号： </w:t>
      </w:r>
    </w:p>
    <w:p w14:paraId="3EDFF933">
      <w:pPr>
        <w:snapToGrid w:val="0"/>
        <w:spacing w:line="360" w:lineRule="auto"/>
        <w:ind w:firstLine="1680" w:firstLineChars="6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所竞分标（如有）：</w:t>
      </w:r>
    </w:p>
    <w:p w14:paraId="3167FD55">
      <w:pPr>
        <w:snapToGrid w:val="0"/>
        <w:spacing w:line="360" w:lineRule="auto"/>
        <w:ind w:firstLine="1680" w:firstLineChars="6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供应商名称：</w:t>
      </w:r>
    </w:p>
    <w:p w14:paraId="7D6E7D9E">
      <w:pPr>
        <w:snapToGrid w:val="0"/>
        <w:spacing w:line="360" w:lineRule="auto"/>
        <w:ind w:firstLine="1680" w:firstLineChars="600"/>
        <w:rPr>
          <w:rFonts w:hint="eastAsia" w:ascii="仿宋" w:hAnsi="仿宋" w:eastAsia="仿宋" w:cs="仿宋"/>
          <w:bCs/>
          <w:color w:val="auto"/>
          <w:sz w:val="28"/>
          <w:szCs w:val="28"/>
          <w:highlight w:val="none"/>
        </w:rPr>
      </w:pPr>
    </w:p>
    <w:p w14:paraId="12D60B24">
      <w:pPr>
        <w:snapToGrid w:val="0"/>
        <w:spacing w:line="360" w:lineRule="auto"/>
        <w:ind w:firstLine="56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3876178E">
      <w:pPr>
        <w:snapToGrid w:val="0"/>
        <w:spacing w:line="360" w:lineRule="auto"/>
        <w:ind w:firstLine="560"/>
        <w:jc w:val="left"/>
        <w:rPr>
          <w:rFonts w:hint="eastAsia" w:ascii="仿宋" w:hAnsi="仿宋" w:eastAsia="仿宋" w:cs="仿宋"/>
          <w:b/>
          <w:bCs/>
          <w:color w:val="auto"/>
          <w:sz w:val="24"/>
          <w:szCs w:val="24"/>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bCs/>
          <w:color w:val="auto"/>
          <w:sz w:val="32"/>
          <w:szCs w:val="32"/>
          <w:highlight w:val="none"/>
        </w:rPr>
        <w:t>2.报价商务技术文件目录</w:t>
      </w:r>
    </w:p>
    <w:p w14:paraId="2572744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根据谈判文件规定及供应商提供的材料自行编写目录（部分格式后附）。</w:t>
      </w:r>
    </w:p>
    <w:p w14:paraId="32E2E15E">
      <w:pPr>
        <w:spacing w:line="360" w:lineRule="auto"/>
        <w:ind w:firstLine="640"/>
        <w:rPr>
          <w:rFonts w:hint="eastAsia" w:ascii="仿宋" w:hAnsi="仿宋" w:eastAsia="仿宋" w:cs="仿宋"/>
          <w:color w:val="auto"/>
          <w:sz w:val="32"/>
          <w:szCs w:val="32"/>
          <w:highlight w:val="none"/>
        </w:rPr>
      </w:pPr>
    </w:p>
    <w:p w14:paraId="44ECA160">
      <w:pPr>
        <w:spacing w:line="360" w:lineRule="auto"/>
        <w:ind w:left="0" w:leftChars="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color w:val="auto"/>
          <w:sz w:val="44"/>
          <w:szCs w:val="44"/>
          <w:highlight w:val="none"/>
        </w:rPr>
        <w:br w:type="page"/>
      </w:r>
      <w:r>
        <w:rPr>
          <w:rFonts w:hint="eastAsia" w:ascii="仿宋" w:hAnsi="仿宋" w:eastAsia="仿宋" w:cs="仿宋"/>
          <w:b/>
          <w:color w:val="auto"/>
          <w:sz w:val="44"/>
          <w:szCs w:val="44"/>
          <w:highlight w:val="none"/>
        </w:rPr>
        <w:t>无串通</w:t>
      </w:r>
      <w:r>
        <w:rPr>
          <w:rFonts w:hint="eastAsia" w:ascii="仿宋" w:hAnsi="仿宋" w:eastAsia="仿宋" w:cs="仿宋"/>
          <w:b/>
          <w:color w:val="auto"/>
          <w:sz w:val="44"/>
          <w:szCs w:val="44"/>
          <w:highlight w:val="none"/>
          <w:lang w:eastAsia="zh-CN"/>
        </w:rPr>
        <w:t>竞标</w:t>
      </w:r>
      <w:r>
        <w:rPr>
          <w:rFonts w:hint="eastAsia" w:ascii="仿宋" w:hAnsi="仿宋" w:eastAsia="仿宋" w:cs="仿宋"/>
          <w:b/>
          <w:color w:val="auto"/>
          <w:sz w:val="44"/>
          <w:szCs w:val="44"/>
          <w:highlight w:val="none"/>
        </w:rPr>
        <w:t>行为的承诺函</w:t>
      </w:r>
    </w:p>
    <w:p w14:paraId="44F7ABA1">
      <w:pPr>
        <w:spacing w:line="360" w:lineRule="auto"/>
        <w:ind w:firstLine="640" w:firstLineChars="200"/>
        <w:contextualSpacing/>
        <w:rPr>
          <w:rFonts w:hint="eastAsia" w:ascii="仿宋" w:hAnsi="仿宋" w:eastAsia="仿宋" w:cs="仿宋"/>
          <w:color w:val="auto"/>
          <w:sz w:val="32"/>
          <w:szCs w:val="32"/>
          <w:highlight w:val="none"/>
        </w:rPr>
      </w:pPr>
    </w:p>
    <w:p w14:paraId="6C800B77">
      <w:pPr>
        <w:spacing w:line="360" w:lineRule="auto"/>
        <w:ind w:firstLine="482" w:firstLineChars="200"/>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一、我方承诺无下列相互串通</w:t>
      </w:r>
      <w:r>
        <w:rPr>
          <w:rFonts w:hint="eastAsia" w:ascii="仿宋" w:hAnsi="仿宋" w:eastAsia="仿宋" w:cs="仿宋"/>
          <w:b/>
          <w:bCs/>
          <w:color w:val="auto"/>
          <w:sz w:val="24"/>
          <w:szCs w:val="24"/>
          <w:highlight w:val="none"/>
          <w:lang w:eastAsia="zh-CN"/>
        </w:rPr>
        <w:t>竞标</w:t>
      </w:r>
      <w:r>
        <w:rPr>
          <w:rFonts w:hint="eastAsia" w:ascii="仿宋" w:hAnsi="仿宋" w:eastAsia="仿宋" w:cs="仿宋"/>
          <w:b/>
          <w:bCs/>
          <w:color w:val="auto"/>
          <w:sz w:val="24"/>
          <w:szCs w:val="24"/>
          <w:highlight w:val="none"/>
        </w:rPr>
        <w:t>的情形：</w:t>
      </w:r>
    </w:p>
    <w:p w14:paraId="0744B51E">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1.不同供应商的响应文件由同一单位或者个人编制；</w:t>
      </w:r>
    </w:p>
    <w:p w14:paraId="71E4EE20">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2.不同供应商委托同一单位或者个人办理</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事宜；</w:t>
      </w:r>
    </w:p>
    <w:p w14:paraId="76904499">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3.不同的供应商的响应文件载明的项目管理员为同一个人；</w:t>
      </w:r>
    </w:p>
    <w:p w14:paraId="17A48EE8">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w:t>
      </w:r>
      <w:r>
        <w:rPr>
          <w:rFonts w:hint="eastAsia" w:ascii="仿宋" w:hAnsi="仿宋" w:eastAsia="仿宋" w:cs="仿宋"/>
          <w:color w:val="auto"/>
          <w:spacing w:val="-6"/>
          <w:sz w:val="24"/>
          <w:szCs w:val="24"/>
          <w:highlight w:val="none"/>
        </w:rPr>
        <w:t>同供应商的响应文件异常一致或者</w:t>
      </w:r>
      <w:r>
        <w:rPr>
          <w:rFonts w:hint="eastAsia" w:ascii="仿宋" w:hAnsi="仿宋" w:eastAsia="仿宋" w:cs="仿宋"/>
          <w:color w:val="auto"/>
          <w:spacing w:val="-6"/>
          <w:sz w:val="24"/>
          <w:szCs w:val="24"/>
          <w:highlight w:val="none"/>
          <w:lang w:eastAsia="zh-CN"/>
        </w:rPr>
        <w:t>竞标</w:t>
      </w:r>
      <w:r>
        <w:rPr>
          <w:rFonts w:hint="eastAsia" w:ascii="仿宋" w:hAnsi="仿宋" w:eastAsia="仿宋" w:cs="仿宋"/>
          <w:color w:val="auto"/>
          <w:sz w:val="24"/>
          <w:szCs w:val="24"/>
          <w:highlight w:val="none"/>
        </w:rPr>
        <w:t>的</w:t>
      </w:r>
      <w:r>
        <w:rPr>
          <w:rFonts w:hint="eastAsia" w:ascii="仿宋" w:hAnsi="仿宋" w:eastAsia="仿宋" w:cs="仿宋"/>
          <w:color w:val="auto"/>
          <w:spacing w:val="-6"/>
          <w:sz w:val="24"/>
          <w:szCs w:val="24"/>
          <w:highlight w:val="none"/>
        </w:rPr>
        <w:t>报价呈规律性差异；</w:t>
      </w:r>
    </w:p>
    <w:p w14:paraId="1F0B0E5C">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14:paraId="06329C1E">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6.不同供应商的谈判保证金从同一单位或者个人账户转出。</w:t>
      </w:r>
    </w:p>
    <w:p w14:paraId="5E9BE351">
      <w:pPr>
        <w:spacing w:line="360" w:lineRule="auto"/>
        <w:ind w:firstLine="482" w:firstLineChars="200"/>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二、我方承诺无下列恶意串通的情形：</w:t>
      </w:r>
    </w:p>
    <w:p w14:paraId="1D6C9204">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1.供应商直接或者间接从采购人或者采购代理机构处获得其他供应商的相关信息并修改其响应文件；</w:t>
      </w:r>
    </w:p>
    <w:p w14:paraId="692A5308">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2.供应商按照采购人或者采购代理机构的授意撤换、修改响应文件；</w:t>
      </w:r>
    </w:p>
    <w:p w14:paraId="17C040DC">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w:t>
      </w:r>
      <w:r>
        <w:rPr>
          <w:rFonts w:hint="eastAsia" w:ascii="仿宋" w:hAnsi="仿宋" w:eastAsia="仿宋" w:cs="仿宋"/>
          <w:color w:val="auto"/>
          <w:spacing w:val="-6"/>
          <w:sz w:val="24"/>
          <w:szCs w:val="24"/>
          <w:highlight w:val="none"/>
        </w:rPr>
        <w:t>应商之间协商报价、技术方案等响应文件的实质性内容；</w:t>
      </w:r>
    </w:p>
    <w:p w14:paraId="4585016D">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4.属于同一集团、协会、商会等组织成员的供应商按照该组织要求协同参加政府采购活动；</w:t>
      </w:r>
    </w:p>
    <w:p w14:paraId="1A9493B5">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5.供应商之间事先约定一致抬高或者压低竞争性谈判报价,或者在竞争性谈判项目中事先约定轮流以高价位或者低价位成交,或者事先约定由某一特定供应商成交,然后再参加竞争性谈判；</w:t>
      </w:r>
    </w:p>
    <w:p w14:paraId="50F349D0">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6.供应商之间商定部分供应商放弃参加政府采购活动或者放弃成交；</w:t>
      </w:r>
    </w:p>
    <w:p w14:paraId="2063A035">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7.供应商与采购人或者采购代理机构之间、供应商相互之间，为</w:t>
      </w:r>
      <w:r>
        <w:rPr>
          <w:rFonts w:hint="eastAsia" w:ascii="仿宋" w:hAnsi="仿宋" w:eastAsia="仿宋" w:cs="仿宋"/>
          <w:color w:val="auto"/>
          <w:spacing w:val="-6"/>
          <w:sz w:val="24"/>
          <w:szCs w:val="24"/>
          <w:highlight w:val="none"/>
        </w:rPr>
        <w:t>谋求特定供应商成交或者排斥其他供应商的其他串通行为。</w:t>
      </w:r>
    </w:p>
    <w:p w14:paraId="2905DD75">
      <w:pPr>
        <w:spacing w:line="360" w:lineRule="auto"/>
        <w:ind w:firstLine="480" w:firstLineChars="200"/>
        <w:contextualSpacing/>
        <w:rPr>
          <w:rFonts w:hint="eastAsia" w:ascii="仿宋" w:hAnsi="仿宋" w:eastAsia="仿宋" w:cs="仿宋"/>
          <w:color w:val="auto"/>
          <w:sz w:val="24"/>
          <w:szCs w:val="24"/>
          <w:highlight w:val="none"/>
        </w:rPr>
      </w:pPr>
    </w:p>
    <w:p w14:paraId="610DA0ED">
      <w:pPr>
        <w:spacing w:line="360" w:lineRule="auto"/>
        <w:ind w:firstLine="482" w:firstLineChars="200"/>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以上情形一经核查属实，我方愿意承担一切后果，并不再寻求任何旨在减轻或者免除法律责任的辩解。</w:t>
      </w:r>
    </w:p>
    <w:p w14:paraId="62E3929D">
      <w:pPr>
        <w:spacing w:line="360" w:lineRule="auto"/>
        <w:ind w:firstLine="480" w:firstLineChars="200"/>
        <w:contextualSpacing/>
        <w:rPr>
          <w:rFonts w:hint="eastAsia" w:ascii="仿宋" w:hAnsi="仿宋" w:eastAsia="仿宋" w:cs="仿宋"/>
          <w:color w:val="auto"/>
          <w:sz w:val="24"/>
          <w:szCs w:val="24"/>
          <w:highlight w:val="none"/>
        </w:rPr>
      </w:pPr>
    </w:p>
    <w:p w14:paraId="4F7C8E2A">
      <w:pPr>
        <w:spacing w:line="360" w:lineRule="auto"/>
        <w:ind w:firstLine="3600" w:firstLineChars="15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供应商（公章 ）：</w:t>
      </w:r>
      <w:r>
        <w:rPr>
          <w:rFonts w:hint="eastAsia" w:ascii="仿宋" w:hAnsi="仿宋" w:eastAsia="仿宋" w:cs="仿宋"/>
          <w:color w:val="auto"/>
          <w:sz w:val="24"/>
          <w:szCs w:val="24"/>
          <w:highlight w:val="none"/>
          <w:u w:val="single"/>
        </w:rPr>
        <w:t xml:space="preserve">                 </w:t>
      </w:r>
    </w:p>
    <w:p w14:paraId="7866C822">
      <w:pPr>
        <w:spacing w:line="360" w:lineRule="auto"/>
        <w:ind w:firstLine="480" w:firstLineChars="200"/>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年</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月</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日</w:t>
      </w:r>
    </w:p>
    <w:p w14:paraId="1A18A941">
      <w:pPr>
        <w:tabs>
          <w:tab w:val="left" w:pos="3479"/>
        </w:tabs>
        <w:spacing w:line="360" w:lineRule="auto"/>
        <w:ind w:left="0" w:leftChars="0"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44"/>
          <w:szCs w:val="44"/>
          <w:highlight w:val="none"/>
        </w:rPr>
        <w:t>竞争性谈判报价表</w:t>
      </w:r>
    </w:p>
    <w:p w14:paraId="3F21E17A">
      <w:pPr>
        <w:spacing w:line="360" w:lineRule="auto"/>
        <w:jc w:val="center"/>
        <w:rPr>
          <w:rFonts w:hint="eastAsia" w:ascii="仿宋" w:hAnsi="仿宋" w:eastAsia="仿宋" w:cs="仿宋"/>
          <w:bCs/>
          <w:color w:val="auto"/>
          <w:sz w:val="24"/>
          <w:szCs w:val="24"/>
          <w:highlight w:val="none"/>
        </w:rPr>
      </w:pPr>
    </w:p>
    <w:p w14:paraId="2D830226">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5C757EB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1D3EE5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分标（如有）：</w:t>
      </w:r>
      <w:r>
        <w:rPr>
          <w:rFonts w:hint="eastAsia" w:ascii="仿宋" w:hAnsi="仿宋" w:eastAsia="仿宋" w:cs="仿宋"/>
          <w:color w:val="auto"/>
          <w:sz w:val="24"/>
          <w:szCs w:val="24"/>
          <w:highlight w:val="none"/>
          <w:u w:val="single"/>
        </w:rPr>
        <w:t xml:space="preserve">            </w:t>
      </w:r>
    </w:p>
    <w:p w14:paraId="0A6C7F5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7F5D00DE">
      <w:pPr>
        <w:snapToGrid w:val="0"/>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货币单位：人民币元</w:t>
      </w:r>
    </w:p>
    <w:tbl>
      <w:tblPr>
        <w:tblStyle w:val="2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74"/>
        <w:gridCol w:w="958"/>
        <w:gridCol w:w="1078"/>
        <w:gridCol w:w="958"/>
        <w:gridCol w:w="838"/>
        <w:gridCol w:w="598"/>
        <w:gridCol w:w="701"/>
        <w:gridCol w:w="1027"/>
        <w:gridCol w:w="1505"/>
      </w:tblGrid>
      <w:tr w14:paraId="7D76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jc w:val="center"/>
        </w:trPr>
        <w:tc>
          <w:tcPr>
            <w:tcW w:w="598" w:type="dxa"/>
            <w:vAlign w:val="center"/>
          </w:tcPr>
          <w:p w14:paraId="2DF73890">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74" w:type="dxa"/>
            <w:vAlign w:val="center"/>
          </w:tcPr>
          <w:p w14:paraId="0041C628">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标的名称</w:t>
            </w:r>
          </w:p>
        </w:tc>
        <w:tc>
          <w:tcPr>
            <w:tcW w:w="958" w:type="dxa"/>
            <w:vAlign w:val="center"/>
          </w:tcPr>
          <w:p w14:paraId="765B97D6">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1078" w:type="dxa"/>
            <w:vAlign w:val="center"/>
          </w:tcPr>
          <w:p w14:paraId="62FD1976">
            <w:pPr>
              <w:snapToGrid w:val="0"/>
              <w:spacing w:line="4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规格</w:t>
            </w:r>
          </w:p>
          <w:p w14:paraId="32DCEC7F">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tc>
        <w:tc>
          <w:tcPr>
            <w:tcW w:w="958" w:type="dxa"/>
            <w:vAlign w:val="center"/>
          </w:tcPr>
          <w:p w14:paraId="6069A0D2">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生产厂家</w:t>
            </w:r>
          </w:p>
        </w:tc>
        <w:tc>
          <w:tcPr>
            <w:tcW w:w="838" w:type="dxa"/>
            <w:vAlign w:val="center"/>
          </w:tcPr>
          <w:p w14:paraId="4F4B8C9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598" w:type="dxa"/>
            <w:vAlign w:val="center"/>
          </w:tcPr>
          <w:p w14:paraId="205CE003">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  量①</w:t>
            </w:r>
          </w:p>
        </w:tc>
        <w:tc>
          <w:tcPr>
            <w:tcW w:w="701" w:type="dxa"/>
            <w:vAlign w:val="center"/>
          </w:tcPr>
          <w:p w14:paraId="260A893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27" w:type="dxa"/>
            <w:vAlign w:val="center"/>
          </w:tcPr>
          <w:p w14:paraId="7D3DD5D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  价</w:t>
            </w:r>
          </w:p>
          <w:p w14:paraId="4840BBE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w:t>
            </w:r>
          </w:p>
        </w:tc>
        <w:tc>
          <w:tcPr>
            <w:tcW w:w="1505" w:type="dxa"/>
            <w:vAlign w:val="center"/>
          </w:tcPr>
          <w:p w14:paraId="76751B87">
            <w:pPr>
              <w:snapToGrid w:val="0"/>
              <w:spacing w:before="50" w:after="50"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小计</w:t>
            </w:r>
          </w:p>
          <w:p w14:paraId="05ADF3FF">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③=①×②</w:t>
            </w:r>
          </w:p>
        </w:tc>
      </w:tr>
      <w:tr w14:paraId="75DC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98" w:type="dxa"/>
            <w:vAlign w:val="center"/>
          </w:tcPr>
          <w:p w14:paraId="3961018E">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74" w:type="dxa"/>
            <w:vAlign w:val="center"/>
          </w:tcPr>
          <w:p w14:paraId="59856E8A">
            <w:pPr>
              <w:snapToGrid w:val="0"/>
              <w:spacing w:line="460" w:lineRule="exact"/>
              <w:jc w:val="center"/>
              <w:rPr>
                <w:rFonts w:hint="eastAsia" w:ascii="仿宋" w:hAnsi="仿宋" w:eastAsia="仿宋" w:cs="仿宋"/>
                <w:color w:val="auto"/>
                <w:sz w:val="24"/>
                <w:szCs w:val="24"/>
                <w:highlight w:val="none"/>
              </w:rPr>
            </w:pPr>
          </w:p>
        </w:tc>
        <w:tc>
          <w:tcPr>
            <w:tcW w:w="958" w:type="dxa"/>
            <w:vAlign w:val="center"/>
          </w:tcPr>
          <w:p w14:paraId="6EEE88AF">
            <w:pPr>
              <w:snapToGrid w:val="0"/>
              <w:spacing w:line="460" w:lineRule="exact"/>
              <w:jc w:val="center"/>
              <w:rPr>
                <w:rFonts w:hint="eastAsia" w:ascii="仿宋" w:hAnsi="仿宋" w:eastAsia="仿宋" w:cs="仿宋"/>
                <w:color w:val="auto"/>
                <w:sz w:val="24"/>
                <w:szCs w:val="24"/>
                <w:highlight w:val="none"/>
              </w:rPr>
            </w:pPr>
          </w:p>
        </w:tc>
        <w:tc>
          <w:tcPr>
            <w:tcW w:w="1078" w:type="dxa"/>
            <w:vAlign w:val="center"/>
          </w:tcPr>
          <w:p w14:paraId="4FFE98A2">
            <w:pPr>
              <w:snapToGrid w:val="0"/>
              <w:spacing w:line="460" w:lineRule="exact"/>
              <w:jc w:val="center"/>
              <w:rPr>
                <w:rFonts w:hint="eastAsia" w:ascii="仿宋" w:hAnsi="仿宋" w:eastAsia="仿宋" w:cs="仿宋"/>
                <w:color w:val="auto"/>
                <w:sz w:val="24"/>
                <w:szCs w:val="24"/>
                <w:highlight w:val="none"/>
              </w:rPr>
            </w:pPr>
          </w:p>
        </w:tc>
        <w:tc>
          <w:tcPr>
            <w:tcW w:w="958" w:type="dxa"/>
            <w:vAlign w:val="center"/>
          </w:tcPr>
          <w:p w14:paraId="753270D1">
            <w:pPr>
              <w:snapToGrid w:val="0"/>
              <w:spacing w:line="460" w:lineRule="exact"/>
              <w:jc w:val="center"/>
              <w:rPr>
                <w:rFonts w:hint="eastAsia" w:ascii="仿宋" w:hAnsi="仿宋" w:eastAsia="仿宋" w:cs="仿宋"/>
                <w:color w:val="auto"/>
                <w:sz w:val="24"/>
                <w:szCs w:val="24"/>
                <w:highlight w:val="none"/>
              </w:rPr>
            </w:pPr>
          </w:p>
        </w:tc>
        <w:tc>
          <w:tcPr>
            <w:tcW w:w="838" w:type="dxa"/>
            <w:vAlign w:val="center"/>
          </w:tcPr>
          <w:p w14:paraId="2B1EE655">
            <w:pPr>
              <w:snapToGrid w:val="0"/>
              <w:spacing w:line="460" w:lineRule="exact"/>
              <w:jc w:val="center"/>
              <w:rPr>
                <w:rFonts w:hint="eastAsia" w:ascii="仿宋" w:hAnsi="仿宋" w:eastAsia="仿宋" w:cs="仿宋"/>
                <w:color w:val="auto"/>
                <w:sz w:val="24"/>
                <w:szCs w:val="24"/>
                <w:highlight w:val="none"/>
              </w:rPr>
            </w:pPr>
          </w:p>
        </w:tc>
        <w:tc>
          <w:tcPr>
            <w:tcW w:w="598" w:type="dxa"/>
            <w:vAlign w:val="center"/>
          </w:tcPr>
          <w:p w14:paraId="5B770DA3">
            <w:pPr>
              <w:snapToGrid w:val="0"/>
              <w:spacing w:line="460" w:lineRule="exact"/>
              <w:ind w:left="360"/>
              <w:jc w:val="center"/>
              <w:rPr>
                <w:rFonts w:hint="eastAsia" w:ascii="仿宋" w:hAnsi="仿宋" w:eastAsia="仿宋" w:cs="仿宋"/>
                <w:color w:val="auto"/>
                <w:sz w:val="24"/>
                <w:szCs w:val="24"/>
                <w:highlight w:val="none"/>
              </w:rPr>
            </w:pPr>
          </w:p>
        </w:tc>
        <w:tc>
          <w:tcPr>
            <w:tcW w:w="701" w:type="dxa"/>
            <w:vAlign w:val="center"/>
          </w:tcPr>
          <w:p w14:paraId="0153205A">
            <w:pPr>
              <w:snapToGrid w:val="0"/>
              <w:spacing w:line="460" w:lineRule="exact"/>
              <w:jc w:val="center"/>
              <w:rPr>
                <w:rFonts w:hint="eastAsia" w:ascii="仿宋" w:hAnsi="仿宋" w:eastAsia="仿宋" w:cs="仿宋"/>
                <w:color w:val="auto"/>
                <w:sz w:val="24"/>
                <w:szCs w:val="24"/>
                <w:highlight w:val="none"/>
              </w:rPr>
            </w:pPr>
          </w:p>
        </w:tc>
        <w:tc>
          <w:tcPr>
            <w:tcW w:w="1027" w:type="dxa"/>
            <w:vAlign w:val="center"/>
          </w:tcPr>
          <w:p w14:paraId="6D0CD304">
            <w:pPr>
              <w:snapToGrid w:val="0"/>
              <w:spacing w:line="460" w:lineRule="exact"/>
              <w:ind w:left="360"/>
              <w:jc w:val="center"/>
              <w:rPr>
                <w:rFonts w:hint="eastAsia" w:ascii="仿宋" w:hAnsi="仿宋" w:eastAsia="仿宋" w:cs="仿宋"/>
                <w:color w:val="auto"/>
                <w:sz w:val="24"/>
                <w:szCs w:val="24"/>
                <w:highlight w:val="none"/>
              </w:rPr>
            </w:pPr>
          </w:p>
        </w:tc>
        <w:tc>
          <w:tcPr>
            <w:tcW w:w="1505" w:type="dxa"/>
            <w:vAlign w:val="center"/>
          </w:tcPr>
          <w:p w14:paraId="200834BF">
            <w:pPr>
              <w:snapToGrid w:val="0"/>
              <w:spacing w:line="460" w:lineRule="exact"/>
              <w:jc w:val="center"/>
              <w:rPr>
                <w:rFonts w:hint="eastAsia" w:ascii="仿宋" w:hAnsi="仿宋" w:eastAsia="仿宋" w:cs="仿宋"/>
                <w:color w:val="auto"/>
                <w:sz w:val="24"/>
                <w:szCs w:val="24"/>
                <w:highlight w:val="none"/>
              </w:rPr>
            </w:pPr>
          </w:p>
        </w:tc>
      </w:tr>
      <w:tr w14:paraId="445B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98" w:type="dxa"/>
            <w:vAlign w:val="center"/>
          </w:tcPr>
          <w:p w14:paraId="1D624040">
            <w:pPr>
              <w:snapToGrid w:val="0"/>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74" w:type="dxa"/>
            <w:vAlign w:val="center"/>
          </w:tcPr>
          <w:p w14:paraId="5D47A1CD">
            <w:pPr>
              <w:snapToGrid w:val="0"/>
              <w:spacing w:line="460" w:lineRule="exact"/>
              <w:jc w:val="center"/>
              <w:rPr>
                <w:rFonts w:hint="eastAsia" w:ascii="仿宋" w:hAnsi="仿宋" w:eastAsia="仿宋" w:cs="仿宋"/>
                <w:color w:val="auto"/>
                <w:sz w:val="24"/>
                <w:szCs w:val="24"/>
                <w:highlight w:val="none"/>
              </w:rPr>
            </w:pPr>
          </w:p>
        </w:tc>
        <w:tc>
          <w:tcPr>
            <w:tcW w:w="958" w:type="dxa"/>
            <w:vAlign w:val="center"/>
          </w:tcPr>
          <w:p w14:paraId="20172B69">
            <w:pPr>
              <w:snapToGrid w:val="0"/>
              <w:spacing w:line="460" w:lineRule="exact"/>
              <w:jc w:val="center"/>
              <w:rPr>
                <w:rFonts w:hint="eastAsia" w:ascii="仿宋" w:hAnsi="仿宋" w:eastAsia="仿宋" w:cs="仿宋"/>
                <w:color w:val="auto"/>
                <w:sz w:val="24"/>
                <w:szCs w:val="24"/>
                <w:highlight w:val="none"/>
              </w:rPr>
            </w:pPr>
          </w:p>
        </w:tc>
        <w:tc>
          <w:tcPr>
            <w:tcW w:w="1078" w:type="dxa"/>
            <w:vAlign w:val="center"/>
          </w:tcPr>
          <w:p w14:paraId="33E9313D">
            <w:pPr>
              <w:snapToGrid w:val="0"/>
              <w:spacing w:line="460" w:lineRule="exact"/>
              <w:jc w:val="center"/>
              <w:rPr>
                <w:rFonts w:hint="eastAsia" w:ascii="仿宋" w:hAnsi="仿宋" w:eastAsia="仿宋" w:cs="仿宋"/>
                <w:color w:val="auto"/>
                <w:sz w:val="24"/>
                <w:szCs w:val="24"/>
                <w:highlight w:val="none"/>
              </w:rPr>
            </w:pPr>
          </w:p>
        </w:tc>
        <w:tc>
          <w:tcPr>
            <w:tcW w:w="958" w:type="dxa"/>
            <w:vAlign w:val="center"/>
          </w:tcPr>
          <w:p w14:paraId="1412BFB0">
            <w:pPr>
              <w:snapToGrid w:val="0"/>
              <w:spacing w:line="460" w:lineRule="exact"/>
              <w:jc w:val="center"/>
              <w:rPr>
                <w:rFonts w:hint="eastAsia" w:ascii="仿宋" w:hAnsi="仿宋" w:eastAsia="仿宋" w:cs="仿宋"/>
                <w:color w:val="auto"/>
                <w:sz w:val="24"/>
                <w:szCs w:val="24"/>
                <w:highlight w:val="none"/>
              </w:rPr>
            </w:pPr>
          </w:p>
        </w:tc>
        <w:tc>
          <w:tcPr>
            <w:tcW w:w="838" w:type="dxa"/>
            <w:vAlign w:val="center"/>
          </w:tcPr>
          <w:p w14:paraId="2E508434">
            <w:pPr>
              <w:snapToGrid w:val="0"/>
              <w:spacing w:line="460" w:lineRule="exact"/>
              <w:jc w:val="center"/>
              <w:rPr>
                <w:rFonts w:hint="eastAsia" w:ascii="仿宋" w:hAnsi="仿宋" w:eastAsia="仿宋" w:cs="仿宋"/>
                <w:color w:val="auto"/>
                <w:sz w:val="24"/>
                <w:szCs w:val="24"/>
                <w:highlight w:val="none"/>
              </w:rPr>
            </w:pPr>
          </w:p>
        </w:tc>
        <w:tc>
          <w:tcPr>
            <w:tcW w:w="598" w:type="dxa"/>
            <w:vAlign w:val="center"/>
          </w:tcPr>
          <w:p w14:paraId="61EC7A62">
            <w:pPr>
              <w:snapToGrid w:val="0"/>
              <w:spacing w:line="460" w:lineRule="exact"/>
              <w:ind w:left="360"/>
              <w:jc w:val="center"/>
              <w:rPr>
                <w:rFonts w:hint="eastAsia" w:ascii="仿宋" w:hAnsi="仿宋" w:eastAsia="仿宋" w:cs="仿宋"/>
                <w:color w:val="auto"/>
                <w:sz w:val="24"/>
                <w:szCs w:val="24"/>
                <w:highlight w:val="none"/>
              </w:rPr>
            </w:pPr>
          </w:p>
        </w:tc>
        <w:tc>
          <w:tcPr>
            <w:tcW w:w="701" w:type="dxa"/>
            <w:vAlign w:val="center"/>
          </w:tcPr>
          <w:p w14:paraId="481FE3FB">
            <w:pPr>
              <w:snapToGrid w:val="0"/>
              <w:spacing w:line="460" w:lineRule="exact"/>
              <w:jc w:val="center"/>
              <w:rPr>
                <w:rFonts w:hint="eastAsia" w:ascii="仿宋" w:hAnsi="仿宋" w:eastAsia="仿宋" w:cs="仿宋"/>
                <w:color w:val="auto"/>
                <w:sz w:val="24"/>
                <w:szCs w:val="24"/>
                <w:highlight w:val="none"/>
              </w:rPr>
            </w:pPr>
          </w:p>
        </w:tc>
        <w:tc>
          <w:tcPr>
            <w:tcW w:w="1027" w:type="dxa"/>
            <w:vAlign w:val="center"/>
          </w:tcPr>
          <w:p w14:paraId="0A7A00FC">
            <w:pPr>
              <w:snapToGrid w:val="0"/>
              <w:spacing w:line="460" w:lineRule="exact"/>
              <w:ind w:left="360"/>
              <w:jc w:val="center"/>
              <w:rPr>
                <w:rFonts w:hint="eastAsia" w:ascii="仿宋" w:hAnsi="仿宋" w:eastAsia="仿宋" w:cs="仿宋"/>
                <w:color w:val="auto"/>
                <w:sz w:val="24"/>
                <w:szCs w:val="24"/>
                <w:highlight w:val="none"/>
              </w:rPr>
            </w:pPr>
          </w:p>
        </w:tc>
        <w:tc>
          <w:tcPr>
            <w:tcW w:w="1505" w:type="dxa"/>
            <w:vAlign w:val="center"/>
          </w:tcPr>
          <w:p w14:paraId="05846D23">
            <w:pPr>
              <w:snapToGrid w:val="0"/>
              <w:spacing w:line="460" w:lineRule="exact"/>
              <w:jc w:val="center"/>
              <w:rPr>
                <w:rFonts w:hint="eastAsia" w:ascii="仿宋" w:hAnsi="仿宋" w:eastAsia="仿宋" w:cs="仿宋"/>
                <w:color w:val="auto"/>
                <w:sz w:val="24"/>
                <w:szCs w:val="24"/>
                <w:highlight w:val="none"/>
              </w:rPr>
            </w:pPr>
          </w:p>
        </w:tc>
      </w:tr>
      <w:tr w14:paraId="1D58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9135" w:type="dxa"/>
            <w:gridSpan w:val="10"/>
          </w:tcPr>
          <w:p w14:paraId="05E0D505">
            <w:pPr>
              <w:snapToGrid w:val="0"/>
              <w:spacing w:line="460" w:lineRule="exact"/>
              <w:jc w:val="left"/>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合计金额（人民币大写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（小写）</w:t>
            </w:r>
            <w:r>
              <w:rPr>
                <w:rFonts w:hint="eastAsia" w:ascii="仿宋" w:hAnsi="仿宋" w:eastAsia="仿宋" w:cs="仿宋"/>
                <w:bCs/>
                <w:color w:val="auto"/>
                <w:sz w:val="24"/>
                <w:szCs w:val="24"/>
                <w:highlight w:val="none"/>
                <w:u w:val="single"/>
              </w:rPr>
              <w:t xml:space="preserve">¥          </w:t>
            </w:r>
          </w:p>
        </w:tc>
      </w:tr>
      <w:tr w14:paraId="57C0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atLeast"/>
          <w:jc w:val="center"/>
        </w:trPr>
        <w:tc>
          <w:tcPr>
            <w:tcW w:w="9135" w:type="dxa"/>
            <w:gridSpan w:val="10"/>
          </w:tcPr>
          <w:p w14:paraId="762DD7E3">
            <w:pPr>
              <w:snapToGrid w:val="0"/>
              <w:spacing w:line="4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en-US" w:eastAsia="zh-CN"/>
              </w:rPr>
              <w:t>交货时间：</w:t>
            </w:r>
          </w:p>
        </w:tc>
      </w:tr>
    </w:tbl>
    <w:p w14:paraId="7DE27397">
      <w:pPr>
        <w:ind w:firstLine="420"/>
        <w:rPr>
          <w:rFonts w:hint="eastAsia" w:ascii="仿宋" w:hAnsi="仿宋" w:eastAsia="仿宋" w:cs="仿宋"/>
          <w:color w:val="auto"/>
          <w:highlight w:val="none"/>
        </w:rPr>
      </w:pPr>
    </w:p>
    <w:p w14:paraId="737960C9">
      <w:pPr>
        <w:ind w:firstLine="482"/>
        <w:contextualSpacing/>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 xml:space="preserve"> </w:t>
      </w:r>
    </w:p>
    <w:p w14:paraId="128305D2">
      <w:pPr>
        <w:ind w:firstLine="480" w:firstLineChars="200"/>
        <w:contextualSpacing/>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1.竞争性谈判报价表中“标的名称、数量、单位、品牌、型号、生产厂家、产地”必须如实填写完整，定制产品在型号栏中填写“定制”。</w:t>
      </w:r>
      <w:r>
        <w:rPr>
          <w:rFonts w:hint="eastAsia" w:ascii="仿宋" w:hAnsi="仿宋" w:eastAsia="仿宋" w:cs="仿宋"/>
          <w:b/>
          <w:color w:val="auto"/>
          <w:sz w:val="24"/>
          <w:szCs w:val="24"/>
          <w:highlight w:val="none"/>
        </w:rPr>
        <w:t>填写有缺漏</w:t>
      </w:r>
      <w:r>
        <w:rPr>
          <w:rFonts w:hint="eastAsia" w:ascii="仿宋" w:hAnsi="仿宋" w:eastAsia="仿宋" w:cs="仿宋"/>
          <w:b/>
          <w:bCs/>
          <w:color w:val="auto"/>
          <w:sz w:val="24"/>
          <w:szCs w:val="24"/>
          <w:highlight w:val="none"/>
        </w:rPr>
        <w:t>的，</w:t>
      </w:r>
      <w:r>
        <w:rPr>
          <w:rFonts w:hint="eastAsia" w:ascii="仿宋" w:hAnsi="仿宋" w:eastAsia="仿宋" w:cs="仿宋"/>
          <w:b/>
          <w:color w:val="auto"/>
          <w:sz w:val="24"/>
          <w:szCs w:val="24"/>
          <w:highlight w:val="none"/>
        </w:rPr>
        <w:t>其响应文件按无效响应处理。</w:t>
      </w:r>
    </w:p>
    <w:p w14:paraId="4782F413">
      <w:pPr>
        <w:snapToGrid w:val="0"/>
        <w:spacing w:before="50" w:after="50"/>
        <w:ind w:firstLine="482" w:firstLineChars="200"/>
        <w:jc w:val="left"/>
        <w:rPr>
          <w:rFonts w:hint="eastAsia" w:ascii="仿宋" w:hAnsi="仿宋" w:eastAsia="仿宋" w:cs="仿宋"/>
          <w:color w:val="auto"/>
          <w:szCs w:val="24"/>
          <w:highlight w:val="none"/>
        </w:rPr>
      </w:pPr>
      <w:r>
        <w:rPr>
          <w:rFonts w:hint="eastAsia" w:ascii="仿宋" w:hAnsi="仿宋" w:eastAsia="仿宋" w:cs="仿宋"/>
          <w:b/>
          <w:color w:val="auto"/>
          <w:sz w:val="24"/>
          <w:szCs w:val="24"/>
          <w:highlight w:val="none"/>
        </w:rPr>
        <w:t>2.所填写的型号与货物铭牌一致。</w:t>
      </w:r>
    </w:p>
    <w:p w14:paraId="05DA4BE1">
      <w:pPr>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3.供应商的报价表必须加盖供应商公章并由法定代表人或者委托代理人签字，</w:t>
      </w:r>
      <w:r>
        <w:rPr>
          <w:rFonts w:hint="eastAsia" w:ascii="仿宋" w:hAnsi="仿宋" w:eastAsia="仿宋" w:cs="仿宋"/>
          <w:b/>
          <w:color w:val="auto"/>
          <w:sz w:val="24"/>
          <w:szCs w:val="24"/>
          <w:highlight w:val="none"/>
        </w:rPr>
        <w:t>否则其响应文件按无效响应处理</w:t>
      </w:r>
      <w:r>
        <w:rPr>
          <w:rFonts w:hint="eastAsia" w:ascii="仿宋" w:hAnsi="仿宋" w:eastAsia="仿宋" w:cs="仿宋"/>
          <w:color w:val="auto"/>
          <w:sz w:val="24"/>
          <w:szCs w:val="24"/>
          <w:highlight w:val="none"/>
        </w:rPr>
        <w:t>。</w:t>
      </w:r>
    </w:p>
    <w:p w14:paraId="229DBB73">
      <w:pPr>
        <w:ind w:firstLine="480" w:firstLineChars="200"/>
        <w:contextualSpacing/>
        <w:jc w:val="left"/>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color w:val="auto"/>
          <w:sz w:val="24"/>
          <w:szCs w:val="24"/>
          <w:highlight w:val="none"/>
        </w:rPr>
        <w:t>报价一经涂改，应在涂改处加盖供应商公章或者由法定代表人或者授权委托人签字或者盖章</w:t>
      </w:r>
      <w:r>
        <w:rPr>
          <w:rFonts w:hint="eastAsia" w:ascii="仿宋" w:hAnsi="仿宋" w:eastAsia="仿宋" w:cs="仿宋"/>
          <w:b/>
          <w:color w:val="auto"/>
          <w:sz w:val="24"/>
          <w:szCs w:val="24"/>
          <w:highlight w:val="none"/>
        </w:rPr>
        <w:t>，否则其响应文件按无效响应处理。</w:t>
      </w:r>
    </w:p>
    <w:p w14:paraId="182CF3E9">
      <w:pPr>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5.谈判文件中列明采购专用耗材的，应按谈判文件规定的耗材量或者按耗材的常规使用量提供报价。</w:t>
      </w:r>
    </w:p>
    <w:p w14:paraId="0F95EFEA">
      <w:pPr>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6.如为联合体</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,“供应商名称”处必须列明联合体各方名称，标注联合体牵头人名称，</w:t>
      </w:r>
      <w:r>
        <w:rPr>
          <w:rFonts w:hint="eastAsia" w:ascii="仿宋" w:hAnsi="仿宋" w:eastAsia="仿宋" w:cs="仿宋"/>
          <w:b/>
          <w:color w:val="auto"/>
          <w:sz w:val="24"/>
          <w:szCs w:val="24"/>
          <w:highlight w:val="none"/>
        </w:rPr>
        <w:t>否则其响应文件按无效响应处理。（采购人可根据项目情况自行修改是否需要联合体各方签字盖章）</w:t>
      </w:r>
    </w:p>
    <w:p w14:paraId="06219551">
      <w:pPr>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7.如为联合体</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,盖章处须加盖联合体各方公章，</w:t>
      </w:r>
      <w:r>
        <w:rPr>
          <w:rFonts w:hint="eastAsia" w:ascii="仿宋" w:hAnsi="仿宋" w:eastAsia="仿宋" w:cs="仿宋"/>
          <w:b/>
          <w:color w:val="auto"/>
          <w:sz w:val="24"/>
          <w:szCs w:val="24"/>
          <w:highlight w:val="none"/>
        </w:rPr>
        <w:t>否则其响应文件按无效响应处理。</w:t>
      </w:r>
    </w:p>
    <w:p w14:paraId="5169E578">
      <w:pPr>
        <w:ind w:firstLine="480" w:firstLineChars="200"/>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pacing w:val="-6"/>
          <w:sz w:val="24"/>
          <w:szCs w:val="24"/>
          <w:highlight w:val="none"/>
        </w:rPr>
        <w:t>如有多分标，分别列明各分标的报价表，</w:t>
      </w:r>
      <w:r>
        <w:rPr>
          <w:rFonts w:hint="eastAsia" w:ascii="仿宋" w:hAnsi="仿宋" w:eastAsia="仿宋" w:cs="仿宋"/>
          <w:b/>
          <w:color w:val="auto"/>
          <w:spacing w:val="-6"/>
          <w:sz w:val="24"/>
          <w:szCs w:val="24"/>
          <w:highlight w:val="none"/>
        </w:rPr>
        <w:t>否则其响应文件按无效响应处理。</w:t>
      </w:r>
      <w:r>
        <w:rPr>
          <w:rFonts w:hint="eastAsia" w:ascii="仿宋" w:hAnsi="仿宋" w:eastAsia="仿宋" w:cs="仿宋"/>
          <w:b/>
          <w:color w:val="auto"/>
          <w:sz w:val="24"/>
          <w:szCs w:val="24"/>
          <w:highlight w:val="none"/>
        </w:rPr>
        <w:t>（采购人可根据项目情况自行修改是否需要联合体各方签字盖章）</w:t>
      </w:r>
    </w:p>
    <w:p w14:paraId="66950A67">
      <w:pPr>
        <w:spacing w:line="360" w:lineRule="auto"/>
        <w:ind w:firstLine="2640" w:firstLineChars="1100"/>
        <w:contextualSpacing/>
        <w:rPr>
          <w:rFonts w:hint="eastAsia" w:ascii="仿宋" w:hAnsi="仿宋" w:eastAsia="仿宋" w:cs="仿宋"/>
          <w:color w:val="auto"/>
          <w:sz w:val="24"/>
          <w:szCs w:val="24"/>
          <w:highlight w:val="none"/>
        </w:rPr>
      </w:pPr>
    </w:p>
    <w:p w14:paraId="7EBCFB23">
      <w:pPr>
        <w:ind w:firstLine="420"/>
        <w:rPr>
          <w:rFonts w:hint="eastAsia" w:ascii="仿宋" w:hAnsi="仿宋" w:eastAsia="仿宋" w:cs="仿宋"/>
          <w:color w:val="auto"/>
          <w:highlight w:val="none"/>
        </w:rPr>
      </w:pPr>
    </w:p>
    <w:p w14:paraId="32FB793C">
      <w:pPr>
        <w:ind w:firstLine="420"/>
        <w:rPr>
          <w:rFonts w:hint="eastAsia" w:ascii="仿宋" w:hAnsi="仿宋" w:eastAsia="仿宋" w:cs="仿宋"/>
          <w:color w:val="auto"/>
          <w:highlight w:val="none"/>
        </w:rPr>
      </w:pPr>
    </w:p>
    <w:p w14:paraId="7466AEA9">
      <w:pPr>
        <w:spacing w:line="360" w:lineRule="auto"/>
        <w:ind w:firstLine="2640" w:firstLineChars="1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法定代表人或者委托代理人（签字）：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2478E9F">
      <w:pPr>
        <w:spacing w:line="360" w:lineRule="auto"/>
        <w:ind w:firstLine="2640" w:firstLineChars="11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供应商（公章）：</w:t>
      </w:r>
      <w:r>
        <w:rPr>
          <w:rFonts w:hint="eastAsia" w:ascii="仿宋" w:hAnsi="仿宋" w:eastAsia="仿宋" w:cs="仿宋"/>
          <w:color w:val="auto"/>
          <w:sz w:val="24"/>
          <w:szCs w:val="24"/>
          <w:highlight w:val="none"/>
          <w:u w:val="single"/>
        </w:rPr>
        <w:t xml:space="preserve">           </w:t>
      </w:r>
    </w:p>
    <w:p w14:paraId="2E371BBE">
      <w:pPr>
        <w:spacing w:line="360" w:lineRule="auto"/>
        <w:ind w:firstLine="2640" w:firstLineChars="1100"/>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年</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月</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日</w:t>
      </w:r>
    </w:p>
    <w:p w14:paraId="1330016C">
      <w:pPr>
        <w:spacing w:line="360" w:lineRule="auto"/>
        <w:ind w:left="0" w:leftChars="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bCs/>
          <w:color w:val="auto"/>
          <w:sz w:val="44"/>
          <w:szCs w:val="44"/>
          <w:highlight w:val="none"/>
        </w:rPr>
        <w:t>法定代表人身份证明</w:t>
      </w:r>
    </w:p>
    <w:p w14:paraId="33B344F5">
      <w:pPr>
        <w:spacing w:line="360" w:lineRule="auto"/>
        <w:ind w:firstLine="640"/>
        <w:contextualSpacing/>
        <w:rPr>
          <w:rFonts w:hint="eastAsia" w:ascii="仿宋" w:hAnsi="仿宋" w:eastAsia="仿宋" w:cs="仿宋"/>
          <w:color w:val="auto"/>
          <w:sz w:val="32"/>
          <w:szCs w:val="32"/>
          <w:highlight w:val="none"/>
        </w:rPr>
      </w:pPr>
    </w:p>
    <w:p w14:paraId="7F6931BC">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p>
    <w:p w14:paraId="01A5E51F">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w:t>
      </w:r>
    </w:p>
    <w:p w14:paraId="5453986C">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      别：</w:t>
      </w:r>
      <w:r>
        <w:rPr>
          <w:rFonts w:hint="eastAsia" w:ascii="仿宋" w:hAnsi="仿宋" w:eastAsia="仿宋" w:cs="仿宋"/>
          <w:color w:val="auto"/>
          <w:sz w:val="24"/>
          <w:szCs w:val="24"/>
          <w:highlight w:val="none"/>
          <w:u w:val="single"/>
        </w:rPr>
        <w:t xml:space="preserve">                      </w:t>
      </w:r>
    </w:p>
    <w:p w14:paraId="260B4FFD">
      <w:pPr>
        <w:spacing w:line="360" w:lineRule="auto"/>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年    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 xml:space="preserve">                      </w:t>
      </w:r>
    </w:p>
    <w:p w14:paraId="1B08594E">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14:paraId="2A56C840">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（供应商名称）   </w:t>
      </w:r>
      <w:r>
        <w:rPr>
          <w:rFonts w:hint="eastAsia" w:ascii="仿宋" w:hAnsi="仿宋" w:eastAsia="仿宋" w:cs="仿宋"/>
          <w:color w:val="auto"/>
          <w:sz w:val="24"/>
          <w:szCs w:val="24"/>
          <w:highlight w:val="none"/>
        </w:rPr>
        <w:t>的法定代表人。</w:t>
      </w:r>
    </w:p>
    <w:p w14:paraId="5E4CFA97">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4A366DAA">
      <w:pPr>
        <w:spacing w:line="360" w:lineRule="auto"/>
        <w:contextualSpacing/>
        <w:rPr>
          <w:rFonts w:hint="eastAsia" w:ascii="仿宋" w:hAnsi="仿宋" w:eastAsia="仿宋" w:cs="仿宋"/>
          <w:color w:val="auto"/>
          <w:sz w:val="24"/>
          <w:szCs w:val="24"/>
          <w:highlight w:val="none"/>
        </w:rPr>
      </w:pPr>
    </w:p>
    <w:p w14:paraId="2519E16F">
      <w:pPr>
        <w:spacing w:line="360" w:lineRule="auto"/>
        <w:contextualSpacing/>
        <w:rPr>
          <w:rFonts w:hint="eastAsia" w:ascii="仿宋" w:hAnsi="仿宋" w:eastAsia="仿宋" w:cs="仿宋"/>
          <w:color w:val="auto"/>
          <w:sz w:val="24"/>
          <w:szCs w:val="24"/>
          <w:highlight w:val="none"/>
        </w:rPr>
      </w:pPr>
    </w:p>
    <w:p w14:paraId="6CEA2E85">
      <w:pPr>
        <w:spacing w:line="360" w:lineRule="auto"/>
        <w:contextualSpacing/>
        <w:rPr>
          <w:rFonts w:hint="eastAsia" w:ascii="仿宋" w:hAnsi="仿宋" w:eastAsia="仿宋" w:cs="仿宋"/>
          <w:color w:val="auto"/>
          <w:sz w:val="24"/>
          <w:szCs w:val="24"/>
          <w:highlight w:val="none"/>
        </w:rPr>
      </w:pPr>
    </w:p>
    <w:p w14:paraId="6F07A44B">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附件：法定代表人有效身份证正反面复印件</w:t>
      </w:r>
    </w:p>
    <w:p w14:paraId="1336B461">
      <w:pPr>
        <w:spacing w:line="360" w:lineRule="auto"/>
        <w:contextualSpacing/>
        <w:rPr>
          <w:rFonts w:hint="eastAsia" w:ascii="仿宋" w:hAnsi="仿宋" w:eastAsia="仿宋" w:cs="仿宋"/>
          <w:color w:val="auto"/>
          <w:sz w:val="24"/>
          <w:szCs w:val="24"/>
          <w:highlight w:val="none"/>
        </w:rPr>
      </w:pPr>
    </w:p>
    <w:p w14:paraId="34B2ACB4">
      <w:pPr>
        <w:spacing w:line="360" w:lineRule="auto"/>
        <w:ind w:right="960" w:firstLine="5040" w:firstLineChars="2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r>
        <w:rPr>
          <w:rFonts w:hint="eastAsia" w:ascii="仿宋" w:hAnsi="仿宋" w:eastAsia="仿宋" w:cs="仿宋"/>
          <w:color w:val="auto"/>
          <w:sz w:val="24"/>
          <w:szCs w:val="24"/>
          <w:highlight w:val="none"/>
          <w:u w:val="single"/>
        </w:rPr>
        <w:t xml:space="preserve">               </w:t>
      </w:r>
    </w:p>
    <w:p w14:paraId="45984976">
      <w:pPr>
        <w:spacing w:line="360" w:lineRule="auto"/>
        <w:ind w:firstLine="5040" w:firstLineChars="2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E47060F">
      <w:pPr>
        <w:spacing w:line="360" w:lineRule="auto"/>
        <w:ind w:firstLine="482"/>
        <w:contextualSpacing/>
        <w:jc w:val="center"/>
        <w:rPr>
          <w:rFonts w:hint="eastAsia" w:ascii="仿宋" w:hAnsi="仿宋" w:eastAsia="仿宋" w:cs="仿宋"/>
          <w:b/>
          <w:color w:val="auto"/>
          <w:sz w:val="24"/>
          <w:szCs w:val="24"/>
          <w:highlight w:val="none"/>
        </w:rPr>
      </w:pPr>
    </w:p>
    <w:p w14:paraId="05C0779F">
      <w:pPr>
        <w:spacing w:line="360" w:lineRule="auto"/>
        <w:ind w:firstLine="482"/>
        <w:contextualSpacing/>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14:paraId="43B9C024">
      <w:pPr>
        <w:spacing w:line="360" w:lineRule="auto"/>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自然人</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的无需提供，联合体</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的只需牵头人出具。</w:t>
      </w:r>
    </w:p>
    <w:p w14:paraId="480CF374">
      <w:pPr>
        <w:adjustRightInd w:val="0"/>
        <w:snapToGrid w:val="0"/>
        <w:spacing w:line="360" w:lineRule="auto"/>
        <w:ind w:firstLine="422"/>
        <w:jc w:val="left"/>
        <w:rPr>
          <w:rFonts w:hint="eastAsia" w:ascii="仿宋" w:hAnsi="仿宋" w:eastAsia="仿宋" w:cs="仿宋"/>
          <w:b/>
          <w:color w:val="auto"/>
          <w:szCs w:val="21"/>
          <w:highlight w:val="none"/>
        </w:rPr>
      </w:pPr>
    </w:p>
    <w:p w14:paraId="33E482D5">
      <w:pPr>
        <w:spacing w:line="360" w:lineRule="auto"/>
        <w:ind w:left="0" w:leftChars="0" w:firstLine="0" w:firstLineChars="0"/>
        <w:jc w:val="center"/>
        <w:rPr>
          <w:rFonts w:hint="eastAsia" w:ascii="仿宋" w:hAnsi="仿宋" w:eastAsia="仿宋" w:cs="仿宋"/>
          <w:b/>
          <w:color w:val="auto"/>
          <w:sz w:val="44"/>
          <w:szCs w:val="44"/>
          <w:highlight w:val="none"/>
        </w:rPr>
      </w:pPr>
      <w:r>
        <w:rPr>
          <w:rFonts w:hint="eastAsia" w:ascii="仿宋" w:hAnsi="仿宋" w:eastAsia="仿宋" w:cs="仿宋"/>
          <w:color w:val="auto"/>
          <w:sz w:val="44"/>
          <w:szCs w:val="44"/>
          <w:highlight w:val="none"/>
        </w:rPr>
        <w:br w:type="page"/>
      </w:r>
      <w:r>
        <w:rPr>
          <w:rFonts w:hint="eastAsia" w:ascii="仿宋" w:hAnsi="仿宋" w:eastAsia="仿宋" w:cs="仿宋"/>
          <w:b/>
          <w:color w:val="auto"/>
          <w:sz w:val="44"/>
          <w:szCs w:val="44"/>
          <w:highlight w:val="none"/>
        </w:rPr>
        <w:t>授权委托书</w:t>
      </w:r>
    </w:p>
    <w:p w14:paraId="607BE91D">
      <w:pPr>
        <w:spacing w:line="360" w:lineRule="auto"/>
        <w:ind w:left="0" w:leftChars="0"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（非联合体</w:t>
      </w:r>
      <w:r>
        <w:rPr>
          <w:rFonts w:hint="eastAsia" w:ascii="仿宋" w:hAnsi="仿宋" w:eastAsia="仿宋" w:cs="仿宋"/>
          <w:color w:val="auto"/>
          <w:sz w:val="28"/>
          <w:szCs w:val="28"/>
          <w:highlight w:val="none"/>
          <w:lang w:eastAsia="zh-CN"/>
        </w:rPr>
        <w:t>竞标</w:t>
      </w:r>
      <w:r>
        <w:rPr>
          <w:rFonts w:hint="eastAsia" w:ascii="仿宋" w:hAnsi="仿宋" w:eastAsia="仿宋" w:cs="仿宋"/>
          <w:color w:val="auto"/>
          <w:sz w:val="28"/>
          <w:szCs w:val="28"/>
          <w:highlight w:val="none"/>
        </w:rPr>
        <w:t>格式）</w:t>
      </w:r>
    </w:p>
    <w:p w14:paraId="0CAADF2C">
      <w:pPr>
        <w:spacing w:line="360" w:lineRule="auto"/>
        <w:ind w:left="0" w:leftChars="0"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（如有委托时）</w:t>
      </w:r>
    </w:p>
    <w:p w14:paraId="1240421A">
      <w:pPr>
        <w:spacing w:line="360" w:lineRule="auto"/>
        <w:ind w:firstLine="640"/>
        <w:contextualSpacing/>
        <w:rPr>
          <w:rFonts w:hint="eastAsia" w:ascii="仿宋" w:hAnsi="仿宋" w:eastAsia="仿宋" w:cs="仿宋"/>
          <w:color w:val="auto"/>
          <w:sz w:val="32"/>
          <w:szCs w:val="32"/>
          <w:highlight w:val="none"/>
        </w:rPr>
      </w:pPr>
    </w:p>
    <w:p w14:paraId="46348BE1">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w:t>
      </w:r>
    </w:p>
    <w:p w14:paraId="68E70590">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（供应商名称）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□法定代表人/□负责人/□自然人本人</w:t>
      </w:r>
      <w:r>
        <w:rPr>
          <w:rFonts w:hint="eastAsia" w:ascii="仿宋" w:hAnsi="仿宋" w:eastAsia="仿宋" w:cs="仿宋"/>
          <w:color w:val="auto"/>
          <w:sz w:val="24"/>
          <w:szCs w:val="24"/>
          <w:highlight w:val="none"/>
        </w:rPr>
        <w:t>），现授权</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以我方的名义参加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项目的竞争性谈判活动，并代表我方全权办理针对上述项目的所有采购程序和环节的具体事务和签署相关文件。</w:t>
      </w:r>
    </w:p>
    <w:p w14:paraId="01CD4274">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我方对委托代理人的签字事项负全部责任。</w:t>
      </w:r>
    </w:p>
    <w:p w14:paraId="3A7B0726">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本授权书自签署之日起生效，在撤销授权的书面通知以前，本授权书一直有效。委托代理人在授权书有效期内签署的所有文件不因授权的撤销而失效。</w:t>
      </w:r>
    </w:p>
    <w:p w14:paraId="1CCE20B0">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委托代理人无转委托权，特此委托。</w:t>
      </w:r>
    </w:p>
    <w:p w14:paraId="2AC8CF4A">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附：法定代表人身份证明及委托代理人有效身份证正反面复印件</w:t>
      </w:r>
    </w:p>
    <w:p w14:paraId="74C50B11">
      <w:pPr>
        <w:spacing w:line="360" w:lineRule="auto"/>
        <w:contextualSpacing/>
        <w:rPr>
          <w:rFonts w:hint="eastAsia" w:ascii="仿宋" w:hAnsi="仿宋" w:eastAsia="仿宋" w:cs="仿宋"/>
          <w:color w:val="auto"/>
          <w:sz w:val="24"/>
          <w:szCs w:val="24"/>
          <w:highlight w:val="none"/>
        </w:rPr>
      </w:pPr>
    </w:p>
    <w:p w14:paraId="46468C6D">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B86182D">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25A4361">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BD78939">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76B83742">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年</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月</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日</w:t>
      </w:r>
    </w:p>
    <w:p w14:paraId="142CD0DF">
      <w:pPr>
        <w:spacing w:line="360" w:lineRule="auto"/>
        <w:contextualSpacing/>
        <w:rPr>
          <w:rFonts w:hint="eastAsia" w:ascii="仿宋" w:hAnsi="仿宋" w:eastAsia="仿宋" w:cs="仿宋"/>
          <w:color w:val="auto"/>
          <w:sz w:val="24"/>
          <w:szCs w:val="24"/>
          <w:highlight w:val="none"/>
        </w:rPr>
      </w:pPr>
    </w:p>
    <w:p w14:paraId="1655B216">
      <w:pPr>
        <w:spacing w:line="360" w:lineRule="auto"/>
        <w:ind w:firstLine="482"/>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14:paraId="709DBCDF">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1.法定代表人必须在授权委托书上亲笔签字或者盖章，委托代理人必须在授权委托书上亲笔签字，</w:t>
      </w:r>
      <w:r>
        <w:rPr>
          <w:rFonts w:hint="eastAsia" w:ascii="仿宋" w:hAnsi="仿宋" w:eastAsia="仿宋" w:cs="仿宋"/>
          <w:b/>
          <w:color w:val="auto"/>
          <w:sz w:val="24"/>
          <w:szCs w:val="24"/>
          <w:highlight w:val="none"/>
        </w:rPr>
        <w:t>否则其响应文件按无效响应处理。</w:t>
      </w:r>
    </w:p>
    <w:p w14:paraId="6E63B0C5">
      <w:pPr>
        <w:spacing w:line="360" w:lineRule="auto"/>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2.法人、其他组织</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时“我方”是指“我单位”，自然人</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时“我方”是指“本人”。</w:t>
      </w:r>
    </w:p>
    <w:p w14:paraId="018155DA">
      <w:pPr>
        <w:spacing w:line="360" w:lineRule="auto"/>
        <w:ind w:firstLine="420" w:firstLineChars="200"/>
        <w:contextualSpacing/>
        <w:jc w:val="left"/>
        <w:rPr>
          <w:rFonts w:hint="eastAsia" w:ascii="仿宋" w:hAnsi="仿宋" w:eastAsia="仿宋" w:cs="仿宋"/>
          <w:color w:val="auto"/>
          <w:szCs w:val="21"/>
          <w:highlight w:val="none"/>
        </w:rPr>
      </w:pPr>
    </w:p>
    <w:p w14:paraId="59C74F68">
      <w:pPr>
        <w:spacing w:line="360" w:lineRule="auto"/>
        <w:ind w:left="0" w:leftChars="0" w:firstLine="0" w:firstLineChars="0"/>
        <w:contextualSpacing/>
        <w:jc w:val="center"/>
        <w:rPr>
          <w:rFonts w:hint="eastAsia" w:ascii="仿宋" w:hAnsi="仿宋" w:eastAsia="仿宋" w:cs="仿宋"/>
          <w:b/>
          <w:color w:val="auto"/>
          <w:sz w:val="44"/>
          <w:szCs w:val="44"/>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44"/>
          <w:szCs w:val="44"/>
          <w:highlight w:val="none"/>
        </w:rPr>
        <w:t>授权委托书</w:t>
      </w:r>
    </w:p>
    <w:p w14:paraId="4E3E2000">
      <w:pPr>
        <w:spacing w:line="360" w:lineRule="auto"/>
        <w:ind w:left="0" w:leftChars="0" w:firstLine="0" w:firstLineChars="0"/>
        <w:contextualSpacing/>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w:t>
      </w:r>
      <w:r>
        <w:rPr>
          <w:rFonts w:hint="eastAsia" w:ascii="仿宋" w:hAnsi="仿宋" w:eastAsia="仿宋" w:cs="仿宋"/>
          <w:color w:val="auto"/>
          <w:sz w:val="28"/>
          <w:szCs w:val="28"/>
          <w:highlight w:val="none"/>
          <w:lang w:eastAsia="zh-CN"/>
        </w:rPr>
        <w:t>竞标</w:t>
      </w:r>
      <w:r>
        <w:rPr>
          <w:rFonts w:hint="eastAsia" w:ascii="仿宋" w:hAnsi="仿宋" w:eastAsia="仿宋" w:cs="仿宋"/>
          <w:color w:val="auto"/>
          <w:sz w:val="28"/>
          <w:szCs w:val="28"/>
          <w:highlight w:val="none"/>
        </w:rPr>
        <w:t>格式）</w:t>
      </w:r>
    </w:p>
    <w:p w14:paraId="405E6F6D">
      <w:pPr>
        <w:spacing w:line="360" w:lineRule="auto"/>
        <w:ind w:left="0" w:leftChars="0" w:firstLine="0" w:firstLineChars="0"/>
        <w:contextualSpacing/>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（如有委托时）</w:t>
      </w:r>
    </w:p>
    <w:p w14:paraId="01E570C2">
      <w:pPr>
        <w:spacing w:line="360" w:lineRule="auto"/>
        <w:ind w:firstLine="640"/>
        <w:contextualSpacing/>
        <w:rPr>
          <w:rFonts w:hint="eastAsia" w:ascii="仿宋" w:hAnsi="仿宋" w:eastAsia="仿宋" w:cs="仿宋"/>
          <w:color w:val="auto"/>
          <w:sz w:val="32"/>
          <w:szCs w:val="32"/>
          <w:highlight w:val="none"/>
        </w:rPr>
      </w:pPr>
    </w:p>
    <w:p w14:paraId="5A2372E1">
      <w:pPr>
        <w:spacing w:line="360" w:lineRule="auto"/>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本授权委托书声明：根据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（牵头人名称）与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（联合体其他成员名称）签订的《联合体</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协议书》的内容，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（牵头人名称）的法定代表人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（姓名）现授权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（姓名）为联合委托代理人，并代表我方全权办理针对上述项目的所有采购程序和环节的具体事务和签署相关文件。</w:t>
      </w:r>
    </w:p>
    <w:p w14:paraId="1CFB089F">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我方对委托代理人的签字事项负全部责任。</w:t>
      </w:r>
    </w:p>
    <w:p w14:paraId="65866EF0">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本授权书自签署之日起生效，在撤销授权的书面通知以前，本授权书一直有效。委托代理人在授权书有效期内签署的所有文件不因授权的撤销而失效。</w:t>
      </w:r>
    </w:p>
    <w:p w14:paraId="715AC959">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委托代理人无转委托权，特此委托。</w:t>
      </w:r>
    </w:p>
    <w:p w14:paraId="42EB4535">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附：法定代表人身份证明及委托代理人有效身份证正反面复印件</w:t>
      </w:r>
    </w:p>
    <w:p w14:paraId="56CACF0E">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牵头人法定代表人（签字）：</w:t>
      </w:r>
    </w:p>
    <w:p w14:paraId="3D762CE5">
      <w:pPr>
        <w:spacing w:line="360" w:lineRule="auto"/>
        <w:ind w:firstLine="3120" w:firstLineChars="13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牵头人（公章）：</w:t>
      </w:r>
      <w:r>
        <w:rPr>
          <w:rFonts w:hint="eastAsia" w:ascii="仿宋" w:hAnsi="仿宋" w:eastAsia="仿宋" w:cs="仿宋"/>
          <w:color w:val="auto"/>
          <w:sz w:val="24"/>
          <w:szCs w:val="24"/>
          <w:highlight w:val="none"/>
          <w:u w:val="single"/>
        </w:rPr>
        <w:t xml:space="preserve">                   </w:t>
      </w:r>
    </w:p>
    <w:p w14:paraId="79A51ABD">
      <w:pPr>
        <w:spacing w:line="360" w:lineRule="auto"/>
        <w:ind w:firstLine="3840" w:firstLineChars="16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年</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月</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日</w:t>
      </w:r>
    </w:p>
    <w:p w14:paraId="4DFFC4C9">
      <w:pPr>
        <w:spacing w:line="360" w:lineRule="auto"/>
        <w:contextualSpacing/>
        <w:rPr>
          <w:rFonts w:hint="eastAsia" w:ascii="仿宋" w:hAnsi="仿宋" w:eastAsia="仿宋" w:cs="仿宋"/>
          <w:color w:val="auto"/>
          <w:sz w:val="24"/>
          <w:szCs w:val="24"/>
          <w:highlight w:val="none"/>
        </w:rPr>
      </w:pPr>
    </w:p>
    <w:p w14:paraId="682D443C">
      <w:pPr>
        <w:spacing w:line="360" w:lineRule="auto"/>
        <w:ind w:firstLine="3120" w:firstLineChars="13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被授权人（签字）：</w:t>
      </w:r>
      <w:r>
        <w:rPr>
          <w:rFonts w:hint="eastAsia" w:ascii="仿宋" w:hAnsi="仿宋" w:eastAsia="仿宋" w:cs="仿宋"/>
          <w:color w:val="auto"/>
          <w:sz w:val="24"/>
          <w:szCs w:val="24"/>
          <w:highlight w:val="none"/>
          <w:u w:val="single"/>
        </w:rPr>
        <w:t xml:space="preserve">                    </w:t>
      </w:r>
    </w:p>
    <w:p w14:paraId="2B9F9D3F">
      <w:pPr>
        <w:spacing w:line="360" w:lineRule="auto"/>
        <w:ind w:firstLine="3840" w:firstLineChars="16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年</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月</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日</w:t>
      </w:r>
    </w:p>
    <w:p w14:paraId="25603F7F">
      <w:pPr>
        <w:spacing w:line="360" w:lineRule="auto"/>
        <w:contextualSpacing/>
        <w:rPr>
          <w:rFonts w:hint="eastAsia" w:ascii="仿宋" w:hAnsi="仿宋" w:eastAsia="仿宋" w:cs="仿宋"/>
          <w:color w:val="auto"/>
          <w:sz w:val="24"/>
          <w:szCs w:val="24"/>
          <w:highlight w:val="none"/>
        </w:rPr>
      </w:pPr>
    </w:p>
    <w:p w14:paraId="7870BB28">
      <w:pPr>
        <w:spacing w:line="360" w:lineRule="auto"/>
        <w:ind w:firstLine="482"/>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14:paraId="17C8ED70">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1.法定代表人必须在授权委托书上亲笔签字或者盖章，委托代理人必须在授权委托书上亲笔签字，</w:t>
      </w:r>
      <w:r>
        <w:rPr>
          <w:rFonts w:hint="eastAsia" w:ascii="仿宋" w:hAnsi="仿宋" w:eastAsia="仿宋" w:cs="仿宋"/>
          <w:b/>
          <w:bCs/>
          <w:color w:val="auto"/>
          <w:sz w:val="24"/>
          <w:szCs w:val="24"/>
          <w:highlight w:val="none"/>
        </w:rPr>
        <w:t>否</w:t>
      </w:r>
      <w:r>
        <w:rPr>
          <w:rFonts w:hint="eastAsia" w:ascii="仿宋" w:hAnsi="仿宋" w:eastAsia="仿宋" w:cs="仿宋"/>
          <w:b/>
          <w:color w:val="auto"/>
          <w:sz w:val="24"/>
          <w:szCs w:val="24"/>
          <w:highlight w:val="none"/>
        </w:rPr>
        <w:t>则其响应文件按无效响应处理。</w:t>
      </w:r>
    </w:p>
    <w:p w14:paraId="12499790">
      <w:pPr>
        <w:spacing w:line="360" w:lineRule="auto"/>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2.本授权委托书应由联合体牵头人的法定代表人按上述规定签署。</w:t>
      </w:r>
    </w:p>
    <w:p w14:paraId="2C4839CB">
      <w:pPr>
        <w:spacing w:line="360" w:lineRule="auto"/>
        <w:ind w:firstLine="48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3.法人、其他组织</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时“我方”是指“我单位”，自然人</w:t>
      </w:r>
      <w:r>
        <w:rPr>
          <w:rFonts w:hint="eastAsia" w:ascii="仿宋" w:hAnsi="仿宋" w:eastAsia="仿宋" w:cs="仿宋"/>
          <w:color w:val="auto"/>
          <w:sz w:val="24"/>
          <w:szCs w:val="24"/>
          <w:highlight w:val="none"/>
          <w:lang w:eastAsia="zh-CN"/>
        </w:rPr>
        <w:t>竞标</w:t>
      </w:r>
      <w:r>
        <w:rPr>
          <w:rFonts w:hint="eastAsia" w:ascii="仿宋" w:hAnsi="仿宋" w:eastAsia="仿宋" w:cs="仿宋"/>
          <w:color w:val="auto"/>
          <w:sz w:val="24"/>
          <w:szCs w:val="24"/>
          <w:highlight w:val="none"/>
        </w:rPr>
        <w:t>时“我方”是指“本人”。</w:t>
      </w:r>
    </w:p>
    <w:p w14:paraId="69DDE959">
      <w:pPr>
        <w:spacing w:line="360" w:lineRule="auto"/>
        <w:ind w:left="0" w:leftChars="0" w:firstLine="0" w:firstLineChars="0"/>
        <w:jc w:val="center"/>
        <w:rPr>
          <w:rFonts w:hint="eastAsia" w:ascii="仿宋" w:hAnsi="仿宋" w:eastAsia="仿宋" w:cs="仿宋"/>
          <w:b/>
          <w:bCs/>
          <w:color w:val="auto"/>
          <w:sz w:val="44"/>
          <w:szCs w:val="44"/>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44"/>
          <w:szCs w:val="44"/>
          <w:highlight w:val="none"/>
        </w:rPr>
        <w:t>商务要求偏离表格式</w:t>
      </w:r>
    </w:p>
    <w:p w14:paraId="014DFBEA">
      <w:pPr>
        <w:spacing w:line="360" w:lineRule="auto"/>
        <w:ind w:left="0" w:leftChars="0" w:firstLine="0" w:firstLineChars="0"/>
        <w:jc w:val="center"/>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（注：按采购需求具体条款修改）</w:t>
      </w:r>
    </w:p>
    <w:p w14:paraId="27C5E7CC">
      <w:pPr>
        <w:snapToGrid w:val="0"/>
        <w:spacing w:line="360" w:lineRule="auto"/>
        <w:jc w:val="left"/>
        <w:rPr>
          <w:rFonts w:hint="eastAsia" w:ascii="仿宋" w:hAnsi="仿宋" w:eastAsia="仿宋" w:cs="仿宋"/>
          <w:color w:val="auto"/>
          <w:sz w:val="24"/>
          <w:szCs w:val="24"/>
          <w:highlight w:val="none"/>
        </w:rPr>
      </w:pPr>
    </w:p>
    <w:p w14:paraId="12AD2109">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1E5A252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1B039A7">
      <w:pPr>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分标（如有）：</w:t>
      </w:r>
      <w:r>
        <w:rPr>
          <w:rFonts w:hint="eastAsia" w:ascii="仿宋" w:hAnsi="仿宋" w:eastAsia="仿宋" w:cs="仿宋"/>
          <w:color w:val="auto"/>
          <w:sz w:val="24"/>
          <w:szCs w:val="24"/>
          <w:highlight w:val="none"/>
          <w:u w:val="single"/>
        </w:rPr>
        <w:t xml:space="preserve">            </w:t>
      </w:r>
    </w:p>
    <w:tbl>
      <w:tblPr>
        <w:tblStyle w:val="22"/>
        <w:tblpPr w:leftFromText="180" w:rightFromText="180" w:vertAnchor="text" w:horzAnchor="margin" w:tblpXSpec="left" w:tblpY="311"/>
        <w:tblOverlap w:val="never"/>
        <w:tblW w:w="93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1"/>
        <w:gridCol w:w="2671"/>
        <w:gridCol w:w="2636"/>
        <w:gridCol w:w="1831"/>
      </w:tblGrid>
      <w:tr w14:paraId="02041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181" w:type="dxa"/>
            <w:tcBorders>
              <w:top w:val="single" w:color="auto" w:sz="4" w:space="0"/>
              <w:left w:val="single" w:color="auto" w:sz="4" w:space="0"/>
              <w:bottom w:val="single" w:color="auto" w:sz="4" w:space="0"/>
              <w:right w:val="single" w:color="auto" w:sz="4" w:space="0"/>
            </w:tcBorders>
            <w:vAlign w:val="center"/>
          </w:tcPr>
          <w:p w14:paraId="20A08B65">
            <w:pPr>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2671" w:type="dxa"/>
            <w:tcBorders>
              <w:top w:val="single" w:color="auto" w:sz="4" w:space="0"/>
              <w:left w:val="single" w:color="auto" w:sz="4" w:space="0"/>
              <w:bottom w:val="single" w:color="auto" w:sz="4" w:space="0"/>
              <w:right w:val="single" w:color="auto" w:sz="4" w:space="0"/>
            </w:tcBorders>
            <w:vAlign w:val="center"/>
          </w:tcPr>
          <w:p w14:paraId="4A105F5B">
            <w:pPr>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谈判文件商务要求</w:t>
            </w:r>
          </w:p>
        </w:tc>
        <w:tc>
          <w:tcPr>
            <w:tcW w:w="2636" w:type="dxa"/>
            <w:tcBorders>
              <w:top w:val="single" w:color="auto" w:sz="4" w:space="0"/>
              <w:left w:val="single" w:color="auto" w:sz="4" w:space="0"/>
              <w:bottom w:val="single" w:color="auto" w:sz="4" w:space="0"/>
              <w:right w:val="single" w:color="auto" w:sz="4" w:space="0"/>
            </w:tcBorders>
            <w:vAlign w:val="center"/>
          </w:tcPr>
          <w:p w14:paraId="712712B4">
            <w:pPr>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供应商的响应</w:t>
            </w:r>
          </w:p>
        </w:tc>
        <w:tc>
          <w:tcPr>
            <w:tcW w:w="1831" w:type="dxa"/>
            <w:tcBorders>
              <w:top w:val="single" w:color="auto" w:sz="4" w:space="0"/>
              <w:left w:val="single" w:color="auto" w:sz="4" w:space="0"/>
              <w:bottom w:val="single" w:color="auto" w:sz="4" w:space="0"/>
              <w:right w:val="single" w:color="auto" w:sz="4" w:space="0"/>
            </w:tcBorders>
            <w:vAlign w:val="center"/>
          </w:tcPr>
          <w:p w14:paraId="03056BC5">
            <w:pPr>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290EF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181" w:type="dxa"/>
            <w:tcBorders>
              <w:top w:val="single" w:color="auto" w:sz="4" w:space="0"/>
              <w:left w:val="single" w:color="auto" w:sz="4" w:space="0"/>
              <w:bottom w:val="single" w:color="auto" w:sz="4" w:space="0"/>
              <w:right w:val="single" w:color="auto" w:sz="4" w:space="0"/>
            </w:tcBorders>
            <w:vAlign w:val="center"/>
          </w:tcPr>
          <w:p w14:paraId="72436DDB">
            <w:pPr>
              <w:spacing w:line="500" w:lineRule="exact"/>
              <w:jc w:val="center"/>
              <w:rPr>
                <w:rFonts w:hint="eastAsia" w:ascii="仿宋" w:hAnsi="仿宋" w:eastAsia="仿宋" w:cs="仿宋"/>
                <w:color w:val="auto"/>
                <w:sz w:val="24"/>
                <w:szCs w:val="24"/>
                <w:highlight w:val="none"/>
              </w:rPr>
            </w:pPr>
          </w:p>
        </w:tc>
        <w:tc>
          <w:tcPr>
            <w:tcW w:w="2671" w:type="dxa"/>
            <w:tcBorders>
              <w:top w:val="single" w:color="auto" w:sz="4" w:space="0"/>
              <w:left w:val="single" w:color="auto" w:sz="4" w:space="0"/>
              <w:bottom w:val="single" w:color="auto" w:sz="4" w:space="0"/>
              <w:right w:val="single" w:color="auto" w:sz="4" w:space="0"/>
            </w:tcBorders>
            <w:vAlign w:val="center"/>
          </w:tcPr>
          <w:p w14:paraId="1FDA6DFB">
            <w:pPr>
              <w:spacing w:line="500" w:lineRule="exact"/>
              <w:jc w:val="center"/>
              <w:rPr>
                <w:rFonts w:hint="eastAsia" w:ascii="仿宋" w:hAnsi="仿宋" w:eastAsia="仿宋" w:cs="仿宋"/>
                <w:color w:val="auto"/>
                <w:sz w:val="24"/>
                <w:szCs w:val="24"/>
                <w:highlight w:val="none"/>
              </w:rPr>
            </w:pPr>
          </w:p>
        </w:tc>
        <w:tc>
          <w:tcPr>
            <w:tcW w:w="2636" w:type="dxa"/>
            <w:tcBorders>
              <w:top w:val="single" w:color="auto" w:sz="4" w:space="0"/>
              <w:left w:val="single" w:color="auto" w:sz="4" w:space="0"/>
              <w:bottom w:val="single" w:color="auto" w:sz="4" w:space="0"/>
              <w:right w:val="single" w:color="auto" w:sz="4" w:space="0"/>
            </w:tcBorders>
            <w:vAlign w:val="center"/>
          </w:tcPr>
          <w:p w14:paraId="19B9F919">
            <w:pPr>
              <w:snapToGrid w:val="0"/>
              <w:spacing w:line="500" w:lineRule="exact"/>
              <w:jc w:val="center"/>
              <w:rPr>
                <w:rFonts w:hint="eastAsia"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E95EF6E">
            <w:pPr>
              <w:snapToGrid w:val="0"/>
              <w:spacing w:line="500" w:lineRule="exact"/>
              <w:jc w:val="center"/>
              <w:rPr>
                <w:rFonts w:hint="eastAsia" w:ascii="仿宋" w:hAnsi="仿宋" w:eastAsia="仿宋" w:cs="仿宋"/>
                <w:color w:val="auto"/>
                <w:sz w:val="24"/>
                <w:szCs w:val="24"/>
                <w:highlight w:val="none"/>
              </w:rPr>
            </w:pPr>
          </w:p>
        </w:tc>
      </w:tr>
      <w:tr w14:paraId="2168A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81" w:type="dxa"/>
            <w:tcBorders>
              <w:top w:val="single" w:color="auto" w:sz="4" w:space="0"/>
              <w:left w:val="single" w:color="auto" w:sz="4" w:space="0"/>
              <w:bottom w:val="single" w:color="auto" w:sz="4" w:space="0"/>
              <w:right w:val="single" w:color="auto" w:sz="4" w:space="0"/>
            </w:tcBorders>
            <w:vAlign w:val="center"/>
          </w:tcPr>
          <w:p w14:paraId="3F0E5DAC">
            <w:pPr>
              <w:spacing w:line="500" w:lineRule="exact"/>
              <w:jc w:val="center"/>
              <w:rPr>
                <w:rFonts w:hint="eastAsia" w:ascii="仿宋" w:hAnsi="仿宋" w:eastAsia="仿宋" w:cs="仿宋"/>
                <w:color w:val="auto"/>
                <w:sz w:val="24"/>
                <w:szCs w:val="24"/>
                <w:highlight w:val="none"/>
              </w:rPr>
            </w:pPr>
          </w:p>
        </w:tc>
        <w:tc>
          <w:tcPr>
            <w:tcW w:w="2671" w:type="dxa"/>
            <w:tcBorders>
              <w:top w:val="single" w:color="auto" w:sz="4" w:space="0"/>
              <w:left w:val="single" w:color="auto" w:sz="4" w:space="0"/>
              <w:bottom w:val="single" w:color="auto" w:sz="4" w:space="0"/>
              <w:right w:val="single" w:color="auto" w:sz="4" w:space="0"/>
            </w:tcBorders>
            <w:vAlign w:val="center"/>
          </w:tcPr>
          <w:p w14:paraId="252C5EAF">
            <w:pPr>
              <w:spacing w:line="500" w:lineRule="exact"/>
              <w:jc w:val="center"/>
              <w:rPr>
                <w:rFonts w:hint="eastAsia" w:ascii="仿宋" w:hAnsi="仿宋" w:eastAsia="仿宋" w:cs="仿宋"/>
                <w:color w:val="auto"/>
                <w:sz w:val="24"/>
                <w:szCs w:val="24"/>
                <w:highlight w:val="none"/>
              </w:rPr>
            </w:pPr>
          </w:p>
        </w:tc>
        <w:tc>
          <w:tcPr>
            <w:tcW w:w="2636" w:type="dxa"/>
            <w:tcBorders>
              <w:top w:val="single" w:color="auto" w:sz="4" w:space="0"/>
              <w:left w:val="single" w:color="auto" w:sz="4" w:space="0"/>
              <w:bottom w:val="single" w:color="auto" w:sz="4" w:space="0"/>
              <w:right w:val="single" w:color="auto" w:sz="4" w:space="0"/>
            </w:tcBorders>
            <w:vAlign w:val="center"/>
          </w:tcPr>
          <w:p w14:paraId="32393931">
            <w:pPr>
              <w:snapToGrid w:val="0"/>
              <w:spacing w:line="500" w:lineRule="exact"/>
              <w:jc w:val="center"/>
              <w:rPr>
                <w:rFonts w:hint="eastAsia"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853C991">
            <w:pPr>
              <w:snapToGrid w:val="0"/>
              <w:spacing w:line="500" w:lineRule="exact"/>
              <w:jc w:val="center"/>
              <w:rPr>
                <w:rFonts w:hint="eastAsia" w:ascii="仿宋" w:hAnsi="仿宋" w:eastAsia="仿宋" w:cs="仿宋"/>
                <w:color w:val="auto"/>
                <w:sz w:val="24"/>
                <w:szCs w:val="24"/>
                <w:highlight w:val="none"/>
              </w:rPr>
            </w:pPr>
          </w:p>
        </w:tc>
      </w:tr>
      <w:tr w14:paraId="6F2A9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2181" w:type="dxa"/>
            <w:tcBorders>
              <w:top w:val="single" w:color="auto" w:sz="4" w:space="0"/>
              <w:left w:val="single" w:color="auto" w:sz="4" w:space="0"/>
              <w:bottom w:val="single" w:color="auto" w:sz="4" w:space="0"/>
              <w:right w:val="single" w:color="auto" w:sz="4" w:space="0"/>
            </w:tcBorders>
            <w:vAlign w:val="center"/>
          </w:tcPr>
          <w:p w14:paraId="469F3A10">
            <w:pPr>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671" w:type="dxa"/>
            <w:tcBorders>
              <w:top w:val="single" w:color="auto" w:sz="4" w:space="0"/>
              <w:left w:val="single" w:color="auto" w:sz="4" w:space="0"/>
              <w:bottom w:val="single" w:color="auto" w:sz="4" w:space="0"/>
              <w:right w:val="single" w:color="auto" w:sz="4" w:space="0"/>
            </w:tcBorders>
            <w:vAlign w:val="center"/>
          </w:tcPr>
          <w:p w14:paraId="65834E21">
            <w:pPr>
              <w:snapToGrid w:val="0"/>
              <w:spacing w:line="500" w:lineRule="exact"/>
              <w:jc w:val="center"/>
              <w:rPr>
                <w:rFonts w:hint="eastAsia" w:ascii="仿宋" w:hAnsi="仿宋" w:eastAsia="仿宋" w:cs="仿宋"/>
                <w:color w:val="auto"/>
                <w:sz w:val="24"/>
                <w:szCs w:val="24"/>
                <w:highlight w:val="none"/>
              </w:rPr>
            </w:pPr>
          </w:p>
        </w:tc>
        <w:tc>
          <w:tcPr>
            <w:tcW w:w="2636" w:type="dxa"/>
            <w:tcBorders>
              <w:top w:val="single" w:color="auto" w:sz="4" w:space="0"/>
              <w:left w:val="single" w:color="auto" w:sz="4" w:space="0"/>
              <w:bottom w:val="single" w:color="auto" w:sz="4" w:space="0"/>
              <w:right w:val="single" w:color="auto" w:sz="4" w:space="0"/>
            </w:tcBorders>
            <w:vAlign w:val="center"/>
          </w:tcPr>
          <w:p w14:paraId="79592B6A">
            <w:pPr>
              <w:snapToGrid w:val="0"/>
              <w:spacing w:line="500" w:lineRule="exact"/>
              <w:jc w:val="center"/>
              <w:rPr>
                <w:rFonts w:hint="eastAsia"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CE38322">
            <w:pPr>
              <w:snapToGrid w:val="0"/>
              <w:spacing w:line="500" w:lineRule="exact"/>
              <w:jc w:val="center"/>
              <w:rPr>
                <w:rFonts w:hint="eastAsia" w:ascii="仿宋" w:hAnsi="仿宋" w:eastAsia="仿宋" w:cs="仿宋"/>
                <w:color w:val="auto"/>
                <w:sz w:val="24"/>
                <w:szCs w:val="24"/>
                <w:highlight w:val="none"/>
              </w:rPr>
            </w:pPr>
          </w:p>
        </w:tc>
      </w:tr>
    </w:tbl>
    <w:p w14:paraId="4F425E83">
      <w:pPr>
        <w:spacing w:line="360" w:lineRule="auto"/>
        <w:ind w:firstLine="482"/>
        <w:contextualSpacing/>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注：</w:t>
      </w:r>
    </w:p>
    <w:p w14:paraId="40309BBC">
      <w:pPr>
        <w:spacing w:line="360" w:lineRule="auto"/>
        <w:ind w:firstLine="480" w:firstLineChars="20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1.说明：应对照谈判文件“第三章 采购需求”中的商务要求逐条明确响应，并作出偏离说明。</w:t>
      </w:r>
    </w:p>
    <w:p w14:paraId="7D5C128C">
      <w:pPr>
        <w:spacing w:line="360" w:lineRule="auto"/>
        <w:ind w:firstLine="480" w:firstLineChars="20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2.供应商应根据自身的承诺，对照谈判文件要求在“偏离说明”中注明“正偏离”、“负偏离”或者“无偏离”。既不属于“正偏离”也不属于“负偏离”即为“无偏离”。</w:t>
      </w:r>
    </w:p>
    <w:p w14:paraId="43794E44">
      <w:pPr>
        <w:spacing w:line="360" w:lineRule="auto"/>
        <w:ind w:firstLine="480" w:firstLineChars="200"/>
        <w:contextualSpacing/>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3.供应商须按商务要求的内容提供承诺文件，并在“偏离说明”中注明所在页码。</w:t>
      </w:r>
    </w:p>
    <w:p w14:paraId="50408356">
      <w:pPr>
        <w:spacing w:line="360" w:lineRule="auto"/>
        <w:contextualSpacing/>
        <w:jc w:val="left"/>
        <w:rPr>
          <w:rFonts w:hint="eastAsia" w:ascii="仿宋" w:hAnsi="仿宋" w:eastAsia="仿宋" w:cs="仿宋"/>
          <w:color w:val="auto"/>
          <w:sz w:val="24"/>
          <w:szCs w:val="24"/>
          <w:highlight w:val="none"/>
          <w:u w:val="single"/>
        </w:rPr>
      </w:pPr>
    </w:p>
    <w:p w14:paraId="55FB6B75">
      <w:pPr>
        <w:spacing w:line="360" w:lineRule="auto"/>
        <w:contextualSpacing/>
        <w:rPr>
          <w:rFonts w:hint="eastAsia" w:ascii="仿宋" w:hAnsi="仿宋" w:eastAsia="仿宋" w:cs="仿宋"/>
          <w:color w:val="auto"/>
          <w:sz w:val="24"/>
          <w:szCs w:val="24"/>
          <w:highlight w:val="none"/>
        </w:rPr>
      </w:pPr>
    </w:p>
    <w:p w14:paraId="295652F4">
      <w:pPr>
        <w:spacing w:line="360" w:lineRule="auto"/>
        <w:contextualSpacing/>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法定代表人或者委托代理人（签字）：</w:t>
      </w:r>
      <w:r>
        <w:rPr>
          <w:rFonts w:hint="eastAsia" w:ascii="仿宋" w:hAnsi="仿宋" w:eastAsia="仿宋" w:cs="仿宋"/>
          <w:color w:val="auto"/>
          <w:sz w:val="24"/>
          <w:szCs w:val="24"/>
          <w:highlight w:val="none"/>
          <w:u w:val="single"/>
        </w:rPr>
        <w:t xml:space="preserve">               </w:t>
      </w:r>
    </w:p>
    <w:p w14:paraId="6FB9203F">
      <w:pPr>
        <w:spacing w:line="360" w:lineRule="auto"/>
        <w:ind w:firstLine="3240" w:firstLineChars="13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C170746">
      <w:pPr>
        <w:spacing w:line="360" w:lineRule="auto"/>
        <w:ind w:firstLine="3240" w:firstLineChars="13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年</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月</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日</w:t>
      </w:r>
    </w:p>
    <w:p w14:paraId="0A7EE1F9">
      <w:pPr>
        <w:adjustRightInd w:val="0"/>
        <w:snapToGrid w:val="0"/>
        <w:spacing w:line="360" w:lineRule="auto"/>
        <w:ind w:firstLine="7040" w:firstLineChars="1600"/>
        <w:jc w:val="center"/>
        <w:rPr>
          <w:rFonts w:hint="eastAsia" w:ascii="仿宋" w:hAnsi="仿宋" w:eastAsia="仿宋" w:cs="仿宋"/>
          <w:bCs/>
          <w:color w:val="auto"/>
          <w:sz w:val="44"/>
          <w:szCs w:val="44"/>
          <w:highlight w:val="none"/>
        </w:rPr>
      </w:pPr>
    </w:p>
    <w:p w14:paraId="40AFC341">
      <w:pPr>
        <w:adjustRightInd w:val="0"/>
        <w:snapToGrid w:val="0"/>
        <w:spacing w:line="360" w:lineRule="auto"/>
        <w:ind w:left="0" w:leftChars="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Cs/>
          <w:color w:val="auto"/>
          <w:sz w:val="44"/>
          <w:szCs w:val="44"/>
          <w:highlight w:val="none"/>
        </w:rPr>
        <w:br w:type="page"/>
      </w:r>
      <w:r>
        <w:rPr>
          <w:rFonts w:hint="eastAsia" w:ascii="仿宋" w:hAnsi="仿宋" w:eastAsia="仿宋" w:cs="仿宋"/>
          <w:b/>
          <w:bCs/>
          <w:color w:val="auto"/>
          <w:sz w:val="44"/>
          <w:szCs w:val="44"/>
          <w:highlight w:val="none"/>
        </w:rPr>
        <w:t>货物配置清单</w:t>
      </w:r>
    </w:p>
    <w:p w14:paraId="31E27E7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91B4E2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7916E8F">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分标（如有）：</w:t>
      </w:r>
      <w:r>
        <w:rPr>
          <w:rFonts w:hint="eastAsia" w:ascii="仿宋" w:hAnsi="仿宋" w:eastAsia="仿宋" w:cs="仿宋"/>
          <w:color w:val="auto"/>
          <w:sz w:val="24"/>
          <w:szCs w:val="24"/>
          <w:highlight w:val="none"/>
          <w:u w:val="single"/>
        </w:rPr>
        <w:t xml:space="preserve">                 </w:t>
      </w:r>
    </w:p>
    <w:tbl>
      <w:tblPr>
        <w:tblStyle w:val="22"/>
        <w:tblW w:w="97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1164"/>
        <w:gridCol w:w="836"/>
        <w:gridCol w:w="1669"/>
        <w:gridCol w:w="1164"/>
        <w:gridCol w:w="688"/>
        <w:gridCol w:w="717"/>
        <w:gridCol w:w="874"/>
        <w:gridCol w:w="1933"/>
      </w:tblGrid>
      <w:tr w14:paraId="749A1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14B0F41">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64" w:type="dxa"/>
            <w:tcBorders>
              <w:top w:val="single" w:color="auto" w:sz="4" w:space="0"/>
              <w:left w:val="single" w:color="auto" w:sz="4" w:space="0"/>
              <w:bottom w:val="single" w:color="auto" w:sz="4" w:space="0"/>
              <w:right w:val="single" w:color="auto" w:sz="4" w:space="0"/>
            </w:tcBorders>
            <w:vAlign w:val="center"/>
          </w:tcPr>
          <w:p w14:paraId="6795305D">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标的名称</w:t>
            </w:r>
          </w:p>
        </w:tc>
        <w:tc>
          <w:tcPr>
            <w:tcW w:w="836" w:type="dxa"/>
            <w:tcBorders>
              <w:top w:val="single" w:color="auto" w:sz="4" w:space="0"/>
              <w:left w:val="single" w:color="auto" w:sz="4" w:space="0"/>
              <w:bottom w:val="single" w:color="auto" w:sz="4" w:space="0"/>
              <w:right w:val="single" w:color="auto" w:sz="4" w:space="0"/>
            </w:tcBorders>
            <w:vAlign w:val="center"/>
          </w:tcPr>
          <w:p w14:paraId="616D5472">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1669" w:type="dxa"/>
            <w:tcBorders>
              <w:top w:val="single" w:color="auto" w:sz="4" w:space="0"/>
              <w:left w:val="single" w:color="auto" w:sz="4" w:space="0"/>
              <w:bottom w:val="single" w:color="auto" w:sz="4" w:space="0"/>
              <w:right w:val="single" w:color="auto" w:sz="4" w:space="0"/>
            </w:tcBorders>
            <w:vAlign w:val="center"/>
          </w:tcPr>
          <w:p w14:paraId="3A4D9280">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tc>
        <w:tc>
          <w:tcPr>
            <w:tcW w:w="1164" w:type="dxa"/>
            <w:tcBorders>
              <w:top w:val="single" w:color="auto" w:sz="4" w:space="0"/>
              <w:left w:val="single" w:color="auto" w:sz="4" w:space="0"/>
              <w:bottom w:val="single" w:color="auto" w:sz="4" w:space="0"/>
              <w:right w:val="single" w:color="auto" w:sz="4" w:space="0"/>
            </w:tcBorders>
            <w:vAlign w:val="center"/>
          </w:tcPr>
          <w:p w14:paraId="4CFA005B">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生产厂家</w:t>
            </w:r>
          </w:p>
        </w:tc>
        <w:tc>
          <w:tcPr>
            <w:tcW w:w="688" w:type="dxa"/>
            <w:tcBorders>
              <w:top w:val="single" w:color="auto" w:sz="4" w:space="0"/>
              <w:left w:val="single" w:color="auto" w:sz="4" w:space="0"/>
              <w:bottom w:val="single" w:color="auto" w:sz="4" w:space="0"/>
              <w:right w:val="single" w:color="auto" w:sz="4" w:space="0"/>
            </w:tcBorders>
            <w:vAlign w:val="center"/>
          </w:tcPr>
          <w:p w14:paraId="2DEC8451">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717" w:type="dxa"/>
            <w:tcBorders>
              <w:top w:val="single" w:color="auto" w:sz="4" w:space="0"/>
              <w:left w:val="single" w:color="auto" w:sz="4" w:space="0"/>
              <w:bottom w:val="single" w:color="auto" w:sz="4" w:space="0"/>
              <w:right w:val="single" w:color="auto" w:sz="4" w:space="0"/>
            </w:tcBorders>
            <w:vAlign w:val="center"/>
          </w:tcPr>
          <w:p w14:paraId="659CE86C">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74" w:type="dxa"/>
            <w:tcBorders>
              <w:top w:val="single" w:color="auto" w:sz="4" w:space="0"/>
              <w:left w:val="single" w:color="auto" w:sz="4" w:space="0"/>
              <w:bottom w:val="single" w:color="auto" w:sz="4" w:space="0"/>
              <w:right w:val="single" w:color="auto" w:sz="4" w:space="0"/>
            </w:tcBorders>
            <w:vAlign w:val="center"/>
          </w:tcPr>
          <w:p w14:paraId="4F8D5EA3">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933" w:type="dxa"/>
            <w:tcBorders>
              <w:top w:val="single" w:color="auto" w:sz="4" w:space="0"/>
              <w:left w:val="single" w:color="auto" w:sz="4" w:space="0"/>
              <w:bottom w:val="single" w:color="auto" w:sz="4" w:space="0"/>
              <w:right w:val="single" w:color="auto" w:sz="4" w:space="0"/>
            </w:tcBorders>
            <w:vAlign w:val="center"/>
          </w:tcPr>
          <w:p w14:paraId="7D74602A">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参数性能、指标及配置</w:t>
            </w:r>
          </w:p>
        </w:tc>
      </w:tr>
      <w:tr w14:paraId="63947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6E45DD2">
            <w:pPr>
              <w:snapToGrid w:val="0"/>
              <w:spacing w:before="50" w:after="50"/>
              <w:jc w:val="center"/>
              <w:rPr>
                <w:rFonts w:hint="eastAsia" w:ascii="仿宋" w:hAnsi="仿宋" w:eastAsia="仿宋" w:cs="仿宋"/>
                <w:color w:val="auto"/>
                <w:sz w:val="24"/>
                <w:szCs w:val="24"/>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11F029D1">
            <w:pPr>
              <w:snapToGrid w:val="0"/>
              <w:spacing w:before="50" w:after="50"/>
              <w:jc w:val="cente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14:paraId="4580F950">
            <w:pPr>
              <w:snapToGrid w:val="0"/>
              <w:spacing w:before="50" w:after="50"/>
              <w:jc w:val="center"/>
              <w:rPr>
                <w:rFonts w:hint="eastAsia" w:ascii="仿宋" w:hAnsi="仿宋" w:eastAsia="仿宋" w:cs="仿宋"/>
                <w:color w:val="auto"/>
                <w:sz w:val="24"/>
                <w:szCs w:val="24"/>
                <w:highlight w:val="none"/>
              </w:rPr>
            </w:pPr>
          </w:p>
        </w:tc>
        <w:tc>
          <w:tcPr>
            <w:tcW w:w="1669" w:type="dxa"/>
            <w:tcBorders>
              <w:top w:val="single" w:color="auto" w:sz="4" w:space="0"/>
              <w:left w:val="single" w:color="auto" w:sz="4" w:space="0"/>
              <w:bottom w:val="single" w:color="auto" w:sz="4" w:space="0"/>
              <w:right w:val="single" w:color="auto" w:sz="4" w:space="0"/>
            </w:tcBorders>
          </w:tcPr>
          <w:p w14:paraId="7FE9495A">
            <w:pPr>
              <w:snapToGrid w:val="0"/>
              <w:spacing w:before="50" w:after="50"/>
              <w:jc w:val="center"/>
              <w:rPr>
                <w:rFonts w:hint="eastAsia" w:ascii="仿宋" w:hAnsi="仿宋" w:eastAsia="仿宋" w:cs="仿宋"/>
                <w:color w:val="auto"/>
                <w:sz w:val="24"/>
                <w:szCs w:val="24"/>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33AFF2FD">
            <w:pPr>
              <w:snapToGrid w:val="0"/>
              <w:spacing w:before="50" w:after="50"/>
              <w:jc w:val="center"/>
              <w:rPr>
                <w:rFonts w:hint="eastAsia" w:ascii="仿宋" w:hAnsi="仿宋" w:eastAsia="仿宋" w:cs="仿宋"/>
                <w:color w:val="auto"/>
                <w:sz w:val="24"/>
                <w:szCs w:val="24"/>
                <w:highlight w:val="none"/>
              </w:rPr>
            </w:pPr>
          </w:p>
        </w:tc>
        <w:tc>
          <w:tcPr>
            <w:tcW w:w="688" w:type="dxa"/>
            <w:tcBorders>
              <w:top w:val="single" w:color="auto" w:sz="4" w:space="0"/>
              <w:left w:val="single" w:color="auto" w:sz="4" w:space="0"/>
              <w:bottom w:val="single" w:color="auto" w:sz="4" w:space="0"/>
              <w:right w:val="single" w:color="auto" w:sz="4" w:space="0"/>
            </w:tcBorders>
            <w:vAlign w:val="center"/>
          </w:tcPr>
          <w:p w14:paraId="00099FF7">
            <w:pPr>
              <w:snapToGrid w:val="0"/>
              <w:spacing w:before="50" w:after="50"/>
              <w:jc w:val="center"/>
              <w:rPr>
                <w:rFonts w:hint="eastAsia" w:ascii="仿宋" w:hAnsi="仿宋" w:eastAsia="仿宋" w:cs="仿宋"/>
                <w:color w:val="auto"/>
                <w:sz w:val="24"/>
                <w:szCs w:val="24"/>
                <w:highlight w:val="none"/>
              </w:rPr>
            </w:pPr>
          </w:p>
        </w:tc>
        <w:tc>
          <w:tcPr>
            <w:tcW w:w="717" w:type="dxa"/>
            <w:tcBorders>
              <w:top w:val="single" w:color="auto" w:sz="4" w:space="0"/>
              <w:left w:val="single" w:color="auto" w:sz="4" w:space="0"/>
              <w:bottom w:val="single" w:color="auto" w:sz="4" w:space="0"/>
              <w:right w:val="single" w:color="auto" w:sz="4" w:space="0"/>
            </w:tcBorders>
          </w:tcPr>
          <w:p w14:paraId="0C4A8839">
            <w:pPr>
              <w:snapToGrid w:val="0"/>
              <w:spacing w:before="50" w:after="50"/>
              <w:jc w:val="center"/>
              <w:rPr>
                <w:rFonts w:hint="eastAsia" w:ascii="仿宋" w:hAnsi="仿宋" w:eastAsia="仿宋" w:cs="仿宋"/>
                <w:color w:val="auto"/>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tcPr>
          <w:p w14:paraId="22589CBF">
            <w:pPr>
              <w:snapToGrid w:val="0"/>
              <w:spacing w:before="50" w:after="50"/>
              <w:jc w:val="center"/>
              <w:rPr>
                <w:rFonts w:hint="eastAsia" w:ascii="仿宋" w:hAnsi="仿宋" w:eastAsia="仿宋" w:cs="仿宋"/>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3C8208B3">
            <w:pPr>
              <w:snapToGrid w:val="0"/>
              <w:spacing w:before="50" w:after="50"/>
              <w:jc w:val="center"/>
              <w:rPr>
                <w:rFonts w:hint="eastAsia" w:ascii="仿宋" w:hAnsi="仿宋" w:eastAsia="仿宋" w:cs="仿宋"/>
                <w:color w:val="auto"/>
                <w:sz w:val="24"/>
                <w:szCs w:val="24"/>
                <w:highlight w:val="none"/>
              </w:rPr>
            </w:pPr>
          </w:p>
        </w:tc>
      </w:tr>
      <w:tr w14:paraId="3F594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28AE393">
            <w:pPr>
              <w:snapToGrid w:val="0"/>
              <w:spacing w:before="50" w:after="50"/>
              <w:jc w:val="center"/>
              <w:rPr>
                <w:rFonts w:hint="eastAsia" w:ascii="仿宋" w:hAnsi="仿宋" w:eastAsia="仿宋" w:cs="仿宋"/>
                <w:color w:val="auto"/>
                <w:sz w:val="24"/>
                <w:szCs w:val="24"/>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3549620F">
            <w:pPr>
              <w:snapToGrid w:val="0"/>
              <w:spacing w:before="50" w:after="50"/>
              <w:jc w:val="cente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14:paraId="5B43A341">
            <w:pPr>
              <w:snapToGrid w:val="0"/>
              <w:spacing w:before="50" w:after="50"/>
              <w:jc w:val="center"/>
              <w:rPr>
                <w:rFonts w:hint="eastAsia" w:ascii="仿宋" w:hAnsi="仿宋" w:eastAsia="仿宋" w:cs="仿宋"/>
                <w:color w:val="auto"/>
                <w:sz w:val="24"/>
                <w:szCs w:val="24"/>
                <w:highlight w:val="none"/>
              </w:rPr>
            </w:pPr>
          </w:p>
        </w:tc>
        <w:tc>
          <w:tcPr>
            <w:tcW w:w="1669" w:type="dxa"/>
            <w:tcBorders>
              <w:top w:val="single" w:color="auto" w:sz="4" w:space="0"/>
              <w:left w:val="single" w:color="auto" w:sz="4" w:space="0"/>
              <w:bottom w:val="single" w:color="auto" w:sz="4" w:space="0"/>
              <w:right w:val="single" w:color="auto" w:sz="4" w:space="0"/>
            </w:tcBorders>
          </w:tcPr>
          <w:p w14:paraId="4CDACB3B">
            <w:pPr>
              <w:snapToGrid w:val="0"/>
              <w:spacing w:before="50" w:after="50"/>
              <w:jc w:val="center"/>
              <w:rPr>
                <w:rFonts w:hint="eastAsia" w:ascii="仿宋" w:hAnsi="仿宋" w:eastAsia="仿宋" w:cs="仿宋"/>
                <w:color w:val="auto"/>
                <w:sz w:val="24"/>
                <w:szCs w:val="24"/>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00B36F61">
            <w:pPr>
              <w:snapToGrid w:val="0"/>
              <w:spacing w:before="50" w:after="50"/>
              <w:jc w:val="center"/>
              <w:rPr>
                <w:rFonts w:hint="eastAsia" w:ascii="仿宋" w:hAnsi="仿宋" w:eastAsia="仿宋" w:cs="仿宋"/>
                <w:color w:val="auto"/>
                <w:sz w:val="24"/>
                <w:szCs w:val="24"/>
                <w:highlight w:val="none"/>
              </w:rPr>
            </w:pPr>
          </w:p>
        </w:tc>
        <w:tc>
          <w:tcPr>
            <w:tcW w:w="688" w:type="dxa"/>
            <w:tcBorders>
              <w:top w:val="single" w:color="auto" w:sz="4" w:space="0"/>
              <w:left w:val="single" w:color="auto" w:sz="4" w:space="0"/>
              <w:bottom w:val="single" w:color="auto" w:sz="4" w:space="0"/>
              <w:right w:val="single" w:color="auto" w:sz="4" w:space="0"/>
            </w:tcBorders>
            <w:vAlign w:val="center"/>
          </w:tcPr>
          <w:p w14:paraId="7EC480A6">
            <w:pPr>
              <w:snapToGrid w:val="0"/>
              <w:spacing w:before="50" w:after="50"/>
              <w:jc w:val="center"/>
              <w:rPr>
                <w:rFonts w:hint="eastAsia" w:ascii="仿宋" w:hAnsi="仿宋" w:eastAsia="仿宋" w:cs="仿宋"/>
                <w:color w:val="auto"/>
                <w:sz w:val="24"/>
                <w:szCs w:val="24"/>
                <w:highlight w:val="none"/>
              </w:rPr>
            </w:pPr>
          </w:p>
        </w:tc>
        <w:tc>
          <w:tcPr>
            <w:tcW w:w="717" w:type="dxa"/>
            <w:tcBorders>
              <w:top w:val="single" w:color="auto" w:sz="4" w:space="0"/>
              <w:left w:val="single" w:color="auto" w:sz="4" w:space="0"/>
              <w:bottom w:val="single" w:color="auto" w:sz="4" w:space="0"/>
              <w:right w:val="single" w:color="auto" w:sz="4" w:space="0"/>
            </w:tcBorders>
          </w:tcPr>
          <w:p w14:paraId="53886B26">
            <w:pPr>
              <w:snapToGrid w:val="0"/>
              <w:spacing w:before="50" w:after="50"/>
              <w:jc w:val="center"/>
              <w:rPr>
                <w:rFonts w:hint="eastAsia" w:ascii="仿宋" w:hAnsi="仿宋" w:eastAsia="仿宋" w:cs="仿宋"/>
                <w:color w:val="auto"/>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tcPr>
          <w:p w14:paraId="33836626">
            <w:pPr>
              <w:snapToGrid w:val="0"/>
              <w:spacing w:before="50" w:after="50"/>
              <w:jc w:val="center"/>
              <w:rPr>
                <w:rFonts w:hint="eastAsia" w:ascii="仿宋" w:hAnsi="仿宋" w:eastAsia="仿宋" w:cs="仿宋"/>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52F2955F">
            <w:pPr>
              <w:snapToGrid w:val="0"/>
              <w:spacing w:before="50" w:after="50"/>
              <w:jc w:val="center"/>
              <w:rPr>
                <w:rFonts w:hint="eastAsia" w:ascii="仿宋" w:hAnsi="仿宋" w:eastAsia="仿宋" w:cs="仿宋"/>
                <w:color w:val="auto"/>
                <w:sz w:val="24"/>
                <w:szCs w:val="24"/>
                <w:highlight w:val="none"/>
              </w:rPr>
            </w:pPr>
          </w:p>
        </w:tc>
      </w:tr>
      <w:tr w14:paraId="0222D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F2B6CA8">
            <w:pPr>
              <w:snapToGrid w:val="0"/>
              <w:spacing w:before="50" w:after="50"/>
              <w:jc w:val="center"/>
              <w:rPr>
                <w:rFonts w:hint="eastAsia" w:ascii="仿宋" w:hAnsi="仿宋" w:eastAsia="仿宋" w:cs="仿宋"/>
                <w:color w:val="auto"/>
                <w:sz w:val="24"/>
                <w:szCs w:val="24"/>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1FF44844">
            <w:pPr>
              <w:snapToGrid w:val="0"/>
              <w:spacing w:before="50" w:after="50"/>
              <w:jc w:val="cente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14:paraId="79852D5E">
            <w:pPr>
              <w:snapToGrid w:val="0"/>
              <w:spacing w:before="50" w:after="50"/>
              <w:jc w:val="center"/>
              <w:rPr>
                <w:rFonts w:hint="eastAsia" w:ascii="仿宋" w:hAnsi="仿宋" w:eastAsia="仿宋" w:cs="仿宋"/>
                <w:color w:val="auto"/>
                <w:sz w:val="24"/>
                <w:szCs w:val="24"/>
                <w:highlight w:val="none"/>
              </w:rPr>
            </w:pPr>
          </w:p>
        </w:tc>
        <w:tc>
          <w:tcPr>
            <w:tcW w:w="1669" w:type="dxa"/>
            <w:tcBorders>
              <w:top w:val="single" w:color="auto" w:sz="4" w:space="0"/>
              <w:left w:val="single" w:color="auto" w:sz="4" w:space="0"/>
              <w:bottom w:val="single" w:color="auto" w:sz="4" w:space="0"/>
              <w:right w:val="single" w:color="auto" w:sz="4" w:space="0"/>
            </w:tcBorders>
          </w:tcPr>
          <w:p w14:paraId="052A7918">
            <w:pPr>
              <w:snapToGrid w:val="0"/>
              <w:spacing w:before="50" w:after="50"/>
              <w:jc w:val="center"/>
              <w:rPr>
                <w:rFonts w:hint="eastAsia" w:ascii="仿宋" w:hAnsi="仿宋" w:eastAsia="仿宋" w:cs="仿宋"/>
                <w:color w:val="auto"/>
                <w:sz w:val="24"/>
                <w:szCs w:val="24"/>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497450A1">
            <w:pPr>
              <w:snapToGrid w:val="0"/>
              <w:spacing w:before="50" w:after="50"/>
              <w:jc w:val="center"/>
              <w:rPr>
                <w:rFonts w:hint="eastAsia" w:ascii="仿宋" w:hAnsi="仿宋" w:eastAsia="仿宋" w:cs="仿宋"/>
                <w:color w:val="auto"/>
                <w:sz w:val="24"/>
                <w:szCs w:val="24"/>
                <w:highlight w:val="none"/>
              </w:rPr>
            </w:pPr>
          </w:p>
        </w:tc>
        <w:tc>
          <w:tcPr>
            <w:tcW w:w="688" w:type="dxa"/>
            <w:tcBorders>
              <w:top w:val="single" w:color="auto" w:sz="4" w:space="0"/>
              <w:left w:val="single" w:color="auto" w:sz="4" w:space="0"/>
              <w:bottom w:val="single" w:color="auto" w:sz="4" w:space="0"/>
              <w:right w:val="single" w:color="auto" w:sz="4" w:space="0"/>
            </w:tcBorders>
            <w:vAlign w:val="center"/>
          </w:tcPr>
          <w:p w14:paraId="0E461233">
            <w:pPr>
              <w:snapToGrid w:val="0"/>
              <w:spacing w:before="50" w:after="50"/>
              <w:jc w:val="center"/>
              <w:rPr>
                <w:rFonts w:hint="eastAsia" w:ascii="仿宋" w:hAnsi="仿宋" w:eastAsia="仿宋" w:cs="仿宋"/>
                <w:color w:val="auto"/>
                <w:sz w:val="24"/>
                <w:szCs w:val="24"/>
                <w:highlight w:val="none"/>
              </w:rPr>
            </w:pPr>
          </w:p>
        </w:tc>
        <w:tc>
          <w:tcPr>
            <w:tcW w:w="717" w:type="dxa"/>
            <w:tcBorders>
              <w:top w:val="single" w:color="auto" w:sz="4" w:space="0"/>
              <w:left w:val="single" w:color="auto" w:sz="4" w:space="0"/>
              <w:bottom w:val="single" w:color="auto" w:sz="4" w:space="0"/>
              <w:right w:val="single" w:color="auto" w:sz="4" w:space="0"/>
            </w:tcBorders>
          </w:tcPr>
          <w:p w14:paraId="3134DC9C">
            <w:pPr>
              <w:snapToGrid w:val="0"/>
              <w:spacing w:before="50" w:after="50"/>
              <w:jc w:val="center"/>
              <w:rPr>
                <w:rFonts w:hint="eastAsia" w:ascii="仿宋" w:hAnsi="仿宋" w:eastAsia="仿宋" w:cs="仿宋"/>
                <w:color w:val="auto"/>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tcPr>
          <w:p w14:paraId="54001B58">
            <w:pPr>
              <w:snapToGrid w:val="0"/>
              <w:spacing w:before="50" w:after="50"/>
              <w:jc w:val="center"/>
              <w:rPr>
                <w:rFonts w:hint="eastAsia" w:ascii="仿宋" w:hAnsi="仿宋" w:eastAsia="仿宋" w:cs="仿宋"/>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2325F489">
            <w:pPr>
              <w:snapToGrid w:val="0"/>
              <w:spacing w:before="50" w:after="50"/>
              <w:jc w:val="center"/>
              <w:rPr>
                <w:rFonts w:hint="eastAsia" w:ascii="仿宋" w:hAnsi="仿宋" w:eastAsia="仿宋" w:cs="仿宋"/>
                <w:color w:val="auto"/>
                <w:sz w:val="24"/>
                <w:szCs w:val="24"/>
                <w:highlight w:val="none"/>
              </w:rPr>
            </w:pPr>
          </w:p>
        </w:tc>
      </w:tr>
    </w:tbl>
    <w:p w14:paraId="0ED2A5F3">
      <w:pPr>
        <w:spacing w:line="360" w:lineRule="auto"/>
        <w:ind w:firstLine="482"/>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p w14:paraId="42351AAB">
      <w:pPr>
        <w:tabs>
          <w:tab w:val="left" w:pos="1065"/>
        </w:tabs>
        <w:adjustRightInd w:val="0"/>
        <w:spacing w:line="360" w:lineRule="auto"/>
        <w:ind w:firstLine="482" w:firstLineChars="200"/>
        <w:contextualSpacing/>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以上货物配置清单中“标的名称、数量、单位、品牌、型号、生产厂家、产地、参数性能、指标及配置”必须如实填写完整，定制产品在型号栏中填写“定制”。填写有缺漏的，响应文件按无效响应处理</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标的名称、数量、单位、品牌等必须与“竞争性谈判报价表”一致，</w:t>
      </w:r>
      <w:r>
        <w:rPr>
          <w:rFonts w:hint="eastAsia" w:ascii="仿宋" w:hAnsi="仿宋" w:eastAsia="仿宋" w:cs="仿宋"/>
          <w:bCs/>
          <w:color w:val="auto"/>
          <w:sz w:val="24"/>
          <w:szCs w:val="24"/>
          <w:highlight w:val="none"/>
        </w:rPr>
        <w:t>否则响应文件按无效响应处理</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ab/>
      </w:r>
    </w:p>
    <w:p w14:paraId="0A4CF63B">
      <w:pPr>
        <w:adjustRightInd w:val="0"/>
        <w:spacing w:line="360" w:lineRule="auto"/>
        <w:contextualSpacing/>
        <w:jc w:val="left"/>
        <w:rPr>
          <w:rFonts w:hint="eastAsia" w:ascii="仿宋" w:hAnsi="仿宋" w:eastAsia="仿宋" w:cs="仿宋"/>
          <w:color w:val="auto"/>
          <w:sz w:val="24"/>
          <w:szCs w:val="24"/>
          <w:highlight w:val="none"/>
        </w:rPr>
      </w:pPr>
    </w:p>
    <w:p w14:paraId="458EDC52">
      <w:pPr>
        <w:adjustRightInd w:val="0"/>
        <w:spacing w:line="360" w:lineRule="auto"/>
        <w:contextualSpacing/>
        <w:jc w:val="left"/>
        <w:rPr>
          <w:rFonts w:hint="eastAsia" w:ascii="仿宋" w:hAnsi="仿宋" w:eastAsia="仿宋" w:cs="仿宋"/>
          <w:color w:val="auto"/>
          <w:sz w:val="24"/>
          <w:szCs w:val="24"/>
          <w:highlight w:val="none"/>
        </w:rPr>
      </w:pPr>
    </w:p>
    <w:p w14:paraId="14A71A0C">
      <w:pPr>
        <w:adjustRightInd w:val="0"/>
        <w:spacing w:line="360" w:lineRule="auto"/>
        <w:contextualSpacing/>
        <w:jc w:val="left"/>
        <w:rPr>
          <w:rFonts w:hint="eastAsia" w:ascii="仿宋" w:hAnsi="仿宋" w:eastAsia="仿宋" w:cs="仿宋"/>
          <w:color w:val="auto"/>
          <w:sz w:val="24"/>
          <w:szCs w:val="24"/>
          <w:highlight w:val="none"/>
        </w:rPr>
      </w:pPr>
    </w:p>
    <w:p w14:paraId="699EF32E">
      <w:pPr>
        <w:spacing w:line="360" w:lineRule="auto"/>
        <w:contextualSpacing/>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法定代表人或者委托代理人（签字）：</w:t>
      </w:r>
      <w:r>
        <w:rPr>
          <w:rFonts w:hint="eastAsia" w:ascii="仿宋" w:hAnsi="仿宋" w:eastAsia="仿宋" w:cs="仿宋"/>
          <w:color w:val="auto"/>
          <w:sz w:val="24"/>
          <w:szCs w:val="24"/>
          <w:highlight w:val="none"/>
          <w:u w:val="single"/>
        </w:rPr>
        <w:t xml:space="preserve">               </w:t>
      </w:r>
    </w:p>
    <w:p w14:paraId="11E42E17">
      <w:pPr>
        <w:spacing w:line="360" w:lineRule="auto"/>
        <w:ind w:firstLine="3240" w:firstLineChars="13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79C8DDED">
      <w:pPr>
        <w:spacing w:line="360" w:lineRule="auto"/>
        <w:ind w:firstLine="3240" w:firstLineChars="1350"/>
        <w:contextualSpacing/>
        <w:rPr>
          <w:rFonts w:hint="eastAsia" w:ascii="仿宋" w:hAnsi="仿宋" w:eastAsia="仿宋" w:cs="仿宋"/>
          <w:color w:val="auto"/>
          <w:szCs w:val="21"/>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年</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月</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日</w:t>
      </w:r>
    </w:p>
    <w:p w14:paraId="29F6C86E">
      <w:pPr>
        <w:adjustRightInd w:val="0"/>
        <w:snapToGrid w:val="0"/>
        <w:spacing w:line="360" w:lineRule="auto"/>
        <w:ind w:firstLine="420"/>
        <w:rPr>
          <w:rFonts w:hint="eastAsia" w:ascii="仿宋" w:hAnsi="仿宋" w:eastAsia="仿宋" w:cs="仿宋"/>
          <w:color w:val="auto"/>
          <w:szCs w:val="21"/>
          <w:highlight w:val="none"/>
          <w:u w:val="single"/>
        </w:rPr>
      </w:pPr>
    </w:p>
    <w:p w14:paraId="7B73FD32">
      <w:pPr>
        <w:adjustRightInd w:val="0"/>
        <w:snapToGrid w:val="0"/>
        <w:spacing w:line="360" w:lineRule="auto"/>
        <w:ind w:firstLine="420"/>
        <w:rPr>
          <w:rFonts w:hint="eastAsia" w:ascii="仿宋" w:hAnsi="仿宋" w:eastAsia="仿宋" w:cs="仿宋"/>
          <w:color w:val="auto"/>
          <w:szCs w:val="21"/>
          <w:highlight w:val="none"/>
          <w:u w:val="single"/>
        </w:rPr>
      </w:pPr>
    </w:p>
    <w:p w14:paraId="2BC5742E">
      <w:pPr>
        <w:adjustRightInd w:val="0"/>
        <w:snapToGrid w:val="0"/>
        <w:spacing w:line="360" w:lineRule="auto"/>
        <w:ind w:firstLine="420"/>
        <w:rPr>
          <w:rFonts w:hint="eastAsia" w:ascii="仿宋" w:hAnsi="仿宋" w:eastAsia="仿宋" w:cs="仿宋"/>
          <w:color w:val="auto"/>
          <w:szCs w:val="21"/>
          <w:highlight w:val="none"/>
          <w:u w:val="single"/>
        </w:rPr>
      </w:pPr>
    </w:p>
    <w:p w14:paraId="5106DCDB">
      <w:pPr>
        <w:adjustRightInd w:val="0"/>
        <w:snapToGrid w:val="0"/>
        <w:spacing w:line="360" w:lineRule="auto"/>
        <w:ind w:left="0" w:leftChars="0" w:firstLine="0" w:firstLineChars="0"/>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技术要求偏离表</w:t>
      </w:r>
    </w:p>
    <w:p w14:paraId="2736C88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88FE70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7DD00F2">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分标（如有）：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33"/>
        <w:gridCol w:w="933"/>
        <w:gridCol w:w="3104"/>
        <w:gridCol w:w="2793"/>
        <w:gridCol w:w="1524"/>
      </w:tblGrid>
      <w:tr w14:paraId="3A8CF7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14:paraId="647A0EC4">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02" w:type="pct"/>
            <w:tcBorders>
              <w:right w:val="single" w:color="auto" w:sz="4" w:space="0"/>
            </w:tcBorders>
            <w:vAlign w:val="center"/>
          </w:tcPr>
          <w:p w14:paraId="399560A7">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标的名称</w:t>
            </w:r>
          </w:p>
        </w:tc>
        <w:tc>
          <w:tcPr>
            <w:tcW w:w="1670" w:type="pct"/>
            <w:tcBorders>
              <w:left w:val="single" w:color="auto" w:sz="4" w:space="0"/>
            </w:tcBorders>
            <w:vAlign w:val="center"/>
          </w:tcPr>
          <w:p w14:paraId="32A9AC47">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技术要求</w:t>
            </w:r>
          </w:p>
        </w:tc>
        <w:tc>
          <w:tcPr>
            <w:tcW w:w="1503" w:type="pct"/>
            <w:vAlign w:val="center"/>
          </w:tcPr>
          <w:p w14:paraId="3242EFD1">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竞争性谈判响应</w:t>
            </w:r>
          </w:p>
        </w:tc>
        <w:tc>
          <w:tcPr>
            <w:tcW w:w="820" w:type="pct"/>
            <w:vAlign w:val="center"/>
          </w:tcPr>
          <w:p w14:paraId="4CF6FE77">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6AD945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14:paraId="4CFBA134">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02" w:type="pct"/>
            <w:tcBorders>
              <w:right w:val="single" w:color="auto" w:sz="4" w:space="0"/>
            </w:tcBorders>
            <w:vAlign w:val="center"/>
          </w:tcPr>
          <w:p w14:paraId="6C64149D">
            <w:pPr>
              <w:spacing w:line="500" w:lineRule="exact"/>
              <w:jc w:val="center"/>
              <w:rPr>
                <w:rFonts w:hint="eastAsia" w:ascii="仿宋" w:hAnsi="仿宋" w:eastAsia="仿宋" w:cs="仿宋"/>
                <w:color w:val="auto"/>
                <w:sz w:val="24"/>
                <w:szCs w:val="24"/>
                <w:highlight w:val="none"/>
              </w:rPr>
            </w:pPr>
          </w:p>
        </w:tc>
        <w:tc>
          <w:tcPr>
            <w:tcW w:w="1670" w:type="pct"/>
            <w:tcBorders>
              <w:left w:val="single" w:color="auto" w:sz="4" w:space="0"/>
            </w:tcBorders>
            <w:vAlign w:val="center"/>
          </w:tcPr>
          <w:p w14:paraId="5677CB3D">
            <w:pPr>
              <w:spacing w:line="500" w:lineRule="exact"/>
              <w:jc w:val="center"/>
              <w:rPr>
                <w:rFonts w:hint="eastAsia" w:ascii="仿宋" w:hAnsi="仿宋" w:eastAsia="仿宋" w:cs="仿宋"/>
                <w:color w:val="auto"/>
                <w:sz w:val="24"/>
                <w:szCs w:val="24"/>
                <w:highlight w:val="none"/>
              </w:rPr>
            </w:pPr>
          </w:p>
        </w:tc>
        <w:tc>
          <w:tcPr>
            <w:tcW w:w="1503" w:type="pct"/>
            <w:vAlign w:val="center"/>
          </w:tcPr>
          <w:p w14:paraId="4CBCB4E8">
            <w:pPr>
              <w:spacing w:line="500" w:lineRule="exact"/>
              <w:jc w:val="center"/>
              <w:rPr>
                <w:rFonts w:hint="eastAsia" w:ascii="仿宋" w:hAnsi="仿宋" w:eastAsia="仿宋" w:cs="仿宋"/>
                <w:color w:val="auto"/>
                <w:sz w:val="24"/>
                <w:szCs w:val="24"/>
                <w:highlight w:val="none"/>
              </w:rPr>
            </w:pPr>
          </w:p>
        </w:tc>
        <w:tc>
          <w:tcPr>
            <w:tcW w:w="820" w:type="pct"/>
            <w:vAlign w:val="center"/>
          </w:tcPr>
          <w:p w14:paraId="7E7508A3">
            <w:pPr>
              <w:spacing w:line="500" w:lineRule="exact"/>
              <w:jc w:val="center"/>
              <w:rPr>
                <w:rFonts w:hint="eastAsia" w:ascii="仿宋" w:hAnsi="仿宋" w:eastAsia="仿宋" w:cs="仿宋"/>
                <w:color w:val="auto"/>
                <w:sz w:val="24"/>
                <w:szCs w:val="24"/>
                <w:highlight w:val="none"/>
              </w:rPr>
            </w:pPr>
          </w:p>
        </w:tc>
      </w:tr>
      <w:tr w14:paraId="2D0BC9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14:paraId="2C5316C7">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02" w:type="pct"/>
            <w:tcBorders>
              <w:right w:val="single" w:color="auto" w:sz="4" w:space="0"/>
            </w:tcBorders>
            <w:vAlign w:val="center"/>
          </w:tcPr>
          <w:p w14:paraId="0A9D9FCC">
            <w:pPr>
              <w:spacing w:line="500" w:lineRule="exact"/>
              <w:jc w:val="center"/>
              <w:rPr>
                <w:rFonts w:hint="eastAsia" w:ascii="仿宋" w:hAnsi="仿宋" w:eastAsia="仿宋" w:cs="仿宋"/>
                <w:color w:val="auto"/>
                <w:sz w:val="24"/>
                <w:szCs w:val="24"/>
                <w:highlight w:val="none"/>
              </w:rPr>
            </w:pPr>
          </w:p>
        </w:tc>
        <w:tc>
          <w:tcPr>
            <w:tcW w:w="1670" w:type="pct"/>
            <w:tcBorders>
              <w:left w:val="single" w:color="auto" w:sz="4" w:space="0"/>
            </w:tcBorders>
            <w:vAlign w:val="center"/>
          </w:tcPr>
          <w:p w14:paraId="5C07FDDE">
            <w:pPr>
              <w:spacing w:line="500" w:lineRule="exact"/>
              <w:jc w:val="center"/>
              <w:rPr>
                <w:rFonts w:hint="eastAsia" w:ascii="仿宋" w:hAnsi="仿宋" w:eastAsia="仿宋" w:cs="仿宋"/>
                <w:color w:val="auto"/>
                <w:sz w:val="24"/>
                <w:szCs w:val="24"/>
                <w:highlight w:val="none"/>
              </w:rPr>
            </w:pPr>
          </w:p>
        </w:tc>
        <w:tc>
          <w:tcPr>
            <w:tcW w:w="1503" w:type="pct"/>
            <w:vAlign w:val="center"/>
          </w:tcPr>
          <w:p w14:paraId="39A326A9">
            <w:pPr>
              <w:spacing w:line="500" w:lineRule="exact"/>
              <w:jc w:val="center"/>
              <w:rPr>
                <w:rFonts w:hint="eastAsia" w:ascii="仿宋" w:hAnsi="仿宋" w:eastAsia="仿宋" w:cs="仿宋"/>
                <w:color w:val="auto"/>
                <w:sz w:val="24"/>
                <w:szCs w:val="24"/>
                <w:highlight w:val="none"/>
              </w:rPr>
            </w:pPr>
          </w:p>
        </w:tc>
        <w:tc>
          <w:tcPr>
            <w:tcW w:w="820" w:type="pct"/>
            <w:vAlign w:val="center"/>
          </w:tcPr>
          <w:p w14:paraId="430EE248">
            <w:pPr>
              <w:spacing w:line="500" w:lineRule="exact"/>
              <w:jc w:val="center"/>
              <w:rPr>
                <w:rFonts w:hint="eastAsia" w:ascii="仿宋" w:hAnsi="仿宋" w:eastAsia="仿宋" w:cs="仿宋"/>
                <w:color w:val="auto"/>
                <w:sz w:val="24"/>
                <w:szCs w:val="24"/>
                <w:highlight w:val="none"/>
              </w:rPr>
            </w:pPr>
          </w:p>
        </w:tc>
      </w:tr>
      <w:tr w14:paraId="6CDE11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vAlign w:val="center"/>
          </w:tcPr>
          <w:p w14:paraId="383F5D65">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02" w:type="pct"/>
            <w:tcBorders>
              <w:right w:val="single" w:color="auto" w:sz="4" w:space="0"/>
            </w:tcBorders>
            <w:vAlign w:val="center"/>
          </w:tcPr>
          <w:p w14:paraId="71EEB040">
            <w:pPr>
              <w:spacing w:line="500" w:lineRule="exact"/>
              <w:jc w:val="center"/>
              <w:rPr>
                <w:rFonts w:hint="eastAsia" w:ascii="仿宋" w:hAnsi="仿宋" w:eastAsia="仿宋" w:cs="仿宋"/>
                <w:color w:val="auto"/>
                <w:sz w:val="24"/>
                <w:szCs w:val="24"/>
                <w:highlight w:val="none"/>
              </w:rPr>
            </w:pPr>
          </w:p>
        </w:tc>
        <w:tc>
          <w:tcPr>
            <w:tcW w:w="1670" w:type="pct"/>
            <w:tcBorders>
              <w:left w:val="single" w:color="auto" w:sz="4" w:space="0"/>
            </w:tcBorders>
            <w:vAlign w:val="center"/>
          </w:tcPr>
          <w:p w14:paraId="6CEC68CE">
            <w:pPr>
              <w:spacing w:line="500" w:lineRule="exact"/>
              <w:jc w:val="center"/>
              <w:rPr>
                <w:rFonts w:hint="eastAsia" w:ascii="仿宋" w:hAnsi="仿宋" w:eastAsia="仿宋" w:cs="仿宋"/>
                <w:color w:val="auto"/>
                <w:sz w:val="24"/>
                <w:szCs w:val="24"/>
                <w:highlight w:val="none"/>
              </w:rPr>
            </w:pPr>
          </w:p>
        </w:tc>
        <w:tc>
          <w:tcPr>
            <w:tcW w:w="1503" w:type="pct"/>
            <w:vAlign w:val="center"/>
          </w:tcPr>
          <w:p w14:paraId="447D93DB">
            <w:pPr>
              <w:spacing w:line="500" w:lineRule="exact"/>
              <w:jc w:val="center"/>
              <w:rPr>
                <w:rFonts w:hint="eastAsia" w:ascii="仿宋" w:hAnsi="仿宋" w:eastAsia="仿宋" w:cs="仿宋"/>
                <w:color w:val="auto"/>
                <w:sz w:val="24"/>
                <w:szCs w:val="24"/>
                <w:highlight w:val="none"/>
              </w:rPr>
            </w:pPr>
          </w:p>
        </w:tc>
        <w:tc>
          <w:tcPr>
            <w:tcW w:w="820" w:type="pct"/>
            <w:vAlign w:val="center"/>
          </w:tcPr>
          <w:p w14:paraId="209E1D7D">
            <w:pPr>
              <w:spacing w:line="500" w:lineRule="exact"/>
              <w:jc w:val="center"/>
              <w:rPr>
                <w:rFonts w:hint="eastAsia" w:ascii="仿宋" w:hAnsi="仿宋" w:eastAsia="仿宋" w:cs="仿宋"/>
                <w:color w:val="auto"/>
                <w:sz w:val="24"/>
                <w:szCs w:val="24"/>
                <w:highlight w:val="none"/>
              </w:rPr>
            </w:pPr>
          </w:p>
        </w:tc>
      </w:tr>
      <w:tr w14:paraId="4345F9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2" w:type="pct"/>
            <w:vAlign w:val="center"/>
          </w:tcPr>
          <w:p w14:paraId="1E5584C8">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502" w:type="pct"/>
            <w:tcBorders>
              <w:right w:val="single" w:color="auto" w:sz="4" w:space="0"/>
            </w:tcBorders>
            <w:vAlign w:val="center"/>
          </w:tcPr>
          <w:p w14:paraId="51D3A5AD">
            <w:pPr>
              <w:spacing w:line="500" w:lineRule="exact"/>
              <w:jc w:val="center"/>
              <w:rPr>
                <w:rFonts w:hint="eastAsia" w:ascii="仿宋" w:hAnsi="仿宋" w:eastAsia="仿宋" w:cs="仿宋"/>
                <w:color w:val="auto"/>
                <w:sz w:val="24"/>
                <w:szCs w:val="24"/>
                <w:highlight w:val="none"/>
              </w:rPr>
            </w:pPr>
          </w:p>
        </w:tc>
        <w:tc>
          <w:tcPr>
            <w:tcW w:w="1670" w:type="pct"/>
            <w:tcBorders>
              <w:left w:val="single" w:color="auto" w:sz="4" w:space="0"/>
            </w:tcBorders>
            <w:vAlign w:val="center"/>
          </w:tcPr>
          <w:p w14:paraId="3F87C074">
            <w:pPr>
              <w:spacing w:line="500" w:lineRule="exact"/>
              <w:jc w:val="center"/>
              <w:rPr>
                <w:rFonts w:hint="eastAsia" w:ascii="仿宋" w:hAnsi="仿宋" w:eastAsia="仿宋" w:cs="仿宋"/>
                <w:color w:val="auto"/>
                <w:sz w:val="24"/>
                <w:szCs w:val="24"/>
                <w:highlight w:val="none"/>
              </w:rPr>
            </w:pPr>
          </w:p>
        </w:tc>
        <w:tc>
          <w:tcPr>
            <w:tcW w:w="1503" w:type="pct"/>
            <w:vAlign w:val="center"/>
          </w:tcPr>
          <w:p w14:paraId="55EEFD7A">
            <w:pPr>
              <w:spacing w:line="500" w:lineRule="exact"/>
              <w:jc w:val="center"/>
              <w:rPr>
                <w:rFonts w:hint="eastAsia" w:ascii="仿宋" w:hAnsi="仿宋" w:eastAsia="仿宋" w:cs="仿宋"/>
                <w:color w:val="auto"/>
                <w:sz w:val="24"/>
                <w:szCs w:val="24"/>
                <w:highlight w:val="none"/>
              </w:rPr>
            </w:pPr>
          </w:p>
        </w:tc>
        <w:tc>
          <w:tcPr>
            <w:tcW w:w="820" w:type="pct"/>
            <w:tcBorders>
              <w:right w:val="single" w:color="auto" w:sz="4" w:space="0"/>
            </w:tcBorders>
            <w:vAlign w:val="center"/>
          </w:tcPr>
          <w:p w14:paraId="4C7F1B45">
            <w:pPr>
              <w:spacing w:line="500" w:lineRule="exact"/>
              <w:jc w:val="center"/>
              <w:rPr>
                <w:rFonts w:hint="eastAsia" w:ascii="仿宋" w:hAnsi="仿宋" w:eastAsia="仿宋" w:cs="仿宋"/>
                <w:color w:val="auto"/>
                <w:sz w:val="24"/>
                <w:szCs w:val="24"/>
                <w:highlight w:val="none"/>
              </w:rPr>
            </w:pPr>
          </w:p>
        </w:tc>
      </w:tr>
    </w:tbl>
    <w:p w14:paraId="6E8B838E">
      <w:pPr>
        <w:spacing w:line="360" w:lineRule="auto"/>
        <w:ind w:firstLine="482"/>
        <w:contextualSpacing/>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注：</w:t>
      </w:r>
    </w:p>
    <w:p w14:paraId="7942D6FE">
      <w:pPr>
        <w:spacing w:line="360" w:lineRule="auto"/>
        <w:ind w:firstLine="480" w:firstLineChars="20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1.说明：应对照谈判文件“第三章 采购需求”中的“技术参数及性能（配置）要求”逐条实质性响应，并作出偏离说明。</w:t>
      </w:r>
    </w:p>
    <w:p w14:paraId="143ECA95">
      <w:pPr>
        <w:spacing w:line="360" w:lineRule="auto"/>
        <w:ind w:firstLine="480" w:firstLineChars="20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2.供应商应根据其</w:t>
      </w:r>
      <w:r>
        <w:rPr>
          <w:rFonts w:hint="eastAsia" w:ascii="仿宋" w:hAnsi="仿宋" w:eastAsia="仿宋" w:cs="仿宋"/>
          <w:color w:val="auto"/>
          <w:kern w:val="0"/>
          <w:sz w:val="24"/>
          <w:szCs w:val="24"/>
          <w:highlight w:val="none"/>
          <w:lang w:eastAsia="zh-CN"/>
        </w:rPr>
        <w:t>竞标</w:t>
      </w:r>
      <w:r>
        <w:rPr>
          <w:rFonts w:hint="eastAsia" w:ascii="仿宋" w:hAnsi="仿宋" w:eastAsia="仿宋" w:cs="仿宋"/>
          <w:color w:val="auto"/>
          <w:kern w:val="0"/>
          <w:sz w:val="24"/>
          <w:szCs w:val="24"/>
          <w:highlight w:val="none"/>
        </w:rPr>
        <w:t>设备的性能指标，对照谈判文件要求，在“偏离说明”中注明“正偏离”、“负偏离”或者“无偏离”。既不属于“正偏离”也不属于“负偏离”即为“无偏离”。</w:t>
      </w:r>
    </w:p>
    <w:p w14:paraId="47EE76CB">
      <w:pPr>
        <w:spacing w:line="360" w:lineRule="auto"/>
        <w:ind w:firstLine="480" w:firstLineChars="20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3.供应商认为其</w:t>
      </w:r>
      <w:r>
        <w:rPr>
          <w:rFonts w:hint="eastAsia" w:ascii="仿宋" w:hAnsi="仿宋" w:eastAsia="仿宋" w:cs="仿宋"/>
          <w:color w:val="auto"/>
          <w:kern w:val="0"/>
          <w:sz w:val="24"/>
          <w:szCs w:val="20"/>
          <w:highlight w:val="none"/>
        </w:rPr>
        <w:t>竞争性谈判</w:t>
      </w:r>
      <w:r>
        <w:rPr>
          <w:rFonts w:hint="eastAsia" w:ascii="仿宋" w:hAnsi="仿宋" w:eastAsia="仿宋" w:cs="仿宋"/>
          <w:color w:val="auto"/>
          <w:kern w:val="0"/>
          <w:sz w:val="24"/>
          <w:szCs w:val="24"/>
          <w:highlight w:val="none"/>
        </w:rPr>
        <w:t>响应有正偏离的，请在技术要求偏离表中列明，且在响应文件中提供</w:t>
      </w:r>
      <w:r>
        <w:rPr>
          <w:rFonts w:hint="eastAsia" w:ascii="仿宋" w:hAnsi="仿宋" w:eastAsia="仿宋" w:cs="仿宋"/>
          <w:color w:val="auto"/>
          <w:kern w:val="0"/>
          <w:sz w:val="24"/>
          <w:szCs w:val="24"/>
          <w:highlight w:val="none"/>
          <w:lang w:eastAsia="zh-CN"/>
        </w:rPr>
        <w:t>竞标</w:t>
      </w:r>
      <w:r>
        <w:rPr>
          <w:rFonts w:hint="eastAsia" w:ascii="仿宋" w:hAnsi="仿宋" w:eastAsia="仿宋" w:cs="仿宋"/>
          <w:color w:val="auto"/>
          <w:kern w:val="0"/>
          <w:sz w:val="24"/>
          <w:szCs w:val="24"/>
          <w:highlight w:val="none"/>
        </w:rPr>
        <w:t>产品的彩页或国家认可有资质的第三方检测机构出具的检测报告复印件或产品生产厂家出具的技术参数说明证明作为佐证，以上佐证材料均需加盖生产厂家或代理商（附生产厂家授权资料）公章。</w:t>
      </w:r>
    </w:p>
    <w:p w14:paraId="22501A39">
      <w:pPr>
        <w:spacing w:line="360" w:lineRule="auto"/>
        <w:ind w:firstLine="480" w:firstLineChars="200"/>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4.如技术要求偏离表中的</w:t>
      </w:r>
      <w:r>
        <w:rPr>
          <w:rFonts w:hint="eastAsia" w:ascii="仿宋" w:hAnsi="仿宋" w:eastAsia="仿宋" w:cs="仿宋"/>
          <w:color w:val="auto"/>
          <w:kern w:val="0"/>
          <w:sz w:val="24"/>
          <w:szCs w:val="20"/>
          <w:highlight w:val="none"/>
        </w:rPr>
        <w:t>竞争性谈判</w:t>
      </w:r>
      <w:r>
        <w:rPr>
          <w:rFonts w:hint="eastAsia" w:ascii="仿宋" w:hAnsi="仿宋" w:eastAsia="仿宋" w:cs="仿宋"/>
          <w:color w:val="auto"/>
          <w:kern w:val="0"/>
          <w:sz w:val="24"/>
          <w:szCs w:val="24"/>
          <w:highlight w:val="none"/>
        </w:rPr>
        <w:t>响应与佐证材料不一致的，以佐证材料为准。</w:t>
      </w:r>
    </w:p>
    <w:p w14:paraId="760AB354">
      <w:pPr>
        <w:spacing w:line="360" w:lineRule="auto"/>
        <w:contextualSpacing/>
        <w:rPr>
          <w:rFonts w:hint="eastAsia" w:ascii="仿宋" w:hAnsi="仿宋" w:eastAsia="仿宋" w:cs="仿宋"/>
          <w:color w:val="auto"/>
          <w:kern w:val="0"/>
          <w:sz w:val="24"/>
          <w:szCs w:val="24"/>
          <w:highlight w:val="none"/>
        </w:rPr>
      </w:pPr>
    </w:p>
    <w:p w14:paraId="138E8751">
      <w:pPr>
        <w:spacing w:line="360" w:lineRule="auto"/>
        <w:contextualSpacing/>
        <w:rPr>
          <w:rFonts w:hint="eastAsia" w:ascii="仿宋" w:hAnsi="仿宋" w:eastAsia="仿宋" w:cs="仿宋"/>
          <w:color w:val="auto"/>
          <w:sz w:val="24"/>
          <w:szCs w:val="24"/>
          <w:highlight w:val="none"/>
        </w:rPr>
      </w:pPr>
    </w:p>
    <w:p w14:paraId="5DE9F42F">
      <w:pPr>
        <w:spacing w:line="360" w:lineRule="auto"/>
        <w:contextualSpacing/>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法定代表人或者委托代理人（签字）：</w:t>
      </w:r>
      <w:r>
        <w:rPr>
          <w:rFonts w:hint="eastAsia" w:ascii="仿宋" w:hAnsi="仿宋" w:eastAsia="仿宋" w:cs="仿宋"/>
          <w:color w:val="auto"/>
          <w:sz w:val="24"/>
          <w:szCs w:val="24"/>
          <w:highlight w:val="none"/>
          <w:u w:val="single"/>
        </w:rPr>
        <w:t xml:space="preserve">             </w:t>
      </w:r>
    </w:p>
    <w:p w14:paraId="73498D08">
      <w:pPr>
        <w:spacing w:line="360" w:lineRule="auto"/>
        <w:ind w:firstLine="2880" w:firstLineChars="1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7B46391">
      <w:pPr>
        <w:spacing w:line="360" w:lineRule="auto"/>
        <w:ind w:firstLine="2880" w:firstLineChars="1200"/>
        <w:contextualSpacing/>
        <w:rPr>
          <w:rFonts w:hint="eastAsia" w:ascii="仿宋" w:hAnsi="仿宋" w:eastAsia="仿宋" w:cs="仿宋"/>
          <w:color w:val="auto"/>
          <w:sz w:val="32"/>
          <w:szCs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年</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月</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日</w:t>
      </w:r>
    </w:p>
    <w:p w14:paraId="0E5C8EAA">
      <w:pPr>
        <w:spacing w:line="360" w:lineRule="auto"/>
        <w:ind w:left="0" w:leftChars="0" w:firstLine="0" w:firstLineChars="0"/>
        <w:rPr>
          <w:rFonts w:hint="eastAsia" w:ascii="仿宋" w:hAnsi="仿宋" w:eastAsia="仿宋" w:cs="仿宋"/>
          <w:color w:val="auto"/>
          <w:szCs w:val="21"/>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其他文书、文件格式</w:t>
      </w:r>
    </w:p>
    <w:p w14:paraId="0FD9D332">
      <w:pPr>
        <w:adjustRightInd w:val="0"/>
        <w:snapToGrid w:val="0"/>
        <w:spacing w:line="360" w:lineRule="auto"/>
        <w:ind w:left="0" w:leftChars="0" w:firstLine="0" w:firstLineChars="0"/>
        <w:jc w:val="center"/>
        <w:rPr>
          <w:rFonts w:hint="eastAsia" w:ascii="仿宋" w:hAnsi="仿宋" w:eastAsia="仿宋" w:cs="仿宋"/>
          <w:b/>
          <w:bCs/>
          <w:color w:val="auto"/>
          <w:sz w:val="44"/>
          <w:szCs w:val="44"/>
          <w:highlight w:val="none"/>
        </w:rPr>
      </w:pPr>
      <w:bookmarkStart w:id="30" w:name="_Toc71366061"/>
      <w:bookmarkStart w:id="31" w:name="_Toc71365383"/>
      <w:r>
        <w:rPr>
          <w:rFonts w:hint="eastAsia" w:ascii="仿宋" w:hAnsi="仿宋" w:eastAsia="仿宋" w:cs="仿宋"/>
          <w:b/>
          <w:bCs/>
          <w:color w:val="auto"/>
          <w:sz w:val="44"/>
          <w:szCs w:val="44"/>
          <w:highlight w:val="none"/>
        </w:rPr>
        <w:t>中小企业声明函（货物）</w:t>
      </w:r>
      <w:bookmarkEnd w:id="30"/>
      <w:bookmarkEnd w:id="31"/>
    </w:p>
    <w:p w14:paraId="3287EAEC">
      <w:pPr>
        <w:spacing w:line="360" w:lineRule="auto"/>
        <w:ind w:firstLine="420"/>
        <w:rPr>
          <w:rFonts w:hint="eastAsia" w:ascii="仿宋" w:hAnsi="仿宋" w:eastAsia="仿宋" w:cs="仿宋"/>
          <w:color w:val="auto"/>
          <w:szCs w:val="24"/>
          <w:highlight w:val="none"/>
        </w:rPr>
      </w:pPr>
    </w:p>
    <w:p w14:paraId="234C3DB2">
      <w:pPr>
        <w:spacing w:line="360" w:lineRule="auto"/>
        <w:ind w:firstLine="48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14:paraId="3EE7A6F6">
      <w:pPr>
        <w:tabs>
          <w:tab w:val="left" w:pos="1384"/>
          <w:tab w:val="left" w:pos="4562"/>
          <w:tab w:val="left" w:pos="6803"/>
        </w:tabs>
        <w:spacing w:line="360" w:lineRule="auto"/>
        <w:ind w:firstLine="48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57FD0847">
      <w:pPr>
        <w:tabs>
          <w:tab w:val="left" w:pos="1065"/>
          <w:tab w:val="left" w:pos="6477"/>
        </w:tabs>
        <w:spacing w:line="360" w:lineRule="auto"/>
        <w:ind w:firstLine="48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21336EA0">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D27BA01">
      <w:pPr>
        <w:spacing w:line="360" w:lineRule="auto"/>
        <w:ind w:firstLine="453" w:firstLineChars="189"/>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081795F4">
      <w:pPr>
        <w:spacing w:line="360" w:lineRule="auto"/>
        <w:ind w:firstLine="48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0BE0601A">
      <w:pPr>
        <w:spacing w:line="360" w:lineRule="auto"/>
        <w:contextualSpacing/>
        <w:rPr>
          <w:rFonts w:hint="eastAsia" w:ascii="仿宋" w:hAnsi="仿宋" w:eastAsia="仿宋" w:cs="仿宋"/>
          <w:color w:val="auto"/>
          <w:sz w:val="24"/>
          <w:szCs w:val="24"/>
          <w:highlight w:val="none"/>
        </w:rPr>
      </w:pPr>
    </w:p>
    <w:p w14:paraId="39D36A3C">
      <w:pPr>
        <w:spacing w:line="360" w:lineRule="auto"/>
        <w:ind w:firstLine="3360" w:firstLineChars="14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企业名称（公章）： </w:t>
      </w:r>
      <w:r>
        <w:rPr>
          <w:rFonts w:hint="eastAsia" w:ascii="仿宋" w:hAnsi="仿宋" w:eastAsia="仿宋" w:cs="仿宋"/>
          <w:color w:val="auto"/>
          <w:sz w:val="24"/>
          <w:szCs w:val="24"/>
          <w:highlight w:val="none"/>
          <w:u w:val="single"/>
        </w:rPr>
        <w:t xml:space="preserve">                   </w:t>
      </w:r>
    </w:p>
    <w:p w14:paraId="7E9F60C0">
      <w:pPr>
        <w:spacing w:line="360" w:lineRule="auto"/>
        <w:ind w:firstLine="3360" w:firstLineChars="1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年</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月</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日</w:t>
      </w:r>
    </w:p>
    <w:p w14:paraId="434FA79A">
      <w:pPr>
        <w:spacing w:line="360" w:lineRule="auto"/>
        <w:ind w:firstLine="420"/>
        <w:contextualSpacing/>
        <w:rPr>
          <w:rFonts w:hint="eastAsia" w:ascii="仿宋" w:hAnsi="仿宋" w:eastAsia="仿宋" w:cs="仿宋"/>
          <w:color w:val="auto"/>
          <w:szCs w:val="24"/>
          <w:highlight w:val="none"/>
        </w:rPr>
      </w:pPr>
    </w:p>
    <w:p w14:paraId="61DD908A">
      <w:pPr>
        <w:spacing w:line="360" w:lineRule="auto"/>
        <w:ind w:firstLine="482"/>
        <w:contextualSpacing/>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14:paraId="0BFEF6EC">
      <w:pPr>
        <w:spacing w:line="360" w:lineRule="auto"/>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F5367B7">
      <w:pPr>
        <w:spacing w:line="360" w:lineRule="auto"/>
        <w:contextualSpacing/>
        <w:jc w:val="center"/>
        <w:rPr>
          <w:rFonts w:hint="eastAsia" w:ascii="仿宋" w:hAnsi="仿宋" w:eastAsia="仿宋" w:cs="仿宋"/>
          <w:color w:val="auto"/>
          <w:sz w:val="24"/>
          <w:szCs w:val="24"/>
          <w:highlight w:val="none"/>
        </w:rPr>
      </w:pPr>
    </w:p>
    <w:p w14:paraId="4DBEC939">
      <w:pPr>
        <w:spacing w:line="360" w:lineRule="auto"/>
        <w:contextualSpacing/>
        <w:jc w:val="center"/>
        <w:rPr>
          <w:rFonts w:hint="eastAsia" w:ascii="仿宋" w:hAnsi="仿宋" w:eastAsia="仿宋" w:cs="仿宋"/>
          <w:color w:val="auto"/>
          <w:sz w:val="24"/>
          <w:szCs w:val="24"/>
          <w:highlight w:val="none"/>
        </w:rPr>
      </w:pPr>
    </w:p>
    <w:p w14:paraId="2B3A5F35">
      <w:pPr>
        <w:spacing w:line="360" w:lineRule="auto"/>
        <w:ind w:left="0" w:leftChars="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color w:val="auto"/>
          <w:sz w:val="44"/>
          <w:szCs w:val="44"/>
          <w:highlight w:val="none"/>
        </w:rPr>
        <w:t>残疾人福利性单位声明函</w:t>
      </w:r>
    </w:p>
    <w:p w14:paraId="79634360">
      <w:pPr>
        <w:spacing w:line="360" w:lineRule="auto"/>
        <w:ind w:firstLine="640"/>
        <w:rPr>
          <w:rFonts w:hint="eastAsia" w:ascii="仿宋" w:hAnsi="仿宋" w:eastAsia="仿宋" w:cs="仿宋"/>
          <w:color w:val="auto"/>
          <w:sz w:val="32"/>
          <w:szCs w:val="32"/>
          <w:highlight w:val="none"/>
        </w:rPr>
      </w:pPr>
    </w:p>
    <w:p w14:paraId="701CB2E2">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8076F6E">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704A9504">
      <w:pPr>
        <w:spacing w:line="360" w:lineRule="auto"/>
        <w:contextualSpacing/>
        <w:rPr>
          <w:rFonts w:hint="eastAsia" w:ascii="仿宋" w:hAnsi="仿宋" w:eastAsia="仿宋" w:cs="仿宋"/>
          <w:color w:val="auto"/>
          <w:sz w:val="24"/>
          <w:szCs w:val="24"/>
          <w:highlight w:val="none"/>
        </w:rPr>
      </w:pPr>
    </w:p>
    <w:p w14:paraId="7843B449">
      <w:pPr>
        <w:spacing w:line="360" w:lineRule="auto"/>
        <w:contextualSpacing/>
        <w:rPr>
          <w:rFonts w:hint="eastAsia" w:ascii="仿宋" w:hAnsi="仿宋" w:eastAsia="仿宋" w:cs="仿宋"/>
          <w:color w:val="auto"/>
          <w:sz w:val="24"/>
          <w:szCs w:val="24"/>
          <w:highlight w:val="none"/>
        </w:rPr>
      </w:pPr>
    </w:p>
    <w:p w14:paraId="58683BD8">
      <w:pPr>
        <w:spacing w:line="360" w:lineRule="auto"/>
        <w:contextualSpacing/>
        <w:rPr>
          <w:rFonts w:hint="eastAsia" w:ascii="仿宋" w:hAnsi="仿宋" w:eastAsia="仿宋" w:cs="仿宋"/>
          <w:color w:val="auto"/>
          <w:sz w:val="24"/>
          <w:szCs w:val="24"/>
          <w:highlight w:val="none"/>
        </w:rPr>
      </w:pPr>
    </w:p>
    <w:p w14:paraId="31CCB9E4">
      <w:pPr>
        <w:spacing w:line="360" w:lineRule="auto"/>
        <w:ind w:firstLine="3600" w:firstLineChars="15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u w:val="single"/>
        </w:rPr>
        <w:t xml:space="preserve">                 </w:t>
      </w:r>
    </w:p>
    <w:p w14:paraId="1604334D">
      <w:pPr>
        <w:spacing w:line="360" w:lineRule="auto"/>
        <w:ind w:firstLine="3600" w:firstLineChars="15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年</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月</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日</w:t>
      </w:r>
    </w:p>
    <w:p w14:paraId="3A30D1C9">
      <w:pPr>
        <w:spacing w:line="360" w:lineRule="auto"/>
        <w:contextualSpacing/>
        <w:rPr>
          <w:rFonts w:hint="eastAsia" w:ascii="仿宋" w:hAnsi="仿宋" w:eastAsia="仿宋" w:cs="仿宋"/>
          <w:color w:val="auto"/>
          <w:sz w:val="24"/>
          <w:szCs w:val="24"/>
          <w:highlight w:val="none"/>
        </w:rPr>
      </w:pPr>
    </w:p>
    <w:p w14:paraId="7DECEA6D">
      <w:pPr>
        <w:spacing w:line="360" w:lineRule="auto"/>
        <w:contextualSpacing/>
        <w:rPr>
          <w:rFonts w:hint="eastAsia" w:ascii="仿宋" w:hAnsi="仿宋" w:eastAsia="仿宋" w:cs="仿宋"/>
          <w:color w:val="auto"/>
          <w:sz w:val="24"/>
          <w:szCs w:val="24"/>
          <w:highlight w:val="none"/>
        </w:rPr>
      </w:pPr>
    </w:p>
    <w:p w14:paraId="04EA52B5">
      <w:pPr>
        <w:spacing w:line="360" w:lineRule="auto"/>
        <w:contextualSpacing/>
        <w:rPr>
          <w:rFonts w:hint="eastAsia" w:ascii="仿宋" w:hAnsi="仿宋" w:eastAsia="仿宋" w:cs="仿宋"/>
          <w:color w:val="auto"/>
          <w:sz w:val="24"/>
          <w:szCs w:val="24"/>
          <w:highlight w:val="none"/>
        </w:rPr>
      </w:pPr>
    </w:p>
    <w:p w14:paraId="2C73AE04">
      <w:pPr>
        <w:spacing w:line="360" w:lineRule="auto"/>
        <w:ind w:firstLine="482"/>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14:paraId="6CE79522">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请根据自己的真实情况出具《残疾人福利性单位声明函》。依法享受中小企业优惠政策的，采购人或者采购代理机构在公告中标结果时，同时公告其《残疾人福利性单位声明函》，接受社会监督。</w:t>
      </w:r>
    </w:p>
    <w:p w14:paraId="0B5136B6">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color w:val="auto"/>
          <w:sz w:val="44"/>
          <w:szCs w:val="44"/>
          <w:highlight w:val="none"/>
        </w:rPr>
        <w:t>质疑函</w:t>
      </w:r>
      <w:r>
        <w:rPr>
          <w:rFonts w:hint="eastAsia" w:ascii="仿宋" w:hAnsi="仿宋" w:eastAsia="仿宋" w:cs="仿宋"/>
          <w:color w:val="auto"/>
          <w:sz w:val="28"/>
          <w:szCs w:val="28"/>
          <w:highlight w:val="none"/>
        </w:rPr>
        <w:t>（格式）</w:t>
      </w:r>
    </w:p>
    <w:p w14:paraId="45AC933F">
      <w:pPr>
        <w:spacing w:line="360" w:lineRule="auto"/>
        <w:ind w:firstLine="643"/>
        <w:jc w:val="center"/>
        <w:rPr>
          <w:rFonts w:hint="eastAsia" w:ascii="仿宋" w:hAnsi="仿宋" w:eastAsia="仿宋" w:cs="仿宋"/>
          <w:b/>
          <w:bCs/>
          <w:color w:val="auto"/>
          <w:sz w:val="32"/>
          <w:szCs w:val="32"/>
          <w:highlight w:val="none"/>
        </w:rPr>
      </w:pPr>
    </w:p>
    <w:p w14:paraId="0899BB65">
      <w:pPr>
        <w:spacing w:line="360" w:lineRule="auto"/>
        <w:ind w:firstLine="482" w:firstLineChars="200"/>
        <w:contextualSpacing/>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一、质疑供应商基本信息：</w:t>
      </w:r>
    </w:p>
    <w:p w14:paraId="0CB6CD90">
      <w:pPr>
        <w:spacing w:line="360" w:lineRule="auto"/>
        <w:ind w:firstLine="480" w:firstLineChars="200"/>
        <w:contextualSpacing/>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质疑供应商：</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 xml:space="preserve">                 </w:t>
      </w:r>
    </w:p>
    <w:p w14:paraId="5BF8C5CF">
      <w:pPr>
        <w:spacing w:line="360" w:lineRule="auto"/>
        <w:ind w:firstLine="480" w:firstLineChars="200"/>
        <w:contextualSpacing/>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地址：</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邮编：</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 xml:space="preserve">                 </w:t>
      </w:r>
    </w:p>
    <w:p w14:paraId="71C96E63">
      <w:pPr>
        <w:spacing w:line="360" w:lineRule="auto"/>
        <w:ind w:firstLine="480" w:firstLineChars="200"/>
        <w:contextualSpacing/>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联系人：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联系电话：</w:t>
      </w:r>
      <w:r>
        <w:rPr>
          <w:rFonts w:hint="eastAsia" w:ascii="仿宋" w:hAnsi="仿宋" w:eastAsia="仿宋" w:cs="仿宋"/>
          <w:bCs/>
          <w:color w:val="auto"/>
          <w:kern w:val="0"/>
          <w:sz w:val="24"/>
          <w:szCs w:val="24"/>
          <w:highlight w:val="none"/>
          <w:u w:val="single"/>
        </w:rPr>
        <w:t xml:space="preserve">                 </w:t>
      </w:r>
    </w:p>
    <w:p w14:paraId="579CC426">
      <w:pPr>
        <w:spacing w:line="360" w:lineRule="auto"/>
        <w:ind w:firstLine="480" w:firstLineChars="200"/>
        <w:contextualSpacing/>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授权代表：</w:t>
      </w:r>
      <w:r>
        <w:rPr>
          <w:rFonts w:hint="eastAsia" w:ascii="仿宋" w:hAnsi="仿宋" w:eastAsia="仿宋" w:cs="仿宋"/>
          <w:bCs/>
          <w:color w:val="auto"/>
          <w:kern w:val="0"/>
          <w:sz w:val="24"/>
          <w:szCs w:val="24"/>
          <w:highlight w:val="none"/>
          <w:u w:val="single"/>
        </w:rPr>
        <w:t xml:space="preserve">                      </w:t>
      </w:r>
    </w:p>
    <w:p w14:paraId="341DCD22">
      <w:pPr>
        <w:spacing w:line="360" w:lineRule="auto"/>
        <w:ind w:firstLine="480" w:firstLineChars="200"/>
        <w:contextualSpacing/>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联系电话：</w:t>
      </w:r>
      <w:r>
        <w:rPr>
          <w:rFonts w:hint="eastAsia" w:ascii="仿宋" w:hAnsi="仿宋" w:eastAsia="仿宋" w:cs="仿宋"/>
          <w:bCs/>
          <w:color w:val="auto"/>
          <w:kern w:val="0"/>
          <w:sz w:val="24"/>
          <w:szCs w:val="24"/>
          <w:highlight w:val="none"/>
          <w:u w:val="single"/>
        </w:rPr>
        <w:t xml:space="preserve">                      </w:t>
      </w:r>
    </w:p>
    <w:p w14:paraId="76535755">
      <w:pPr>
        <w:spacing w:line="360" w:lineRule="auto"/>
        <w:ind w:firstLine="480" w:firstLineChars="200"/>
        <w:contextualSpacing/>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地址：</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邮编：</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 xml:space="preserve">     </w:t>
      </w:r>
    </w:p>
    <w:p w14:paraId="764A4ABE">
      <w:pPr>
        <w:spacing w:line="360" w:lineRule="auto"/>
        <w:ind w:firstLine="482" w:firstLineChars="200"/>
        <w:contextualSpacing/>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二、质疑项目基本情况：</w:t>
      </w:r>
    </w:p>
    <w:p w14:paraId="1B224666">
      <w:pPr>
        <w:spacing w:line="360" w:lineRule="auto"/>
        <w:ind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质疑</w:t>
      </w:r>
      <w:r>
        <w:rPr>
          <w:rFonts w:hint="eastAsia" w:ascii="仿宋" w:hAnsi="仿宋" w:eastAsia="仿宋" w:cs="仿宋"/>
          <w:color w:val="auto"/>
          <w:kern w:val="0"/>
          <w:sz w:val="24"/>
          <w:szCs w:val="24"/>
          <w:highlight w:val="none"/>
        </w:rPr>
        <w:t>项目的名称：</w:t>
      </w:r>
      <w:r>
        <w:rPr>
          <w:rFonts w:hint="eastAsia" w:ascii="仿宋" w:hAnsi="仿宋" w:eastAsia="仿宋" w:cs="仿宋"/>
          <w:bCs/>
          <w:color w:val="auto"/>
          <w:kern w:val="0"/>
          <w:sz w:val="24"/>
          <w:szCs w:val="24"/>
          <w:highlight w:val="none"/>
          <w:u w:val="single"/>
        </w:rPr>
        <w:t xml:space="preserve">                                     </w:t>
      </w:r>
    </w:p>
    <w:p w14:paraId="0CF375C6">
      <w:pPr>
        <w:spacing w:line="360" w:lineRule="auto"/>
        <w:ind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质疑</w:t>
      </w:r>
      <w:r>
        <w:rPr>
          <w:rFonts w:hint="eastAsia" w:ascii="仿宋" w:hAnsi="仿宋" w:eastAsia="仿宋" w:cs="仿宋"/>
          <w:color w:val="auto"/>
          <w:kern w:val="0"/>
          <w:sz w:val="24"/>
          <w:szCs w:val="24"/>
          <w:highlight w:val="none"/>
        </w:rPr>
        <w:t>项目的编号：</w:t>
      </w:r>
      <w:r>
        <w:rPr>
          <w:rFonts w:hint="eastAsia" w:ascii="仿宋" w:hAnsi="仿宋" w:eastAsia="仿宋" w:cs="仿宋"/>
          <w:bCs/>
          <w:color w:val="auto"/>
          <w:kern w:val="0"/>
          <w:sz w:val="24"/>
          <w:szCs w:val="24"/>
          <w:highlight w:val="none"/>
          <w:u w:val="single"/>
        </w:rPr>
        <w:t xml:space="preserve">                                     </w:t>
      </w:r>
    </w:p>
    <w:p w14:paraId="72F9E1AD">
      <w:pPr>
        <w:spacing w:line="360" w:lineRule="auto"/>
        <w:ind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采购人名称：</w:t>
      </w:r>
      <w:r>
        <w:rPr>
          <w:rFonts w:hint="eastAsia" w:ascii="仿宋" w:hAnsi="仿宋" w:eastAsia="仿宋" w:cs="仿宋"/>
          <w:bCs/>
          <w:color w:val="auto"/>
          <w:kern w:val="0"/>
          <w:sz w:val="24"/>
          <w:szCs w:val="24"/>
          <w:highlight w:val="none"/>
          <w:u w:val="single"/>
        </w:rPr>
        <w:t xml:space="preserve">                                         </w:t>
      </w:r>
    </w:p>
    <w:p w14:paraId="7753A540">
      <w:pPr>
        <w:spacing w:line="360" w:lineRule="auto"/>
        <w:ind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质疑事项：</w:t>
      </w:r>
    </w:p>
    <w:p w14:paraId="5EF78EBF">
      <w:pPr>
        <w:spacing w:line="360" w:lineRule="auto"/>
        <w:ind w:firstLine="352" w:firstLineChars="14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□采购文件   采购文件获取日期：</w:t>
      </w:r>
      <w:r>
        <w:rPr>
          <w:rFonts w:hint="eastAsia" w:ascii="仿宋" w:hAnsi="仿宋" w:eastAsia="仿宋" w:cs="仿宋"/>
          <w:bCs/>
          <w:color w:val="auto"/>
          <w:kern w:val="0"/>
          <w:sz w:val="24"/>
          <w:szCs w:val="24"/>
          <w:highlight w:val="none"/>
          <w:u w:val="single"/>
        </w:rPr>
        <w:t xml:space="preserve">                                   </w:t>
      </w:r>
    </w:p>
    <w:p w14:paraId="5A2C1106">
      <w:pPr>
        <w:spacing w:line="360" w:lineRule="auto"/>
        <w:ind w:firstLine="352" w:firstLineChars="14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□采购过程   </w:t>
      </w:r>
    </w:p>
    <w:p w14:paraId="6795F2A3">
      <w:pPr>
        <w:spacing w:line="360" w:lineRule="auto"/>
        <w:ind w:firstLine="352" w:firstLineChars="147"/>
        <w:contextualSpacing/>
        <w:rPr>
          <w:rFonts w:hint="eastAsia" w:ascii="仿宋" w:hAnsi="仿宋" w:eastAsia="仿宋" w:cs="仿宋"/>
          <w:bCs/>
          <w:color w:val="auto"/>
          <w:kern w:val="0"/>
          <w:sz w:val="24"/>
          <w:szCs w:val="24"/>
          <w:highlight w:val="none"/>
          <w:u w:val="single"/>
        </w:rPr>
      </w:pPr>
      <w:r>
        <w:rPr>
          <w:rFonts w:hint="eastAsia" w:ascii="仿宋" w:hAnsi="仿宋" w:eastAsia="仿宋" w:cs="仿宋"/>
          <w:color w:val="auto"/>
          <w:kern w:val="0"/>
          <w:sz w:val="24"/>
          <w:szCs w:val="24"/>
          <w:highlight w:val="none"/>
        </w:rPr>
        <w:t xml:space="preserve">□成交结果   </w:t>
      </w:r>
    </w:p>
    <w:p w14:paraId="7E8A40C9">
      <w:pPr>
        <w:spacing w:line="360" w:lineRule="auto"/>
        <w:ind w:firstLine="472" w:firstLineChars="196"/>
        <w:contextualSpacing/>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三、质疑事项具体内容</w:t>
      </w:r>
    </w:p>
    <w:p w14:paraId="18E45C9A">
      <w:pPr>
        <w:spacing w:line="360" w:lineRule="auto"/>
        <w:ind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质疑事项1：</w:t>
      </w:r>
      <w:r>
        <w:rPr>
          <w:rFonts w:hint="eastAsia" w:ascii="仿宋" w:hAnsi="仿宋" w:eastAsia="仿宋" w:cs="仿宋"/>
          <w:bCs/>
          <w:color w:val="auto"/>
          <w:kern w:val="0"/>
          <w:sz w:val="24"/>
          <w:szCs w:val="24"/>
          <w:highlight w:val="none"/>
          <w:u w:val="single"/>
        </w:rPr>
        <w:t xml:space="preserve">                                                                    </w:t>
      </w:r>
    </w:p>
    <w:p w14:paraId="0BC143E9">
      <w:pPr>
        <w:spacing w:line="360" w:lineRule="auto"/>
        <w:ind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事实依据：</w:t>
      </w:r>
      <w:r>
        <w:rPr>
          <w:rFonts w:hint="eastAsia" w:ascii="仿宋" w:hAnsi="仿宋" w:eastAsia="仿宋" w:cs="仿宋"/>
          <w:bCs/>
          <w:color w:val="auto"/>
          <w:kern w:val="0"/>
          <w:sz w:val="24"/>
          <w:szCs w:val="24"/>
          <w:highlight w:val="none"/>
          <w:u w:val="single"/>
        </w:rPr>
        <w:t xml:space="preserve">                                                                      </w:t>
      </w:r>
    </w:p>
    <w:p w14:paraId="1056EB75">
      <w:pPr>
        <w:spacing w:line="360" w:lineRule="auto"/>
        <w:ind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法律依据：</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rPr>
        <w:t xml:space="preserve">               </w:t>
      </w:r>
    </w:p>
    <w:p w14:paraId="7193A89D">
      <w:pPr>
        <w:spacing w:line="360" w:lineRule="auto"/>
        <w:ind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质疑事项2</w:t>
      </w:r>
    </w:p>
    <w:p w14:paraId="48B88951">
      <w:pPr>
        <w:spacing w:line="360" w:lineRule="auto"/>
        <w:ind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A78D30C">
      <w:pPr>
        <w:spacing w:line="360" w:lineRule="auto"/>
        <w:ind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四、与质疑事项相关的质疑请求：</w:t>
      </w:r>
    </w:p>
    <w:p w14:paraId="38455F68">
      <w:pPr>
        <w:spacing w:line="360" w:lineRule="auto"/>
        <w:ind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请求：</w:t>
      </w:r>
      <w:r>
        <w:rPr>
          <w:rFonts w:hint="eastAsia" w:ascii="仿宋" w:hAnsi="仿宋" w:eastAsia="仿宋" w:cs="仿宋"/>
          <w:bCs/>
          <w:color w:val="auto"/>
          <w:kern w:val="0"/>
          <w:sz w:val="24"/>
          <w:szCs w:val="24"/>
          <w:highlight w:val="none"/>
          <w:u w:val="single"/>
        </w:rPr>
        <w:t xml:space="preserve">                                                                </w:t>
      </w:r>
    </w:p>
    <w:p w14:paraId="5869EFC6">
      <w:pPr>
        <w:spacing w:line="360" w:lineRule="auto"/>
        <w:ind w:firstLine="352" w:firstLineChars="147"/>
        <w:contextualSpacing/>
        <w:rPr>
          <w:rFonts w:hint="eastAsia" w:ascii="仿宋" w:hAnsi="仿宋" w:eastAsia="仿宋" w:cs="仿宋"/>
          <w:color w:val="auto"/>
          <w:kern w:val="0"/>
          <w:sz w:val="24"/>
          <w:szCs w:val="24"/>
          <w:highlight w:val="none"/>
        </w:rPr>
      </w:pPr>
    </w:p>
    <w:p w14:paraId="73205458">
      <w:pPr>
        <w:spacing w:line="360" w:lineRule="auto"/>
        <w:ind w:firstLine="472" w:firstLineChars="197"/>
        <w:contextualSpacing/>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签字（签章）：</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公章：</w:t>
      </w:r>
      <w:r>
        <w:rPr>
          <w:rFonts w:hint="eastAsia" w:ascii="仿宋" w:hAnsi="仿宋" w:eastAsia="仿宋" w:cs="仿宋"/>
          <w:color w:val="auto"/>
          <w:kern w:val="0"/>
          <w:sz w:val="24"/>
          <w:szCs w:val="24"/>
          <w:highlight w:val="none"/>
          <w:u w:val="single"/>
        </w:rPr>
        <w:t xml:space="preserve">                </w:t>
      </w:r>
    </w:p>
    <w:p w14:paraId="3A50B6DF">
      <w:pPr>
        <w:spacing w:line="360" w:lineRule="auto"/>
        <w:ind w:firstLine="472" w:firstLineChars="197"/>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spacing w:val="20"/>
          <w:kern w:val="0"/>
          <w:sz w:val="24"/>
          <w:szCs w:val="21"/>
          <w:highlight w:val="none"/>
          <w:u w:val="single"/>
        </w:rPr>
        <w:t xml:space="preserve">     </w:t>
      </w:r>
      <w:r>
        <w:rPr>
          <w:rFonts w:hint="eastAsia" w:ascii="仿宋" w:hAnsi="仿宋" w:eastAsia="仿宋" w:cs="仿宋"/>
          <w:color w:val="auto"/>
          <w:spacing w:val="20"/>
          <w:kern w:val="0"/>
          <w:sz w:val="24"/>
          <w:szCs w:val="21"/>
          <w:highlight w:val="none"/>
        </w:rPr>
        <w:t>年</w:t>
      </w:r>
      <w:r>
        <w:rPr>
          <w:rFonts w:hint="eastAsia" w:ascii="仿宋" w:hAnsi="仿宋" w:eastAsia="仿宋" w:cs="仿宋"/>
          <w:color w:val="auto"/>
          <w:spacing w:val="20"/>
          <w:kern w:val="0"/>
          <w:sz w:val="24"/>
          <w:szCs w:val="21"/>
          <w:highlight w:val="none"/>
          <w:u w:val="single"/>
        </w:rPr>
        <w:t xml:space="preserve">  </w:t>
      </w:r>
      <w:r>
        <w:rPr>
          <w:rFonts w:hint="eastAsia" w:ascii="仿宋" w:hAnsi="仿宋" w:eastAsia="仿宋" w:cs="仿宋"/>
          <w:color w:val="auto"/>
          <w:spacing w:val="20"/>
          <w:kern w:val="0"/>
          <w:sz w:val="24"/>
          <w:szCs w:val="21"/>
          <w:highlight w:val="none"/>
        </w:rPr>
        <w:t>月</w:t>
      </w:r>
      <w:r>
        <w:rPr>
          <w:rFonts w:hint="eastAsia" w:ascii="仿宋" w:hAnsi="仿宋" w:eastAsia="仿宋" w:cs="仿宋"/>
          <w:color w:val="auto"/>
          <w:spacing w:val="20"/>
          <w:kern w:val="0"/>
          <w:sz w:val="24"/>
          <w:szCs w:val="21"/>
          <w:highlight w:val="none"/>
          <w:u w:val="single"/>
        </w:rPr>
        <w:t xml:space="preserve">  </w:t>
      </w:r>
      <w:r>
        <w:rPr>
          <w:rFonts w:hint="eastAsia" w:ascii="仿宋" w:hAnsi="仿宋" w:eastAsia="仿宋" w:cs="仿宋"/>
          <w:color w:val="auto"/>
          <w:spacing w:val="20"/>
          <w:kern w:val="0"/>
          <w:sz w:val="24"/>
          <w:szCs w:val="21"/>
          <w:highlight w:val="none"/>
        </w:rPr>
        <w:t>日</w:t>
      </w:r>
    </w:p>
    <w:p w14:paraId="45844913">
      <w:pPr>
        <w:spacing w:line="360" w:lineRule="auto"/>
        <w:ind w:firstLine="482"/>
        <w:contextualSpacing/>
        <w:rPr>
          <w:rFonts w:hint="eastAsia" w:ascii="仿宋" w:hAnsi="仿宋" w:eastAsia="仿宋" w:cs="仿宋"/>
          <w:b/>
          <w:color w:val="auto"/>
          <w:kern w:val="0"/>
          <w:sz w:val="24"/>
          <w:szCs w:val="24"/>
          <w:highlight w:val="none"/>
        </w:rPr>
      </w:pPr>
    </w:p>
    <w:p w14:paraId="7EF4435A">
      <w:pPr>
        <w:spacing w:line="360" w:lineRule="auto"/>
        <w:ind w:firstLine="482"/>
        <w:contextualSpacing/>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说明：</w:t>
      </w:r>
    </w:p>
    <w:p w14:paraId="7BC8D1A5">
      <w:pPr>
        <w:spacing w:line="360" w:lineRule="auto"/>
        <w:ind w:firstLine="354" w:firstLineChars="147"/>
        <w:contextualSpacing/>
        <w:rPr>
          <w:rFonts w:hint="eastAsia" w:ascii="仿宋" w:hAnsi="仿宋" w:eastAsia="仿宋" w:cs="仿宋"/>
          <w:b/>
          <w:bCs/>
          <w:color w:val="auto"/>
          <w:kern w:val="0"/>
          <w:sz w:val="24"/>
          <w:szCs w:val="24"/>
          <w:highlight w:val="none"/>
        </w:rPr>
      </w:pPr>
      <w:r>
        <w:rPr>
          <w:rFonts w:hint="eastAsia" w:ascii="仿宋" w:hAnsi="仿宋" w:eastAsia="仿宋" w:cs="仿宋"/>
          <w:b/>
          <w:color w:val="auto"/>
          <w:kern w:val="0"/>
          <w:sz w:val="24"/>
          <w:szCs w:val="24"/>
          <w:highlight w:val="none"/>
        </w:rPr>
        <w:t>1.供应商提出质疑时，应提交质疑函和必要的证明材料</w:t>
      </w:r>
      <w:r>
        <w:rPr>
          <w:rFonts w:hint="eastAsia" w:ascii="仿宋" w:hAnsi="仿宋" w:eastAsia="仿宋" w:cs="仿宋"/>
          <w:b/>
          <w:bCs/>
          <w:color w:val="auto"/>
          <w:kern w:val="0"/>
          <w:sz w:val="24"/>
          <w:szCs w:val="24"/>
          <w:highlight w:val="none"/>
        </w:rPr>
        <w:t>。</w:t>
      </w:r>
    </w:p>
    <w:p w14:paraId="621FB42E">
      <w:pPr>
        <w:spacing w:line="360" w:lineRule="auto"/>
        <w:ind w:firstLine="354" w:firstLineChars="147"/>
        <w:contextualSpacing/>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55031AF">
      <w:pPr>
        <w:spacing w:line="360" w:lineRule="auto"/>
        <w:ind w:firstLine="354" w:firstLineChars="147"/>
        <w:contextualSpacing/>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3.质疑函的质疑事项应具体、明确，并有必要的事实依据和法律依据。</w:t>
      </w:r>
    </w:p>
    <w:p w14:paraId="208EF2C6">
      <w:pPr>
        <w:spacing w:line="360" w:lineRule="auto"/>
        <w:ind w:firstLine="354" w:firstLineChars="147"/>
        <w:contextualSpacing/>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4.质疑函的质疑请求应与质疑事项相关。</w:t>
      </w:r>
    </w:p>
    <w:p w14:paraId="2704547F">
      <w:pPr>
        <w:spacing w:line="360" w:lineRule="auto"/>
        <w:ind w:firstLine="354" w:firstLineChars="147"/>
        <w:contextualSpacing/>
        <w:rPr>
          <w:rFonts w:hint="eastAsia" w:ascii="仿宋" w:hAnsi="仿宋" w:eastAsia="仿宋" w:cs="仿宋"/>
          <w:b/>
          <w:color w:val="auto"/>
          <w:kern w:val="0"/>
          <w:sz w:val="20"/>
          <w:szCs w:val="21"/>
          <w:highlight w:val="none"/>
        </w:rPr>
      </w:pPr>
      <w:r>
        <w:rPr>
          <w:rFonts w:hint="eastAsia" w:ascii="仿宋" w:hAnsi="仿宋" w:eastAsia="仿宋" w:cs="仿宋"/>
          <w:b/>
          <w:color w:val="auto"/>
          <w:kern w:val="0"/>
          <w:sz w:val="24"/>
          <w:szCs w:val="24"/>
          <w:highlight w:val="none"/>
        </w:rPr>
        <w:t>5.质疑供应商为法人或者其他组织的，质疑函应由法定代表人、主要负责人，或者其授权代表签字或者盖章，并加盖公章。</w:t>
      </w:r>
    </w:p>
    <w:p w14:paraId="6C2A594F">
      <w:pPr>
        <w:snapToGrid w:val="0"/>
        <w:spacing w:line="360" w:lineRule="auto"/>
        <w:ind w:firstLine="482"/>
        <w:rPr>
          <w:rFonts w:hint="eastAsia" w:ascii="仿宋" w:hAnsi="仿宋" w:eastAsia="仿宋" w:cs="仿宋"/>
          <w:b/>
          <w:color w:val="auto"/>
          <w:kern w:val="0"/>
          <w:sz w:val="24"/>
          <w:szCs w:val="24"/>
          <w:highlight w:val="none"/>
        </w:rPr>
      </w:pPr>
    </w:p>
    <w:p w14:paraId="2FB12F59">
      <w:pPr>
        <w:spacing w:line="360" w:lineRule="auto"/>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p>
    <w:p w14:paraId="3B7248B7">
      <w:pPr>
        <w:spacing w:line="360" w:lineRule="auto"/>
        <w:ind w:firstLine="883"/>
        <w:jc w:val="center"/>
        <w:rPr>
          <w:rFonts w:hint="eastAsia" w:ascii="仿宋" w:hAnsi="仿宋" w:eastAsia="仿宋" w:cs="仿宋"/>
          <w:color w:val="auto"/>
          <w:sz w:val="44"/>
          <w:szCs w:val="44"/>
          <w:highlight w:val="none"/>
        </w:rPr>
      </w:pPr>
      <w:r>
        <w:rPr>
          <w:rFonts w:hint="eastAsia" w:ascii="仿宋" w:hAnsi="仿宋" w:eastAsia="仿宋" w:cs="仿宋"/>
          <w:b/>
          <w:color w:val="auto"/>
          <w:sz w:val="44"/>
          <w:szCs w:val="44"/>
          <w:highlight w:val="none"/>
        </w:rPr>
        <w:t>投诉书</w:t>
      </w:r>
      <w:r>
        <w:rPr>
          <w:rFonts w:hint="eastAsia" w:ascii="仿宋" w:hAnsi="仿宋" w:eastAsia="仿宋" w:cs="仿宋"/>
          <w:color w:val="auto"/>
          <w:sz w:val="28"/>
          <w:szCs w:val="28"/>
          <w:highlight w:val="none"/>
        </w:rPr>
        <w:t>（格式）</w:t>
      </w:r>
    </w:p>
    <w:p w14:paraId="2A5C7716">
      <w:pPr>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一、投诉相关主体基本情况：</w:t>
      </w:r>
    </w:p>
    <w:p w14:paraId="38516255">
      <w:pPr>
        <w:snapToGrid w:val="0"/>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供应商：</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 xml:space="preserve">                 </w:t>
      </w:r>
    </w:p>
    <w:p w14:paraId="25361A77">
      <w:pPr>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地址：</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邮编：</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 xml:space="preserve">                 </w:t>
      </w:r>
    </w:p>
    <w:p w14:paraId="27A21AED">
      <w:pPr>
        <w:snapToGrid w:val="0"/>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法定代表人/主要负责人：</w:t>
      </w:r>
      <w:r>
        <w:rPr>
          <w:rFonts w:hint="eastAsia" w:ascii="仿宋" w:hAnsi="仿宋" w:eastAsia="仿宋" w:cs="仿宋"/>
          <w:bCs/>
          <w:color w:val="auto"/>
          <w:kern w:val="0"/>
          <w:sz w:val="24"/>
          <w:szCs w:val="24"/>
          <w:highlight w:val="none"/>
          <w:u w:val="single"/>
        </w:rPr>
        <w:t xml:space="preserve">                                                         </w:t>
      </w:r>
    </w:p>
    <w:p w14:paraId="10EFCBD2">
      <w:pPr>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联系电话：</w:t>
      </w:r>
      <w:r>
        <w:rPr>
          <w:rFonts w:hint="eastAsia" w:ascii="仿宋" w:hAnsi="仿宋" w:eastAsia="仿宋" w:cs="仿宋"/>
          <w:bCs/>
          <w:color w:val="auto"/>
          <w:kern w:val="0"/>
          <w:sz w:val="24"/>
          <w:szCs w:val="24"/>
          <w:highlight w:val="none"/>
          <w:u w:val="single"/>
        </w:rPr>
        <w:t xml:space="preserve">                                         </w:t>
      </w:r>
    </w:p>
    <w:p w14:paraId="5A6AE2F9">
      <w:pPr>
        <w:snapToGrid w:val="0"/>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授权代表：</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联系电话：</w:t>
      </w:r>
      <w:r>
        <w:rPr>
          <w:rFonts w:hint="eastAsia" w:ascii="仿宋" w:hAnsi="仿宋" w:eastAsia="仿宋" w:cs="仿宋"/>
          <w:bCs/>
          <w:color w:val="auto"/>
          <w:kern w:val="0"/>
          <w:sz w:val="24"/>
          <w:szCs w:val="24"/>
          <w:highlight w:val="none"/>
          <w:u w:val="single"/>
        </w:rPr>
        <w:t xml:space="preserve">                   </w:t>
      </w:r>
    </w:p>
    <w:p w14:paraId="51924053">
      <w:pPr>
        <w:snapToGrid w:val="0"/>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地址：</w:t>
      </w:r>
      <w:r>
        <w:rPr>
          <w:rFonts w:hint="eastAsia" w:ascii="仿宋" w:hAnsi="仿宋" w:eastAsia="仿宋" w:cs="仿宋"/>
          <w:bCs/>
          <w:color w:val="auto"/>
          <w:kern w:val="0"/>
          <w:sz w:val="24"/>
          <w:szCs w:val="24"/>
          <w:highlight w:val="none"/>
          <w:u w:val="single"/>
        </w:rPr>
        <w:t xml:space="preserve">                                                            </w:t>
      </w:r>
    </w:p>
    <w:p w14:paraId="72BA9022">
      <w:pPr>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邮编：</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 xml:space="preserve">   </w:t>
      </w:r>
    </w:p>
    <w:p w14:paraId="7A385C56">
      <w:pPr>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被投诉人1：</w:t>
      </w:r>
    </w:p>
    <w:p w14:paraId="5F3B5656">
      <w:pPr>
        <w:snapToGrid w:val="0"/>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地址：</w:t>
      </w:r>
      <w:r>
        <w:rPr>
          <w:rFonts w:hint="eastAsia" w:ascii="仿宋" w:hAnsi="仿宋" w:eastAsia="仿宋" w:cs="仿宋"/>
          <w:bCs/>
          <w:color w:val="auto"/>
          <w:kern w:val="0"/>
          <w:sz w:val="24"/>
          <w:szCs w:val="24"/>
          <w:highlight w:val="none"/>
          <w:u w:val="single"/>
        </w:rPr>
        <w:t xml:space="preserve">                                                            </w:t>
      </w:r>
    </w:p>
    <w:p w14:paraId="026C0E44">
      <w:pPr>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邮编：</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 xml:space="preserve">  </w:t>
      </w:r>
    </w:p>
    <w:p w14:paraId="066C0532">
      <w:pPr>
        <w:snapToGrid w:val="0"/>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联系人：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联系电话：</w:t>
      </w:r>
      <w:r>
        <w:rPr>
          <w:rFonts w:hint="eastAsia" w:ascii="仿宋" w:hAnsi="仿宋" w:eastAsia="仿宋" w:cs="仿宋"/>
          <w:bCs/>
          <w:color w:val="auto"/>
          <w:kern w:val="0"/>
          <w:sz w:val="24"/>
          <w:szCs w:val="24"/>
          <w:highlight w:val="none"/>
          <w:u w:val="single"/>
        </w:rPr>
        <w:t xml:space="preserve">                </w:t>
      </w:r>
    </w:p>
    <w:p w14:paraId="7910155F">
      <w:pPr>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被投诉人2：</w:t>
      </w:r>
    </w:p>
    <w:p w14:paraId="7910D5E9">
      <w:pPr>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w:t>
      </w:r>
    </w:p>
    <w:p w14:paraId="15EB38AB">
      <w:pPr>
        <w:snapToGrid w:val="0"/>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相关供应商：</w:t>
      </w:r>
      <w:r>
        <w:rPr>
          <w:rFonts w:hint="eastAsia" w:ascii="仿宋" w:hAnsi="仿宋" w:eastAsia="仿宋" w:cs="仿宋"/>
          <w:bCs/>
          <w:color w:val="auto"/>
          <w:kern w:val="0"/>
          <w:sz w:val="24"/>
          <w:szCs w:val="24"/>
          <w:highlight w:val="none"/>
          <w:u w:val="single"/>
        </w:rPr>
        <w:t xml:space="preserve">                                                                       </w:t>
      </w:r>
    </w:p>
    <w:p w14:paraId="7BE9B6AF">
      <w:pPr>
        <w:snapToGrid w:val="0"/>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地址：</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邮编：</w:t>
      </w:r>
      <w:r>
        <w:rPr>
          <w:rFonts w:hint="eastAsia" w:ascii="仿宋" w:hAnsi="仿宋" w:eastAsia="仿宋" w:cs="仿宋"/>
          <w:bCs/>
          <w:color w:val="auto"/>
          <w:kern w:val="0"/>
          <w:sz w:val="24"/>
          <w:szCs w:val="24"/>
          <w:highlight w:val="none"/>
          <w:u w:val="single"/>
        </w:rPr>
        <w:t xml:space="preserve">                         </w:t>
      </w:r>
    </w:p>
    <w:p w14:paraId="50124B1D">
      <w:pPr>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联系人：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联系电话：</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 xml:space="preserve">                </w:t>
      </w:r>
    </w:p>
    <w:p w14:paraId="68D874F8">
      <w:pPr>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二、投诉项目基本情况：</w:t>
      </w:r>
    </w:p>
    <w:p w14:paraId="530C3B57">
      <w:pPr>
        <w:spacing w:line="360" w:lineRule="auto"/>
        <w:ind w:firstLine="472" w:firstLineChars="197"/>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采购</w:t>
      </w:r>
      <w:r>
        <w:rPr>
          <w:rFonts w:hint="eastAsia" w:ascii="仿宋" w:hAnsi="仿宋" w:eastAsia="仿宋" w:cs="仿宋"/>
          <w:color w:val="auto"/>
          <w:kern w:val="0"/>
          <w:sz w:val="24"/>
          <w:szCs w:val="24"/>
          <w:highlight w:val="none"/>
        </w:rPr>
        <w:t>项目的名称：</w:t>
      </w:r>
      <w:r>
        <w:rPr>
          <w:rFonts w:hint="eastAsia" w:ascii="仿宋" w:hAnsi="仿宋" w:eastAsia="仿宋" w:cs="仿宋"/>
          <w:bCs/>
          <w:color w:val="auto"/>
          <w:kern w:val="0"/>
          <w:sz w:val="24"/>
          <w:szCs w:val="24"/>
          <w:highlight w:val="none"/>
          <w:u w:val="single"/>
        </w:rPr>
        <w:t xml:space="preserve">                                                                   </w:t>
      </w:r>
    </w:p>
    <w:p w14:paraId="174D4C01">
      <w:pPr>
        <w:spacing w:line="360" w:lineRule="auto"/>
        <w:ind w:firstLine="472" w:firstLineChars="197"/>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采购</w:t>
      </w:r>
      <w:r>
        <w:rPr>
          <w:rFonts w:hint="eastAsia" w:ascii="仿宋" w:hAnsi="仿宋" w:eastAsia="仿宋" w:cs="仿宋"/>
          <w:color w:val="auto"/>
          <w:kern w:val="0"/>
          <w:sz w:val="24"/>
          <w:szCs w:val="24"/>
          <w:highlight w:val="none"/>
        </w:rPr>
        <w:t>项目的编号：</w:t>
      </w:r>
      <w:r>
        <w:rPr>
          <w:rFonts w:hint="eastAsia" w:ascii="仿宋" w:hAnsi="仿宋" w:eastAsia="仿宋" w:cs="仿宋"/>
          <w:bCs/>
          <w:color w:val="auto"/>
          <w:kern w:val="0"/>
          <w:sz w:val="24"/>
          <w:szCs w:val="24"/>
          <w:highlight w:val="none"/>
          <w:u w:val="single"/>
        </w:rPr>
        <w:t xml:space="preserve">                                          </w:t>
      </w:r>
    </w:p>
    <w:p w14:paraId="0B697C36">
      <w:pPr>
        <w:spacing w:line="360" w:lineRule="auto"/>
        <w:ind w:firstLine="472" w:firstLineChars="197"/>
        <w:rPr>
          <w:rFonts w:hint="eastAsia" w:ascii="仿宋" w:hAnsi="仿宋" w:eastAsia="仿宋" w:cs="仿宋"/>
          <w:bCs/>
          <w:color w:val="auto"/>
          <w:kern w:val="0"/>
          <w:sz w:val="24"/>
          <w:szCs w:val="24"/>
          <w:highlight w:val="none"/>
          <w:u w:val="single"/>
        </w:rPr>
      </w:pPr>
      <w:r>
        <w:rPr>
          <w:rFonts w:hint="eastAsia" w:ascii="仿宋" w:hAnsi="仿宋" w:eastAsia="仿宋" w:cs="仿宋"/>
          <w:color w:val="auto"/>
          <w:kern w:val="0"/>
          <w:sz w:val="24"/>
          <w:szCs w:val="24"/>
          <w:highlight w:val="none"/>
        </w:rPr>
        <w:t>采购人名称：</w:t>
      </w:r>
      <w:r>
        <w:rPr>
          <w:rFonts w:hint="eastAsia" w:ascii="仿宋" w:hAnsi="仿宋" w:eastAsia="仿宋" w:cs="仿宋"/>
          <w:bCs/>
          <w:color w:val="auto"/>
          <w:kern w:val="0"/>
          <w:sz w:val="24"/>
          <w:szCs w:val="24"/>
          <w:highlight w:val="none"/>
          <w:u w:val="single"/>
        </w:rPr>
        <w:t xml:space="preserve">                                                                        </w:t>
      </w:r>
    </w:p>
    <w:p w14:paraId="68CEDFC8">
      <w:pPr>
        <w:spacing w:line="360" w:lineRule="auto"/>
        <w:ind w:firstLine="472" w:firstLineChars="197"/>
        <w:rPr>
          <w:rFonts w:hint="eastAsia" w:ascii="仿宋" w:hAnsi="仿宋" w:eastAsia="仿宋" w:cs="仿宋"/>
          <w:bCs/>
          <w:color w:val="auto"/>
          <w:kern w:val="0"/>
          <w:sz w:val="24"/>
          <w:szCs w:val="24"/>
          <w:highlight w:val="none"/>
          <w:u w:val="single"/>
        </w:rPr>
      </w:pPr>
      <w:r>
        <w:rPr>
          <w:rFonts w:hint="eastAsia" w:ascii="仿宋" w:hAnsi="仿宋" w:eastAsia="仿宋" w:cs="仿宋"/>
          <w:color w:val="auto"/>
          <w:kern w:val="0"/>
          <w:sz w:val="24"/>
          <w:szCs w:val="24"/>
          <w:highlight w:val="none"/>
        </w:rPr>
        <w:t>代理机构名称：</w:t>
      </w:r>
      <w:r>
        <w:rPr>
          <w:rFonts w:hint="eastAsia" w:ascii="仿宋" w:hAnsi="仿宋" w:eastAsia="仿宋" w:cs="仿宋"/>
          <w:bCs/>
          <w:color w:val="auto"/>
          <w:kern w:val="0"/>
          <w:sz w:val="24"/>
          <w:szCs w:val="24"/>
          <w:highlight w:val="none"/>
          <w:u w:val="single"/>
        </w:rPr>
        <w:t xml:space="preserve">                                                                      </w:t>
      </w:r>
    </w:p>
    <w:p w14:paraId="636BF663">
      <w:pPr>
        <w:spacing w:line="360" w:lineRule="auto"/>
        <w:ind w:firstLine="472" w:firstLineChars="197"/>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采购文件公告：</w:t>
      </w:r>
      <w:r>
        <w:rPr>
          <w:rFonts w:hint="eastAsia" w:ascii="仿宋" w:hAnsi="仿宋" w:eastAsia="仿宋" w:cs="仿宋"/>
          <w:bCs/>
          <w:color w:val="auto"/>
          <w:kern w:val="0"/>
          <w:sz w:val="24"/>
          <w:szCs w:val="24"/>
          <w:highlight w:val="none"/>
          <w:u w:val="single"/>
        </w:rPr>
        <w:t>是/否</w:t>
      </w:r>
      <w:r>
        <w:rPr>
          <w:rFonts w:hint="eastAsia" w:ascii="仿宋" w:hAnsi="仿宋" w:eastAsia="仿宋" w:cs="仿宋"/>
          <w:bCs/>
          <w:color w:val="auto"/>
          <w:kern w:val="0"/>
          <w:sz w:val="24"/>
          <w:szCs w:val="24"/>
          <w:highlight w:val="none"/>
        </w:rPr>
        <w:t>公告期限：</w:t>
      </w:r>
      <w:r>
        <w:rPr>
          <w:rFonts w:hint="eastAsia" w:ascii="仿宋" w:hAnsi="仿宋" w:eastAsia="仿宋" w:cs="仿宋"/>
          <w:bCs/>
          <w:color w:val="auto"/>
          <w:kern w:val="0"/>
          <w:sz w:val="24"/>
          <w:szCs w:val="24"/>
          <w:highlight w:val="none"/>
          <w:u w:val="single"/>
        </w:rPr>
        <w:t xml:space="preserve">                                                       </w:t>
      </w:r>
    </w:p>
    <w:p w14:paraId="3FD82209">
      <w:pPr>
        <w:spacing w:line="360" w:lineRule="auto"/>
        <w:ind w:firstLine="472" w:firstLineChars="197"/>
        <w:rPr>
          <w:rFonts w:hint="eastAsia" w:ascii="仿宋" w:hAnsi="仿宋" w:eastAsia="仿宋" w:cs="仿宋"/>
          <w:b/>
          <w:color w:val="auto"/>
          <w:kern w:val="0"/>
          <w:sz w:val="24"/>
          <w:szCs w:val="24"/>
          <w:highlight w:val="none"/>
        </w:rPr>
      </w:pPr>
      <w:r>
        <w:rPr>
          <w:rFonts w:hint="eastAsia" w:ascii="仿宋" w:hAnsi="仿宋" w:eastAsia="仿宋" w:cs="仿宋"/>
          <w:bCs/>
          <w:color w:val="auto"/>
          <w:kern w:val="0"/>
          <w:sz w:val="24"/>
          <w:szCs w:val="24"/>
          <w:highlight w:val="none"/>
        </w:rPr>
        <w:t>采购结果公告：</w:t>
      </w:r>
      <w:r>
        <w:rPr>
          <w:rFonts w:hint="eastAsia" w:ascii="仿宋" w:hAnsi="仿宋" w:eastAsia="仿宋" w:cs="仿宋"/>
          <w:bCs/>
          <w:color w:val="auto"/>
          <w:kern w:val="0"/>
          <w:sz w:val="24"/>
          <w:szCs w:val="24"/>
          <w:highlight w:val="none"/>
          <w:u w:val="single"/>
        </w:rPr>
        <w:t>是/否</w:t>
      </w:r>
      <w:r>
        <w:rPr>
          <w:rFonts w:hint="eastAsia" w:ascii="仿宋" w:hAnsi="仿宋" w:eastAsia="仿宋" w:cs="仿宋"/>
          <w:bCs/>
          <w:color w:val="auto"/>
          <w:kern w:val="0"/>
          <w:sz w:val="24"/>
          <w:szCs w:val="24"/>
          <w:highlight w:val="none"/>
        </w:rPr>
        <w:t>公告期限：</w:t>
      </w:r>
      <w:r>
        <w:rPr>
          <w:rFonts w:hint="eastAsia" w:ascii="仿宋" w:hAnsi="仿宋" w:eastAsia="仿宋" w:cs="仿宋"/>
          <w:bCs/>
          <w:color w:val="auto"/>
          <w:kern w:val="0"/>
          <w:sz w:val="24"/>
          <w:szCs w:val="24"/>
          <w:highlight w:val="none"/>
          <w:u w:val="single"/>
        </w:rPr>
        <w:t xml:space="preserve">                                                       </w:t>
      </w:r>
    </w:p>
    <w:p w14:paraId="619E8697">
      <w:pPr>
        <w:spacing w:line="360" w:lineRule="auto"/>
        <w:ind w:firstLine="472" w:firstLineChars="19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三、质疑基本情况</w:t>
      </w:r>
    </w:p>
    <w:p w14:paraId="199E2819">
      <w:pPr>
        <w:spacing w:line="360" w:lineRule="auto"/>
        <w:ind w:left="479" w:leftChars="228" w:firstLine="60" w:firstLineChars="2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投诉人于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日，向</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提出质疑，质疑事项为：</w:t>
      </w:r>
    </w:p>
    <w:p w14:paraId="6375075E">
      <w:pPr>
        <w:spacing w:line="360" w:lineRule="auto"/>
        <w:ind w:firstLine="540" w:firstLineChars="225"/>
        <w:rPr>
          <w:rFonts w:hint="eastAsia" w:ascii="仿宋" w:hAnsi="仿宋" w:eastAsia="仿宋" w:cs="仿宋"/>
          <w:bCs/>
          <w:color w:val="auto"/>
          <w:kern w:val="0"/>
          <w:sz w:val="24"/>
          <w:szCs w:val="24"/>
          <w:highlight w:val="none"/>
          <w:u w:val="singl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Cs/>
          <w:color w:val="auto"/>
          <w:kern w:val="0"/>
          <w:sz w:val="24"/>
          <w:szCs w:val="24"/>
          <w:highlight w:val="none"/>
          <w:u w:val="single"/>
        </w:rPr>
        <w:t xml:space="preserve">                                                                                      </w:t>
      </w:r>
    </w:p>
    <w:p w14:paraId="1BA89B82">
      <w:pPr>
        <w:spacing w:line="360" w:lineRule="auto"/>
        <w:ind w:firstLine="540" w:firstLineChars="225"/>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 xml:space="preserve">    </w:t>
      </w:r>
      <w:r>
        <w:rPr>
          <w:rFonts w:hint="eastAsia" w:ascii="仿宋" w:hAnsi="仿宋" w:eastAsia="仿宋" w:cs="仿宋"/>
          <w:bCs/>
          <w:color w:val="auto"/>
          <w:kern w:val="0"/>
          <w:sz w:val="24"/>
          <w:szCs w:val="24"/>
          <w:highlight w:val="none"/>
          <w:u w:val="single"/>
        </w:rPr>
        <w:t xml:space="preserve">                                                                                      </w:t>
      </w:r>
    </w:p>
    <w:p w14:paraId="2E629575">
      <w:pPr>
        <w:spacing w:line="360" w:lineRule="auto"/>
        <w:ind w:firstLine="540" w:firstLineChars="225"/>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u w:val="single"/>
        </w:rPr>
        <w:t>采购人/代理机构</w:t>
      </w:r>
      <w:r>
        <w:rPr>
          <w:rFonts w:hint="eastAsia" w:ascii="仿宋" w:hAnsi="仿宋" w:eastAsia="仿宋" w:cs="仿宋"/>
          <w:bCs/>
          <w:color w:val="auto"/>
          <w:kern w:val="0"/>
          <w:sz w:val="24"/>
          <w:szCs w:val="24"/>
          <w:highlight w:val="none"/>
        </w:rPr>
        <w:t>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r>
        <w:rPr>
          <w:rFonts w:hint="eastAsia" w:ascii="仿宋" w:hAnsi="仿宋" w:eastAsia="仿宋" w:cs="仿宋"/>
          <w:bCs/>
          <w:color w:val="auto"/>
          <w:kern w:val="0"/>
          <w:sz w:val="24"/>
          <w:szCs w:val="24"/>
          <w:highlight w:val="none"/>
        </w:rPr>
        <w:t xml:space="preserve">就质疑事项作出了答复/没有在法定期限内作出答复。                                                                                             </w:t>
      </w:r>
    </w:p>
    <w:p w14:paraId="170C6B12">
      <w:pPr>
        <w:spacing w:line="360" w:lineRule="auto"/>
        <w:ind w:firstLine="472" w:firstLineChars="19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四、投诉事项具体内容</w:t>
      </w:r>
    </w:p>
    <w:p w14:paraId="5274428B">
      <w:pPr>
        <w:spacing w:line="360" w:lineRule="auto"/>
        <w:ind w:firstLine="472" w:firstLineChars="197"/>
        <w:rPr>
          <w:rFonts w:hint="eastAsia" w:ascii="仿宋" w:hAnsi="仿宋" w:eastAsia="仿宋" w:cs="仿宋"/>
          <w:bCs/>
          <w:color w:val="auto"/>
          <w:kern w:val="0"/>
          <w:sz w:val="24"/>
          <w:szCs w:val="24"/>
          <w:highlight w:val="none"/>
          <w:u w:val="single"/>
        </w:rPr>
      </w:pPr>
      <w:r>
        <w:rPr>
          <w:rFonts w:hint="eastAsia" w:ascii="仿宋" w:hAnsi="仿宋" w:eastAsia="仿宋" w:cs="仿宋"/>
          <w:color w:val="auto"/>
          <w:kern w:val="0"/>
          <w:sz w:val="24"/>
          <w:szCs w:val="24"/>
          <w:highlight w:val="none"/>
        </w:rPr>
        <w:t>投诉事项1：</w:t>
      </w:r>
      <w:r>
        <w:rPr>
          <w:rFonts w:hint="eastAsia" w:ascii="仿宋" w:hAnsi="仿宋" w:eastAsia="仿宋" w:cs="仿宋"/>
          <w:bCs/>
          <w:color w:val="auto"/>
          <w:kern w:val="0"/>
          <w:sz w:val="24"/>
          <w:szCs w:val="24"/>
          <w:highlight w:val="none"/>
          <w:u w:val="single"/>
        </w:rPr>
        <w:t xml:space="preserve">                                                                           </w:t>
      </w:r>
    </w:p>
    <w:p w14:paraId="5129A064">
      <w:pPr>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事实依据：</w:t>
      </w:r>
      <w:r>
        <w:rPr>
          <w:rFonts w:hint="eastAsia" w:ascii="仿宋" w:hAnsi="仿宋" w:eastAsia="仿宋" w:cs="仿宋"/>
          <w:color w:val="auto"/>
          <w:kern w:val="0"/>
          <w:sz w:val="24"/>
          <w:szCs w:val="24"/>
          <w:highlight w:val="none"/>
        </w:rPr>
        <w:t xml:space="preserve"> </w:t>
      </w:r>
      <w:r>
        <w:rPr>
          <w:rFonts w:hint="eastAsia" w:ascii="仿宋" w:hAnsi="仿宋" w:eastAsia="仿宋" w:cs="仿宋"/>
          <w:bCs/>
          <w:color w:val="auto"/>
          <w:kern w:val="0"/>
          <w:sz w:val="24"/>
          <w:szCs w:val="24"/>
          <w:highlight w:val="none"/>
          <w:u w:val="single"/>
        </w:rPr>
        <w:t xml:space="preserve">                                                                                      </w:t>
      </w:r>
    </w:p>
    <w:p w14:paraId="44FB0A9F">
      <w:pPr>
        <w:spacing w:line="360" w:lineRule="auto"/>
        <w:ind w:firstLine="472" w:firstLineChars="197"/>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u w:val="single"/>
        </w:rPr>
        <w:t xml:space="preserve">                                                                                        </w:t>
      </w:r>
    </w:p>
    <w:p w14:paraId="6DD35DFC">
      <w:pPr>
        <w:spacing w:line="360" w:lineRule="auto"/>
        <w:ind w:firstLine="480" w:firstLineChars="200"/>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法律依据：</w:t>
      </w:r>
      <w:r>
        <w:rPr>
          <w:rFonts w:hint="eastAsia" w:ascii="仿宋" w:hAnsi="仿宋" w:eastAsia="仿宋" w:cs="仿宋"/>
          <w:color w:val="auto"/>
          <w:kern w:val="0"/>
          <w:sz w:val="24"/>
          <w:szCs w:val="24"/>
          <w:highlight w:val="none"/>
        </w:rPr>
        <w:t xml:space="preserve"> </w:t>
      </w:r>
      <w:r>
        <w:rPr>
          <w:rFonts w:hint="eastAsia" w:ascii="仿宋" w:hAnsi="仿宋" w:eastAsia="仿宋" w:cs="仿宋"/>
          <w:bCs/>
          <w:color w:val="auto"/>
          <w:kern w:val="0"/>
          <w:sz w:val="24"/>
          <w:szCs w:val="24"/>
          <w:highlight w:val="none"/>
          <w:u w:val="single"/>
        </w:rPr>
        <w:t xml:space="preserve">                                                                                      </w:t>
      </w:r>
    </w:p>
    <w:p w14:paraId="60C97FC9">
      <w:pPr>
        <w:spacing w:line="360" w:lineRule="auto"/>
        <w:ind w:firstLine="352" w:firstLineChars="147"/>
        <w:rPr>
          <w:rFonts w:hint="eastAsia" w:ascii="仿宋" w:hAnsi="仿宋" w:eastAsia="仿宋" w:cs="仿宋"/>
          <w:bCs/>
          <w:color w:val="auto"/>
          <w:kern w:val="0"/>
          <w:sz w:val="24"/>
          <w:szCs w:val="24"/>
          <w:highlight w:val="none"/>
          <w:u w:val="single"/>
        </w:rPr>
      </w:pPr>
      <w:r>
        <w:rPr>
          <w:rFonts w:hint="eastAsia" w:ascii="仿宋" w:hAnsi="仿宋" w:eastAsia="仿宋" w:cs="仿宋"/>
          <w:bCs/>
          <w:color w:val="auto"/>
          <w:kern w:val="0"/>
          <w:sz w:val="24"/>
          <w:szCs w:val="24"/>
          <w:highlight w:val="none"/>
        </w:rPr>
        <w:t xml:space="preserve"> </w:t>
      </w:r>
      <w:r>
        <w:rPr>
          <w:rFonts w:hint="eastAsia" w:ascii="仿宋" w:hAnsi="仿宋" w:eastAsia="仿宋" w:cs="仿宋"/>
          <w:bCs/>
          <w:color w:val="auto"/>
          <w:kern w:val="0"/>
          <w:sz w:val="24"/>
          <w:szCs w:val="24"/>
          <w:highlight w:val="none"/>
          <w:u w:val="single"/>
        </w:rPr>
        <w:t xml:space="preserve">                                                                                        </w:t>
      </w:r>
    </w:p>
    <w:p w14:paraId="2D3829F2">
      <w:pPr>
        <w:spacing w:line="360" w:lineRule="auto"/>
        <w:ind w:firstLine="472" w:firstLineChars="197"/>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 xml:space="preserve">投诉事项2  </w:t>
      </w:r>
      <w:r>
        <w:rPr>
          <w:rFonts w:hint="eastAsia" w:ascii="仿宋" w:hAnsi="仿宋" w:eastAsia="仿宋" w:cs="仿宋"/>
          <w:bCs/>
          <w:color w:val="auto"/>
          <w:kern w:val="0"/>
          <w:sz w:val="24"/>
          <w:szCs w:val="24"/>
          <w:highlight w:val="none"/>
        </w:rPr>
        <w:t xml:space="preserve">   </w:t>
      </w:r>
    </w:p>
    <w:p w14:paraId="5EAE0047">
      <w:pPr>
        <w:spacing w:line="360" w:lineRule="auto"/>
        <w:ind w:firstLine="472" w:firstLineChars="197"/>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w:t>
      </w:r>
    </w:p>
    <w:p w14:paraId="544D9C0D">
      <w:pPr>
        <w:spacing w:line="360" w:lineRule="auto"/>
        <w:ind w:firstLine="472" w:firstLineChars="19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五、与投诉事项相关的投诉请求：</w:t>
      </w:r>
    </w:p>
    <w:p w14:paraId="40688D04">
      <w:pPr>
        <w:spacing w:line="360" w:lineRule="auto"/>
        <w:ind w:firstLine="472" w:firstLineChars="197"/>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请求：</w:t>
      </w:r>
      <w:r>
        <w:rPr>
          <w:rFonts w:hint="eastAsia" w:ascii="仿宋" w:hAnsi="仿宋" w:eastAsia="仿宋" w:cs="仿宋"/>
          <w:bCs/>
          <w:color w:val="auto"/>
          <w:kern w:val="0"/>
          <w:sz w:val="24"/>
          <w:szCs w:val="24"/>
          <w:highlight w:val="none"/>
          <w:u w:val="single"/>
        </w:rPr>
        <w:t xml:space="preserve">                                                                                 </w:t>
      </w:r>
    </w:p>
    <w:p w14:paraId="05F6BAAF">
      <w:pPr>
        <w:spacing w:line="360" w:lineRule="auto"/>
        <w:ind w:firstLine="352" w:firstLineChars="147"/>
        <w:rPr>
          <w:rFonts w:hint="eastAsia" w:ascii="仿宋" w:hAnsi="仿宋" w:eastAsia="仿宋" w:cs="仿宋"/>
          <w:color w:val="auto"/>
          <w:kern w:val="0"/>
          <w:sz w:val="24"/>
          <w:szCs w:val="24"/>
          <w:highlight w:val="none"/>
        </w:rPr>
      </w:pPr>
    </w:p>
    <w:p w14:paraId="65647216">
      <w:pPr>
        <w:spacing w:line="360" w:lineRule="auto"/>
        <w:ind w:firstLine="472" w:firstLineChars="197"/>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签字（签章）：</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公章：</w:t>
      </w:r>
      <w:r>
        <w:rPr>
          <w:rFonts w:hint="eastAsia" w:ascii="仿宋" w:hAnsi="仿宋" w:eastAsia="仿宋" w:cs="仿宋"/>
          <w:color w:val="auto"/>
          <w:kern w:val="0"/>
          <w:sz w:val="24"/>
          <w:szCs w:val="24"/>
          <w:highlight w:val="none"/>
          <w:u w:val="single"/>
        </w:rPr>
        <w:t xml:space="preserve">            </w:t>
      </w:r>
    </w:p>
    <w:p w14:paraId="59799DC4">
      <w:pPr>
        <w:spacing w:line="360" w:lineRule="auto"/>
        <w:ind w:firstLine="352" w:firstLineChars="147"/>
        <w:rPr>
          <w:rFonts w:hint="eastAsia" w:ascii="仿宋" w:hAnsi="仿宋" w:eastAsia="仿宋" w:cs="仿宋"/>
          <w:color w:val="auto"/>
          <w:kern w:val="0"/>
          <w:sz w:val="24"/>
          <w:szCs w:val="24"/>
          <w:highlight w:val="none"/>
        </w:rPr>
      </w:pPr>
    </w:p>
    <w:p w14:paraId="29A657FF">
      <w:pPr>
        <w:spacing w:line="360" w:lineRule="auto"/>
        <w:ind w:firstLine="472" w:firstLineChars="197"/>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bCs/>
          <w:color w:val="auto"/>
          <w:kern w:val="0"/>
          <w:sz w:val="24"/>
          <w:szCs w:val="24"/>
          <w:highlight w:val="none"/>
        </w:rPr>
        <w:t xml:space="preserve">    </w:t>
      </w:r>
      <w:r>
        <w:rPr>
          <w:rFonts w:hint="eastAsia" w:ascii="仿宋" w:hAnsi="仿宋" w:eastAsia="仿宋" w:cs="仿宋"/>
          <w:color w:val="auto"/>
          <w:spacing w:val="20"/>
          <w:kern w:val="0"/>
          <w:sz w:val="24"/>
          <w:szCs w:val="21"/>
          <w:highlight w:val="none"/>
          <w:u w:val="single"/>
        </w:rPr>
        <w:t xml:space="preserve">     </w:t>
      </w:r>
      <w:r>
        <w:rPr>
          <w:rFonts w:hint="eastAsia" w:ascii="仿宋" w:hAnsi="仿宋" w:eastAsia="仿宋" w:cs="仿宋"/>
          <w:color w:val="auto"/>
          <w:spacing w:val="20"/>
          <w:kern w:val="0"/>
          <w:sz w:val="24"/>
          <w:szCs w:val="21"/>
          <w:highlight w:val="none"/>
        </w:rPr>
        <w:t>年</w:t>
      </w:r>
      <w:r>
        <w:rPr>
          <w:rFonts w:hint="eastAsia" w:ascii="仿宋" w:hAnsi="仿宋" w:eastAsia="仿宋" w:cs="仿宋"/>
          <w:color w:val="auto"/>
          <w:spacing w:val="20"/>
          <w:kern w:val="0"/>
          <w:sz w:val="24"/>
          <w:szCs w:val="21"/>
          <w:highlight w:val="none"/>
          <w:u w:val="single"/>
        </w:rPr>
        <w:t xml:space="preserve">  </w:t>
      </w:r>
      <w:r>
        <w:rPr>
          <w:rFonts w:hint="eastAsia" w:ascii="仿宋" w:hAnsi="仿宋" w:eastAsia="仿宋" w:cs="仿宋"/>
          <w:color w:val="auto"/>
          <w:spacing w:val="20"/>
          <w:kern w:val="0"/>
          <w:sz w:val="24"/>
          <w:szCs w:val="21"/>
          <w:highlight w:val="none"/>
        </w:rPr>
        <w:t>月</w:t>
      </w:r>
      <w:r>
        <w:rPr>
          <w:rFonts w:hint="eastAsia" w:ascii="仿宋" w:hAnsi="仿宋" w:eastAsia="仿宋" w:cs="仿宋"/>
          <w:color w:val="auto"/>
          <w:spacing w:val="20"/>
          <w:kern w:val="0"/>
          <w:sz w:val="24"/>
          <w:szCs w:val="21"/>
          <w:highlight w:val="none"/>
          <w:u w:val="single"/>
        </w:rPr>
        <w:t xml:space="preserve">  </w:t>
      </w:r>
      <w:r>
        <w:rPr>
          <w:rFonts w:hint="eastAsia" w:ascii="仿宋" w:hAnsi="仿宋" w:eastAsia="仿宋" w:cs="仿宋"/>
          <w:color w:val="auto"/>
          <w:spacing w:val="20"/>
          <w:kern w:val="0"/>
          <w:sz w:val="24"/>
          <w:szCs w:val="21"/>
          <w:highlight w:val="none"/>
        </w:rPr>
        <w:t>日</w:t>
      </w:r>
      <w:r>
        <w:rPr>
          <w:rFonts w:hint="eastAsia" w:ascii="仿宋" w:hAnsi="仿宋" w:eastAsia="仿宋" w:cs="仿宋"/>
          <w:bCs/>
          <w:color w:val="auto"/>
          <w:kern w:val="0"/>
          <w:sz w:val="24"/>
          <w:szCs w:val="24"/>
          <w:highlight w:val="none"/>
        </w:rPr>
        <w:t xml:space="preserve">                                                         </w:t>
      </w:r>
    </w:p>
    <w:p w14:paraId="6D8AABC6">
      <w:pPr>
        <w:snapToGrid w:val="0"/>
        <w:spacing w:line="360" w:lineRule="auto"/>
        <w:ind w:firstLine="482"/>
        <w:rPr>
          <w:rFonts w:hint="eastAsia" w:ascii="仿宋" w:hAnsi="仿宋" w:eastAsia="仿宋" w:cs="仿宋"/>
          <w:b/>
          <w:color w:val="auto"/>
          <w:kern w:val="0"/>
          <w:sz w:val="24"/>
          <w:szCs w:val="24"/>
          <w:highlight w:val="none"/>
        </w:rPr>
      </w:pPr>
    </w:p>
    <w:p w14:paraId="7BECB879">
      <w:pPr>
        <w:snapToGrid w:val="0"/>
        <w:spacing w:line="360" w:lineRule="auto"/>
        <w:ind w:firstLine="48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说明：</w:t>
      </w:r>
    </w:p>
    <w:p w14:paraId="436DE960">
      <w:pPr>
        <w:spacing w:line="360" w:lineRule="auto"/>
        <w:ind w:firstLine="354" w:firstLineChars="147"/>
        <w:rPr>
          <w:rFonts w:hint="eastAsia" w:ascii="仿宋" w:hAnsi="仿宋" w:eastAsia="仿宋" w:cs="仿宋"/>
          <w:b/>
          <w:bCs/>
          <w:color w:val="auto"/>
          <w:kern w:val="0"/>
          <w:sz w:val="24"/>
          <w:szCs w:val="24"/>
          <w:highlight w:val="none"/>
        </w:rPr>
      </w:pPr>
      <w:r>
        <w:rPr>
          <w:rFonts w:hint="eastAsia" w:ascii="仿宋" w:hAnsi="仿宋" w:eastAsia="仿宋" w:cs="仿宋"/>
          <w:b/>
          <w:color w:val="auto"/>
          <w:kern w:val="0"/>
          <w:sz w:val="24"/>
          <w:szCs w:val="24"/>
          <w:highlight w:val="none"/>
        </w:rPr>
        <w:t>1.投诉人提起投诉时，应当提交投诉书和必要的证明材料，并按照被投诉人和与投诉事项有关的供应商数量提供投诉书副本</w:t>
      </w:r>
      <w:r>
        <w:rPr>
          <w:rFonts w:hint="eastAsia" w:ascii="仿宋" w:hAnsi="仿宋" w:eastAsia="仿宋" w:cs="仿宋"/>
          <w:b/>
          <w:bCs/>
          <w:color w:val="auto"/>
          <w:kern w:val="0"/>
          <w:sz w:val="24"/>
          <w:szCs w:val="24"/>
          <w:highlight w:val="none"/>
        </w:rPr>
        <w:t>。</w:t>
      </w:r>
    </w:p>
    <w:p w14:paraId="6A9EE59C">
      <w:pPr>
        <w:spacing w:line="360" w:lineRule="auto"/>
        <w:ind w:firstLine="354" w:firstLineChars="147"/>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CDB746D">
      <w:pPr>
        <w:spacing w:line="360" w:lineRule="auto"/>
        <w:ind w:firstLine="354" w:firstLineChars="147"/>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3.投诉书应简要列明质疑事项，质疑函、质疑答复等作为附件材料提供。</w:t>
      </w:r>
    </w:p>
    <w:p w14:paraId="3A0E62DF">
      <w:pPr>
        <w:spacing w:line="360" w:lineRule="auto"/>
        <w:ind w:firstLine="354" w:firstLineChars="147"/>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4.投诉书的投诉事项应具体、明确，并有必要的事实依据和法律依据。</w:t>
      </w:r>
    </w:p>
    <w:p w14:paraId="54F3E6CB">
      <w:pPr>
        <w:spacing w:line="360" w:lineRule="auto"/>
        <w:ind w:firstLine="354" w:firstLineChars="147"/>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5.投诉书的投诉请求应与投诉事项相关。</w:t>
      </w:r>
    </w:p>
    <w:p w14:paraId="2BE9D529">
      <w:pPr>
        <w:spacing w:line="360" w:lineRule="auto"/>
        <w:ind w:firstLine="354" w:firstLineChars="147"/>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6.投诉人为法人或者其他组织的，投诉书应由法定代表人、主要负责人，或者其授权代表签字或者盖章，并加盖公章。</w:t>
      </w:r>
    </w:p>
    <w:p w14:paraId="44A35073">
      <w:pPr>
        <w:rPr>
          <w:rFonts w:hint="eastAsia" w:ascii="仿宋" w:hAnsi="仿宋" w:eastAsia="仿宋" w:cs="仿宋"/>
          <w:b/>
          <w:bCs/>
          <w:color w:val="auto"/>
          <w:kern w:val="44"/>
          <w:sz w:val="44"/>
          <w:szCs w:val="44"/>
          <w:highlight w:val="none"/>
        </w:rPr>
      </w:pPr>
      <w:bookmarkStart w:id="32" w:name="_Toc74322013"/>
      <w:r>
        <w:rPr>
          <w:rFonts w:hint="eastAsia" w:ascii="仿宋" w:hAnsi="仿宋" w:eastAsia="仿宋" w:cs="仿宋"/>
          <w:b/>
          <w:bCs/>
          <w:color w:val="auto"/>
          <w:kern w:val="44"/>
          <w:sz w:val="44"/>
          <w:szCs w:val="44"/>
          <w:highlight w:val="none"/>
        </w:rPr>
        <w:br w:type="page"/>
      </w:r>
    </w:p>
    <w:p w14:paraId="48521B5A">
      <w:pPr>
        <w:keepNext/>
        <w:keepLines/>
        <w:spacing w:line="360" w:lineRule="auto"/>
        <w:jc w:val="center"/>
        <w:outlineLvl w:val="0"/>
        <w:rPr>
          <w:rFonts w:hint="eastAsia" w:ascii="仿宋" w:hAnsi="仿宋" w:eastAsia="仿宋" w:cs="仿宋"/>
          <w:b/>
          <w:bCs/>
          <w:color w:val="auto"/>
          <w:kern w:val="44"/>
          <w:sz w:val="44"/>
          <w:szCs w:val="44"/>
          <w:highlight w:val="none"/>
        </w:rPr>
      </w:pPr>
      <w:r>
        <w:rPr>
          <w:rFonts w:hint="eastAsia" w:ascii="仿宋" w:hAnsi="仿宋" w:eastAsia="仿宋" w:cs="仿宋"/>
          <w:b/>
          <w:bCs/>
          <w:color w:val="auto"/>
          <w:kern w:val="44"/>
          <w:sz w:val="44"/>
          <w:szCs w:val="44"/>
          <w:highlight w:val="none"/>
        </w:rPr>
        <w:t>第六章 合同文本</w:t>
      </w:r>
      <w:bookmarkEnd w:id="32"/>
    </w:p>
    <w:p w14:paraId="10F021CB">
      <w:pPr>
        <w:adjustRightInd w:val="0"/>
        <w:snapToGrid w:val="0"/>
        <w:spacing w:line="360" w:lineRule="auto"/>
        <w:ind w:firstLine="420" w:firstLineChars="200"/>
        <w:rPr>
          <w:rFonts w:hint="eastAsia" w:ascii="仿宋" w:hAnsi="仿宋" w:eastAsia="仿宋" w:cs="仿宋"/>
          <w:color w:val="auto"/>
          <w:szCs w:val="21"/>
          <w:highlight w:val="none"/>
        </w:rPr>
      </w:pPr>
    </w:p>
    <w:p w14:paraId="674D10E8">
      <w:pPr>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一般货物类</w:t>
      </w:r>
    </w:p>
    <w:p w14:paraId="128E7BE9">
      <w:pPr>
        <w:spacing w:line="440" w:lineRule="exact"/>
        <w:rPr>
          <w:rFonts w:hint="eastAsia" w:ascii="仿宋" w:hAnsi="仿宋" w:eastAsia="仿宋" w:cs="仿宋"/>
          <w:color w:val="auto"/>
          <w:sz w:val="24"/>
          <w:szCs w:val="24"/>
          <w:highlight w:val="none"/>
        </w:rPr>
      </w:pPr>
    </w:p>
    <w:p w14:paraId="7F345522">
      <w:pPr>
        <w:spacing w:line="4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lang w:val="en-US" w:eastAsia="zh-CN"/>
        </w:rPr>
        <w:t>南宁监狱门诊</w:t>
      </w:r>
      <w:r>
        <w:rPr>
          <w:rFonts w:hint="eastAsia" w:ascii="仿宋" w:hAnsi="仿宋" w:eastAsia="仿宋" w:cs="仿宋"/>
          <w:color w:val="auto"/>
          <w:sz w:val="24"/>
          <w:szCs w:val="24"/>
          <w:highlight w:val="none"/>
          <w:u w:val="single"/>
          <w:lang w:eastAsia="zh-CN"/>
        </w:rPr>
        <w:t>医疗设备采购</w:t>
      </w:r>
    </w:p>
    <w:p w14:paraId="15B30219">
      <w:pPr>
        <w:spacing w:line="4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合同编号：</w:t>
      </w:r>
      <w:r>
        <w:rPr>
          <w:rFonts w:hint="eastAsia" w:ascii="仿宋" w:hAnsi="仿宋" w:eastAsia="仿宋" w:cs="仿宋"/>
          <w:color w:val="auto"/>
          <w:sz w:val="24"/>
          <w:szCs w:val="24"/>
          <w:highlight w:val="none"/>
          <w:u w:val="single"/>
          <w:lang w:eastAsia="zh-CN"/>
        </w:rPr>
        <w:t>GXZC2025-J1-001135-KWZB</w:t>
      </w:r>
    </w:p>
    <w:p w14:paraId="0F643F98">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采购人（甲方）：</w:t>
      </w:r>
      <w:r>
        <w:rPr>
          <w:rFonts w:hint="eastAsia" w:ascii="仿宋" w:hAnsi="仿宋" w:eastAsia="仿宋" w:cs="仿宋"/>
          <w:color w:val="auto"/>
          <w:sz w:val="24"/>
          <w:szCs w:val="24"/>
          <w:highlight w:val="none"/>
          <w:u w:val="single"/>
          <w:lang w:eastAsia="zh-CN"/>
        </w:rPr>
        <w:t>广西壮族自治区南宁监狱</w:t>
      </w:r>
      <w:r>
        <w:rPr>
          <w:rFonts w:hint="eastAsia" w:ascii="仿宋" w:hAnsi="仿宋" w:eastAsia="仿宋" w:cs="仿宋"/>
          <w:color w:val="auto"/>
          <w:sz w:val="24"/>
          <w:szCs w:val="24"/>
          <w:highlight w:val="none"/>
        </w:rPr>
        <w:t xml:space="preserve">                      </w:t>
      </w:r>
    </w:p>
    <w:p w14:paraId="13E85AC6">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3EF2C61">
      <w:pPr>
        <w:spacing w:line="4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lang w:eastAsia="zh-CN"/>
        </w:rPr>
        <w:t>GXZC2025-J1-001135-KWZB</w:t>
      </w:r>
    </w:p>
    <w:p w14:paraId="198665E6">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签订地点：</w:t>
      </w:r>
      <w:r>
        <w:rPr>
          <w:rFonts w:hint="eastAsia" w:ascii="仿宋" w:hAnsi="仿宋" w:eastAsia="仿宋" w:cs="仿宋"/>
          <w:color w:val="auto"/>
          <w:sz w:val="24"/>
          <w:szCs w:val="24"/>
          <w:highlight w:val="none"/>
          <w:u w:val="single"/>
        </w:rPr>
        <w:t>南宁市青秀区厢竹大道42号</w:t>
      </w:r>
      <w:r>
        <w:rPr>
          <w:rFonts w:hint="eastAsia" w:ascii="仿宋" w:hAnsi="仿宋" w:eastAsia="仿宋" w:cs="仿宋"/>
          <w:color w:val="auto"/>
          <w:sz w:val="24"/>
          <w:szCs w:val="24"/>
          <w:highlight w:val="none"/>
        </w:rPr>
        <w:t xml:space="preserve">  </w:t>
      </w:r>
    </w:p>
    <w:p w14:paraId="53FFE82B">
      <w:pPr>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本合同为中小企业预留合同：（是</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/否</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w:t>
      </w:r>
    </w:p>
    <w:p w14:paraId="1B7A9BA1">
      <w:pPr>
        <w:snapToGrid w:val="0"/>
        <w:spacing w:line="360" w:lineRule="auto"/>
        <w:ind w:firstLine="480" w:firstLineChars="200"/>
        <w:rPr>
          <w:rFonts w:hint="eastAsia" w:ascii="仿宋" w:hAnsi="仿宋" w:eastAsia="仿宋" w:cs="仿宋"/>
          <w:color w:val="auto"/>
          <w:sz w:val="24"/>
          <w:szCs w:val="24"/>
          <w:highlight w:val="none"/>
        </w:rPr>
      </w:pPr>
    </w:p>
    <w:p w14:paraId="49B1397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根据《中华人民共和国政府采购法》《中华人民共和国民法典》等法律、法规规定，按照竞争性谈判采购文件规定条款和成交供应商承诺，甲乙双方签订本合同。</w:t>
      </w:r>
    </w:p>
    <w:p w14:paraId="2EF5889B">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第一条　合同标的</w:t>
      </w:r>
    </w:p>
    <w:p w14:paraId="1C867302">
      <w:pPr>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1.供货一览表</w:t>
      </w:r>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852"/>
        <w:gridCol w:w="935"/>
        <w:gridCol w:w="1052"/>
        <w:gridCol w:w="935"/>
        <w:gridCol w:w="817"/>
        <w:gridCol w:w="584"/>
        <w:gridCol w:w="684"/>
        <w:gridCol w:w="1420"/>
        <w:gridCol w:w="1052"/>
      </w:tblGrid>
      <w:tr w14:paraId="20D6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584" w:type="dxa"/>
            <w:vAlign w:val="center"/>
          </w:tcPr>
          <w:p w14:paraId="6CF6DF40">
            <w:pPr>
              <w:snapToGrid w:val="0"/>
              <w:spacing w:line="4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852" w:type="dxa"/>
            <w:vAlign w:val="center"/>
          </w:tcPr>
          <w:p w14:paraId="55DF9E0C">
            <w:pPr>
              <w:snapToGrid w:val="0"/>
              <w:spacing w:line="4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标的名称</w:t>
            </w:r>
          </w:p>
        </w:tc>
        <w:tc>
          <w:tcPr>
            <w:tcW w:w="935" w:type="dxa"/>
            <w:vAlign w:val="center"/>
          </w:tcPr>
          <w:p w14:paraId="7EBF1FAD">
            <w:pPr>
              <w:snapToGrid w:val="0"/>
              <w:spacing w:line="4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商标品牌</w:t>
            </w:r>
          </w:p>
        </w:tc>
        <w:tc>
          <w:tcPr>
            <w:tcW w:w="1052" w:type="dxa"/>
            <w:vAlign w:val="center"/>
          </w:tcPr>
          <w:p w14:paraId="7F756277">
            <w:pPr>
              <w:snapToGrid w:val="0"/>
              <w:spacing w:line="4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规格</w:t>
            </w:r>
          </w:p>
          <w:p w14:paraId="052F3094">
            <w:pPr>
              <w:snapToGrid w:val="0"/>
              <w:spacing w:line="4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型号</w:t>
            </w:r>
          </w:p>
        </w:tc>
        <w:tc>
          <w:tcPr>
            <w:tcW w:w="935" w:type="dxa"/>
            <w:vAlign w:val="center"/>
          </w:tcPr>
          <w:p w14:paraId="7E6753A3">
            <w:pPr>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生产厂家</w:t>
            </w:r>
          </w:p>
        </w:tc>
        <w:tc>
          <w:tcPr>
            <w:tcW w:w="817" w:type="dxa"/>
            <w:vAlign w:val="center"/>
          </w:tcPr>
          <w:p w14:paraId="5D00850E">
            <w:pPr>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产地</w:t>
            </w:r>
          </w:p>
        </w:tc>
        <w:tc>
          <w:tcPr>
            <w:tcW w:w="584" w:type="dxa"/>
            <w:vAlign w:val="center"/>
          </w:tcPr>
          <w:p w14:paraId="77FD5934">
            <w:pPr>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  量</w:t>
            </w:r>
          </w:p>
        </w:tc>
        <w:tc>
          <w:tcPr>
            <w:tcW w:w="684" w:type="dxa"/>
            <w:vAlign w:val="center"/>
          </w:tcPr>
          <w:p w14:paraId="4D54080A">
            <w:pPr>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1420" w:type="dxa"/>
            <w:vAlign w:val="center"/>
          </w:tcPr>
          <w:p w14:paraId="2BC5540E">
            <w:pPr>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单价</w:t>
            </w:r>
          </w:p>
          <w:p w14:paraId="4C36708E">
            <w:pPr>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Cs w:val="21"/>
                <w:highlight w:val="none"/>
              </w:rPr>
              <w:t>（元）</w:t>
            </w:r>
          </w:p>
        </w:tc>
        <w:tc>
          <w:tcPr>
            <w:tcW w:w="1052" w:type="dxa"/>
            <w:vAlign w:val="center"/>
          </w:tcPr>
          <w:p w14:paraId="5F88DEC3">
            <w:pPr>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单项合计</w:t>
            </w:r>
            <w:r>
              <w:rPr>
                <w:rFonts w:hint="eastAsia" w:ascii="仿宋" w:hAnsi="仿宋" w:eastAsia="仿宋" w:cs="仿宋"/>
                <w:b w:val="0"/>
                <w:bCs/>
                <w:color w:val="auto"/>
                <w:szCs w:val="21"/>
                <w:highlight w:val="none"/>
              </w:rPr>
              <w:t>（元）</w:t>
            </w:r>
          </w:p>
        </w:tc>
      </w:tr>
      <w:tr w14:paraId="2075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584" w:type="dxa"/>
            <w:vAlign w:val="center"/>
          </w:tcPr>
          <w:p w14:paraId="692714FE">
            <w:pPr>
              <w:snapToGrid w:val="0"/>
              <w:spacing w:line="46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852" w:type="dxa"/>
            <w:vAlign w:val="center"/>
          </w:tcPr>
          <w:p w14:paraId="1B5D3ED3">
            <w:pPr>
              <w:snapToGrid w:val="0"/>
              <w:spacing w:line="460" w:lineRule="exact"/>
              <w:jc w:val="center"/>
              <w:rPr>
                <w:rFonts w:hint="eastAsia" w:ascii="仿宋" w:hAnsi="仿宋" w:eastAsia="仿宋" w:cs="仿宋"/>
                <w:b w:val="0"/>
                <w:bCs/>
                <w:color w:val="auto"/>
                <w:sz w:val="24"/>
                <w:szCs w:val="24"/>
                <w:highlight w:val="none"/>
              </w:rPr>
            </w:pPr>
          </w:p>
        </w:tc>
        <w:tc>
          <w:tcPr>
            <w:tcW w:w="935" w:type="dxa"/>
            <w:vAlign w:val="center"/>
          </w:tcPr>
          <w:p w14:paraId="633FE35E">
            <w:pPr>
              <w:snapToGrid w:val="0"/>
              <w:spacing w:line="460" w:lineRule="exact"/>
              <w:jc w:val="center"/>
              <w:rPr>
                <w:rFonts w:hint="eastAsia" w:ascii="仿宋" w:hAnsi="仿宋" w:eastAsia="仿宋" w:cs="仿宋"/>
                <w:b w:val="0"/>
                <w:bCs/>
                <w:color w:val="auto"/>
                <w:sz w:val="24"/>
                <w:szCs w:val="24"/>
                <w:highlight w:val="none"/>
              </w:rPr>
            </w:pPr>
          </w:p>
        </w:tc>
        <w:tc>
          <w:tcPr>
            <w:tcW w:w="1052" w:type="dxa"/>
            <w:vAlign w:val="center"/>
          </w:tcPr>
          <w:p w14:paraId="25026843">
            <w:pPr>
              <w:snapToGrid w:val="0"/>
              <w:spacing w:line="460" w:lineRule="exact"/>
              <w:jc w:val="center"/>
              <w:rPr>
                <w:rFonts w:hint="eastAsia" w:ascii="仿宋" w:hAnsi="仿宋" w:eastAsia="仿宋" w:cs="仿宋"/>
                <w:b w:val="0"/>
                <w:bCs/>
                <w:color w:val="auto"/>
                <w:sz w:val="24"/>
                <w:szCs w:val="24"/>
                <w:highlight w:val="none"/>
              </w:rPr>
            </w:pPr>
          </w:p>
        </w:tc>
        <w:tc>
          <w:tcPr>
            <w:tcW w:w="935" w:type="dxa"/>
          </w:tcPr>
          <w:p w14:paraId="6866A762">
            <w:pPr>
              <w:snapToGrid w:val="0"/>
              <w:spacing w:line="460" w:lineRule="exact"/>
              <w:jc w:val="center"/>
              <w:rPr>
                <w:rFonts w:hint="eastAsia" w:ascii="仿宋" w:hAnsi="仿宋" w:eastAsia="仿宋" w:cs="仿宋"/>
                <w:b w:val="0"/>
                <w:bCs/>
                <w:color w:val="auto"/>
                <w:sz w:val="24"/>
                <w:szCs w:val="24"/>
                <w:highlight w:val="none"/>
              </w:rPr>
            </w:pPr>
          </w:p>
        </w:tc>
        <w:tc>
          <w:tcPr>
            <w:tcW w:w="817" w:type="dxa"/>
            <w:vAlign w:val="center"/>
          </w:tcPr>
          <w:p w14:paraId="45303AA9">
            <w:pPr>
              <w:snapToGrid w:val="0"/>
              <w:spacing w:line="460" w:lineRule="exact"/>
              <w:jc w:val="center"/>
              <w:rPr>
                <w:rFonts w:hint="eastAsia" w:ascii="仿宋" w:hAnsi="仿宋" w:eastAsia="仿宋" w:cs="仿宋"/>
                <w:b w:val="0"/>
                <w:bCs/>
                <w:color w:val="auto"/>
                <w:sz w:val="24"/>
                <w:szCs w:val="24"/>
                <w:highlight w:val="none"/>
              </w:rPr>
            </w:pPr>
          </w:p>
        </w:tc>
        <w:tc>
          <w:tcPr>
            <w:tcW w:w="584" w:type="dxa"/>
            <w:vAlign w:val="center"/>
          </w:tcPr>
          <w:p w14:paraId="664739FD">
            <w:pPr>
              <w:snapToGrid w:val="0"/>
              <w:spacing w:line="460" w:lineRule="exact"/>
              <w:jc w:val="center"/>
              <w:rPr>
                <w:rFonts w:hint="eastAsia" w:ascii="仿宋" w:hAnsi="仿宋" w:eastAsia="仿宋" w:cs="仿宋"/>
                <w:b w:val="0"/>
                <w:bCs/>
                <w:color w:val="auto"/>
                <w:sz w:val="24"/>
                <w:szCs w:val="24"/>
                <w:highlight w:val="none"/>
              </w:rPr>
            </w:pPr>
          </w:p>
        </w:tc>
        <w:tc>
          <w:tcPr>
            <w:tcW w:w="684" w:type="dxa"/>
          </w:tcPr>
          <w:p w14:paraId="55887B85">
            <w:pPr>
              <w:snapToGrid w:val="0"/>
              <w:spacing w:line="460" w:lineRule="exact"/>
              <w:jc w:val="center"/>
              <w:rPr>
                <w:rFonts w:hint="eastAsia" w:ascii="仿宋" w:hAnsi="仿宋" w:eastAsia="仿宋" w:cs="仿宋"/>
                <w:b w:val="0"/>
                <w:bCs/>
                <w:color w:val="auto"/>
                <w:sz w:val="24"/>
                <w:szCs w:val="24"/>
                <w:highlight w:val="none"/>
              </w:rPr>
            </w:pPr>
          </w:p>
        </w:tc>
        <w:tc>
          <w:tcPr>
            <w:tcW w:w="1420" w:type="dxa"/>
            <w:vAlign w:val="center"/>
          </w:tcPr>
          <w:p w14:paraId="6FF78AA2">
            <w:pPr>
              <w:snapToGrid w:val="0"/>
              <w:spacing w:line="460" w:lineRule="exact"/>
              <w:jc w:val="center"/>
              <w:rPr>
                <w:rFonts w:hint="eastAsia" w:ascii="仿宋" w:hAnsi="仿宋" w:eastAsia="仿宋" w:cs="仿宋"/>
                <w:b w:val="0"/>
                <w:bCs/>
                <w:color w:val="auto"/>
                <w:sz w:val="24"/>
                <w:szCs w:val="24"/>
                <w:highlight w:val="none"/>
              </w:rPr>
            </w:pPr>
          </w:p>
        </w:tc>
        <w:tc>
          <w:tcPr>
            <w:tcW w:w="1052" w:type="dxa"/>
          </w:tcPr>
          <w:p w14:paraId="068E6995">
            <w:pPr>
              <w:snapToGrid w:val="0"/>
              <w:spacing w:line="460" w:lineRule="exact"/>
              <w:jc w:val="center"/>
              <w:rPr>
                <w:rFonts w:hint="eastAsia" w:ascii="仿宋" w:hAnsi="仿宋" w:eastAsia="仿宋" w:cs="仿宋"/>
                <w:b w:val="0"/>
                <w:bCs/>
                <w:color w:val="auto"/>
                <w:sz w:val="24"/>
                <w:szCs w:val="24"/>
                <w:highlight w:val="none"/>
              </w:rPr>
            </w:pPr>
          </w:p>
        </w:tc>
      </w:tr>
      <w:tr w14:paraId="5F5F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584" w:type="dxa"/>
            <w:vAlign w:val="center"/>
          </w:tcPr>
          <w:p w14:paraId="4A9903D7">
            <w:pPr>
              <w:snapToGrid w:val="0"/>
              <w:spacing w:line="460" w:lineRule="exact"/>
              <w:jc w:val="center"/>
              <w:rPr>
                <w:rFonts w:hint="eastAsia" w:ascii="仿宋" w:hAnsi="仿宋" w:eastAsia="仿宋" w:cs="仿宋"/>
                <w:b w:val="0"/>
                <w:bCs/>
                <w:color w:val="auto"/>
                <w:sz w:val="24"/>
                <w:szCs w:val="24"/>
                <w:highlight w:val="none"/>
              </w:rPr>
            </w:pPr>
          </w:p>
        </w:tc>
        <w:tc>
          <w:tcPr>
            <w:tcW w:w="852" w:type="dxa"/>
            <w:vAlign w:val="center"/>
          </w:tcPr>
          <w:p w14:paraId="6B353E12">
            <w:pPr>
              <w:snapToGrid w:val="0"/>
              <w:spacing w:line="460" w:lineRule="exact"/>
              <w:jc w:val="center"/>
              <w:rPr>
                <w:rFonts w:hint="eastAsia" w:ascii="仿宋" w:hAnsi="仿宋" w:eastAsia="仿宋" w:cs="仿宋"/>
                <w:b w:val="0"/>
                <w:bCs/>
                <w:color w:val="auto"/>
                <w:sz w:val="24"/>
                <w:szCs w:val="24"/>
                <w:highlight w:val="none"/>
              </w:rPr>
            </w:pPr>
          </w:p>
        </w:tc>
        <w:tc>
          <w:tcPr>
            <w:tcW w:w="935" w:type="dxa"/>
            <w:vAlign w:val="center"/>
          </w:tcPr>
          <w:p w14:paraId="749B391D">
            <w:pPr>
              <w:snapToGrid w:val="0"/>
              <w:spacing w:line="460" w:lineRule="exact"/>
              <w:jc w:val="center"/>
              <w:rPr>
                <w:rFonts w:hint="eastAsia" w:ascii="仿宋" w:hAnsi="仿宋" w:eastAsia="仿宋" w:cs="仿宋"/>
                <w:b w:val="0"/>
                <w:bCs/>
                <w:color w:val="auto"/>
                <w:sz w:val="24"/>
                <w:szCs w:val="24"/>
                <w:highlight w:val="none"/>
              </w:rPr>
            </w:pPr>
          </w:p>
        </w:tc>
        <w:tc>
          <w:tcPr>
            <w:tcW w:w="1052" w:type="dxa"/>
            <w:vAlign w:val="center"/>
          </w:tcPr>
          <w:p w14:paraId="01EB020E">
            <w:pPr>
              <w:snapToGrid w:val="0"/>
              <w:spacing w:line="460" w:lineRule="exact"/>
              <w:jc w:val="center"/>
              <w:rPr>
                <w:rFonts w:hint="eastAsia" w:ascii="仿宋" w:hAnsi="仿宋" w:eastAsia="仿宋" w:cs="仿宋"/>
                <w:b w:val="0"/>
                <w:bCs/>
                <w:color w:val="auto"/>
                <w:sz w:val="24"/>
                <w:szCs w:val="24"/>
                <w:highlight w:val="none"/>
              </w:rPr>
            </w:pPr>
          </w:p>
        </w:tc>
        <w:tc>
          <w:tcPr>
            <w:tcW w:w="935" w:type="dxa"/>
          </w:tcPr>
          <w:p w14:paraId="2FBA7195">
            <w:pPr>
              <w:snapToGrid w:val="0"/>
              <w:spacing w:line="460" w:lineRule="exact"/>
              <w:jc w:val="center"/>
              <w:rPr>
                <w:rFonts w:hint="eastAsia" w:ascii="仿宋" w:hAnsi="仿宋" w:eastAsia="仿宋" w:cs="仿宋"/>
                <w:b w:val="0"/>
                <w:bCs/>
                <w:color w:val="auto"/>
                <w:sz w:val="24"/>
                <w:szCs w:val="24"/>
                <w:highlight w:val="none"/>
              </w:rPr>
            </w:pPr>
          </w:p>
        </w:tc>
        <w:tc>
          <w:tcPr>
            <w:tcW w:w="817" w:type="dxa"/>
            <w:vAlign w:val="center"/>
          </w:tcPr>
          <w:p w14:paraId="1EA43833">
            <w:pPr>
              <w:snapToGrid w:val="0"/>
              <w:spacing w:line="460" w:lineRule="exact"/>
              <w:jc w:val="center"/>
              <w:rPr>
                <w:rFonts w:hint="eastAsia" w:ascii="仿宋" w:hAnsi="仿宋" w:eastAsia="仿宋" w:cs="仿宋"/>
                <w:b w:val="0"/>
                <w:bCs/>
                <w:color w:val="auto"/>
                <w:sz w:val="24"/>
                <w:szCs w:val="24"/>
                <w:highlight w:val="none"/>
              </w:rPr>
            </w:pPr>
          </w:p>
        </w:tc>
        <w:tc>
          <w:tcPr>
            <w:tcW w:w="584" w:type="dxa"/>
            <w:vAlign w:val="center"/>
          </w:tcPr>
          <w:p w14:paraId="1D0CC98E">
            <w:pPr>
              <w:snapToGrid w:val="0"/>
              <w:spacing w:line="460" w:lineRule="exact"/>
              <w:jc w:val="center"/>
              <w:rPr>
                <w:rFonts w:hint="eastAsia" w:ascii="仿宋" w:hAnsi="仿宋" w:eastAsia="仿宋" w:cs="仿宋"/>
                <w:b w:val="0"/>
                <w:bCs/>
                <w:color w:val="auto"/>
                <w:sz w:val="24"/>
                <w:szCs w:val="24"/>
                <w:highlight w:val="none"/>
              </w:rPr>
            </w:pPr>
          </w:p>
        </w:tc>
        <w:tc>
          <w:tcPr>
            <w:tcW w:w="684" w:type="dxa"/>
          </w:tcPr>
          <w:p w14:paraId="0E9D1BF0">
            <w:pPr>
              <w:snapToGrid w:val="0"/>
              <w:spacing w:line="460" w:lineRule="exact"/>
              <w:jc w:val="center"/>
              <w:rPr>
                <w:rFonts w:hint="eastAsia" w:ascii="仿宋" w:hAnsi="仿宋" w:eastAsia="仿宋" w:cs="仿宋"/>
                <w:b w:val="0"/>
                <w:bCs/>
                <w:color w:val="auto"/>
                <w:sz w:val="24"/>
                <w:szCs w:val="24"/>
                <w:highlight w:val="none"/>
              </w:rPr>
            </w:pPr>
          </w:p>
        </w:tc>
        <w:tc>
          <w:tcPr>
            <w:tcW w:w="1420" w:type="dxa"/>
            <w:vAlign w:val="center"/>
          </w:tcPr>
          <w:p w14:paraId="3C458760">
            <w:pPr>
              <w:snapToGrid w:val="0"/>
              <w:spacing w:line="460" w:lineRule="exact"/>
              <w:jc w:val="center"/>
              <w:rPr>
                <w:rFonts w:hint="eastAsia" w:ascii="仿宋" w:hAnsi="仿宋" w:eastAsia="仿宋" w:cs="仿宋"/>
                <w:b w:val="0"/>
                <w:bCs/>
                <w:color w:val="auto"/>
                <w:sz w:val="24"/>
                <w:szCs w:val="24"/>
                <w:highlight w:val="none"/>
              </w:rPr>
            </w:pPr>
          </w:p>
        </w:tc>
        <w:tc>
          <w:tcPr>
            <w:tcW w:w="1052" w:type="dxa"/>
          </w:tcPr>
          <w:p w14:paraId="526748C3">
            <w:pPr>
              <w:snapToGrid w:val="0"/>
              <w:spacing w:line="460" w:lineRule="exact"/>
              <w:jc w:val="center"/>
              <w:rPr>
                <w:rFonts w:hint="eastAsia" w:ascii="仿宋" w:hAnsi="仿宋" w:eastAsia="仿宋" w:cs="仿宋"/>
                <w:b w:val="0"/>
                <w:bCs/>
                <w:color w:val="auto"/>
                <w:sz w:val="24"/>
                <w:szCs w:val="24"/>
                <w:highlight w:val="none"/>
              </w:rPr>
            </w:pPr>
          </w:p>
        </w:tc>
      </w:tr>
      <w:tr w14:paraId="0039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915" w:type="dxa"/>
            <w:gridSpan w:val="10"/>
          </w:tcPr>
          <w:p w14:paraId="6540C106">
            <w:pPr>
              <w:snapToGrid w:val="0"/>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合计金额（人民币大写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（小写）</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p>
        </w:tc>
      </w:tr>
    </w:tbl>
    <w:p w14:paraId="4BAC4344">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合计金额包括货物价款、配套软件、标准附件、备品备件、专用工具、包装、运输、装卸、货到就位、安装、调试、检验、技术培训、技术资料、质量保证期内服务、售后服务、保险、竞争性谈判费用、一切税金等全部费用，甲方不再支付合同合计金额以外的其他费用。</w:t>
      </w:r>
    </w:p>
    <w:p w14:paraId="2A9D661E">
      <w:pPr>
        <w:snapToGrid w:val="0"/>
        <w:spacing w:line="4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第二条　质量要求</w:t>
      </w:r>
    </w:p>
    <w:p w14:paraId="736349AA">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1.乙方所提供的产品名称、商标品牌、生产厂家、规格型号、技术参数等质量必须与采购文件规定及响应文件承诺相一致。乙方提供的节能和环保产品必须是列入政府采购品目清单的产品。</w:t>
      </w:r>
    </w:p>
    <w:p w14:paraId="430DE483">
      <w:pPr>
        <w:snapToGrid w:val="0"/>
        <w:spacing w:line="46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2.乙方所提供的货物必须是全新、未使用的原装产品，且在正常安装、使用和保养条件下，其使用寿命期内各项指标均达到采购文件规定或者响应文件承诺的质量要求。</w:t>
      </w:r>
    </w:p>
    <w:p w14:paraId="070442D8">
      <w:pPr>
        <w:snapToGrid w:val="0"/>
        <w:spacing w:line="4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第三条　权利保证</w:t>
      </w:r>
    </w:p>
    <w:p w14:paraId="4985165C">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1.乙方应保证所提供货物在使用时不会侵犯任何第三方的专利权、商标权、工业设计权或者其他权利。</w:t>
      </w:r>
    </w:p>
    <w:p w14:paraId="11B7A29D">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2.乙方应按采购文件规定或者响应文件承诺的时间向甲方提供使用货物的有关技术资料。</w:t>
      </w:r>
    </w:p>
    <w:p w14:paraId="4CE616AF">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32011383">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4.乙方保证将要交付的货物的所有权完全属于乙方且无任何抵押、质押、查封等产权瑕疵。</w:t>
      </w:r>
    </w:p>
    <w:p w14:paraId="6E565D8E">
      <w:pPr>
        <w:snapToGrid w:val="0"/>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第四条　包装、运输和签收</w:t>
      </w:r>
    </w:p>
    <w:p w14:paraId="0250100B">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1.乙方提供的货物均应包装完整，每一包装单元内应附详细的装箱单和质量合格证。</w:t>
      </w:r>
    </w:p>
    <w:p w14:paraId="5484286C">
      <w:pPr>
        <w:snapToGri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2.货物的运输：</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由乙方确定</w:t>
      </w:r>
      <w:r>
        <w:rPr>
          <w:rFonts w:hint="eastAsia" w:ascii="仿宋" w:hAnsi="仿宋" w:eastAsia="仿宋" w:cs="仿宋"/>
          <w:color w:val="auto"/>
          <w:kern w:val="0"/>
          <w:sz w:val="24"/>
          <w:szCs w:val="24"/>
          <w:highlight w:val="none"/>
          <w:u w:val="single"/>
        </w:rPr>
        <w:t>。</w:t>
      </w:r>
    </w:p>
    <w:p w14:paraId="6D0F9A70">
      <w:pPr>
        <w:snapToGri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乙方负责货物运输，货物运输合理损耗及计算方法：</w:t>
      </w:r>
      <w:r>
        <w:rPr>
          <w:rFonts w:hint="eastAsia" w:ascii="仿宋" w:hAnsi="仿宋" w:eastAsia="仿宋" w:cs="仿宋"/>
          <w:color w:val="auto"/>
          <w:kern w:val="0"/>
          <w:sz w:val="24"/>
          <w:szCs w:val="24"/>
          <w:highlight w:val="none"/>
          <w:u w:val="single"/>
        </w:rPr>
        <w:t>甲方不接受损耗。</w:t>
      </w:r>
    </w:p>
    <w:p w14:paraId="0AA4BE6A">
      <w:pPr>
        <w:snapToGri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4.乙方应在货物发运前对其进行满足运输距离、防潮、防震、防锈和防破损装卸等要求包装，以保证货物安全运达甲方指定地点。</w:t>
      </w:r>
    </w:p>
    <w:p w14:paraId="6D29A892">
      <w:pPr>
        <w:snapToGri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 使用说明书（货物属于进口产品的，供货时应同时附上中文使用说明书）、质量检验证明书、随配附件和工具以及清单一并附于货物内。</w:t>
      </w:r>
    </w:p>
    <w:p w14:paraId="7234CE7D">
      <w:pPr>
        <w:snapToGri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6.乙方在货物发运手续办理完毕后24小时内或者货到甲方48小时前通知甲方，以准备接货。</w:t>
      </w:r>
    </w:p>
    <w:p w14:paraId="6EE28F83">
      <w:pPr>
        <w:snapToGri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7.货物在规定的交付期限内由乙方送达甲方指定的地点，乙方同时需通知甲方货物已送达，甲方清点货物后签收，货物签收不作为最终验收合格的依据。</w:t>
      </w:r>
    </w:p>
    <w:p w14:paraId="04A88968">
      <w:pPr>
        <w:snapToGrid w:val="0"/>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第五条　安装和培训</w:t>
      </w:r>
    </w:p>
    <w:p w14:paraId="50AC1526">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1.甲方应提供必要安装条件（如场地、电源、水源等）。</w:t>
      </w:r>
    </w:p>
    <w:p w14:paraId="74B43FBF">
      <w:pPr>
        <w:snapToGrid w:val="0"/>
        <w:spacing w:line="46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2.乙方响应文件承诺负责甲方有关人员的培训：</w:t>
      </w:r>
      <w:r>
        <w:rPr>
          <w:rFonts w:hint="eastAsia" w:ascii="仿宋" w:hAnsi="仿宋" w:eastAsia="仿宋" w:cs="仿宋"/>
          <w:color w:val="auto"/>
          <w:sz w:val="24"/>
          <w:szCs w:val="24"/>
          <w:highlight w:val="none"/>
          <w:u w:val="single"/>
        </w:rPr>
        <w:t>根据甲方要求开展。</w:t>
      </w:r>
    </w:p>
    <w:p w14:paraId="41FE86A3">
      <w:pPr>
        <w:snapToGrid w:val="0"/>
        <w:spacing w:line="4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3.培训时间、地点：</w:t>
      </w:r>
      <w:r>
        <w:rPr>
          <w:rFonts w:hint="eastAsia" w:ascii="仿宋" w:hAnsi="仿宋" w:eastAsia="仿宋" w:cs="仿宋"/>
          <w:color w:val="auto"/>
          <w:sz w:val="24"/>
          <w:szCs w:val="24"/>
          <w:highlight w:val="none"/>
          <w:u w:val="single"/>
        </w:rPr>
        <w:t>甲方指定。</w:t>
      </w:r>
    </w:p>
    <w:p w14:paraId="5C7FE59E">
      <w:pPr>
        <w:snapToGrid w:val="0"/>
        <w:spacing w:line="4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第六条　调试、交付和验收</w:t>
      </w:r>
    </w:p>
    <w:p w14:paraId="3198C666">
      <w:pPr>
        <w:snapToGrid w:val="0"/>
        <w:spacing w:line="46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1.交付时间：</w:t>
      </w:r>
      <w:r>
        <w:rPr>
          <w:rFonts w:hint="eastAsia" w:ascii="仿宋" w:hAnsi="仿宋" w:eastAsia="仿宋" w:cs="仿宋"/>
          <w:color w:val="auto"/>
          <w:sz w:val="24"/>
          <w:szCs w:val="24"/>
          <w:highlight w:val="none"/>
          <w:u w:val="single"/>
          <w:lang w:val="en-US" w:eastAsia="zh-CN"/>
        </w:rPr>
        <w:t>自签订合同之日起30日历日内到货安装调试完成并通过验收，交付甲方使用</w:t>
      </w:r>
      <w:r>
        <w:rPr>
          <w:rFonts w:hint="eastAsia" w:ascii="仿宋" w:hAnsi="仿宋" w:eastAsia="仿宋" w:cs="仿宋"/>
          <w:color w:val="auto"/>
          <w:sz w:val="24"/>
          <w:szCs w:val="24"/>
          <w:highlight w:val="none"/>
          <w:u w:val="single"/>
        </w:rPr>
        <w:t>。</w:t>
      </w:r>
    </w:p>
    <w:p w14:paraId="4D001564">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2.乙方提供不符合采购文件规定或者响应文件承诺的和本合同规定的货物，甲方有权拒绝接受。</w:t>
      </w:r>
    </w:p>
    <w:p w14:paraId="17416B1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43B6B31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4.乙方应对产品作出全面检查和对验收文件进行整理，并列出清单，作为甲方验收和使用的技术条件依据，检验的结果应随货物交甲方。</w:t>
      </w:r>
    </w:p>
    <w:p w14:paraId="5302443D">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5.甲方对乙方提供的货物在使用前进行调试时，乙方需负责安装并培训甲方的使用操作人员，并协助甲方一起调试，直到符合技术要求，甲方才做最终验收。</w:t>
      </w:r>
    </w:p>
    <w:p w14:paraId="1900B6C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乙方应当在到货并安装、调试完毕后，达到验收条件时以书面形式提请甲方进行验收，甲方应在收到验收请求后5个工作日内组织开展履约验收。验收合格后由甲乙双方签署货物验收单并加盖甲方公章，甲乙双方各执壹份。</w:t>
      </w:r>
    </w:p>
    <w:p w14:paraId="4B717365">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7.对技术复杂的货物，甲方可请国家认可的专业检测机构参与初步验收及最终验收，并由其出具质量检测报告。</w:t>
      </w:r>
    </w:p>
    <w:p w14:paraId="5A64C7E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甲方委托采购代理机构组织的验收项目，其验收时间以该项目验收方案确定的验收时间为准，验收结果以该项目验收报告结论为准。在验收过程中发现乙方有违约情形，可暂缓资金结算，待乙方违约情形整改后，方可办理资金结算事宜。</w:t>
      </w:r>
    </w:p>
    <w:p w14:paraId="6754C293">
      <w:pPr>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9.甲方对验收有异议的，在验收后5个工作日内以书面形式向乙方提出，乙方应自收到甲方书面异议后7日内及时予以解决。</w:t>
      </w:r>
    </w:p>
    <w:p w14:paraId="39B97850">
      <w:pPr>
        <w:snapToGrid w:val="0"/>
        <w:spacing w:line="360" w:lineRule="auto"/>
        <w:ind w:left="-61" w:firstLine="5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10.验收时乙方必须在现场，验收完毕后作出验收结果报告；验收过程所产生的一切费用均由乙方承担。</w:t>
      </w:r>
    </w:p>
    <w:p w14:paraId="1B497905">
      <w:pPr>
        <w:snapToGrid w:val="0"/>
        <w:spacing w:line="360" w:lineRule="auto"/>
        <w:ind w:left="-61" w:firstLine="5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11.货物在交付甲方前发生的风险均由乙方负责。</w:t>
      </w:r>
    </w:p>
    <w:p w14:paraId="6CB47421">
      <w:pPr>
        <w:spacing w:after="120"/>
        <w:ind w:firstLine="480" w:firstLineChars="20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12.本合同的验收条款与采购需求商务条款中的货物验收条款互为补充。</w:t>
      </w:r>
    </w:p>
    <w:p w14:paraId="61D8027C">
      <w:pPr>
        <w:snapToGrid w:val="0"/>
        <w:spacing w:line="360" w:lineRule="auto"/>
        <w:ind w:left="-61" w:firstLine="514"/>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第七条　付款方式</w:t>
      </w:r>
    </w:p>
    <w:p w14:paraId="43B88D3B">
      <w:pPr>
        <w:snapToGrid w:val="0"/>
        <w:spacing w:line="360" w:lineRule="auto"/>
        <w:ind w:left="-61" w:firstLine="5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签订采购合同后，预付合同总金额的30%货款，货物安装调试完毕并经验收合格后，乙方开具等额发票给甲方，甲方15日内向乙方支付完剩余合同款（无息） </w:t>
      </w:r>
      <w:r>
        <w:rPr>
          <w:rFonts w:hint="eastAsia" w:ascii="仿宋" w:hAnsi="仿宋" w:eastAsia="仿宋" w:cs="仿宋"/>
          <w:color w:val="auto"/>
          <w:sz w:val="24"/>
          <w:szCs w:val="24"/>
          <w:highlight w:val="none"/>
        </w:rPr>
        <w:t>。</w:t>
      </w:r>
    </w:p>
    <w:p w14:paraId="1A0EE1A9">
      <w:pPr>
        <w:snapToGrid w:val="0"/>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第八条　履约保证金</w:t>
      </w:r>
    </w:p>
    <w:p w14:paraId="779075B0">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本项目不收取履约保证金</w:t>
      </w:r>
      <w:r>
        <w:rPr>
          <w:rFonts w:hint="eastAsia" w:ascii="仿宋" w:hAnsi="仿宋" w:eastAsia="仿宋" w:cs="仿宋"/>
          <w:color w:val="auto"/>
          <w:sz w:val="24"/>
          <w:szCs w:val="24"/>
          <w:highlight w:val="none"/>
        </w:rPr>
        <w:t>。</w:t>
      </w:r>
    </w:p>
    <w:p w14:paraId="7BFFE495">
      <w:pPr>
        <w:snapToGrid w:val="0"/>
        <w:spacing w:line="460" w:lineRule="exact"/>
        <w:ind w:firstLine="514"/>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第九条  税费</w:t>
      </w:r>
    </w:p>
    <w:p w14:paraId="22F12DE1">
      <w:pPr>
        <w:snapToGrid w:val="0"/>
        <w:spacing w:line="460" w:lineRule="exact"/>
        <w:ind w:firstLine="5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本合同执行中相关的一切税费均由乙方负担，合同另有约定的除外。</w:t>
      </w:r>
    </w:p>
    <w:p w14:paraId="1979CD0F">
      <w:pPr>
        <w:snapToGrid w:val="0"/>
        <w:spacing w:line="460" w:lineRule="exact"/>
        <w:ind w:firstLine="514"/>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第十条  质量保证、售后服务</w:t>
      </w:r>
    </w:p>
    <w:p w14:paraId="70BC7464">
      <w:pPr>
        <w:snapToGrid w:val="0"/>
        <w:spacing w:line="46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.乙方应按照国家有关法律法规和“三包”规定以及采购文件要求、响应文件承诺和本合同所附的《售后服务承诺》，为甲方提供售后服务。</w:t>
      </w:r>
    </w:p>
    <w:p w14:paraId="08CA0629">
      <w:pPr>
        <w:snapToGrid w:val="0"/>
        <w:spacing w:line="46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2.乙方应按采购文件规定的设备和软件性能、技术要求、质量标准向甲方提供未经使用的全新产品。对达不到要求者，根据实际情况，经双方协商，可按以下办法处理：</w:t>
      </w:r>
    </w:p>
    <w:p w14:paraId="495B00AD">
      <w:pPr>
        <w:snapToGrid w:val="0"/>
        <w:spacing w:line="46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（1）更换：由乙方承担所发生的全部费用。</w:t>
      </w:r>
    </w:p>
    <w:p w14:paraId="4335C603">
      <w:pPr>
        <w:snapToGrid w:val="0"/>
        <w:spacing w:line="46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（2）贬值处理：由甲乙双方合议定价。</w:t>
      </w:r>
    </w:p>
    <w:p w14:paraId="00FA40C7">
      <w:pPr>
        <w:snapToGrid w:val="0"/>
        <w:spacing w:line="46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（3）退货处理：乙方应退还甲方支付的合同款，同时应承担该货物的直接费用（运输、保险、检验、货款利息及银行手续费等）。</w:t>
      </w:r>
    </w:p>
    <w:p w14:paraId="1B93C40C">
      <w:pPr>
        <w:snapToGrid w:val="0"/>
        <w:spacing w:line="46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如果双方不能就上述第（1）、（2）项达成协议，则甲方有权单方选择第（3）项方式。</w:t>
      </w:r>
    </w:p>
    <w:p w14:paraId="0ED4CB38">
      <w:pPr>
        <w:snapToGrid w:val="0"/>
        <w:spacing w:line="46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3.乙方提供的服务承诺和售后服务及质量保证期责任等其他具体约定事项（见合同附件）。</w:t>
      </w:r>
    </w:p>
    <w:p w14:paraId="1484CD92">
      <w:pPr>
        <w:snapToGrid w:val="0"/>
        <w:spacing w:line="46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Cs/>
          <w:color w:val="auto"/>
          <w:kern w:val="0"/>
          <w:sz w:val="24"/>
          <w:szCs w:val="24"/>
          <w:highlight w:val="none"/>
        </w:rPr>
        <w:t>.乙方除承担运输、安装、调试、验收与培训等义务外，还将为甲方提供技术支持，包括质量保证期外的技术指导。</w:t>
      </w:r>
    </w:p>
    <w:p w14:paraId="45CF07EF">
      <w:pPr>
        <w:snapToGrid w:val="0"/>
        <w:spacing w:line="46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Cs/>
          <w:color w:val="auto"/>
          <w:kern w:val="0"/>
          <w:sz w:val="24"/>
          <w:szCs w:val="24"/>
          <w:highlight w:val="none"/>
        </w:rPr>
        <w:t>.在质保期内，乙方应对货物出现的质量及安全问题负责处理解决并承担一切费用。</w:t>
      </w:r>
    </w:p>
    <w:p w14:paraId="32702C43">
      <w:pPr>
        <w:snapToGrid w:val="0"/>
        <w:spacing w:line="46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Cs/>
          <w:color w:val="auto"/>
          <w:kern w:val="0"/>
          <w:sz w:val="24"/>
          <w:szCs w:val="24"/>
          <w:highlight w:val="none"/>
        </w:rPr>
        <w:t>.超过质量保证期的机器设备，终身维修，维修时只收部件成本费。</w:t>
      </w:r>
    </w:p>
    <w:p w14:paraId="75016227">
      <w:pPr>
        <w:snapToGrid w:val="0"/>
        <w:spacing w:line="46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Cs/>
          <w:color w:val="auto"/>
          <w:kern w:val="0"/>
          <w:sz w:val="24"/>
          <w:szCs w:val="24"/>
          <w:highlight w:val="none"/>
        </w:rPr>
        <w:t>.货物质量保证期：</w:t>
      </w:r>
    </w:p>
    <w:p w14:paraId="1C2996B2">
      <w:pPr>
        <w:snapToGrid w:val="0"/>
        <w:spacing w:line="46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bCs/>
          <w:color w:val="auto"/>
          <w:kern w:val="0"/>
          <w:sz w:val="24"/>
          <w:szCs w:val="24"/>
          <w:highlight w:val="none"/>
          <w:u w:val="single"/>
          <w:lang w:eastAsia="zh-CN"/>
        </w:rPr>
        <w:t>（</w:t>
      </w:r>
      <w:r>
        <w:rPr>
          <w:rFonts w:hint="eastAsia" w:ascii="仿宋" w:hAnsi="仿宋" w:eastAsia="仿宋" w:cs="仿宋"/>
          <w:bCs/>
          <w:color w:val="auto"/>
          <w:kern w:val="0"/>
          <w:sz w:val="24"/>
          <w:szCs w:val="24"/>
          <w:highlight w:val="none"/>
          <w:u w:val="single"/>
          <w:lang w:val="en-US" w:eastAsia="zh-CN"/>
        </w:rPr>
        <w:t>1</w:t>
      </w:r>
      <w:r>
        <w:rPr>
          <w:rFonts w:hint="eastAsia" w:ascii="仿宋" w:hAnsi="仿宋" w:eastAsia="仿宋" w:cs="仿宋"/>
          <w:bCs/>
          <w:color w:val="auto"/>
          <w:kern w:val="0"/>
          <w:sz w:val="24"/>
          <w:szCs w:val="24"/>
          <w:highlight w:val="none"/>
          <w:u w:val="single"/>
          <w:lang w:eastAsia="zh-CN"/>
        </w:rPr>
        <w:t>）</w:t>
      </w:r>
      <w:r>
        <w:rPr>
          <w:rFonts w:hint="eastAsia" w:ascii="仿宋" w:hAnsi="仿宋" w:eastAsia="仿宋" w:cs="仿宋"/>
          <w:color w:val="auto"/>
          <w:sz w:val="24"/>
          <w:szCs w:val="24"/>
          <w:highlight w:val="none"/>
          <w:u w:val="single"/>
        </w:rPr>
        <w:t>按国家有关产品“三包”规定执行“三包”政策，质量保证期不少于</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年（分项货物或配置有明确要求的按分项要求；生产厂家承诺的质量保证期更长的按生产厂家的承诺），交货验收合格之日起计。</w:t>
      </w:r>
    </w:p>
    <w:p w14:paraId="5C590D74">
      <w:pPr>
        <w:snapToGrid w:val="0"/>
        <w:spacing w:line="46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在质量保证期内出现的任何故障及损失，</w:t>
      </w:r>
      <w:r>
        <w:rPr>
          <w:rFonts w:hint="eastAsia" w:ascii="仿宋" w:hAnsi="仿宋" w:eastAsia="仿宋" w:cs="仿宋"/>
          <w:color w:val="auto"/>
          <w:sz w:val="24"/>
          <w:szCs w:val="24"/>
          <w:highlight w:val="none"/>
          <w:u w:val="single"/>
          <w:lang w:eastAsia="zh-CN"/>
        </w:rPr>
        <w:t>乙方</w:t>
      </w:r>
      <w:r>
        <w:rPr>
          <w:rFonts w:hint="eastAsia" w:ascii="仿宋" w:hAnsi="仿宋" w:eastAsia="仿宋" w:cs="仿宋"/>
          <w:color w:val="auto"/>
          <w:sz w:val="24"/>
          <w:szCs w:val="24"/>
          <w:highlight w:val="none"/>
          <w:u w:val="single"/>
        </w:rPr>
        <w:t>负责维修、更换配件，并负责软件更新升级、系统维护和远程服务。</w:t>
      </w:r>
    </w:p>
    <w:p w14:paraId="145ECCA0">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质量保证期满后，终身维护，且以市场最优惠价格提供维修和原厂新备件更换、软件更新升级，且承诺为用户提供终身技术咨询服务</w:t>
      </w:r>
      <w:r>
        <w:rPr>
          <w:rFonts w:hint="eastAsia" w:ascii="仿宋" w:hAnsi="仿宋" w:eastAsia="仿宋" w:cs="仿宋"/>
          <w:bCs/>
          <w:color w:val="auto"/>
          <w:kern w:val="0"/>
          <w:sz w:val="24"/>
          <w:szCs w:val="24"/>
          <w:highlight w:val="none"/>
          <w:u w:val="single"/>
        </w:rPr>
        <w:t>。</w:t>
      </w:r>
    </w:p>
    <w:p w14:paraId="13DCD824">
      <w:pPr>
        <w:snapToGrid w:val="0"/>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第十一条　违约责任</w:t>
      </w:r>
    </w:p>
    <w:p w14:paraId="1A5C9188">
      <w:pPr>
        <w:snapToGrid w:val="0"/>
        <w:spacing w:line="460" w:lineRule="exact"/>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乙方所提供的产品名称、商标品牌、生产厂家、规格型号、技术参数等质量不合格的，应及时更换，更换不及时的按逾期交货处理；因质量问题甲方不同意接收的或者特殊情况甲方同意接收的，乙方应按违约货款额 5%向甲方支付违约金并赔偿甲方经济损失。                                       </w:t>
      </w:r>
    </w:p>
    <w:p w14:paraId="6C47C793">
      <w:pPr>
        <w:snapToGrid w:val="0"/>
        <w:spacing w:line="460" w:lineRule="exact"/>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2.乙方提供的货物如侵犯了第三方合法权益而引发的任何纠纷或者诉讼，均由乙方负责交涉并承担全部责任。</w:t>
      </w:r>
    </w:p>
    <w:p w14:paraId="18C042F3">
      <w:pPr>
        <w:snapToGrid w:val="0"/>
        <w:spacing w:line="460" w:lineRule="exact"/>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3.因包装、运输引起的货物损坏，按质量不合格处理。</w:t>
      </w:r>
    </w:p>
    <w:p w14:paraId="22D51129">
      <w:pPr>
        <w:snapToGrid w:val="0"/>
        <w:spacing w:line="460" w:lineRule="exact"/>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4.合同一方不履行合同义务、履行合同义务不符合约定或者违反合同项下所作保证的，应向对方承担继续履行、采取修理、更换、退货等补救措施或者赔偿损失等违约责任。</w:t>
      </w:r>
    </w:p>
    <w:p w14:paraId="6300242A">
      <w:pPr>
        <w:snapToGrid w:val="0"/>
        <w:spacing w:line="460" w:lineRule="exact"/>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5.乙方未能按时交付货物的，应向甲方支付迟延交付违约金。迟延交付违约金的计算方法如下：</w:t>
      </w:r>
    </w:p>
    <w:p w14:paraId="17784A09">
      <w:pPr>
        <w:snapToGrid w:val="0"/>
        <w:spacing w:line="460" w:lineRule="exact"/>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（1）从迟交的第1日到第30日，每日迟延交付违约金为合同总价的 1.5‰；</w:t>
      </w:r>
    </w:p>
    <w:p w14:paraId="7CBCE886">
      <w:pPr>
        <w:snapToGrid w:val="0"/>
        <w:spacing w:line="460" w:lineRule="exact"/>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（2）从迟交的第31到第60日，每日迟延交付违约金为合同总价的 3‰；</w:t>
      </w:r>
    </w:p>
    <w:p w14:paraId="763151CA">
      <w:pPr>
        <w:snapToGrid w:val="0"/>
        <w:spacing w:line="460" w:lineRule="exact"/>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（3）从迟交的第61日起，每日迟延交付违约金为合同总价的5‰。</w:t>
      </w:r>
    </w:p>
    <w:p w14:paraId="5D1BAEFD">
      <w:pPr>
        <w:snapToGrid w:val="0"/>
        <w:spacing w:line="460" w:lineRule="exact"/>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（4）迟延交付违约金的总额不得超过合同总价的30%。迟延交付违约金的支付不能免除乙方继续交付相关合同货物的义务，但如迟延交付必然导致合同货物安装、调试、验收等工作推迟的，相关工作应相应顺延。</w:t>
      </w:r>
    </w:p>
    <w:p w14:paraId="0A14FC73">
      <w:pPr>
        <w:snapToGrid w:val="0"/>
        <w:spacing w:line="460" w:lineRule="exact"/>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6.甲方未能按合同约定支付合同价款的，应向乙方支付延迟付款违约金。迟延付款违约金的计算方法如下：</w:t>
      </w:r>
    </w:p>
    <w:p w14:paraId="622587C4">
      <w:pPr>
        <w:snapToGrid w:val="0"/>
        <w:spacing w:line="460" w:lineRule="exact"/>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（1）从迟交的第1日到第30日，每日迟延付款违约金为迟延付款金额的1.5‰；</w:t>
      </w:r>
    </w:p>
    <w:p w14:paraId="54D648B0">
      <w:pPr>
        <w:snapToGrid w:val="0"/>
        <w:spacing w:line="460" w:lineRule="exact"/>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（2）从迟交的第31日到第60日，每日迟延付款违约金为迟延付款金额的3‰；</w:t>
      </w:r>
    </w:p>
    <w:p w14:paraId="3BAF63A6">
      <w:pPr>
        <w:snapToGrid w:val="0"/>
        <w:spacing w:line="460" w:lineRule="exact"/>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（3）从迟交的第61日起，每日迟延付款违约金为迟延付款金额的 5‰。迟延付款违约金的总额不得超过迟延付款金额的30% 。</w:t>
      </w:r>
    </w:p>
    <w:p w14:paraId="528EBDBB">
      <w:pPr>
        <w:snapToGrid w:val="0"/>
        <w:spacing w:line="460" w:lineRule="exact"/>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7.乙方未按本合同和响应文件承诺提供售后服务的，乙方应按本合同总价的5%向甲方支付违约金。</w:t>
      </w:r>
    </w:p>
    <w:p w14:paraId="49119463">
      <w:pPr>
        <w:snapToGri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8.乙方违约，甲方对本合同享有单方解除权。</w:t>
      </w:r>
    </w:p>
    <w:p w14:paraId="4276718E">
      <w:pPr>
        <w:snapToGri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9.因某一方</w:t>
      </w:r>
      <w:r>
        <w:rPr>
          <w:rFonts w:hint="eastAsia" w:ascii="仿宋" w:hAnsi="仿宋" w:eastAsia="仿宋" w:cs="仿宋"/>
          <w:bCs/>
          <w:color w:val="auto"/>
          <w:kern w:val="0"/>
          <w:sz w:val="24"/>
          <w:szCs w:val="21"/>
          <w:highlight w:val="none"/>
          <w:shd w:val="clear" w:color="auto" w:fill="FFFFFF"/>
        </w:rPr>
        <w:t>单方面</w:t>
      </w:r>
      <w:r>
        <w:rPr>
          <w:rFonts w:hint="eastAsia" w:ascii="仿宋" w:hAnsi="仿宋" w:eastAsia="仿宋" w:cs="仿宋"/>
          <w:color w:val="auto"/>
          <w:kern w:val="0"/>
          <w:sz w:val="24"/>
          <w:szCs w:val="24"/>
          <w:highlight w:val="none"/>
        </w:rPr>
        <w:t>原因导致变更、中止或者终止</w:t>
      </w:r>
      <w:bookmarkStart w:id="33" w:name="_Hlk123747227"/>
      <w:r>
        <w:rPr>
          <w:rFonts w:hint="eastAsia" w:ascii="仿宋" w:hAnsi="仿宋" w:eastAsia="仿宋" w:cs="仿宋"/>
          <w:bCs/>
          <w:color w:val="auto"/>
          <w:kern w:val="0"/>
          <w:sz w:val="24"/>
          <w:szCs w:val="21"/>
          <w:highlight w:val="none"/>
          <w:shd w:val="clear" w:color="auto" w:fill="FFFFFF"/>
        </w:rPr>
        <w:t>本</w:t>
      </w:r>
      <w:bookmarkEnd w:id="33"/>
      <w:r>
        <w:rPr>
          <w:rFonts w:hint="eastAsia" w:ascii="仿宋" w:hAnsi="仿宋" w:eastAsia="仿宋" w:cs="仿宋"/>
          <w:color w:val="auto"/>
          <w:kern w:val="0"/>
          <w:sz w:val="24"/>
          <w:szCs w:val="24"/>
          <w:highlight w:val="none"/>
        </w:rPr>
        <w:t>合同的，该方应当对另一方</w:t>
      </w:r>
      <w:r>
        <w:rPr>
          <w:rFonts w:hint="eastAsia" w:ascii="仿宋" w:hAnsi="仿宋" w:eastAsia="仿宋" w:cs="仿宋"/>
          <w:bCs/>
          <w:color w:val="auto"/>
          <w:kern w:val="0"/>
          <w:sz w:val="24"/>
          <w:szCs w:val="21"/>
          <w:highlight w:val="none"/>
          <w:shd w:val="clear" w:color="auto" w:fill="FFFFFF"/>
        </w:rPr>
        <w:t>因此</w:t>
      </w:r>
      <w:r>
        <w:rPr>
          <w:rFonts w:hint="eastAsia" w:ascii="仿宋" w:hAnsi="仿宋" w:eastAsia="仿宋" w:cs="仿宋"/>
          <w:color w:val="auto"/>
          <w:kern w:val="0"/>
          <w:sz w:val="24"/>
          <w:szCs w:val="24"/>
          <w:highlight w:val="none"/>
        </w:rPr>
        <w:t>受到的损失予以赔偿或者补偿。</w:t>
      </w:r>
    </w:p>
    <w:p w14:paraId="54EF3B63">
      <w:pPr>
        <w:snapToGri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10.乙方提供的货物在质量保证期内，因设计、工艺或者材料的缺陷和其它质量原因造成的问题，由乙方负责，费用从余款或者履约保证金中扣除，不足另补。</w:t>
      </w:r>
    </w:p>
    <w:p w14:paraId="78C626E5">
      <w:pPr>
        <w:snapToGri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11.甲乙双方有其他违约行为的，由违约方向对方支付违约货款额的5%，违约货款额的5%不足以赔偿经济损失的，须按实际损失作出赔偿。</w:t>
      </w:r>
    </w:p>
    <w:p w14:paraId="64CF088A">
      <w:pPr>
        <w:snapToGrid w:val="0"/>
        <w:spacing w:line="440" w:lineRule="exact"/>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12.其他违约责任按《中华人民共和国民法典》处理。</w:t>
      </w:r>
    </w:p>
    <w:p w14:paraId="75877EF4">
      <w:pPr>
        <w:snapToGrid w:val="0"/>
        <w:spacing w:line="460" w:lineRule="exact"/>
        <w:ind w:firstLine="472" w:firstLineChars="196"/>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第十二条  不可抗力事件处理</w:t>
      </w:r>
    </w:p>
    <w:p w14:paraId="6A1E5B43">
      <w:pPr>
        <w:snapToGrid w:val="0"/>
        <w:spacing w:line="460" w:lineRule="exact"/>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1.在合同有效期内，任何一方因不可抗力事件导致不能履行合同，则合同履行期可延长，其延长期与不可抗力影响期相同。</w:t>
      </w:r>
    </w:p>
    <w:p w14:paraId="29A006A9">
      <w:pPr>
        <w:snapToGrid w:val="0"/>
        <w:spacing w:line="46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2.不可抗力事件发生后，应立即通知对方，并寄送有关权威机构出具的证明。</w:t>
      </w:r>
    </w:p>
    <w:p w14:paraId="7B2C5BC1">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3.不可抗力事件延续60天以上，双方应通过友好协商，确定是否继续履行合同。</w:t>
      </w:r>
    </w:p>
    <w:p w14:paraId="6FC8FD90">
      <w:pPr>
        <w:snapToGrid w:val="0"/>
        <w:spacing w:line="4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第十三条  合同争议解决</w:t>
      </w:r>
    </w:p>
    <w:p w14:paraId="0CB4604C">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1.因货物质量问题发生争议的，应邀请国家认可的质量检测机构对货物质量进行鉴定。货物符合标准的，鉴定费由甲方承担；货物不符合标准的，鉴定费由乙方承担。</w:t>
      </w:r>
    </w:p>
    <w:p w14:paraId="7EDEF522">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2.因履行本合同引起的或者与本合同有关的争议，甲乙双方应首先通过友好协商解决，如果协商不能解决，任何一方可向甲方所在地有管辖权的人民法院提起诉讼。</w:t>
      </w:r>
    </w:p>
    <w:p w14:paraId="4A6F1C07">
      <w:pPr>
        <w:snapToGrid w:val="0"/>
        <w:spacing w:line="460" w:lineRule="exact"/>
        <w:ind w:firstLine="5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3.诉讼期间，本合同无争议部分须继续履行。</w:t>
      </w:r>
    </w:p>
    <w:p w14:paraId="239309FE">
      <w:pPr>
        <w:snapToGrid w:val="0"/>
        <w:spacing w:line="460" w:lineRule="exact"/>
        <w:ind w:firstLine="472" w:firstLineChars="196"/>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第十四条  合同生效及其他</w:t>
      </w:r>
    </w:p>
    <w:p w14:paraId="5AF319C2">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1.合同自双方法定代表人或者委托代理人签字并加盖单位公章或合同专用章之日起生效（委托代理人签字的须后附授权委托书，格式自拟）。</w:t>
      </w:r>
    </w:p>
    <w:p w14:paraId="3B300211">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2.本合同未尽事宜，遵照《中华人民共和国民法典》有关条文执行。</w:t>
      </w:r>
    </w:p>
    <w:p w14:paraId="3BCC10CE">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1EAD8561">
      <w:pPr>
        <w:snapToGrid w:val="0"/>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第十五条　合同的变更、终止与转让</w:t>
      </w:r>
    </w:p>
    <w:p w14:paraId="01E2AC37">
      <w:pPr>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1.除《中华人民共和国政府采购法》第五十条规定的情形外，本合同一经签订，甲乙双方不得擅自变更、中止或者终止。</w:t>
      </w:r>
    </w:p>
    <w:p w14:paraId="6FF56284">
      <w:pPr>
        <w:snapToGrid w:val="0"/>
        <w:spacing w:line="460" w:lineRule="exact"/>
        <w:ind w:firstLine="5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2.乙方不得擅自转让其应履行的合同义务。</w:t>
      </w:r>
    </w:p>
    <w:p w14:paraId="33D14610">
      <w:pPr>
        <w:snapToGrid w:val="0"/>
        <w:spacing w:line="460" w:lineRule="exact"/>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第十六条　</w:t>
      </w:r>
      <w:r>
        <w:rPr>
          <w:rFonts w:hint="eastAsia" w:ascii="仿宋" w:hAnsi="仿宋" w:eastAsia="仿宋" w:cs="仿宋"/>
          <w:color w:val="auto"/>
          <w:spacing w:val="-2"/>
          <w:kern w:val="0"/>
          <w:sz w:val="24"/>
          <w:szCs w:val="24"/>
          <w:highlight w:val="none"/>
        </w:rPr>
        <w:t>本</w:t>
      </w:r>
      <w:r>
        <w:rPr>
          <w:rFonts w:hint="eastAsia" w:ascii="仿宋" w:hAnsi="仿宋" w:eastAsia="仿宋" w:cs="仿宋"/>
          <w:color w:val="auto"/>
          <w:kern w:val="0"/>
          <w:sz w:val="24"/>
          <w:szCs w:val="24"/>
          <w:highlight w:val="none"/>
        </w:rPr>
        <w:t>合同书</w:t>
      </w:r>
      <w:r>
        <w:rPr>
          <w:rFonts w:hint="eastAsia" w:ascii="仿宋" w:hAnsi="仿宋" w:eastAsia="仿宋" w:cs="仿宋"/>
          <w:color w:val="auto"/>
          <w:spacing w:val="-2"/>
          <w:kern w:val="0"/>
          <w:sz w:val="24"/>
          <w:szCs w:val="24"/>
          <w:highlight w:val="none"/>
        </w:rPr>
        <w:t>与</w:t>
      </w:r>
      <w:r>
        <w:rPr>
          <w:rFonts w:hint="eastAsia" w:ascii="仿宋" w:hAnsi="仿宋" w:eastAsia="仿宋" w:cs="仿宋"/>
          <w:color w:val="auto"/>
          <w:kern w:val="0"/>
          <w:sz w:val="24"/>
          <w:szCs w:val="24"/>
          <w:highlight w:val="none"/>
        </w:rPr>
        <w:t>下</w:t>
      </w:r>
      <w:r>
        <w:rPr>
          <w:rFonts w:hint="eastAsia" w:ascii="仿宋" w:hAnsi="仿宋" w:eastAsia="仿宋" w:cs="仿宋"/>
          <w:color w:val="auto"/>
          <w:spacing w:val="-2"/>
          <w:kern w:val="0"/>
          <w:sz w:val="24"/>
          <w:szCs w:val="24"/>
          <w:highlight w:val="none"/>
        </w:rPr>
        <w:t>列</w:t>
      </w:r>
      <w:r>
        <w:rPr>
          <w:rFonts w:hint="eastAsia" w:ascii="仿宋" w:hAnsi="仿宋" w:eastAsia="仿宋" w:cs="仿宋"/>
          <w:color w:val="auto"/>
          <w:kern w:val="0"/>
          <w:sz w:val="24"/>
          <w:szCs w:val="24"/>
          <w:highlight w:val="none"/>
        </w:rPr>
        <w:t>文</w:t>
      </w:r>
      <w:r>
        <w:rPr>
          <w:rFonts w:hint="eastAsia" w:ascii="仿宋" w:hAnsi="仿宋" w:eastAsia="仿宋" w:cs="仿宋"/>
          <w:color w:val="auto"/>
          <w:spacing w:val="-2"/>
          <w:kern w:val="0"/>
          <w:sz w:val="24"/>
          <w:szCs w:val="24"/>
          <w:highlight w:val="none"/>
        </w:rPr>
        <w:t>件一</w:t>
      </w:r>
      <w:r>
        <w:rPr>
          <w:rFonts w:hint="eastAsia" w:ascii="仿宋" w:hAnsi="仿宋" w:eastAsia="仿宋" w:cs="仿宋"/>
          <w:color w:val="auto"/>
          <w:kern w:val="0"/>
          <w:sz w:val="24"/>
          <w:szCs w:val="24"/>
          <w:highlight w:val="none"/>
        </w:rPr>
        <w:t>起构</w:t>
      </w:r>
      <w:r>
        <w:rPr>
          <w:rFonts w:hint="eastAsia" w:ascii="仿宋" w:hAnsi="仿宋" w:eastAsia="仿宋" w:cs="仿宋"/>
          <w:color w:val="auto"/>
          <w:spacing w:val="-2"/>
          <w:kern w:val="0"/>
          <w:sz w:val="24"/>
          <w:szCs w:val="24"/>
          <w:highlight w:val="none"/>
        </w:rPr>
        <w:t>成</w:t>
      </w:r>
      <w:r>
        <w:rPr>
          <w:rFonts w:hint="eastAsia" w:ascii="仿宋" w:hAnsi="仿宋" w:eastAsia="仿宋" w:cs="仿宋"/>
          <w:color w:val="auto"/>
          <w:kern w:val="0"/>
          <w:sz w:val="24"/>
          <w:szCs w:val="24"/>
          <w:highlight w:val="none"/>
        </w:rPr>
        <w:t>合</w:t>
      </w:r>
      <w:r>
        <w:rPr>
          <w:rFonts w:hint="eastAsia" w:ascii="仿宋" w:hAnsi="仿宋" w:eastAsia="仿宋" w:cs="仿宋"/>
          <w:color w:val="auto"/>
          <w:spacing w:val="-2"/>
          <w:kern w:val="0"/>
          <w:sz w:val="24"/>
          <w:szCs w:val="24"/>
          <w:highlight w:val="none"/>
        </w:rPr>
        <w:t>同</w:t>
      </w:r>
      <w:r>
        <w:rPr>
          <w:rFonts w:hint="eastAsia" w:ascii="仿宋" w:hAnsi="仿宋" w:eastAsia="仿宋" w:cs="仿宋"/>
          <w:color w:val="auto"/>
          <w:kern w:val="0"/>
          <w:sz w:val="24"/>
          <w:szCs w:val="24"/>
          <w:highlight w:val="none"/>
        </w:rPr>
        <w:t>文</w:t>
      </w:r>
      <w:r>
        <w:rPr>
          <w:rFonts w:hint="eastAsia" w:ascii="仿宋" w:hAnsi="仿宋" w:eastAsia="仿宋" w:cs="仿宋"/>
          <w:color w:val="auto"/>
          <w:spacing w:val="-2"/>
          <w:kern w:val="0"/>
          <w:sz w:val="24"/>
          <w:szCs w:val="24"/>
          <w:highlight w:val="none"/>
        </w:rPr>
        <w:t>件</w:t>
      </w:r>
    </w:p>
    <w:p w14:paraId="7E7991C6">
      <w:pPr>
        <w:snapToGrid w:val="0"/>
        <w:spacing w:line="460" w:lineRule="exact"/>
        <w:ind w:firstLine="470" w:firstLineChars="196"/>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1.成交通知书</w:t>
      </w:r>
      <w:r>
        <w:rPr>
          <w:rFonts w:hint="eastAsia" w:ascii="仿宋" w:hAnsi="仿宋" w:eastAsia="仿宋" w:cs="仿宋"/>
          <w:color w:val="auto"/>
          <w:kern w:val="0"/>
          <w:sz w:val="24"/>
          <w:szCs w:val="24"/>
          <w:highlight w:val="none"/>
          <w:lang w:eastAsia="zh-CN"/>
        </w:rPr>
        <w:t>；</w:t>
      </w:r>
    </w:p>
    <w:p w14:paraId="18DA6174">
      <w:pPr>
        <w:snapToGrid w:val="0"/>
        <w:spacing w:line="460" w:lineRule="exact"/>
        <w:ind w:firstLine="470" w:firstLineChars="196"/>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2.采购需求</w:t>
      </w:r>
      <w:r>
        <w:rPr>
          <w:rFonts w:hint="eastAsia" w:ascii="仿宋" w:hAnsi="仿宋" w:eastAsia="仿宋" w:cs="仿宋"/>
          <w:color w:val="auto"/>
          <w:kern w:val="0"/>
          <w:sz w:val="24"/>
          <w:szCs w:val="24"/>
          <w:highlight w:val="none"/>
          <w:lang w:eastAsia="zh-CN"/>
        </w:rPr>
        <w:t>；</w:t>
      </w:r>
    </w:p>
    <w:p w14:paraId="0CD950D2">
      <w:pPr>
        <w:snapToGrid w:val="0"/>
        <w:spacing w:line="460" w:lineRule="exact"/>
        <w:ind w:firstLine="470" w:firstLineChars="196"/>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1"/>
          <w:highlight w:val="none"/>
          <w:lang w:eastAsia="zh-CN"/>
        </w:rPr>
        <w:t>竞标</w:t>
      </w:r>
      <w:r>
        <w:rPr>
          <w:rFonts w:hint="eastAsia" w:ascii="仿宋" w:hAnsi="仿宋" w:eastAsia="仿宋" w:cs="仿宋"/>
          <w:color w:val="auto"/>
          <w:kern w:val="0"/>
          <w:sz w:val="24"/>
          <w:szCs w:val="24"/>
          <w:highlight w:val="none"/>
        </w:rPr>
        <w:t>声明</w:t>
      </w:r>
      <w:r>
        <w:rPr>
          <w:rFonts w:hint="eastAsia" w:ascii="仿宋" w:hAnsi="仿宋" w:eastAsia="仿宋" w:cs="仿宋"/>
          <w:color w:val="auto"/>
          <w:kern w:val="0"/>
          <w:sz w:val="24"/>
          <w:szCs w:val="24"/>
          <w:highlight w:val="none"/>
          <w:lang w:eastAsia="zh-CN"/>
        </w:rPr>
        <w:t>；</w:t>
      </w:r>
    </w:p>
    <w:p w14:paraId="07FE4C2E">
      <w:pPr>
        <w:snapToGrid w:val="0"/>
        <w:spacing w:line="460" w:lineRule="exact"/>
        <w:ind w:firstLine="470" w:firstLineChars="196"/>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1"/>
          <w:highlight w:val="none"/>
        </w:rPr>
        <w:t>竞争性谈判</w:t>
      </w:r>
      <w:r>
        <w:rPr>
          <w:rFonts w:hint="eastAsia" w:ascii="仿宋" w:hAnsi="仿宋" w:eastAsia="仿宋" w:cs="仿宋"/>
          <w:color w:val="auto"/>
          <w:kern w:val="0"/>
          <w:sz w:val="24"/>
          <w:szCs w:val="24"/>
          <w:highlight w:val="none"/>
        </w:rPr>
        <w:t>报价表及货物配置清单</w:t>
      </w:r>
      <w:r>
        <w:rPr>
          <w:rFonts w:hint="eastAsia" w:ascii="仿宋" w:hAnsi="仿宋" w:eastAsia="仿宋" w:cs="仿宋"/>
          <w:color w:val="auto"/>
          <w:kern w:val="0"/>
          <w:sz w:val="24"/>
          <w:szCs w:val="24"/>
          <w:highlight w:val="none"/>
          <w:lang w:eastAsia="zh-CN"/>
        </w:rPr>
        <w:t>；</w:t>
      </w:r>
    </w:p>
    <w:p w14:paraId="41BD238E">
      <w:pPr>
        <w:snapToGrid w:val="0"/>
        <w:spacing w:line="460" w:lineRule="exact"/>
        <w:ind w:firstLine="470" w:firstLineChars="196"/>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5.商务要求偏离表和技术要求偏离表</w:t>
      </w:r>
      <w:r>
        <w:rPr>
          <w:rFonts w:hint="eastAsia" w:ascii="仿宋" w:hAnsi="仿宋" w:eastAsia="仿宋" w:cs="仿宋"/>
          <w:color w:val="auto"/>
          <w:kern w:val="0"/>
          <w:sz w:val="24"/>
          <w:szCs w:val="24"/>
          <w:highlight w:val="none"/>
          <w:lang w:eastAsia="zh-CN"/>
        </w:rPr>
        <w:t>；</w:t>
      </w:r>
    </w:p>
    <w:p w14:paraId="1009C3D3">
      <w:pPr>
        <w:snapToGrid w:val="0"/>
        <w:spacing w:line="460" w:lineRule="exact"/>
        <w:ind w:firstLine="470" w:firstLineChars="196"/>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6.售后服务承诺</w:t>
      </w:r>
      <w:r>
        <w:rPr>
          <w:rFonts w:hint="eastAsia" w:ascii="仿宋" w:hAnsi="仿宋" w:eastAsia="仿宋" w:cs="仿宋"/>
          <w:color w:val="auto"/>
          <w:kern w:val="0"/>
          <w:sz w:val="24"/>
          <w:szCs w:val="24"/>
          <w:highlight w:val="none"/>
          <w:lang w:eastAsia="zh-CN"/>
        </w:rPr>
        <w:t>；</w:t>
      </w:r>
    </w:p>
    <w:p w14:paraId="61AA22D5">
      <w:pPr>
        <w:snapToGrid w:val="0"/>
        <w:spacing w:line="460" w:lineRule="exact"/>
        <w:ind w:firstLine="470" w:firstLineChars="196"/>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7.其他合同文件</w:t>
      </w:r>
      <w:r>
        <w:rPr>
          <w:rFonts w:hint="eastAsia" w:ascii="仿宋" w:hAnsi="仿宋" w:eastAsia="仿宋" w:cs="仿宋"/>
          <w:color w:val="auto"/>
          <w:kern w:val="0"/>
          <w:sz w:val="24"/>
          <w:szCs w:val="24"/>
          <w:highlight w:val="none"/>
          <w:lang w:eastAsia="zh-CN"/>
        </w:rPr>
        <w:t>；</w:t>
      </w:r>
    </w:p>
    <w:p w14:paraId="57073386">
      <w:pPr>
        <w:snapToGrid w:val="0"/>
        <w:spacing w:line="460" w:lineRule="exact"/>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上述合同文件互相补充和解释。如果合同文件之间存在矛盾或者不一致之处，以上述文件的排列顺序在先者为准。</w:t>
      </w:r>
    </w:p>
    <w:p w14:paraId="4A5075F8">
      <w:pPr>
        <w:snapToGrid w:val="0"/>
        <w:spacing w:line="460" w:lineRule="exact"/>
        <w:ind w:firstLine="472" w:firstLineChars="196"/>
        <w:rPr>
          <w:rFonts w:hint="eastAsia" w:ascii="仿宋" w:hAnsi="仿宋" w:eastAsia="仿宋" w:cs="仿宋"/>
          <w:color w:val="auto"/>
          <w:kern w:val="0"/>
          <w:sz w:val="24"/>
          <w:szCs w:val="21"/>
          <w:highlight w:val="none"/>
        </w:rPr>
      </w:pPr>
      <w:r>
        <w:rPr>
          <w:rFonts w:hint="eastAsia" w:ascii="仿宋" w:hAnsi="仿宋" w:eastAsia="仿宋" w:cs="仿宋"/>
          <w:b/>
          <w:color w:val="auto"/>
          <w:kern w:val="0"/>
          <w:sz w:val="24"/>
          <w:szCs w:val="21"/>
          <w:highlight w:val="none"/>
        </w:rPr>
        <w:t>第十七条　</w:t>
      </w:r>
      <w:r>
        <w:rPr>
          <w:rFonts w:hint="eastAsia" w:ascii="仿宋" w:hAnsi="仿宋" w:eastAsia="仿宋" w:cs="仿宋"/>
          <w:color w:val="auto"/>
          <w:kern w:val="0"/>
          <w:sz w:val="24"/>
          <w:szCs w:val="24"/>
          <w:highlight w:val="none"/>
        </w:rPr>
        <w:t>本合同一式</w:t>
      </w:r>
      <w:r>
        <w:rPr>
          <w:rFonts w:hint="eastAsia" w:ascii="仿宋" w:hAnsi="仿宋" w:eastAsia="仿宋" w:cs="仿宋"/>
          <w:color w:val="auto"/>
          <w:kern w:val="0"/>
          <w:sz w:val="24"/>
          <w:szCs w:val="24"/>
          <w:highlight w:val="none"/>
          <w:lang w:val="en-US" w:eastAsia="zh-CN"/>
        </w:rPr>
        <w:t>陆</w:t>
      </w:r>
      <w:r>
        <w:rPr>
          <w:rFonts w:hint="eastAsia" w:ascii="仿宋" w:hAnsi="仿宋" w:eastAsia="仿宋" w:cs="仿宋"/>
          <w:color w:val="auto"/>
          <w:kern w:val="0"/>
          <w:sz w:val="24"/>
          <w:szCs w:val="24"/>
          <w:highlight w:val="none"/>
        </w:rPr>
        <w:t>份，具有同等法律效力，甲方</w:t>
      </w:r>
      <w:r>
        <w:rPr>
          <w:rFonts w:hint="eastAsia" w:ascii="仿宋" w:hAnsi="仿宋" w:eastAsia="仿宋" w:cs="仿宋"/>
          <w:color w:val="auto"/>
          <w:kern w:val="0"/>
          <w:sz w:val="24"/>
          <w:szCs w:val="24"/>
          <w:highlight w:val="none"/>
          <w:lang w:val="en-US" w:eastAsia="zh-CN"/>
        </w:rPr>
        <w:t>叁</w:t>
      </w:r>
      <w:r>
        <w:rPr>
          <w:rFonts w:hint="eastAsia" w:ascii="仿宋" w:hAnsi="仿宋" w:eastAsia="仿宋" w:cs="仿宋"/>
          <w:color w:val="auto"/>
          <w:kern w:val="0"/>
          <w:sz w:val="24"/>
          <w:szCs w:val="24"/>
          <w:highlight w:val="none"/>
        </w:rPr>
        <w:t>份，乙方</w:t>
      </w:r>
      <w:r>
        <w:rPr>
          <w:rFonts w:hint="eastAsia" w:ascii="仿宋" w:hAnsi="仿宋" w:eastAsia="仿宋" w:cs="仿宋"/>
          <w:color w:val="auto"/>
          <w:kern w:val="0"/>
          <w:sz w:val="24"/>
          <w:szCs w:val="24"/>
          <w:highlight w:val="none"/>
          <w:lang w:val="en-US" w:eastAsia="zh-CN"/>
        </w:rPr>
        <w:t>贰</w:t>
      </w:r>
      <w:r>
        <w:rPr>
          <w:rFonts w:hint="eastAsia" w:ascii="仿宋" w:hAnsi="仿宋" w:eastAsia="仿宋" w:cs="仿宋"/>
          <w:color w:val="auto"/>
          <w:kern w:val="0"/>
          <w:sz w:val="24"/>
          <w:szCs w:val="24"/>
          <w:highlight w:val="none"/>
        </w:rPr>
        <w:t>份，采购代理机构壹份。</w:t>
      </w:r>
    </w:p>
    <w:p w14:paraId="0BCA8037">
      <w:pPr>
        <w:snapToGrid w:val="0"/>
        <w:spacing w:line="460" w:lineRule="exact"/>
        <w:ind w:firstLine="470" w:firstLineChars="19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（以下无正文）</w:t>
      </w:r>
    </w:p>
    <w:p w14:paraId="72A57EA4">
      <w:pPr>
        <w:snapToGrid w:val="0"/>
        <w:spacing w:line="460" w:lineRule="exact"/>
        <w:ind w:firstLine="470" w:firstLineChars="196"/>
        <w:rPr>
          <w:rFonts w:hint="eastAsia" w:ascii="仿宋" w:hAnsi="仿宋" w:eastAsia="仿宋" w:cs="仿宋"/>
          <w:color w:val="auto"/>
          <w:kern w:val="0"/>
          <w:sz w:val="24"/>
          <w:szCs w:val="21"/>
          <w:highlight w:val="none"/>
        </w:rPr>
      </w:pPr>
    </w:p>
    <w:tbl>
      <w:tblPr>
        <w:tblStyle w:val="22"/>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60"/>
      </w:tblGrid>
      <w:tr w14:paraId="2378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4359" w:type="dxa"/>
            <w:vAlign w:val="center"/>
          </w:tcPr>
          <w:p w14:paraId="51F8506A">
            <w:pPr>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甲方（章）           </w:t>
            </w:r>
          </w:p>
          <w:p w14:paraId="3E31CFA5">
            <w:pPr>
              <w:snapToGrid w:val="0"/>
              <w:spacing w:line="4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广西壮族自治区南宁监狱</w:t>
            </w:r>
          </w:p>
          <w:p w14:paraId="17F7BE51">
            <w:pPr>
              <w:snapToGrid w:val="0"/>
              <w:spacing w:line="460" w:lineRule="exact"/>
              <w:ind w:firstLine="1080" w:firstLineChars="45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c>
          <w:tcPr>
            <w:tcW w:w="4360" w:type="dxa"/>
            <w:vAlign w:val="center"/>
          </w:tcPr>
          <w:p w14:paraId="164CE6F2">
            <w:pPr>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乙方（章）              </w:t>
            </w:r>
          </w:p>
          <w:p w14:paraId="1F448A43">
            <w:pPr>
              <w:snapToGrid w:val="0"/>
              <w:spacing w:line="46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tc>
      </w:tr>
      <w:tr w14:paraId="2647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14:paraId="7298FF48">
            <w:pPr>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单位地址：南宁市青秀区厢竹大道42号</w:t>
            </w:r>
          </w:p>
        </w:tc>
        <w:tc>
          <w:tcPr>
            <w:tcW w:w="4360" w:type="dxa"/>
            <w:vAlign w:val="center"/>
          </w:tcPr>
          <w:p w14:paraId="728653BB">
            <w:pPr>
              <w:widowControl/>
              <w:spacing w:line="4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单位地址：</w:t>
            </w:r>
          </w:p>
        </w:tc>
      </w:tr>
      <w:tr w14:paraId="4646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14:paraId="43E9FBF1">
            <w:pPr>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委托代理人</w:t>
            </w:r>
          </w:p>
          <w:p w14:paraId="11B2BF73">
            <w:pPr>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p>
        </w:tc>
        <w:tc>
          <w:tcPr>
            <w:tcW w:w="4360" w:type="dxa"/>
            <w:vAlign w:val="center"/>
          </w:tcPr>
          <w:p w14:paraId="116762D1">
            <w:pPr>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p>
          <w:p w14:paraId="55EAFA61">
            <w:pPr>
              <w:snapToGrid w:val="0"/>
              <w:spacing w:line="460" w:lineRule="exact"/>
              <w:rPr>
                <w:rFonts w:hint="eastAsia" w:ascii="仿宋" w:hAnsi="仿宋" w:eastAsia="仿宋" w:cs="仿宋"/>
                <w:color w:val="auto"/>
                <w:sz w:val="24"/>
                <w:szCs w:val="24"/>
                <w:highlight w:val="none"/>
              </w:rPr>
            </w:pPr>
          </w:p>
          <w:p w14:paraId="63E389EC">
            <w:pPr>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w:t>
            </w:r>
          </w:p>
          <w:p w14:paraId="2C7F7091">
            <w:pPr>
              <w:pStyle w:val="10"/>
              <w:rPr>
                <w:rFonts w:hint="eastAsia" w:ascii="仿宋" w:hAnsi="仿宋" w:eastAsia="仿宋" w:cs="仿宋"/>
                <w:color w:val="auto"/>
                <w:highlight w:val="none"/>
              </w:rPr>
            </w:pPr>
          </w:p>
        </w:tc>
      </w:tr>
      <w:tr w14:paraId="7FD4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43E09981">
            <w:pPr>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电话：0771-</w:t>
            </w:r>
          </w:p>
        </w:tc>
        <w:tc>
          <w:tcPr>
            <w:tcW w:w="4360" w:type="dxa"/>
            <w:vAlign w:val="center"/>
          </w:tcPr>
          <w:p w14:paraId="1A6DC2BB">
            <w:pPr>
              <w:widowControl/>
              <w:spacing w:line="4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电话： </w:t>
            </w:r>
          </w:p>
        </w:tc>
      </w:tr>
      <w:tr w14:paraId="3803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0D37B8A0">
            <w:pPr>
              <w:snapToGrid w:val="0"/>
              <w:spacing w:line="4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电子邮箱：</w:t>
            </w:r>
          </w:p>
        </w:tc>
        <w:tc>
          <w:tcPr>
            <w:tcW w:w="4360" w:type="dxa"/>
            <w:vAlign w:val="center"/>
          </w:tcPr>
          <w:p w14:paraId="2DB29B7B">
            <w:pPr>
              <w:snapToGrid w:val="0"/>
              <w:spacing w:line="4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电子邮箱：</w:t>
            </w:r>
          </w:p>
        </w:tc>
      </w:tr>
      <w:tr w14:paraId="4289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14:paraId="7BD8ECDC">
            <w:pPr>
              <w:snapToGrid w:val="0"/>
              <w:spacing w:line="46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w:t>
            </w:r>
          </w:p>
        </w:tc>
        <w:tc>
          <w:tcPr>
            <w:tcW w:w="4360" w:type="dxa"/>
            <w:vAlign w:val="center"/>
          </w:tcPr>
          <w:p w14:paraId="4C03A2D1">
            <w:pPr>
              <w:widowControl/>
              <w:spacing w:line="4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w:t>
            </w:r>
          </w:p>
        </w:tc>
      </w:tr>
      <w:tr w14:paraId="45B0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430F0D41">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账号：</w:t>
            </w:r>
          </w:p>
        </w:tc>
        <w:tc>
          <w:tcPr>
            <w:tcW w:w="4360" w:type="dxa"/>
            <w:vAlign w:val="center"/>
          </w:tcPr>
          <w:p w14:paraId="337C6163">
            <w:pPr>
              <w:widowControl/>
              <w:spacing w:line="460" w:lineRule="exact"/>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账号：</w:t>
            </w:r>
          </w:p>
        </w:tc>
      </w:tr>
      <w:tr w14:paraId="2FAE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359" w:type="dxa"/>
            <w:vAlign w:val="center"/>
          </w:tcPr>
          <w:p w14:paraId="2E8AD73E">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邮政编码：</w:t>
            </w:r>
          </w:p>
        </w:tc>
        <w:tc>
          <w:tcPr>
            <w:tcW w:w="4360" w:type="dxa"/>
            <w:vAlign w:val="center"/>
          </w:tcPr>
          <w:p w14:paraId="1F703BB1">
            <w:pPr>
              <w:widowControl/>
              <w:spacing w:line="4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邮政编码：</w:t>
            </w:r>
          </w:p>
        </w:tc>
      </w:tr>
    </w:tbl>
    <w:p w14:paraId="148252B3">
      <w:pPr>
        <w:rPr>
          <w:rFonts w:hint="eastAsia" w:ascii="仿宋" w:hAnsi="仿宋" w:eastAsia="仿宋" w:cs="仿宋"/>
          <w:color w:val="auto"/>
          <w:highlight w:val="none"/>
        </w:rPr>
      </w:pPr>
    </w:p>
    <w:sectPr>
      <w:headerReference r:id="rId9" w:type="default"/>
      <w:footerReference r:id="rId10" w:type="default"/>
      <w:pgSz w:w="11905" w:h="16838"/>
      <w:pgMar w:top="1417" w:right="1417" w:bottom="1417" w:left="1417" w:header="850"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55388">
    <w:pPr>
      <w:tabs>
        <w:tab w:val="center" w:pos="4153"/>
        <w:tab w:val="right" w:pos="8306"/>
      </w:tabs>
      <w:snapToGrid w:val="0"/>
      <w:jc w:val="left"/>
      <w:rPr>
        <w:rFonts w:ascii="Times New Roman" w:hAnsi="Times New Roman" w:eastAsia="宋体" w:cs="Times New Roman"/>
        <w:kern w:val="0"/>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DE87F2D">
                          <w:pPr>
                            <w:pStyle w:val="15"/>
                          </w:pPr>
                          <w:r>
                            <w:fldChar w:fldCharType="begin"/>
                          </w:r>
                          <w:r>
                            <w:instrText xml:space="preserve"> PAGE  \* MERGEFORMAT </w:instrText>
                          </w:r>
                          <w:r>
                            <w:fldChar w:fldCharType="separate"/>
                          </w:r>
                          <w:r>
                            <w:t>0</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3DE87F2D">
                    <w:pPr>
                      <w:pStyle w:val="15"/>
                    </w:pPr>
                    <w:r>
                      <w:fldChar w:fldCharType="begin"/>
                    </w:r>
                    <w:r>
                      <w:instrText xml:space="preserve"> PAGE  \* MERGEFORMAT </w:instrText>
                    </w:r>
                    <w:r>
                      <w:fldChar w:fldCharType="separate"/>
                    </w:r>
                    <w:r>
                      <w:t>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01E1F">
    <w:pPr>
      <w:framePr w:wrap="around" w:vAnchor="text" w:hAnchor="margin" w:xAlign="center" w:y="1"/>
      <w:tabs>
        <w:tab w:val="center" w:pos="4153"/>
        <w:tab w:val="right" w:pos="8306"/>
      </w:tabs>
      <w:snapToGrid w:val="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szCs w:val="24"/>
      </w:rPr>
      <w:instrText xml:space="preserve">PAGE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szCs w:val="24"/>
      </w:rPr>
      <w:t>1</w:t>
    </w:r>
    <w:r>
      <w:rPr>
        <w:rFonts w:ascii="Times New Roman" w:hAnsi="Times New Roman" w:eastAsia="宋体" w:cs="Times New Roman"/>
        <w:kern w:val="0"/>
        <w:sz w:val="18"/>
        <w:szCs w:val="18"/>
      </w:rPr>
      <w:fldChar w:fldCharType="end"/>
    </w:r>
  </w:p>
  <w:p w14:paraId="4A0057EA">
    <w:pPr>
      <w:tabs>
        <w:tab w:val="center" w:pos="4153"/>
        <w:tab w:val="right" w:pos="8306"/>
      </w:tabs>
      <w:snapToGrid w:val="0"/>
      <w:jc w:val="left"/>
      <w:rPr>
        <w:rFonts w:ascii="Times New Roman" w:hAnsi="Times New Roman" w:eastAsia="宋体" w:cs="Times New Roman"/>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FEC99">
    <w:pPr>
      <w:tabs>
        <w:tab w:val="center" w:pos="4153"/>
        <w:tab w:val="right" w:pos="8306"/>
      </w:tabs>
      <w:snapToGrid w:val="0"/>
      <w:jc w:val="center"/>
      <w:rPr>
        <w:rFonts w:ascii="Times New Roman" w:hAnsi="Times New Roman" w:eastAsia="宋体" w:cs="Times New Roman"/>
        <w:kern w:val="0"/>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D168657">
                          <w:pPr>
                            <w:pStyle w:val="15"/>
                          </w:pPr>
                          <w:r>
                            <w:fldChar w:fldCharType="begin"/>
                          </w:r>
                          <w:r>
                            <w:instrText xml:space="preserve"> PAGE  \* MERGEFORMAT </w:instrText>
                          </w:r>
                          <w:r>
                            <w:fldChar w:fldCharType="separate"/>
                          </w:r>
                          <w:r>
                            <w:t>0</w:t>
                          </w:r>
                          <w: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lRg7JAQAAk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fOSF4e0xUvnMLRUbK0wcqFVZ3TRWaRb+zvOth1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VGDskBAACSAwAADgAAAAAAAAABACAAAAAfAQAAZHJzL2Uyb0Rv&#10;Yy54bWxQSwUGAAAAAAYABgBZAQAAWgUAAAAA&#10;">
              <v:fill on="f" focussize="0,0"/>
              <v:stroke on="f"/>
              <v:imagedata o:title=""/>
              <o:lock v:ext="edit" aspectratio="f"/>
              <v:textbox inset="0mm,0mm,0mm,0mm" style="mso-fit-shape-to-text:t;">
                <w:txbxContent>
                  <w:p w14:paraId="5D168657">
                    <w:pPr>
                      <w:pStyle w:val="15"/>
                    </w:pPr>
                    <w:r>
                      <w:fldChar w:fldCharType="begin"/>
                    </w:r>
                    <w:r>
                      <w:instrText xml:space="preserve"> PAGE  \* MERGEFORMAT </w:instrText>
                    </w:r>
                    <w:r>
                      <w:fldChar w:fldCharType="separate"/>
                    </w:r>
                    <w:r>
                      <w:t>0</w:t>
                    </w:r>
                    <w:r>
                      <w:fldChar w:fldCharType="end"/>
                    </w:r>
                  </w:p>
                </w:txbxContent>
              </v:textbox>
            </v:rect>
          </w:pict>
        </mc:Fallback>
      </mc:AlternateContent>
    </w:r>
  </w:p>
  <w:p w14:paraId="27649C13">
    <w:pPr>
      <w:tabs>
        <w:tab w:val="center" w:pos="4153"/>
        <w:tab w:val="right" w:pos="8306"/>
      </w:tabs>
      <w:snapToGrid w:val="0"/>
      <w:jc w:val="left"/>
      <w:rPr>
        <w:rFonts w:ascii="Times New Roman" w:hAnsi="Times New Roman" w:eastAsia="宋体" w:cs="Times New Roman"/>
        <w:kern w:val="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88EB3">
    <w:pPr>
      <w:tabs>
        <w:tab w:val="center" w:pos="4153"/>
        <w:tab w:val="right" w:pos="8306"/>
      </w:tabs>
      <w:snapToGrid w:val="0"/>
      <w:jc w:val="left"/>
      <w:rPr>
        <w:rFonts w:ascii="Times New Roman" w:hAnsi="Times New Roman" w:eastAsia="宋体" w:cs="Times New Roman"/>
        <w:kern w:val="0"/>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E0DE5FC">
                          <w:pPr>
                            <w:pStyle w:val="15"/>
                          </w:pPr>
                          <w:r>
                            <w:fldChar w:fldCharType="begin"/>
                          </w:r>
                          <w:r>
                            <w:instrText xml:space="preserve"> PAGE  \* MERGEFORMAT </w:instrText>
                          </w:r>
                          <w:r>
                            <w:fldChar w:fldCharType="separate"/>
                          </w:r>
                          <w:r>
                            <w:t>49</w:t>
                          </w:r>
                          <w: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7AX7rKAQAAkgMAAA4AAAAAAAAAAQAgAAAAHwEAAGRycy9lMm9E&#10;b2MueG1sUEsFBgAAAAAGAAYAWQEAAFsFAAAAAA==&#10;">
              <v:fill on="f" focussize="0,0"/>
              <v:stroke on="f"/>
              <v:imagedata o:title=""/>
              <o:lock v:ext="edit" aspectratio="f"/>
              <v:textbox inset="0mm,0mm,0mm,0mm" style="mso-fit-shape-to-text:t;">
                <w:txbxContent>
                  <w:p w14:paraId="7E0DE5FC">
                    <w:pPr>
                      <w:pStyle w:val="15"/>
                    </w:pPr>
                    <w:r>
                      <w:fldChar w:fldCharType="begin"/>
                    </w:r>
                    <w:r>
                      <w:instrText xml:space="preserve"> PAGE  \* MERGEFORMAT </w:instrText>
                    </w:r>
                    <w:r>
                      <w:fldChar w:fldCharType="separate"/>
                    </w:r>
                    <w:r>
                      <w:t>49</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2909D">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D214915">
                          <w:pPr>
                            <w:pStyle w:val="15"/>
                          </w:pPr>
                          <w:r>
                            <w:fldChar w:fldCharType="begin"/>
                          </w:r>
                          <w:r>
                            <w:instrText xml:space="preserve"> PAGE  \* MERGEFORMAT </w:instrText>
                          </w:r>
                          <w:r>
                            <w:fldChar w:fldCharType="separate"/>
                          </w:r>
                          <w:r>
                            <w:t>50</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9sJyjIAQAAkgMAAA4AAABkcnMvZTJvRG9jLnhtbK1TzY7TMBC+I/EO&#10;lu80aQW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lyWZ4oSlN7/8/HH59efy&#10;+zt7kxzqA1Z08D7cwZQhhUnu0IJNXxLChuzq+eqqGiKTtLlcr9brhC2pNieEUzxcD4DxvfKWpaDm&#10;QM+W3RSnjxjHo/OR1M24tDp/q40Zq2mnSDRHYimKw36Y2O59cyaVNPQE3nn4xllPT15zRxPOmfng&#10;yNE0HXMAc7CfA+EkXaz5yAvDu2Ok9plbajZ2mDjQU2V101ilWXic51MPv9L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bCcoyAEAAJIDAAAOAAAAAAAAAAEAIAAAAB8BAABkcnMvZTJvRG9j&#10;LnhtbFBLBQYAAAAABgAGAFkBAABZBQAAAAA=&#10;">
              <v:fill on="f" focussize="0,0"/>
              <v:stroke on="f"/>
              <v:imagedata o:title=""/>
              <o:lock v:ext="edit" aspectratio="f"/>
              <v:textbox inset="0mm,0mm,0mm,0mm" style="mso-fit-shape-to-text:t;">
                <w:txbxContent>
                  <w:p w14:paraId="1D214915">
                    <w:pPr>
                      <w:pStyle w:val="15"/>
                    </w:pPr>
                    <w:r>
                      <w:fldChar w:fldCharType="begin"/>
                    </w:r>
                    <w:r>
                      <w:instrText xml:space="preserve"> PAGE  \* MERGEFORMAT </w:instrText>
                    </w:r>
                    <w:r>
                      <w:fldChar w:fldCharType="separate"/>
                    </w:r>
                    <w:r>
                      <w:t>50</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5929D">
    <w:pPr>
      <w:tabs>
        <w:tab w:val="center" w:pos="4153"/>
        <w:tab w:val="right" w:pos="8306"/>
      </w:tabs>
      <w:snapToGrid w:val="0"/>
      <w:jc w:val="right"/>
      <w:rPr>
        <w:rFonts w:ascii="Times New Roman" w:hAnsi="Times New Roman" w:eastAsia="宋体" w:cs="Times New Roman"/>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03DFB">
    <w:pPr>
      <w:tabs>
        <w:tab w:val="center" w:pos="4153"/>
        <w:tab w:val="right" w:pos="8306"/>
      </w:tabs>
      <w:snapToGrid w:val="0"/>
      <w:jc w:val="center"/>
      <w:rPr>
        <w:rFonts w:ascii="Times New Roman" w:hAnsi="Times New Roman" w:eastAsia="宋体" w:cs="Times New Roman"/>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8D6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pStyle w:val="7"/>
      <w:lvlText w:val="%1."/>
      <w:lvlJc w:val="left"/>
      <w:pPr>
        <w:tabs>
          <w:tab w:val="left" w:pos="360"/>
        </w:tabs>
        <w:ind w:left="360" w:hanging="360"/>
      </w:p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multilevel"/>
    <w:tmpl w:val="00000003"/>
    <w:lvl w:ilvl="0" w:tentative="0">
      <w:start w:val="1"/>
      <w:numFmt w:val="japaneseCounting"/>
      <w:lvlText w:val="第%1章"/>
      <w:lvlJc w:val="left"/>
      <w:pPr>
        <w:ind w:left="1545" w:hanging="15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AC6B96"/>
    <w:rsid w:val="0DAE3E53"/>
    <w:rsid w:val="11D80931"/>
    <w:rsid w:val="173965D7"/>
    <w:rsid w:val="17D520C2"/>
    <w:rsid w:val="271F4660"/>
    <w:rsid w:val="28E848A9"/>
    <w:rsid w:val="38B762BB"/>
    <w:rsid w:val="408D50F6"/>
    <w:rsid w:val="41B171E9"/>
    <w:rsid w:val="421516F9"/>
    <w:rsid w:val="5A182DC4"/>
    <w:rsid w:val="722A3A03"/>
    <w:rsid w:val="741D4C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5">
    <w:name w:val="heading 5"/>
    <w:basedOn w:val="1"/>
    <w:next w:val="6"/>
    <w:qFormat/>
    <w:uiPriority w:val="9"/>
    <w:pPr>
      <w:keepNext/>
      <w:keepLines/>
      <w:spacing w:before="280" w:after="290" w:line="376" w:lineRule="auto"/>
      <w:outlineLvl w:val="4"/>
    </w:pPr>
    <w:rPr>
      <w:b/>
      <w:bCs/>
      <w:sz w:val="28"/>
      <w:szCs w:val="28"/>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szCs w:val="21"/>
    </w:rPr>
  </w:style>
  <w:style w:type="paragraph" w:styleId="6">
    <w:name w:val="Normal Indent"/>
    <w:basedOn w:val="1"/>
    <w:qFormat/>
    <w:uiPriority w:val="0"/>
    <w:pPr>
      <w:ind w:firstLine="420"/>
    </w:pPr>
    <w:rPr>
      <w:szCs w:val="20"/>
    </w:rPr>
  </w:style>
  <w:style w:type="paragraph" w:styleId="7">
    <w:name w:val="List Number"/>
    <w:basedOn w:val="1"/>
    <w:qFormat/>
    <w:uiPriority w:val="99"/>
    <w:pPr>
      <w:numPr>
        <w:ilvl w:val="0"/>
        <w:numId w:val="1"/>
      </w:numPr>
    </w:pPr>
  </w:style>
  <w:style w:type="paragraph" w:styleId="8">
    <w:name w:val="annotation text"/>
    <w:basedOn w:val="1"/>
    <w:link w:val="33"/>
    <w:qFormat/>
    <w:uiPriority w:val="99"/>
    <w:pPr>
      <w:jc w:val="left"/>
    </w:pPr>
  </w:style>
  <w:style w:type="paragraph" w:styleId="9">
    <w:name w:val="Body Text 3"/>
    <w:basedOn w:val="1"/>
    <w:qFormat/>
    <w:uiPriority w:val="99"/>
    <w:pPr>
      <w:spacing w:after="120"/>
    </w:pPr>
    <w:rPr>
      <w:sz w:val="16"/>
      <w:szCs w:val="16"/>
    </w:rPr>
  </w:style>
  <w:style w:type="paragraph" w:styleId="10">
    <w:name w:val="Body Text"/>
    <w:basedOn w:val="1"/>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qFormat/>
    <w:uiPriority w:val="99"/>
    <w:pPr>
      <w:ind w:left="100" w:leftChars="200" w:hanging="200" w:hangingChars="200"/>
      <w:contextualSpacing/>
    </w:pPr>
  </w:style>
  <w:style w:type="paragraph" w:styleId="13">
    <w:name w:val="Plain Text"/>
    <w:basedOn w:val="1"/>
    <w:next w:val="4"/>
    <w:qFormat/>
    <w:uiPriority w:val="0"/>
    <w:rPr>
      <w:rFonts w:ascii="宋体" w:hAnsi="Courier New"/>
      <w:kern w:val="0"/>
      <w:sz w:val="20"/>
      <w:szCs w:val="21"/>
    </w:rPr>
  </w:style>
  <w:style w:type="paragraph" w:styleId="14">
    <w:name w:val="Balloon Text"/>
    <w:basedOn w:val="1"/>
    <w:link w:val="32"/>
    <w:qFormat/>
    <w:uiPriority w:val="99"/>
    <w:rPr>
      <w:sz w:val="18"/>
      <w:szCs w:val="18"/>
    </w:rPr>
  </w:style>
  <w:style w:type="paragraph" w:styleId="15">
    <w:name w:val="footer"/>
    <w:basedOn w:val="1"/>
    <w:link w:val="31"/>
    <w:qFormat/>
    <w:uiPriority w:val="99"/>
    <w:pPr>
      <w:tabs>
        <w:tab w:val="center" w:pos="4153"/>
        <w:tab w:val="right" w:pos="8306"/>
      </w:tabs>
      <w:snapToGrid w:val="0"/>
      <w:jc w:val="left"/>
    </w:pPr>
    <w:rPr>
      <w:sz w:val="18"/>
      <w:szCs w:val="18"/>
    </w:rPr>
  </w:style>
  <w:style w:type="paragraph" w:styleId="16">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99"/>
    <w:rPr>
      <w:rFonts w:ascii="Calibri" w:hAnsi="Calibri"/>
      <w:kern w:val="0"/>
      <w:sz w:val="24"/>
    </w:rPr>
  </w:style>
  <w:style w:type="paragraph" w:styleId="20">
    <w:name w:val="annotation subject"/>
    <w:basedOn w:val="8"/>
    <w:next w:val="8"/>
    <w:link w:val="34"/>
    <w:qFormat/>
    <w:uiPriority w:val="99"/>
    <w:rPr>
      <w:b/>
      <w:bCs/>
    </w:rPr>
  </w:style>
  <w:style w:type="paragraph" w:styleId="21">
    <w:name w:val="Body Text First Indent"/>
    <w:basedOn w:val="10"/>
    <w:next w:val="1"/>
    <w:qFormat/>
    <w:uiPriority w:val="0"/>
    <w:pPr>
      <w:ind w:firstLine="420" w:firstLineChars="100"/>
    </w:p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qFormat/>
    <w:uiPriority w:val="99"/>
    <w:rPr>
      <w:color w:val="0000FF"/>
      <w:u w:val="single"/>
    </w:rPr>
  </w:style>
  <w:style w:type="character" w:styleId="27">
    <w:name w:val="annotation reference"/>
    <w:basedOn w:val="24"/>
    <w:qFormat/>
    <w:uiPriority w:val="99"/>
    <w:rPr>
      <w:sz w:val="21"/>
      <w:szCs w:val="21"/>
    </w:rPr>
  </w:style>
  <w:style w:type="paragraph" w:customStyle="1" w:styleId="28">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29">
    <w:name w:val="List Paragraph"/>
    <w:basedOn w:val="1"/>
    <w:qFormat/>
    <w:uiPriority w:val="34"/>
    <w:pPr>
      <w:ind w:firstLine="420" w:firstLineChars="200"/>
    </w:pPr>
  </w:style>
  <w:style w:type="character" w:customStyle="1" w:styleId="30">
    <w:name w:val="页眉 字符"/>
    <w:basedOn w:val="24"/>
    <w:link w:val="16"/>
    <w:qFormat/>
    <w:uiPriority w:val="99"/>
    <w:rPr>
      <w:sz w:val="18"/>
      <w:szCs w:val="18"/>
    </w:rPr>
  </w:style>
  <w:style w:type="character" w:customStyle="1" w:styleId="31">
    <w:name w:val="页脚 字符"/>
    <w:basedOn w:val="24"/>
    <w:link w:val="15"/>
    <w:qFormat/>
    <w:uiPriority w:val="99"/>
    <w:rPr>
      <w:sz w:val="18"/>
      <w:szCs w:val="18"/>
    </w:rPr>
  </w:style>
  <w:style w:type="character" w:customStyle="1" w:styleId="32">
    <w:name w:val="批注框文本 字符"/>
    <w:basedOn w:val="24"/>
    <w:link w:val="14"/>
    <w:qFormat/>
    <w:uiPriority w:val="99"/>
    <w:rPr>
      <w:kern w:val="2"/>
      <w:sz w:val="18"/>
      <w:szCs w:val="18"/>
    </w:rPr>
  </w:style>
  <w:style w:type="character" w:customStyle="1" w:styleId="33">
    <w:name w:val="批注文字 字符"/>
    <w:basedOn w:val="24"/>
    <w:link w:val="8"/>
    <w:qFormat/>
    <w:uiPriority w:val="99"/>
    <w:rPr>
      <w:kern w:val="2"/>
      <w:sz w:val="21"/>
      <w:szCs w:val="22"/>
    </w:rPr>
  </w:style>
  <w:style w:type="character" w:customStyle="1" w:styleId="34">
    <w:name w:val="批注主题 字符"/>
    <w:basedOn w:val="33"/>
    <w:link w:val="20"/>
    <w:qFormat/>
    <w:uiPriority w:val="99"/>
    <w:rPr>
      <w:b/>
      <w:bCs/>
      <w:kern w:val="2"/>
      <w:sz w:val="21"/>
      <w:szCs w:val="22"/>
    </w:rPr>
  </w:style>
  <w:style w:type="paragraph" w:customStyle="1" w:styleId="35">
    <w:name w:val="Table Paragraph"/>
    <w:basedOn w:val="1"/>
    <w:qFormat/>
    <w:uiPriority w:val="1"/>
    <w:pPr>
      <w:jc w:val="left"/>
    </w:pPr>
    <w:rPr>
      <w:rFonts w:ascii="Calibri" w:hAnsi="Calibri"/>
      <w:kern w:val="0"/>
      <w:sz w:val="22"/>
      <w:lang w:eastAsia="en-US"/>
    </w:rPr>
  </w:style>
  <w:style w:type="paragraph" w:customStyle="1" w:styleId="36">
    <w:name w:val="修订1"/>
    <w:qFormat/>
    <w:uiPriority w:val="99"/>
    <w:rPr>
      <w:rFonts w:ascii="等线" w:hAnsi="等线" w:eastAsia="等线"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8864f9-7aac-459f-8deb-e06723152a38}">
  <ds:schemaRefs/>
</ds:datastoreItem>
</file>

<file path=docProps/app.xml><?xml version="1.0" encoding="utf-8"?>
<Properties xmlns="http://schemas.openxmlformats.org/officeDocument/2006/extended-properties" xmlns:vt="http://schemas.openxmlformats.org/officeDocument/2006/docPropsVTypes">
  <Template>Normal.dotm</Template>
  <Pages>96</Pages>
  <Words>30356</Words>
  <Characters>32775</Characters>
  <Paragraphs>2103</Paragraphs>
  <TotalTime>9</TotalTime>
  <ScaleCrop>false</ScaleCrop>
  <LinksUpToDate>false</LinksUpToDate>
  <CharactersWithSpaces>33065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2024-12-26T11:02:00Z</dcterms:created>
  <dc:creator>Lenovo</dc:creator>
  <cp:lastModifiedBy>FROM</cp:lastModifiedBy>
  <cp:lastPrinted>2025-05-14T02:56:00Z</cp:lastPrinted>
  <dcterms:modified xsi:type="dcterms:W3CDTF">2025-06-05T08:54:56Z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CDD04F8E578A416B8D571F2BDA2D6C8A_13</vt:lpwstr>
  </property>
  <property fmtid="{D5CDD505-2E9C-101B-9397-08002B2CF9AE}" pid="4" name="KSOTemplateDocerSaveRecord">
    <vt:lpwstr>eyJoZGlkIjoiY2NmYmNhODQxOWNkODc0ZjYxNTI4MThkY2UxMGM3NzYiLCJ1c2VySWQiOiIyNDM4MzE4OSJ9</vt:lpwstr>
  </property>
</Properties>
</file>