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C289E">
      <w:pPr>
        <w:pStyle w:val="59"/>
        <w:rPr>
          <w:rFonts w:ascii="仿宋" w:hAnsi="仿宋" w:eastAsia="仿宋" w:cs="仿宋"/>
          <w:color w:val="auto"/>
          <w:highlight w:val="none"/>
        </w:rPr>
      </w:pPr>
      <w:r>
        <w:rPr>
          <w:rFonts w:hint="eastAsia" w:ascii="仿宋" w:hAnsi="仿宋" w:eastAsia="仿宋" w:cs="仿宋"/>
          <w:color w:val="auto"/>
          <w:highlight w:val="none"/>
        </w:rPr>
        <w:t>货物类</w:t>
      </w:r>
    </w:p>
    <w:p w14:paraId="6C1F02CC">
      <w:pPr>
        <w:spacing w:before="333" w:beforeLines="100" w:after="166" w:afterLines="50"/>
        <w:ind w:firstLine="1040"/>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drawing>
          <wp:inline distT="0" distB="0" distL="114300" distR="114300">
            <wp:extent cx="893445" cy="932815"/>
            <wp:effectExtent l="0" t="0" r="1905" b="635"/>
            <wp:docPr id="10"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科文名片"/>
                    <pic:cNvPicPr>
                      <a:picLocks noChangeAspect="1"/>
                    </pic:cNvPicPr>
                  </pic:nvPicPr>
                  <pic:blipFill>
                    <a:blip r:embed="rId14"/>
                    <a:stretch>
                      <a:fillRect/>
                    </a:stretch>
                  </pic:blipFill>
                  <pic:spPr>
                    <a:xfrm>
                      <a:off x="0" y="0"/>
                      <a:ext cx="893445" cy="932815"/>
                    </a:xfrm>
                    <a:prstGeom prst="rect">
                      <a:avLst/>
                    </a:prstGeom>
                    <a:noFill/>
                    <a:ln>
                      <a:noFill/>
                    </a:ln>
                  </pic:spPr>
                </pic:pic>
              </a:graphicData>
            </a:graphic>
          </wp:inline>
        </w:drawing>
      </w:r>
    </w:p>
    <w:p w14:paraId="7CBB3E4C">
      <w:pPr>
        <w:spacing w:before="333" w:beforeLines="100" w:after="166" w:afterLines="50"/>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mc:AlternateContent>
          <mc:Choice Requires="wps">
            <w:drawing>
              <wp:anchor distT="0" distB="0" distL="114300" distR="114300" simplePos="0" relativeHeight="251663360" behindDoc="0" locked="0" layoutInCell="1" allowOverlap="1">
                <wp:simplePos x="0" y="0"/>
                <wp:positionH relativeFrom="column">
                  <wp:posOffset>390525</wp:posOffset>
                </wp:positionH>
                <wp:positionV relativeFrom="paragraph">
                  <wp:posOffset>594360</wp:posOffset>
                </wp:positionV>
                <wp:extent cx="5127625" cy="15875"/>
                <wp:effectExtent l="0" t="6350" r="15875" b="6350"/>
                <wp:wrapNone/>
                <wp:docPr id="2" name="直接连接符 2"/>
                <wp:cNvGraphicFramePr/>
                <a:graphic xmlns:a="http://schemas.openxmlformats.org/drawingml/2006/main">
                  <a:graphicData uri="http://schemas.microsoft.com/office/word/2010/wordprocessingShape">
                    <wps:wsp>
                      <wps:cNvCnPr/>
                      <wps:spPr>
                        <a:xfrm>
                          <a:off x="0" y="0"/>
                          <a:ext cx="5127625" cy="1587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75pt;margin-top:46.8pt;height:1.25pt;width:403.75pt;z-index:251663360;mso-width-relative:page;mso-height-relative:page;" filled="f" stroked="t" coordsize="21600,21600" o:gfxdata="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776ZtgAAAAIAQAADwAAAAAAAAABACAAAAAiAAAAZHJzL2Rvd25yZXYueG1sUEsB&#10;AhQAFAAAAAgAh07iQFwVUvT1AQAA6wMAAA4AAAAAAAAAAQAgAAAAJwEAAGRycy9lMm9Eb2MueG1s&#10;UEsFBgAAAAAGAAYAWQEAAI4FAAAAAA==&#10;">
                <v:fill on="f" focussize="0,0"/>
                <v:stroke weight="1pt" color="#000000" joinstyle="round"/>
                <v:imagedata o:title=""/>
                <o:lock v:ext="edit" aspectratio="f"/>
              </v:line>
            </w:pict>
          </mc:Fallback>
        </mc:AlternateContent>
      </w:r>
      <w:r>
        <w:rPr>
          <w:rFonts w:hint="eastAsia" w:ascii="仿宋" w:hAnsi="仿宋" w:eastAsia="仿宋" w:cs="仿宋"/>
          <w:color w:val="auto"/>
          <w:sz w:val="52"/>
          <w:szCs w:val="52"/>
          <w:highlight w:val="none"/>
        </w:rPr>
        <w:t>广 西 科 文 招 标 有 限 公 司</w:t>
      </w:r>
    </w:p>
    <w:p w14:paraId="3651E2EB">
      <w:pPr>
        <w:snapToGrid w:val="0"/>
        <w:spacing w:before="166" w:beforeLines="50"/>
        <w:jc w:val="center"/>
        <w:rPr>
          <w:rFonts w:ascii="仿宋" w:hAnsi="仿宋" w:eastAsia="仿宋" w:cs="仿宋"/>
          <w:color w:val="auto"/>
          <w:sz w:val="120"/>
          <w:szCs w:val="120"/>
          <w:highlight w:val="none"/>
        </w:rPr>
      </w:pPr>
      <w:r>
        <w:rPr>
          <w:rFonts w:hint="eastAsia" w:ascii="仿宋" w:hAnsi="仿宋" w:eastAsia="仿宋" w:cs="仿宋"/>
          <w:color w:val="auto"/>
          <w:sz w:val="120"/>
          <w:szCs w:val="120"/>
          <w:highlight w:val="none"/>
        </w:rPr>
        <w:t>招 标 文 件</w:t>
      </w:r>
    </w:p>
    <w:p w14:paraId="7E7B2E34">
      <w:pPr>
        <w:pStyle w:val="2"/>
        <w:rPr>
          <w:rFonts w:ascii="仿宋" w:hAnsi="仿宋" w:eastAsia="仿宋" w:cs="仿宋"/>
          <w:color w:val="auto"/>
          <w:highlight w:val="none"/>
        </w:rPr>
      </w:pPr>
    </w:p>
    <w:p w14:paraId="56A8831D">
      <w:pPr>
        <w:pStyle w:val="25"/>
        <w:snapToGrid w:val="0"/>
        <w:jc w:val="center"/>
        <w:rPr>
          <w:rFonts w:ascii="仿宋" w:hAnsi="仿宋" w:eastAsia="仿宋" w:cs="仿宋"/>
          <w:color w:val="auto"/>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highlight w:val="none"/>
        </w:rPr>
        <w:t>全流程电子化评标</w:t>
      </w:r>
      <w:r>
        <w:rPr>
          <w:rFonts w:hint="eastAsia" w:ascii="仿宋" w:hAnsi="仿宋" w:eastAsia="仿宋" w:cs="仿宋"/>
          <w:color w:val="auto"/>
          <w:sz w:val="30"/>
          <w:szCs w:val="30"/>
          <w:highlight w:val="none"/>
        </w:rPr>
        <w:t>）</w:t>
      </w:r>
    </w:p>
    <w:p w14:paraId="19BAE3E7">
      <w:pPr>
        <w:pStyle w:val="47"/>
        <w:ind w:firstLine="210"/>
        <w:rPr>
          <w:rFonts w:ascii="仿宋" w:hAnsi="仿宋" w:eastAsia="仿宋" w:cs="仿宋"/>
          <w:color w:val="auto"/>
          <w:highlight w:val="none"/>
        </w:rPr>
      </w:pPr>
    </w:p>
    <w:p w14:paraId="31C5CBC4">
      <w:pPr>
        <w:pStyle w:val="25"/>
        <w:snapToGrid w:val="0"/>
        <w:spacing w:line="480" w:lineRule="auto"/>
        <w:jc w:val="center"/>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项目名称：X射线衍射仪等三台设备采购</w:t>
      </w:r>
    </w:p>
    <w:p w14:paraId="0C26F68C">
      <w:pPr>
        <w:pStyle w:val="25"/>
        <w:snapToGrid w:val="0"/>
        <w:spacing w:line="480" w:lineRule="auto"/>
        <w:jc w:val="center"/>
        <w:rPr>
          <w:rFonts w:hint="eastAsia" w:ascii="仿宋" w:hAnsi="仿宋" w:eastAsia="仿宋" w:cs="仿宋"/>
          <w:b/>
          <w:bCs/>
          <w:color w:val="auto"/>
          <w:w w:val="95"/>
          <w:sz w:val="30"/>
          <w:szCs w:val="30"/>
          <w:highlight w:val="none"/>
          <w:lang w:eastAsia="zh-CN"/>
        </w:rPr>
      </w:pPr>
      <w:r>
        <w:rPr>
          <w:rFonts w:hint="eastAsia" w:ascii="仿宋" w:hAnsi="仿宋" w:eastAsia="仿宋" w:cs="仿宋"/>
          <w:b/>
          <w:bCs/>
          <w:color w:val="auto"/>
          <w:w w:val="95"/>
          <w:sz w:val="30"/>
          <w:szCs w:val="30"/>
          <w:highlight w:val="none"/>
        </w:rPr>
        <w:t>项目编号：</w:t>
      </w:r>
      <w:r>
        <w:rPr>
          <w:rFonts w:hint="eastAsia" w:ascii="仿宋" w:hAnsi="仿宋" w:eastAsia="仿宋" w:cs="仿宋"/>
          <w:b/>
          <w:bCs/>
          <w:color w:val="auto"/>
          <w:w w:val="95"/>
          <w:sz w:val="30"/>
          <w:szCs w:val="30"/>
          <w:highlight w:val="none"/>
          <w:lang w:eastAsia="zh-CN"/>
        </w:rPr>
        <w:t>GXZC2025-G1-001466-KWZB</w:t>
      </w:r>
    </w:p>
    <w:p w14:paraId="4DCD1241">
      <w:pPr>
        <w:pStyle w:val="25"/>
        <w:snapToGrid w:val="0"/>
        <w:spacing w:line="360" w:lineRule="auto"/>
        <w:ind w:firstLine="1977" w:firstLineChars="691"/>
        <w:rPr>
          <w:rFonts w:ascii="仿宋" w:hAnsi="仿宋" w:eastAsia="仿宋" w:cs="仿宋"/>
          <w:b/>
          <w:bCs/>
          <w:color w:val="auto"/>
          <w:w w:val="95"/>
          <w:sz w:val="30"/>
          <w:szCs w:val="30"/>
          <w:highlight w:val="none"/>
        </w:rPr>
      </w:pPr>
    </w:p>
    <w:p w14:paraId="4F4226B2">
      <w:pPr>
        <w:pStyle w:val="6"/>
        <w:rPr>
          <w:rFonts w:ascii="仿宋" w:hAnsi="仿宋" w:eastAsia="仿宋" w:cs="仿宋"/>
          <w:color w:val="auto"/>
          <w:highlight w:val="none"/>
        </w:rPr>
      </w:pPr>
    </w:p>
    <w:p w14:paraId="37D367C3">
      <w:pPr>
        <w:pStyle w:val="25"/>
        <w:snapToGrid w:val="0"/>
        <w:spacing w:line="360" w:lineRule="auto"/>
        <w:jc w:val="center"/>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 购 人：广西大学</w:t>
      </w:r>
    </w:p>
    <w:p w14:paraId="4440694C">
      <w:pPr>
        <w:pStyle w:val="25"/>
        <w:snapToGrid w:val="0"/>
        <w:spacing w:line="360" w:lineRule="auto"/>
        <w:jc w:val="center"/>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采购代理机构：广西科文招标有限公司</w:t>
      </w:r>
    </w:p>
    <w:p w14:paraId="7614710E">
      <w:pPr>
        <w:pStyle w:val="25"/>
        <w:snapToGrid w:val="0"/>
        <w:spacing w:line="360" w:lineRule="auto"/>
        <w:jc w:val="center"/>
        <w:rPr>
          <w:rFonts w:ascii="仿宋" w:hAnsi="仿宋" w:eastAsia="仿宋" w:cs="仿宋"/>
          <w:b/>
          <w:bCs/>
          <w:color w:val="auto"/>
          <w:w w:val="95"/>
          <w:sz w:val="30"/>
          <w:szCs w:val="30"/>
          <w:highlight w:val="none"/>
        </w:rPr>
      </w:pPr>
    </w:p>
    <w:p w14:paraId="09422E3C">
      <w:pPr>
        <w:pStyle w:val="25"/>
        <w:snapToGrid w:val="0"/>
        <w:spacing w:line="360" w:lineRule="auto"/>
        <w:jc w:val="center"/>
        <w:rPr>
          <w:rFonts w:ascii="仿宋" w:hAnsi="仿宋" w:eastAsia="仿宋" w:cs="仿宋"/>
          <w:color w:val="auto"/>
          <w:szCs w:val="20"/>
          <w:highlight w:val="none"/>
        </w:rPr>
      </w:pPr>
      <w:r>
        <w:rPr>
          <w:rFonts w:hint="eastAsia" w:ascii="仿宋" w:hAnsi="仿宋" w:eastAsia="仿宋" w:cs="仿宋"/>
          <w:b/>
          <w:bCs/>
          <w:color w:val="auto"/>
          <w:w w:val="95"/>
          <w:sz w:val="30"/>
          <w:szCs w:val="30"/>
          <w:highlight w:val="none"/>
        </w:rPr>
        <w:t>2025年</w:t>
      </w:r>
      <w:r>
        <w:rPr>
          <w:rFonts w:hint="eastAsia" w:ascii="仿宋" w:hAnsi="仿宋" w:eastAsia="仿宋" w:cs="仿宋"/>
          <w:b/>
          <w:bCs/>
          <w:color w:val="auto"/>
          <w:w w:val="95"/>
          <w:sz w:val="30"/>
          <w:szCs w:val="30"/>
          <w:highlight w:val="none"/>
          <w:lang w:val="en-US" w:eastAsia="zh-CN"/>
        </w:rPr>
        <w:t>6</w:t>
      </w:r>
      <w:r>
        <w:rPr>
          <w:rFonts w:hint="eastAsia" w:ascii="仿宋" w:hAnsi="仿宋" w:eastAsia="仿宋" w:cs="仿宋"/>
          <w:b/>
          <w:bCs/>
          <w:color w:val="auto"/>
          <w:w w:val="95"/>
          <w:sz w:val="30"/>
          <w:szCs w:val="30"/>
          <w:highlight w:val="none"/>
        </w:rPr>
        <w:t>月</w:t>
      </w:r>
      <w:r>
        <w:rPr>
          <w:rFonts w:hint="eastAsia" w:ascii="仿宋" w:hAnsi="仿宋" w:eastAsia="仿宋" w:cs="仿宋"/>
          <w:b/>
          <w:bCs/>
          <w:color w:val="auto"/>
          <w:w w:val="95"/>
          <w:sz w:val="30"/>
          <w:szCs w:val="30"/>
          <w:highlight w:val="none"/>
          <w:lang w:val="en-US" w:eastAsia="zh-CN"/>
        </w:rPr>
        <w:t>11</w:t>
      </w:r>
      <w:r>
        <w:rPr>
          <w:rFonts w:hint="eastAsia" w:ascii="仿宋" w:hAnsi="仿宋" w:eastAsia="仿宋" w:cs="仿宋"/>
          <w:b/>
          <w:bCs/>
          <w:color w:val="auto"/>
          <w:w w:val="95"/>
          <w:sz w:val="30"/>
          <w:szCs w:val="30"/>
          <w:highlight w:val="none"/>
        </w:rPr>
        <w:t>日</w:t>
      </w:r>
    </w:p>
    <w:p w14:paraId="4AF468EC">
      <w:pPr>
        <w:spacing w:line="360" w:lineRule="auto"/>
        <w:jc w:val="center"/>
        <w:rPr>
          <w:rFonts w:ascii="仿宋" w:hAnsi="仿宋" w:eastAsia="仿宋" w:cs="仿宋"/>
          <w:b/>
          <w:color w:val="auto"/>
          <w:sz w:val="52"/>
          <w:szCs w:val="52"/>
          <w:highlight w:val="none"/>
        </w:rPr>
      </w:pPr>
    </w:p>
    <w:p w14:paraId="1D69F742">
      <w:pPr>
        <w:pStyle w:val="2"/>
        <w:rPr>
          <w:rFonts w:ascii="仿宋" w:hAnsi="仿宋" w:eastAsia="仿宋" w:cs="仿宋"/>
          <w:color w:val="auto"/>
          <w:highlight w:val="none"/>
        </w:rPr>
      </w:pPr>
    </w:p>
    <w:p w14:paraId="053F6A6F">
      <w:pPr>
        <w:rPr>
          <w:rFonts w:ascii="仿宋" w:hAnsi="仿宋" w:eastAsia="仿宋" w:cs="仿宋"/>
          <w:color w:val="auto"/>
          <w:highlight w:val="none"/>
        </w:rPr>
      </w:pPr>
    </w:p>
    <w:p w14:paraId="6CE2D46D">
      <w:pPr>
        <w:pStyle w:val="2"/>
        <w:rPr>
          <w:rFonts w:ascii="仿宋" w:hAnsi="仿宋" w:eastAsia="仿宋" w:cs="仿宋"/>
          <w:color w:val="auto"/>
          <w:highlight w:val="none"/>
        </w:rPr>
      </w:pPr>
    </w:p>
    <w:p w14:paraId="54FC4AF7">
      <w:pPr>
        <w:rPr>
          <w:rFonts w:ascii="仿宋" w:hAnsi="仿宋" w:eastAsia="仿宋" w:cs="仿宋"/>
          <w:color w:val="auto"/>
          <w:highlight w:val="none"/>
        </w:rPr>
      </w:pPr>
    </w:p>
    <w:p w14:paraId="6DD4B8D3">
      <w:pPr>
        <w:spacing w:line="360" w:lineRule="auto"/>
        <w:jc w:val="center"/>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目  录</w:t>
      </w:r>
    </w:p>
    <w:p w14:paraId="14C3615A">
      <w:pPr>
        <w:spacing w:line="360" w:lineRule="auto"/>
        <w:jc w:val="center"/>
        <w:rPr>
          <w:rFonts w:ascii="仿宋" w:hAnsi="仿宋" w:eastAsia="仿宋" w:cs="仿宋"/>
          <w:b/>
          <w:color w:val="auto"/>
          <w:sz w:val="52"/>
          <w:szCs w:val="52"/>
          <w:highlight w:val="none"/>
        </w:rPr>
      </w:pPr>
    </w:p>
    <w:p w14:paraId="267A8659">
      <w:pPr>
        <w:pStyle w:val="33"/>
        <w:tabs>
          <w:tab w:val="right" w:leader="dot" w:pos="8730"/>
          <w:tab w:val="clear" w:pos="8398"/>
        </w:tabs>
        <w:rPr>
          <w:rFonts w:ascii="仿宋" w:hAnsi="仿宋" w:eastAsia="仿宋" w:cs="仿宋"/>
          <w:color w:val="auto"/>
          <w:highlight w:val="none"/>
        </w:rPr>
      </w:pPr>
      <w:r>
        <w:rPr>
          <w:rFonts w:hint="eastAsia" w:ascii="仿宋" w:hAnsi="仿宋" w:eastAsia="仿宋" w:cs="仿宋"/>
          <w:b w:val="0"/>
          <w:color w:val="auto"/>
          <w:highlight w:val="none"/>
        </w:rPr>
        <w:fldChar w:fldCharType="begin"/>
      </w:r>
      <w:r>
        <w:rPr>
          <w:rFonts w:hint="eastAsia" w:ascii="仿宋" w:hAnsi="仿宋" w:eastAsia="仿宋" w:cs="仿宋"/>
          <w:b w:val="0"/>
          <w:color w:val="auto"/>
          <w:highlight w:val="none"/>
        </w:rPr>
        <w:instrText xml:space="preserve"> TOC \o "1-2" \h \z \u </w:instrText>
      </w:r>
      <w:r>
        <w:rPr>
          <w:rFonts w:hint="eastAsia" w:ascii="仿宋" w:hAnsi="仿宋" w:eastAsia="仿宋" w:cs="仿宋"/>
          <w:b w:val="0"/>
          <w:color w:val="auto"/>
          <w:highlight w:val="none"/>
        </w:rPr>
        <w:fldChar w:fldCharType="separate"/>
      </w:r>
      <w:r>
        <w:rPr>
          <w:color w:val="auto"/>
          <w:highlight w:val="none"/>
        </w:rPr>
        <w:fldChar w:fldCharType="begin"/>
      </w:r>
      <w:r>
        <w:rPr>
          <w:color w:val="auto"/>
          <w:highlight w:val="none"/>
        </w:rPr>
        <w:instrText xml:space="preserve"> HYPERLINK \l "_Toc26956" </w:instrText>
      </w:r>
      <w:r>
        <w:rPr>
          <w:color w:val="auto"/>
          <w:highlight w:val="none"/>
        </w:rPr>
        <w:fldChar w:fldCharType="separate"/>
      </w:r>
      <w:r>
        <w:rPr>
          <w:rFonts w:hint="eastAsia" w:ascii="仿宋" w:hAnsi="仿宋" w:eastAsia="仿宋" w:cs="仿宋"/>
          <w:color w:val="auto"/>
          <w:highlight w:val="none"/>
        </w:rPr>
        <w:t>第一章  招标公告</w:t>
      </w:r>
      <w:r>
        <w:rPr>
          <w:rFonts w:hint="eastAsia" w:ascii="仿宋" w:hAnsi="仿宋" w:eastAsia="仿宋" w:cs="仿宋"/>
          <w:color w:val="auto"/>
          <w:highlight w:val="none"/>
        </w:rPr>
        <w:tab/>
      </w:r>
      <w:r>
        <w:rPr>
          <w:rFonts w:hint="eastAsia" w:ascii="仿宋" w:hAnsi="仿宋" w:eastAsia="仿宋" w:cs="仿宋"/>
          <w:color w:val="auto"/>
          <w:highlight w:val="none"/>
        </w:rPr>
        <w:t>001</w:t>
      </w:r>
      <w:r>
        <w:rPr>
          <w:rFonts w:hint="eastAsia" w:ascii="仿宋" w:hAnsi="仿宋" w:eastAsia="仿宋" w:cs="仿宋"/>
          <w:color w:val="auto"/>
          <w:highlight w:val="none"/>
        </w:rPr>
        <w:fldChar w:fldCharType="end"/>
      </w:r>
    </w:p>
    <w:p w14:paraId="4580D734">
      <w:pPr>
        <w:pStyle w:val="33"/>
        <w:tabs>
          <w:tab w:val="right" w:leader="dot" w:pos="8730"/>
          <w:tab w:val="clear" w:pos="8398"/>
        </w:tabs>
        <w:ind w:firstLine="245"/>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"_Toc27979" </w:instrText>
      </w:r>
      <w:r>
        <w:rPr>
          <w:color w:val="auto"/>
          <w:highlight w:val="none"/>
        </w:rPr>
        <w:fldChar w:fldCharType="separate"/>
      </w:r>
      <w:r>
        <w:rPr>
          <w:rFonts w:hint="eastAsia" w:ascii="仿宋" w:hAnsi="仿宋" w:eastAsia="仿宋" w:cs="仿宋"/>
          <w:color w:val="auto"/>
          <w:highlight w:val="none"/>
        </w:rPr>
        <w:t>第二章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006</w:t>
      </w:r>
    </w:p>
    <w:p w14:paraId="7ACCBBAE">
      <w:pPr>
        <w:pStyle w:val="33"/>
        <w:tabs>
          <w:tab w:val="right" w:leader="dot" w:pos="8730"/>
          <w:tab w:val="clear" w:pos="8398"/>
        </w:tabs>
        <w:ind w:firstLine="245"/>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"_Toc25688" </w:instrText>
      </w:r>
      <w:r>
        <w:rPr>
          <w:color w:val="auto"/>
          <w:highlight w:val="none"/>
        </w:rPr>
        <w:fldChar w:fldCharType="separate"/>
      </w:r>
      <w:r>
        <w:rPr>
          <w:rFonts w:hint="eastAsia" w:ascii="仿宋" w:hAnsi="仿宋" w:eastAsia="仿宋" w:cs="仿宋"/>
          <w:color w:val="auto"/>
          <w:highlight w:val="none"/>
        </w:rPr>
        <w:t>第三章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037</w:t>
      </w:r>
    </w:p>
    <w:p w14:paraId="1B490197">
      <w:pPr>
        <w:pStyle w:val="33"/>
        <w:tabs>
          <w:tab w:val="right" w:leader="dot" w:pos="8730"/>
          <w:tab w:val="clear" w:pos="8398"/>
        </w:tabs>
        <w:ind w:firstLine="245"/>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"_Toc15687" </w:instrText>
      </w:r>
      <w:r>
        <w:rPr>
          <w:color w:val="auto"/>
          <w:highlight w:val="none"/>
        </w:rPr>
        <w:fldChar w:fldCharType="separate"/>
      </w:r>
      <w:r>
        <w:rPr>
          <w:rFonts w:hint="eastAsia" w:ascii="仿宋" w:hAnsi="仿宋" w:eastAsia="仿宋" w:cs="仿宋"/>
          <w:color w:val="auto"/>
          <w:highlight w:val="none"/>
        </w:rPr>
        <w:t>第四章  评标方法及评标标准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065</w:t>
      </w:r>
    </w:p>
    <w:p w14:paraId="5ACECF9A">
      <w:pPr>
        <w:pStyle w:val="33"/>
        <w:tabs>
          <w:tab w:val="right" w:leader="dot" w:pos="8730"/>
          <w:tab w:val="clear" w:pos="8398"/>
        </w:tabs>
        <w:ind w:firstLine="245"/>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"_Toc25250" </w:instrText>
      </w:r>
      <w:r>
        <w:rPr>
          <w:color w:val="auto"/>
          <w:highlight w:val="none"/>
        </w:rPr>
        <w:fldChar w:fldCharType="separate"/>
      </w:r>
      <w:r>
        <w:rPr>
          <w:rFonts w:hint="eastAsia" w:ascii="仿宋" w:hAnsi="仿宋" w:eastAsia="仿宋" w:cs="仿宋"/>
          <w:color w:val="auto"/>
          <w:highlight w:val="none"/>
        </w:rPr>
        <w:t>第五章  拟签订的合同文本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074</w:t>
      </w:r>
    </w:p>
    <w:p w14:paraId="4AFF274E">
      <w:pPr>
        <w:pStyle w:val="33"/>
        <w:tabs>
          <w:tab w:val="right" w:leader="dot" w:pos="8730"/>
          <w:tab w:val="clear" w:pos="8398"/>
        </w:tabs>
        <w:ind w:firstLine="245"/>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"_Toc25289" </w:instrText>
      </w:r>
      <w:r>
        <w:rPr>
          <w:color w:val="auto"/>
          <w:highlight w:val="none"/>
        </w:rPr>
        <w:fldChar w:fldCharType="separate"/>
      </w:r>
      <w:r>
        <w:rPr>
          <w:rFonts w:hint="eastAsia" w:ascii="仿宋" w:hAnsi="仿宋" w:eastAsia="仿宋" w:cs="仿宋"/>
          <w:color w:val="auto"/>
          <w:highlight w:val="none"/>
        </w:rPr>
        <w:t>第六章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083</w:t>
      </w:r>
    </w:p>
    <w:p w14:paraId="3993A571">
      <w:pPr>
        <w:pStyle w:val="33"/>
        <w:tabs>
          <w:tab w:val="left" w:pos="1260"/>
        </w:tabs>
        <w:spacing w:line="480" w:lineRule="auto"/>
        <w:ind w:left="1260" w:leftChars="600" w:firstLine="0" w:firstLineChars="0"/>
        <w:rPr>
          <w:rFonts w:ascii="仿宋" w:hAnsi="仿宋" w:eastAsia="仿宋" w:cs="仿宋"/>
          <w:b w:val="0"/>
          <w:color w:val="auto"/>
          <w:sz w:val="32"/>
          <w:szCs w:val="32"/>
          <w:highlight w:val="none"/>
        </w:rPr>
      </w:pPr>
      <w:r>
        <w:rPr>
          <w:rFonts w:hint="eastAsia" w:ascii="仿宋" w:hAnsi="仿宋" w:eastAsia="仿宋" w:cs="仿宋"/>
          <w:color w:val="auto"/>
          <w:highlight w:val="none"/>
        </w:rPr>
        <w:fldChar w:fldCharType="end"/>
      </w:r>
    </w:p>
    <w:p w14:paraId="703EAC2D">
      <w:pPr>
        <w:spacing w:before="166" w:beforeLines="50" w:line="480" w:lineRule="auto"/>
        <w:ind w:firstLine="1890" w:firstLineChars="525"/>
        <w:rPr>
          <w:rFonts w:ascii="仿宋" w:hAnsi="仿宋" w:eastAsia="仿宋" w:cs="仿宋"/>
          <w:color w:val="auto"/>
          <w:sz w:val="36"/>
          <w:szCs w:val="32"/>
          <w:highlight w:val="none"/>
        </w:rPr>
      </w:pPr>
    </w:p>
    <w:p w14:paraId="2F60292B">
      <w:pPr>
        <w:spacing w:before="166" w:beforeLines="50" w:line="480" w:lineRule="exact"/>
        <w:rPr>
          <w:rFonts w:ascii="仿宋" w:hAnsi="仿宋" w:eastAsia="仿宋" w:cs="仿宋"/>
          <w:color w:val="auto"/>
          <w:sz w:val="30"/>
          <w:highlight w:val="none"/>
        </w:rPr>
      </w:pPr>
    </w:p>
    <w:p w14:paraId="171822FA">
      <w:pPr>
        <w:spacing w:before="166" w:beforeLines="50" w:line="480" w:lineRule="exact"/>
        <w:rPr>
          <w:rFonts w:ascii="仿宋" w:hAnsi="仿宋" w:eastAsia="仿宋" w:cs="仿宋"/>
          <w:color w:val="auto"/>
          <w:sz w:val="30"/>
          <w:highlight w:val="none"/>
        </w:rPr>
      </w:pPr>
    </w:p>
    <w:p w14:paraId="140287D2">
      <w:pPr>
        <w:pStyle w:val="17"/>
        <w:rPr>
          <w:rFonts w:ascii="仿宋" w:hAnsi="仿宋" w:eastAsia="仿宋" w:cs="仿宋"/>
          <w:b/>
          <w:bCs/>
          <w:color w:val="auto"/>
          <w:highlight w:val="none"/>
        </w:rPr>
      </w:pPr>
      <w:bookmarkStart w:id="0" w:name="_Toc254970630"/>
      <w:bookmarkStart w:id="1" w:name="_Toc254970489"/>
    </w:p>
    <w:p w14:paraId="779A43FD">
      <w:pPr>
        <w:pStyle w:val="3"/>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cs="仿宋"/>
          <w:color w:val="auto"/>
          <w:highlight w:val="none"/>
        </w:rPr>
        <w:sectPr>
          <w:footerReference r:id="rId3" w:type="default"/>
          <w:pgSz w:w="11906" w:h="16838"/>
          <w:pgMar w:top="1417" w:right="1417" w:bottom="1417" w:left="1417" w:header="720" w:footer="720" w:gutter="0"/>
          <w:cols w:space="0" w:num="1"/>
          <w:docGrid w:type="lines" w:linePitch="333" w:charSpace="0"/>
        </w:sectPr>
      </w:pPr>
      <w:bookmarkStart w:id="2" w:name="_Toc74320800"/>
    </w:p>
    <w:p w14:paraId="742F3F03">
      <w:pPr>
        <w:pStyle w:val="3"/>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第一章</w:t>
      </w:r>
      <w:bookmarkEnd w:id="0"/>
      <w:bookmarkEnd w:id="1"/>
      <w:bookmarkStart w:id="3" w:name="_Toc28359001"/>
      <w:bookmarkStart w:id="4" w:name="_Toc35393789"/>
      <w:r>
        <w:rPr>
          <w:rFonts w:hint="eastAsia" w:ascii="仿宋" w:hAnsi="仿宋" w:eastAsia="仿宋" w:cs="仿宋"/>
          <w:color w:val="auto"/>
          <w:highlight w:val="none"/>
        </w:rPr>
        <w:t xml:space="preserve"> 招标公告</w:t>
      </w:r>
      <w:bookmarkEnd w:id="2"/>
      <w:bookmarkEnd w:id="3"/>
      <w:bookmarkEnd w:id="4"/>
    </w:p>
    <w:p w14:paraId="53914AE7">
      <w:pPr>
        <w:rPr>
          <w:rFonts w:ascii="仿宋" w:hAnsi="仿宋" w:eastAsia="仿宋" w:cs="仿宋"/>
          <w:color w:val="auto"/>
          <w:highlight w:val="none"/>
        </w:rPr>
      </w:pPr>
    </w:p>
    <w:p w14:paraId="07F360A7">
      <w:pPr>
        <w:pStyle w:val="25"/>
        <w:spacing w:line="500" w:lineRule="exact"/>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广西科文招标有限公司</w:t>
      </w:r>
    </w:p>
    <w:p w14:paraId="1ECFAD41">
      <w:pPr>
        <w:pStyle w:val="3"/>
        <w:tabs>
          <w:tab w:val="left" w:pos="0"/>
          <w:tab w:val="left" w:pos="3165"/>
          <w:tab w:val="center" w:pos="4153"/>
        </w:tabs>
        <w:autoSpaceDE w:val="0"/>
        <w:autoSpaceDN w:val="0"/>
        <w:adjustRightInd w:val="0"/>
        <w:spacing w:before="0" w:after="0" w:line="500" w:lineRule="exact"/>
        <w:jc w:val="center"/>
        <w:rPr>
          <w:rFonts w:ascii="仿宋" w:hAnsi="仿宋" w:eastAsia="仿宋" w:cs="仿宋"/>
          <w:bCs w:val="0"/>
          <w:color w:val="auto"/>
          <w:kern w:val="2"/>
          <w:sz w:val="36"/>
          <w:szCs w:val="36"/>
          <w:highlight w:val="none"/>
        </w:rPr>
      </w:pPr>
      <w:r>
        <w:rPr>
          <w:rFonts w:hint="eastAsia" w:ascii="仿宋" w:hAnsi="仿宋" w:eastAsia="仿宋" w:cs="仿宋"/>
          <w:bCs w:val="0"/>
          <w:color w:val="auto"/>
          <w:kern w:val="2"/>
          <w:sz w:val="36"/>
          <w:szCs w:val="36"/>
          <w:highlight w:val="none"/>
        </w:rPr>
        <w:t>X射线衍射仪等三台设备采购</w:t>
      </w:r>
    </w:p>
    <w:p w14:paraId="20364E23">
      <w:pPr>
        <w:pStyle w:val="3"/>
        <w:tabs>
          <w:tab w:val="left" w:pos="0"/>
          <w:tab w:val="left" w:pos="3165"/>
          <w:tab w:val="center" w:pos="4153"/>
        </w:tabs>
        <w:autoSpaceDE w:val="0"/>
        <w:autoSpaceDN w:val="0"/>
        <w:adjustRightInd w:val="0"/>
        <w:spacing w:before="0" w:after="0" w:line="500" w:lineRule="exact"/>
        <w:jc w:val="center"/>
        <w:rPr>
          <w:rFonts w:ascii="仿宋" w:hAnsi="仿宋" w:eastAsia="仿宋" w:cs="仿宋"/>
          <w:bCs w:val="0"/>
          <w:color w:val="auto"/>
          <w:kern w:val="2"/>
          <w:sz w:val="36"/>
          <w:szCs w:val="36"/>
          <w:highlight w:val="none"/>
        </w:rPr>
      </w:pPr>
      <w:r>
        <w:rPr>
          <w:rFonts w:hint="eastAsia" w:ascii="仿宋" w:hAnsi="仿宋" w:eastAsia="仿宋" w:cs="仿宋"/>
          <w:bCs w:val="0"/>
          <w:color w:val="auto"/>
          <w:kern w:val="2"/>
          <w:sz w:val="36"/>
          <w:szCs w:val="36"/>
          <w:highlight w:val="none"/>
        </w:rPr>
        <w:t>（</w:t>
      </w:r>
      <w:r>
        <w:rPr>
          <w:rFonts w:hint="eastAsia" w:ascii="仿宋" w:hAnsi="仿宋" w:eastAsia="仿宋" w:cs="仿宋"/>
          <w:bCs w:val="0"/>
          <w:color w:val="auto"/>
          <w:kern w:val="2"/>
          <w:sz w:val="36"/>
          <w:szCs w:val="36"/>
          <w:highlight w:val="none"/>
          <w:lang w:eastAsia="zh-CN"/>
        </w:rPr>
        <w:t>GXZC2025-G1-001466-KWZB</w:t>
      </w:r>
      <w:r>
        <w:rPr>
          <w:rFonts w:hint="eastAsia" w:ascii="仿宋" w:hAnsi="仿宋" w:eastAsia="仿宋" w:cs="仿宋"/>
          <w:bCs w:val="0"/>
          <w:color w:val="auto"/>
          <w:kern w:val="2"/>
          <w:sz w:val="36"/>
          <w:szCs w:val="36"/>
          <w:highlight w:val="none"/>
        </w:rPr>
        <w:t>）</w:t>
      </w:r>
    </w:p>
    <w:p w14:paraId="5E605F0B">
      <w:pPr>
        <w:pStyle w:val="3"/>
        <w:tabs>
          <w:tab w:val="left" w:pos="0"/>
          <w:tab w:val="left" w:pos="3165"/>
          <w:tab w:val="center" w:pos="4153"/>
        </w:tabs>
        <w:autoSpaceDE w:val="0"/>
        <w:autoSpaceDN w:val="0"/>
        <w:adjustRightInd w:val="0"/>
        <w:spacing w:before="0" w:after="0" w:line="500" w:lineRule="exact"/>
        <w:jc w:val="center"/>
        <w:rPr>
          <w:rFonts w:ascii="仿宋" w:hAnsi="仿宋" w:eastAsia="仿宋" w:cs="仿宋"/>
          <w:color w:val="auto"/>
          <w:szCs w:val="21"/>
          <w:highlight w:val="none"/>
        </w:rPr>
      </w:pPr>
      <w:r>
        <w:rPr>
          <w:rFonts w:hint="eastAsia" w:ascii="仿宋" w:hAnsi="仿宋" w:eastAsia="仿宋" w:cs="仿宋"/>
          <w:bCs w:val="0"/>
          <w:color w:val="auto"/>
          <w:kern w:val="2"/>
          <w:sz w:val="36"/>
          <w:szCs w:val="36"/>
          <w:highlight w:val="none"/>
        </w:rPr>
        <w:t>招 标 公 告</w:t>
      </w:r>
    </w:p>
    <w:p w14:paraId="322B0A08">
      <w:pPr>
        <w:spacing w:line="360" w:lineRule="auto"/>
        <w:rPr>
          <w:rFonts w:ascii="仿宋" w:hAnsi="仿宋" w:eastAsia="仿宋" w:cs="仿宋"/>
          <w:color w:val="auto"/>
          <w:sz w:val="24"/>
          <w:highlight w:val="none"/>
        </w:rPr>
      </w:pPr>
    </w:p>
    <w:p w14:paraId="382C9100">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0C37A6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X射线衍射仪等三台设备采购</w:t>
      </w:r>
      <w:r>
        <w:rPr>
          <w:rFonts w:hint="eastAsia" w:ascii="仿宋" w:hAnsi="仿宋" w:eastAsia="仿宋" w:cs="仿宋"/>
          <w:color w:val="auto"/>
          <w:sz w:val="24"/>
          <w:highlight w:val="none"/>
        </w:rPr>
        <w:t>招标项目的潜在投标人应在广西政府采购云平台（</w:t>
      </w:r>
      <w:r>
        <w:rPr>
          <w:color w:val="auto"/>
          <w:highlight w:val="none"/>
        </w:rPr>
        <w:fldChar w:fldCharType="begin"/>
      </w:r>
      <w:r>
        <w:rPr>
          <w:color w:val="auto"/>
          <w:highlight w:val="none"/>
        </w:rPr>
        <w:instrText xml:space="preserve">HYPERLINK "https://www.zcygov.cn/）获取（下载）招标文件，并于2023年"</w:instrText>
      </w:r>
      <w:r>
        <w:rPr>
          <w:color w:val="auto"/>
          <w:highlight w:val="none"/>
        </w:rPr>
        <w:fldChar w:fldCharType="separate"/>
      </w:r>
      <w:r>
        <w:rPr>
          <w:rFonts w:hint="eastAsia" w:ascii="仿宋" w:hAnsi="仿宋" w:eastAsia="仿宋" w:cs="仿宋"/>
          <w:color w:val="auto"/>
          <w:sz w:val="24"/>
          <w:highlight w:val="none"/>
        </w:rPr>
        <w:t xml:space="preserve"> https：//www.gcy.zfcg.gxzf.gov.cn/</w:t>
      </w:r>
      <w:r>
        <w:rPr>
          <w:rStyle w:val="55"/>
          <w:rFonts w:hint="eastAsia" w:ascii="仿宋" w:hAnsi="仿宋" w:eastAsia="仿宋" w:cs="仿宋"/>
          <w:color w:val="auto"/>
          <w:sz w:val="24"/>
          <w:highlight w:val="none"/>
        </w:rPr>
        <w:t>）获取（下载）招标文件，并于</w:t>
      </w:r>
      <w:r>
        <w:rPr>
          <w:rStyle w:val="55"/>
          <w:rFonts w:ascii="仿宋" w:hAnsi="仿宋" w:eastAsia="仿宋" w:cs="仿宋"/>
          <w:color w:val="auto"/>
          <w:sz w:val="24"/>
          <w:highlight w:val="none"/>
        </w:rPr>
        <w:fldChar w:fldCharType="end"/>
      </w:r>
      <w:r>
        <w:rPr>
          <w:rFonts w:hint="eastAsia" w:ascii="仿宋" w:hAnsi="仿宋" w:eastAsia="仿宋" w:cs="仿宋"/>
          <w:bCs/>
          <w:color w:val="auto"/>
          <w:sz w:val="24"/>
          <w:highlight w:val="none"/>
          <w:lang w:eastAsia="zh-CN"/>
        </w:rPr>
        <w:t>2025年7月2日09点30分</w:t>
      </w:r>
      <w:r>
        <w:rPr>
          <w:rFonts w:hint="eastAsia" w:ascii="仿宋" w:hAnsi="仿宋" w:eastAsia="仿宋" w:cs="仿宋"/>
          <w:bCs/>
          <w:color w:val="auto"/>
          <w:sz w:val="24"/>
          <w:highlight w:val="none"/>
        </w:rPr>
        <w:t>（北京时间）前递交投标文件</w:t>
      </w:r>
      <w:r>
        <w:rPr>
          <w:rFonts w:hint="eastAsia" w:ascii="仿宋" w:hAnsi="仿宋" w:eastAsia="仿宋" w:cs="仿宋"/>
          <w:color w:val="auto"/>
          <w:sz w:val="24"/>
          <w:highlight w:val="none"/>
        </w:rPr>
        <w:t>。</w:t>
      </w:r>
    </w:p>
    <w:p w14:paraId="063B8D40">
      <w:pPr>
        <w:spacing w:line="360" w:lineRule="auto"/>
        <w:rPr>
          <w:rFonts w:ascii="仿宋" w:hAnsi="仿宋" w:eastAsia="仿宋" w:cs="仿宋"/>
          <w:color w:val="auto"/>
          <w:sz w:val="24"/>
          <w:highlight w:val="none"/>
        </w:rPr>
      </w:pPr>
    </w:p>
    <w:p w14:paraId="35A67CD5">
      <w:pPr>
        <w:spacing w:line="360" w:lineRule="auto"/>
        <w:ind w:firstLine="482" w:firstLineChars="200"/>
        <w:rPr>
          <w:rFonts w:ascii="仿宋" w:hAnsi="仿宋" w:eastAsia="仿宋" w:cs="仿宋"/>
          <w:b/>
          <w:bCs/>
          <w:color w:val="auto"/>
          <w:sz w:val="24"/>
          <w:highlight w:val="none"/>
        </w:rPr>
      </w:pPr>
      <w:bookmarkStart w:id="5" w:name="_Toc28359079"/>
      <w:bookmarkStart w:id="6" w:name="_Toc35393790"/>
      <w:bookmarkStart w:id="7" w:name="_Toc35393621"/>
      <w:bookmarkStart w:id="8" w:name="_Toc28359002"/>
      <w:bookmarkStart w:id="9" w:name="_Hlk24379207"/>
      <w:r>
        <w:rPr>
          <w:rFonts w:hint="eastAsia" w:ascii="仿宋" w:hAnsi="仿宋" w:eastAsia="仿宋" w:cs="仿宋"/>
          <w:b/>
          <w:bCs/>
          <w:color w:val="auto"/>
          <w:sz w:val="24"/>
          <w:highlight w:val="none"/>
        </w:rPr>
        <w:t>一、项目基本情况</w:t>
      </w:r>
      <w:bookmarkEnd w:id="5"/>
      <w:bookmarkEnd w:id="6"/>
      <w:bookmarkEnd w:id="7"/>
      <w:bookmarkEnd w:id="8"/>
    </w:p>
    <w:p w14:paraId="4F0FD42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bCs/>
          <w:color w:val="auto"/>
          <w:sz w:val="24"/>
          <w:highlight w:val="none"/>
        </w:rPr>
        <w:t>X射线衍射仪等三台设备采购</w:t>
      </w:r>
    </w:p>
    <w:p w14:paraId="2D4A3DF9">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GXZC2025-G1-001466-KWZB</w:t>
      </w:r>
    </w:p>
    <w:p w14:paraId="14384B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采购计划编号：广西政采[2025]9738号-001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广西政采[2025]9738号-002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广西政采[2025]9738号-003</w:t>
      </w:r>
      <w:r>
        <w:rPr>
          <w:color w:val="auto"/>
          <w:highlight w:val="none"/>
        </w:rPr>
        <w:fldChar w:fldCharType="begin"/>
      </w:r>
      <w:r>
        <w:rPr>
          <w:color w:val="auto"/>
          <w:highlight w:val="none"/>
        </w:rPr>
        <w:instrText xml:space="preserve">HYPERLINK "https://pay.gcy.zfcg.gxzf.gov.cn/purchaseplan_front/" \l "/plan/list/view?id=1000000000025342573&amp;_app_=zcy.procurement" \t "https://www.gcy.zfcg.gxzf.gov.cn/delegation-order/_procurement_/order/_blank"</w:instrText>
      </w:r>
      <w:r>
        <w:rPr>
          <w:color w:val="auto"/>
          <w:highlight w:val="none"/>
        </w:rPr>
        <w:fldChar w:fldCharType="separate"/>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fldChar w:fldCharType="end"/>
      </w:r>
    </w:p>
    <w:bookmarkEnd w:id="9"/>
    <w:p w14:paraId="4EB8499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预算金额（人民币）：捌佰壹拾伍万元整（¥8150000.00）。其中1分标贰佰陆拾万元整（¥2600000.00）；2分标贰佰伍拾伍万元整（¥2550000.00）；3分标叁佰万元整（¥3000000.00）。</w:t>
      </w:r>
    </w:p>
    <w:p w14:paraId="0EEC74D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采购需求：</w:t>
      </w:r>
    </w:p>
    <w:tbl>
      <w:tblPr>
        <w:tblStyle w:val="5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786"/>
        <w:gridCol w:w="544"/>
        <w:gridCol w:w="563"/>
        <w:gridCol w:w="3741"/>
        <w:gridCol w:w="1140"/>
        <w:gridCol w:w="1287"/>
      </w:tblGrid>
      <w:tr w14:paraId="6DBD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57" w:type="dxa"/>
            <w:vAlign w:val="center"/>
          </w:tcPr>
          <w:p w14:paraId="2049F734">
            <w:pPr>
              <w:pStyle w:val="58"/>
              <w:jc w:val="center"/>
              <w:rPr>
                <w:rFonts w:ascii="仿宋" w:hAnsi="仿宋" w:eastAsia="仿宋" w:cs="仿宋"/>
                <w:color w:val="auto"/>
                <w:sz w:val="24"/>
                <w:highlight w:val="none"/>
              </w:rPr>
            </w:pPr>
            <w:r>
              <w:rPr>
                <w:rFonts w:hint="eastAsia" w:ascii="仿宋" w:hAnsi="仿宋" w:eastAsia="仿宋" w:cs="仿宋"/>
                <w:color w:val="auto"/>
                <w:sz w:val="24"/>
                <w:highlight w:val="none"/>
              </w:rPr>
              <w:t>分标</w:t>
            </w:r>
          </w:p>
        </w:tc>
        <w:tc>
          <w:tcPr>
            <w:tcW w:w="1786" w:type="dxa"/>
            <w:vAlign w:val="center"/>
          </w:tcPr>
          <w:p w14:paraId="509D3CBD">
            <w:pPr>
              <w:pStyle w:val="58"/>
              <w:jc w:val="center"/>
              <w:rPr>
                <w:rFonts w:ascii="仿宋" w:hAnsi="仿宋" w:eastAsia="仿宋" w:cs="仿宋"/>
                <w:color w:val="auto"/>
                <w:sz w:val="24"/>
                <w:highlight w:val="none"/>
              </w:rPr>
            </w:pPr>
            <w:r>
              <w:rPr>
                <w:rFonts w:hint="eastAsia" w:ascii="仿宋" w:hAnsi="仿宋" w:eastAsia="仿宋" w:cs="仿宋"/>
                <w:color w:val="auto"/>
                <w:sz w:val="24"/>
                <w:highlight w:val="none"/>
              </w:rPr>
              <w:t>标的名称</w:t>
            </w:r>
          </w:p>
        </w:tc>
        <w:tc>
          <w:tcPr>
            <w:tcW w:w="544" w:type="dxa"/>
            <w:vAlign w:val="center"/>
          </w:tcPr>
          <w:p w14:paraId="3B2FF700">
            <w:pPr>
              <w:pStyle w:val="58"/>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563" w:type="dxa"/>
            <w:vAlign w:val="center"/>
          </w:tcPr>
          <w:p w14:paraId="3A239AC2">
            <w:pPr>
              <w:pStyle w:val="58"/>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741" w:type="dxa"/>
            <w:vAlign w:val="center"/>
          </w:tcPr>
          <w:p w14:paraId="02F4E391">
            <w:pPr>
              <w:pStyle w:val="58"/>
              <w:jc w:val="center"/>
              <w:rPr>
                <w:rFonts w:ascii="仿宋" w:hAnsi="仿宋" w:eastAsia="仿宋" w:cs="仿宋"/>
                <w:color w:val="auto"/>
                <w:sz w:val="24"/>
                <w:szCs w:val="24"/>
                <w:highlight w:val="none"/>
              </w:rPr>
            </w:pPr>
            <w:r>
              <w:rPr>
                <w:rFonts w:hint="eastAsia" w:ascii="仿宋" w:hAnsi="仿宋" w:eastAsia="仿宋" w:cs="仿宋"/>
                <w:color w:val="auto"/>
                <w:highlight w:val="none"/>
              </w:rPr>
              <w:t>简要技术需求</w:t>
            </w:r>
          </w:p>
        </w:tc>
        <w:tc>
          <w:tcPr>
            <w:tcW w:w="1140" w:type="dxa"/>
            <w:vAlign w:val="center"/>
          </w:tcPr>
          <w:p w14:paraId="07CAD20C">
            <w:pPr>
              <w:pStyle w:val="58"/>
              <w:jc w:val="center"/>
              <w:rPr>
                <w:rFonts w:ascii="仿宋" w:hAnsi="仿宋" w:eastAsia="仿宋" w:cs="仿宋"/>
                <w:color w:val="auto"/>
                <w:highlight w:val="none"/>
              </w:rPr>
            </w:pPr>
            <w:r>
              <w:rPr>
                <w:rFonts w:hint="eastAsia" w:ascii="仿宋" w:hAnsi="仿宋" w:eastAsia="仿宋" w:cs="仿宋"/>
                <w:color w:val="auto"/>
                <w:highlight w:val="none"/>
              </w:rPr>
              <w:t>预算单价</w:t>
            </w:r>
          </w:p>
          <w:p w14:paraId="0AE8DBD3">
            <w:pPr>
              <w:pStyle w:val="58"/>
              <w:jc w:val="center"/>
              <w:rPr>
                <w:rFonts w:ascii="仿宋" w:hAnsi="仿宋" w:eastAsia="仿宋" w:cs="仿宋"/>
                <w:color w:val="auto"/>
                <w:sz w:val="24"/>
                <w:szCs w:val="24"/>
                <w:highlight w:val="none"/>
              </w:rPr>
            </w:pPr>
            <w:r>
              <w:rPr>
                <w:rFonts w:hint="eastAsia" w:ascii="仿宋" w:hAnsi="仿宋" w:eastAsia="仿宋" w:cs="仿宋"/>
                <w:color w:val="auto"/>
                <w:highlight w:val="none"/>
              </w:rPr>
              <w:t>（万元/人民币）</w:t>
            </w:r>
          </w:p>
        </w:tc>
        <w:tc>
          <w:tcPr>
            <w:tcW w:w="1287" w:type="dxa"/>
            <w:vAlign w:val="center"/>
          </w:tcPr>
          <w:p w14:paraId="2245E05F">
            <w:pPr>
              <w:pStyle w:val="58"/>
              <w:jc w:val="center"/>
              <w:rPr>
                <w:rFonts w:ascii="仿宋" w:hAnsi="仿宋" w:eastAsia="仿宋" w:cs="仿宋"/>
                <w:color w:val="auto"/>
                <w:sz w:val="24"/>
                <w:szCs w:val="24"/>
                <w:highlight w:val="none"/>
              </w:rPr>
            </w:pPr>
            <w:r>
              <w:rPr>
                <w:rFonts w:hint="eastAsia" w:ascii="仿宋" w:hAnsi="仿宋" w:eastAsia="仿宋" w:cs="仿宋"/>
                <w:color w:val="auto"/>
                <w:highlight w:val="none"/>
              </w:rPr>
              <w:t>单项预算合计（万元/人民币）</w:t>
            </w:r>
          </w:p>
        </w:tc>
      </w:tr>
      <w:tr w14:paraId="67B0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57" w:type="dxa"/>
            <w:vAlign w:val="center"/>
          </w:tcPr>
          <w:p w14:paraId="15FDBCA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86" w:type="dxa"/>
            <w:shd w:val="clear" w:color="auto" w:fill="auto"/>
            <w:vAlign w:val="center"/>
          </w:tcPr>
          <w:p w14:paraId="423B192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X射线衍射仪</w:t>
            </w:r>
          </w:p>
        </w:tc>
        <w:tc>
          <w:tcPr>
            <w:tcW w:w="544" w:type="dxa"/>
            <w:shd w:val="clear" w:color="auto" w:fill="auto"/>
            <w:vAlign w:val="center"/>
          </w:tcPr>
          <w:p w14:paraId="7041AA4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63" w:type="dxa"/>
            <w:vAlign w:val="center"/>
          </w:tcPr>
          <w:p w14:paraId="222DC12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3741" w:type="dxa"/>
            <w:vAlign w:val="center"/>
          </w:tcPr>
          <w:p w14:paraId="5057D5E6">
            <w:pPr>
              <w:pStyle w:val="58"/>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X光管类型：陶瓷X光管，Cu靶和Ag靶，X光管最大功率：≥2.2 kW，X光管焦斑：0.4 × 12 mm</w:t>
            </w:r>
          </w:p>
        </w:tc>
        <w:tc>
          <w:tcPr>
            <w:tcW w:w="1140" w:type="dxa"/>
            <w:vAlign w:val="center"/>
          </w:tcPr>
          <w:p w14:paraId="54B5C58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260万元</w:t>
            </w:r>
          </w:p>
        </w:tc>
        <w:tc>
          <w:tcPr>
            <w:tcW w:w="1287" w:type="dxa"/>
            <w:shd w:val="clear" w:color="auto" w:fill="auto"/>
            <w:vAlign w:val="center"/>
          </w:tcPr>
          <w:p w14:paraId="5C669D6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260万元</w:t>
            </w:r>
          </w:p>
        </w:tc>
      </w:tr>
      <w:tr w14:paraId="453D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57" w:type="dxa"/>
            <w:vAlign w:val="center"/>
          </w:tcPr>
          <w:p w14:paraId="7F5B834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86" w:type="dxa"/>
            <w:shd w:val="clear" w:color="auto" w:fill="auto"/>
            <w:vAlign w:val="center"/>
          </w:tcPr>
          <w:p w14:paraId="74C81D3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压电力显微镜</w:t>
            </w:r>
          </w:p>
        </w:tc>
        <w:tc>
          <w:tcPr>
            <w:tcW w:w="544" w:type="dxa"/>
            <w:shd w:val="clear" w:color="auto" w:fill="auto"/>
            <w:vAlign w:val="center"/>
          </w:tcPr>
          <w:p w14:paraId="3C16EDA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63" w:type="dxa"/>
            <w:vAlign w:val="center"/>
          </w:tcPr>
          <w:p w14:paraId="56A7EB9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3741" w:type="dxa"/>
            <w:vAlign w:val="center"/>
          </w:tcPr>
          <w:p w14:paraId="030519F5">
            <w:pPr>
              <w:pStyle w:val="58"/>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XYZ 三轴闭环扫描器：XY方向扫描范围≥100µm × 100µm；Z方向扫描范围≥10 µm</w:t>
            </w:r>
          </w:p>
        </w:tc>
        <w:tc>
          <w:tcPr>
            <w:tcW w:w="1140" w:type="dxa"/>
            <w:vAlign w:val="center"/>
          </w:tcPr>
          <w:p w14:paraId="75C17E4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255万元</w:t>
            </w:r>
          </w:p>
        </w:tc>
        <w:tc>
          <w:tcPr>
            <w:tcW w:w="1287" w:type="dxa"/>
            <w:shd w:val="clear" w:color="auto" w:fill="auto"/>
            <w:vAlign w:val="center"/>
          </w:tcPr>
          <w:p w14:paraId="1B16656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255万元</w:t>
            </w:r>
          </w:p>
        </w:tc>
      </w:tr>
      <w:tr w14:paraId="6745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57" w:type="dxa"/>
            <w:vAlign w:val="center"/>
          </w:tcPr>
          <w:p w14:paraId="7398662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786" w:type="dxa"/>
            <w:shd w:val="clear" w:color="auto" w:fill="auto"/>
            <w:vAlign w:val="center"/>
          </w:tcPr>
          <w:p w14:paraId="3894FBC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原位环境扫描电镜</w:t>
            </w:r>
          </w:p>
        </w:tc>
        <w:tc>
          <w:tcPr>
            <w:tcW w:w="544" w:type="dxa"/>
            <w:shd w:val="clear" w:color="auto" w:fill="auto"/>
            <w:vAlign w:val="center"/>
          </w:tcPr>
          <w:p w14:paraId="468AFD7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63" w:type="dxa"/>
            <w:vAlign w:val="center"/>
          </w:tcPr>
          <w:p w14:paraId="5D2BB79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3741" w:type="dxa"/>
            <w:vAlign w:val="center"/>
          </w:tcPr>
          <w:p w14:paraId="712E2BFC">
            <w:pPr>
              <w:pStyle w:val="58"/>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高真空模式：30 kV时优于1.0 nm；1 kV时优于3.0 nm，低真空模式：30 kV时优于1.3 nm；3 kV时优于3.0 nm</w:t>
            </w:r>
          </w:p>
        </w:tc>
        <w:tc>
          <w:tcPr>
            <w:tcW w:w="1140" w:type="dxa"/>
            <w:vAlign w:val="center"/>
          </w:tcPr>
          <w:p w14:paraId="135A5B7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300万元</w:t>
            </w:r>
          </w:p>
        </w:tc>
        <w:tc>
          <w:tcPr>
            <w:tcW w:w="1287" w:type="dxa"/>
            <w:shd w:val="clear" w:color="auto" w:fill="auto"/>
            <w:vAlign w:val="center"/>
          </w:tcPr>
          <w:p w14:paraId="0C745DF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300万元</w:t>
            </w:r>
          </w:p>
        </w:tc>
      </w:tr>
      <w:tr w14:paraId="7FE8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18" w:type="dxa"/>
            <w:gridSpan w:val="7"/>
            <w:vAlign w:val="center"/>
          </w:tcPr>
          <w:p w14:paraId="786CC5AE">
            <w:pPr>
              <w:pStyle w:val="58"/>
              <w:jc w:val="left"/>
              <w:rPr>
                <w:rFonts w:ascii="仿宋" w:hAnsi="仿宋" w:eastAsia="仿宋" w:cs="仿宋"/>
                <w:color w:val="auto"/>
                <w:sz w:val="24"/>
                <w:highlight w:val="none"/>
              </w:rPr>
            </w:pPr>
            <w:r>
              <w:rPr>
                <w:rFonts w:hint="eastAsia" w:ascii="仿宋" w:hAnsi="仿宋" w:eastAsia="仿宋" w:cs="仿宋"/>
                <w:color w:val="auto"/>
                <w:sz w:val="24"/>
                <w:highlight w:val="none"/>
              </w:rPr>
              <w:t>预算合计金额（人民币大写）</w:t>
            </w:r>
            <w:r>
              <w:rPr>
                <w:rFonts w:hint="eastAsia" w:ascii="仿宋" w:hAnsi="仿宋" w:eastAsia="仿宋" w:cs="仿宋"/>
                <w:color w:val="auto"/>
                <w:sz w:val="24"/>
                <w:highlight w:val="none"/>
                <w:u w:val="single"/>
              </w:rPr>
              <w:t>捌佰壹拾伍万元整（小写）¥8150000.00</w:t>
            </w:r>
          </w:p>
        </w:tc>
      </w:tr>
    </w:tbl>
    <w:p w14:paraId="184F06D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具体详见第二章采购需求表。</w:t>
      </w:r>
    </w:p>
    <w:p w14:paraId="2AC5DE1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合同履行期限：详见各分标商务条款</w:t>
      </w:r>
      <w:r>
        <w:rPr>
          <w:rFonts w:hint="eastAsia" w:ascii="仿宋" w:hAnsi="仿宋" w:eastAsia="仿宋" w:cs="仿宋"/>
          <w:bCs/>
          <w:color w:val="auto"/>
          <w:sz w:val="24"/>
          <w:highlight w:val="none"/>
        </w:rPr>
        <w:t>。</w:t>
      </w:r>
    </w:p>
    <w:p w14:paraId="03E5E17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本项目是否接受联合体投标：否。</w:t>
      </w:r>
    </w:p>
    <w:p w14:paraId="250836AD">
      <w:pPr>
        <w:spacing w:line="360" w:lineRule="auto"/>
        <w:ind w:firstLine="482" w:firstLineChars="200"/>
        <w:rPr>
          <w:rFonts w:ascii="仿宋" w:hAnsi="仿宋" w:eastAsia="仿宋" w:cs="仿宋"/>
          <w:b/>
          <w:bCs/>
          <w:color w:val="auto"/>
          <w:sz w:val="24"/>
          <w:highlight w:val="none"/>
        </w:rPr>
      </w:pPr>
      <w:bookmarkStart w:id="10" w:name="_Toc35393791"/>
      <w:bookmarkStart w:id="11" w:name="_Toc28359003"/>
      <w:bookmarkStart w:id="12" w:name="_Toc35393622"/>
      <w:bookmarkStart w:id="13" w:name="_Toc28359080"/>
      <w:r>
        <w:rPr>
          <w:rFonts w:hint="eastAsia" w:ascii="仿宋" w:hAnsi="仿宋" w:eastAsia="仿宋" w:cs="仿宋"/>
          <w:b/>
          <w:bCs/>
          <w:color w:val="auto"/>
          <w:sz w:val="24"/>
          <w:highlight w:val="none"/>
        </w:rPr>
        <w:t>二、申请人的资格要求</w:t>
      </w:r>
      <w:bookmarkEnd w:id="10"/>
      <w:bookmarkEnd w:id="11"/>
      <w:bookmarkEnd w:id="12"/>
      <w:bookmarkEnd w:id="13"/>
    </w:p>
    <w:p w14:paraId="47266283">
      <w:pPr>
        <w:spacing w:line="360" w:lineRule="auto"/>
        <w:ind w:firstLine="480" w:firstLineChars="200"/>
        <w:rPr>
          <w:rFonts w:ascii="仿宋" w:hAnsi="仿宋" w:eastAsia="仿宋" w:cs="仿宋"/>
          <w:color w:val="auto"/>
          <w:sz w:val="24"/>
          <w:highlight w:val="none"/>
        </w:rPr>
      </w:pPr>
      <w:bookmarkStart w:id="14" w:name="_Hlk51746371"/>
      <w:r>
        <w:rPr>
          <w:rFonts w:hint="eastAsia" w:ascii="仿宋" w:hAnsi="仿宋" w:eastAsia="仿宋" w:cs="仿宋"/>
          <w:color w:val="auto"/>
          <w:sz w:val="24"/>
          <w:highlight w:val="none"/>
        </w:rPr>
        <w:t>1.满足《中华人民共和国政府采购法》第二十二条规定；</w:t>
      </w:r>
    </w:p>
    <w:p w14:paraId="269E295D">
      <w:pPr>
        <w:spacing w:line="360" w:lineRule="auto"/>
        <w:ind w:firstLine="480" w:firstLineChars="200"/>
        <w:rPr>
          <w:rFonts w:ascii="仿宋" w:hAnsi="仿宋" w:eastAsia="仿宋" w:cs="仿宋"/>
          <w:color w:val="auto"/>
          <w:sz w:val="24"/>
          <w:highlight w:val="none"/>
        </w:rPr>
      </w:pPr>
      <w:bookmarkStart w:id="15" w:name="_Toc28359081"/>
      <w:bookmarkStart w:id="16" w:name="_Toc28359004"/>
      <w:r>
        <w:rPr>
          <w:rFonts w:hint="eastAsia" w:ascii="仿宋" w:hAnsi="仿宋" w:eastAsia="仿宋" w:cs="仿宋"/>
          <w:color w:val="auto"/>
          <w:sz w:val="24"/>
          <w:highlight w:val="none"/>
        </w:rPr>
        <w:t>2.落实政府采购政策需满足的资格要求：专门面向中小企业采购（</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是 </w:t>
      </w: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否）；</w:t>
      </w:r>
    </w:p>
    <w:p w14:paraId="1CA58C3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bookmarkEnd w:id="14"/>
      <w:r>
        <w:rPr>
          <w:rFonts w:hint="eastAsia" w:ascii="仿宋" w:hAnsi="仿宋" w:eastAsia="仿宋" w:cs="仿宋"/>
          <w:color w:val="auto"/>
          <w:sz w:val="24"/>
          <w:highlight w:val="none"/>
        </w:rPr>
        <w:t>无。</w:t>
      </w:r>
    </w:p>
    <w:p w14:paraId="16019D29">
      <w:pPr>
        <w:spacing w:line="360" w:lineRule="auto"/>
        <w:ind w:firstLine="482" w:firstLineChars="200"/>
        <w:rPr>
          <w:rFonts w:ascii="仿宋" w:hAnsi="仿宋" w:eastAsia="仿宋" w:cs="仿宋"/>
          <w:b/>
          <w:bCs/>
          <w:color w:val="auto"/>
          <w:sz w:val="24"/>
          <w:highlight w:val="none"/>
        </w:rPr>
      </w:pPr>
      <w:bookmarkStart w:id="17" w:name="_Toc35393792"/>
      <w:bookmarkStart w:id="18" w:name="_Toc35393623"/>
      <w:r>
        <w:rPr>
          <w:rFonts w:hint="eastAsia" w:ascii="仿宋" w:hAnsi="仿宋" w:eastAsia="仿宋" w:cs="仿宋"/>
          <w:b/>
          <w:bCs/>
          <w:color w:val="auto"/>
          <w:sz w:val="24"/>
          <w:highlight w:val="none"/>
        </w:rPr>
        <w:t>三、获取招标文件</w:t>
      </w:r>
      <w:bookmarkEnd w:id="15"/>
      <w:bookmarkEnd w:id="16"/>
      <w:bookmarkEnd w:id="17"/>
      <w:bookmarkEnd w:id="18"/>
    </w:p>
    <w:p w14:paraId="56F6ECAF">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时间：2025年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日至2025年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日，每天上午00：00至12：00 ，下午12：00至23：59（北京时间，法定节假日除外）</w:t>
      </w:r>
    </w:p>
    <w:p w14:paraId="59E2D7A7">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地点：</w:t>
      </w:r>
      <w:r>
        <w:rPr>
          <w:rFonts w:hint="eastAsia" w:ascii="仿宋" w:hAnsi="仿宋" w:eastAsia="仿宋" w:cs="仿宋"/>
          <w:color w:val="auto"/>
          <w:sz w:val="24"/>
          <w:highlight w:val="none"/>
        </w:rPr>
        <w:t>广西政府采购云平台</w:t>
      </w:r>
      <w:r>
        <w:rPr>
          <w:rFonts w:hint="eastAsia" w:ascii="仿宋" w:hAnsi="仿宋" w:eastAsia="仿宋" w:cs="仿宋"/>
          <w:bCs/>
          <w:color w:val="auto"/>
          <w:kern w:val="0"/>
          <w:sz w:val="24"/>
          <w:highlight w:val="none"/>
        </w:rPr>
        <w:t>（</w:t>
      </w:r>
      <w:r>
        <w:rPr>
          <w:rFonts w:hint="eastAsia" w:ascii="仿宋" w:hAnsi="仿宋" w:eastAsia="仿宋" w:cs="仿宋"/>
          <w:color w:val="auto"/>
          <w:sz w:val="24"/>
          <w:highlight w:val="none"/>
        </w:rPr>
        <w:t>https：//www.gcy.zfcg.gxzf.gov.cn/</w:t>
      </w:r>
      <w:r>
        <w:rPr>
          <w:rFonts w:hint="eastAsia" w:ascii="仿宋" w:hAnsi="仿宋" w:eastAsia="仿宋" w:cs="仿宋"/>
          <w:bCs/>
          <w:color w:val="auto"/>
          <w:kern w:val="0"/>
          <w:sz w:val="24"/>
          <w:highlight w:val="none"/>
        </w:rPr>
        <w:t>）</w:t>
      </w:r>
    </w:p>
    <w:p w14:paraId="6E7818F4">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方式：网上下载。本项目不发放纸质文件，供应商应自行在</w:t>
      </w:r>
      <w:r>
        <w:rPr>
          <w:color w:val="auto"/>
          <w:highlight w:val="none"/>
        </w:rPr>
        <w:fldChar w:fldCharType="begin"/>
      </w:r>
      <w:r>
        <w:rPr>
          <w:color w:val="auto"/>
          <w:highlight w:val="none"/>
        </w:rPr>
        <w:instrText xml:space="preserve">HYPERLINK</w:instrText>
      </w:r>
      <w:r>
        <w:rPr>
          <w:color w:val="auto"/>
          <w:highlight w:val="none"/>
        </w:rPr>
        <w:fldChar w:fldCharType="separate"/>
      </w:r>
      <w:r>
        <w:rPr>
          <w:color w:val="auto"/>
          <w:highlight w:val="none"/>
        </w:rPr>
        <w:fldChar w:fldCharType="end"/>
      </w:r>
      <w:r>
        <w:rPr>
          <w:rFonts w:hint="eastAsia" w:ascii="仿宋" w:hAnsi="仿宋" w:eastAsia="仿宋" w:cs="仿宋"/>
          <w:color w:val="auto"/>
          <w:sz w:val="24"/>
          <w:highlight w:val="none"/>
        </w:rPr>
        <w:t>广西政府采购云平台</w:t>
      </w:r>
      <w:r>
        <w:rPr>
          <w:rFonts w:hint="eastAsia" w:ascii="仿宋" w:hAnsi="仿宋" w:eastAsia="仿宋" w:cs="仿宋"/>
          <w:bCs/>
          <w:color w:val="auto"/>
          <w:kern w:val="0"/>
          <w:sz w:val="24"/>
          <w:highlight w:val="none"/>
        </w:rPr>
        <w:t>（</w:t>
      </w:r>
      <w:r>
        <w:rPr>
          <w:rFonts w:hint="eastAsia" w:ascii="仿宋" w:hAnsi="仿宋" w:eastAsia="仿宋" w:cs="仿宋"/>
          <w:color w:val="auto"/>
          <w:sz w:val="24"/>
          <w:highlight w:val="none"/>
        </w:rPr>
        <w:t>https：//www.gcy.zfcg.gxzf.gov.cn/</w:t>
      </w:r>
      <w:r>
        <w:rPr>
          <w:rFonts w:hint="eastAsia" w:ascii="仿宋" w:hAnsi="仿宋" w:eastAsia="仿宋" w:cs="仿宋"/>
          <w:bCs/>
          <w:color w:val="auto"/>
          <w:kern w:val="0"/>
          <w:sz w:val="24"/>
          <w:highlight w:val="none"/>
        </w:rPr>
        <w:t>）下载招标文件（操作路径：登录</w:t>
      </w:r>
      <w:r>
        <w:rPr>
          <w:rFonts w:hint="eastAsia" w:ascii="仿宋" w:hAnsi="仿宋" w:eastAsia="仿宋" w:cs="仿宋"/>
          <w:color w:val="auto"/>
          <w:sz w:val="24"/>
          <w:highlight w:val="none"/>
        </w:rPr>
        <w:t>广西政府采购云平台</w:t>
      </w:r>
      <w:r>
        <w:rPr>
          <w:rFonts w:hint="eastAsia" w:ascii="仿宋" w:hAnsi="仿宋" w:eastAsia="仿宋" w:cs="仿宋"/>
          <w:bCs/>
          <w:color w:val="auto"/>
          <w:kern w:val="0"/>
          <w:sz w:val="24"/>
          <w:highlight w:val="none"/>
        </w:rPr>
        <w:t>-项目采购-获取采购文件-找到本项目-点击“申请获取采购文件”），电子投标文件制作需要基于</w:t>
      </w:r>
      <w:r>
        <w:rPr>
          <w:rFonts w:hint="eastAsia" w:ascii="仿宋" w:hAnsi="仿宋" w:eastAsia="仿宋" w:cs="仿宋"/>
          <w:color w:val="auto"/>
          <w:sz w:val="24"/>
          <w:highlight w:val="none"/>
        </w:rPr>
        <w:t>广西政府采购云平台</w:t>
      </w:r>
      <w:r>
        <w:rPr>
          <w:rFonts w:hint="eastAsia" w:ascii="仿宋" w:hAnsi="仿宋" w:eastAsia="仿宋" w:cs="仿宋"/>
          <w:bCs/>
          <w:color w:val="auto"/>
          <w:kern w:val="0"/>
          <w:sz w:val="24"/>
          <w:highlight w:val="none"/>
        </w:rPr>
        <w:t>获取的招标文件编制，通过其他方式获取招标文件的，将有可能导致供应商无法在</w:t>
      </w:r>
      <w:r>
        <w:rPr>
          <w:rFonts w:hint="eastAsia" w:ascii="仿宋" w:hAnsi="仿宋" w:eastAsia="仿宋" w:cs="仿宋"/>
          <w:color w:val="auto"/>
          <w:sz w:val="24"/>
          <w:highlight w:val="none"/>
        </w:rPr>
        <w:t>广西政府采购云平台</w:t>
      </w:r>
      <w:r>
        <w:rPr>
          <w:rFonts w:hint="eastAsia" w:ascii="仿宋" w:hAnsi="仿宋" w:eastAsia="仿宋" w:cs="仿宋"/>
          <w:bCs/>
          <w:color w:val="auto"/>
          <w:kern w:val="0"/>
          <w:sz w:val="24"/>
          <w:highlight w:val="none"/>
        </w:rPr>
        <w:t>编制及上传投标文件。</w:t>
      </w:r>
    </w:p>
    <w:p w14:paraId="106229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color w:val="auto"/>
          <w:kern w:val="0"/>
          <w:sz w:val="24"/>
          <w:highlight w:val="none"/>
        </w:rPr>
        <w:t>售价：0元。</w:t>
      </w:r>
    </w:p>
    <w:p w14:paraId="20CE8F0D">
      <w:pPr>
        <w:spacing w:line="360" w:lineRule="auto"/>
        <w:ind w:firstLine="482" w:firstLineChars="200"/>
        <w:rPr>
          <w:rFonts w:ascii="仿宋" w:hAnsi="仿宋" w:eastAsia="仿宋" w:cs="仿宋"/>
          <w:b/>
          <w:bCs/>
          <w:color w:val="auto"/>
          <w:sz w:val="24"/>
          <w:highlight w:val="none"/>
        </w:rPr>
      </w:pPr>
      <w:bookmarkStart w:id="19" w:name="_Toc28359082"/>
      <w:bookmarkStart w:id="20" w:name="_Toc28359005"/>
      <w:bookmarkStart w:id="21" w:name="_Toc35393624"/>
      <w:bookmarkStart w:id="22" w:name="_Toc35393793"/>
      <w:r>
        <w:rPr>
          <w:rFonts w:hint="eastAsia" w:ascii="仿宋" w:hAnsi="仿宋" w:eastAsia="仿宋" w:cs="仿宋"/>
          <w:b/>
          <w:bCs/>
          <w:color w:val="auto"/>
          <w:sz w:val="24"/>
          <w:highlight w:val="none"/>
        </w:rPr>
        <w:t>四、提交投标文件</w:t>
      </w:r>
      <w:bookmarkEnd w:id="19"/>
      <w:bookmarkEnd w:id="20"/>
      <w:r>
        <w:rPr>
          <w:rFonts w:hint="eastAsia" w:ascii="仿宋" w:hAnsi="仿宋" w:eastAsia="仿宋" w:cs="仿宋"/>
          <w:b/>
          <w:bCs/>
          <w:color w:val="auto"/>
          <w:sz w:val="24"/>
          <w:highlight w:val="none"/>
        </w:rPr>
        <w:t>截止时间、开标时间和地点</w:t>
      </w:r>
      <w:bookmarkEnd w:id="21"/>
      <w:bookmarkEnd w:id="22"/>
    </w:p>
    <w:p w14:paraId="2F52B4B3">
      <w:pPr>
        <w:spacing w:line="360" w:lineRule="auto"/>
        <w:ind w:firstLine="480" w:firstLineChars="200"/>
        <w:rPr>
          <w:rFonts w:ascii="仿宋" w:hAnsi="仿宋" w:eastAsia="仿宋" w:cs="仿宋"/>
          <w:color w:val="auto"/>
          <w:sz w:val="24"/>
          <w:highlight w:val="none"/>
        </w:rPr>
      </w:pPr>
      <w:bookmarkStart w:id="23" w:name="_Toc35393625"/>
      <w:bookmarkStart w:id="24" w:name="_Toc35393794"/>
      <w:bookmarkStart w:id="25" w:name="_Toc28359007"/>
      <w:bookmarkStart w:id="26" w:name="_Toc28359084"/>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bidi="ar"/>
        </w:rPr>
        <w:t>截止时间：</w:t>
      </w:r>
      <w:r>
        <w:rPr>
          <w:rFonts w:hint="eastAsia" w:ascii="仿宋" w:hAnsi="仿宋" w:eastAsia="仿宋" w:cs="仿宋"/>
          <w:color w:val="auto"/>
          <w:sz w:val="24"/>
          <w:highlight w:val="none"/>
          <w:lang w:eastAsia="zh-CN"/>
        </w:rPr>
        <w:t>2025年7月2日09点30分</w:t>
      </w:r>
      <w:r>
        <w:rPr>
          <w:rFonts w:hint="eastAsia" w:ascii="仿宋" w:hAnsi="仿宋" w:eastAsia="仿宋" w:cs="仿宋"/>
          <w:color w:val="auto"/>
          <w:sz w:val="24"/>
          <w:highlight w:val="none"/>
        </w:rPr>
        <w:t>（北京时间）</w:t>
      </w:r>
    </w:p>
    <w:p w14:paraId="12EAFBB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开标时间</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2025年7月2日09点30分</w:t>
      </w:r>
      <w:r>
        <w:rPr>
          <w:rFonts w:hint="eastAsia" w:ascii="仿宋" w:hAnsi="仿宋" w:eastAsia="仿宋" w:cs="仿宋"/>
          <w:color w:val="auto"/>
          <w:sz w:val="24"/>
          <w:highlight w:val="none"/>
        </w:rPr>
        <w:t>（北京时间）</w:t>
      </w:r>
    </w:p>
    <w:p w14:paraId="5BC84ACA">
      <w:pPr>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rPr>
        <w:t>3.开标地点：广西政府采购云平台</w:t>
      </w:r>
      <w:r>
        <w:rPr>
          <w:rFonts w:hint="eastAsia" w:ascii="仿宋" w:hAnsi="仿宋" w:eastAsia="仿宋" w:cs="仿宋"/>
          <w:color w:val="auto"/>
          <w:sz w:val="24"/>
          <w:highlight w:val="none"/>
          <w:lang w:bidi="ar"/>
        </w:rPr>
        <w:t>电子开标大厅。</w:t>
      </w:r>
    </w:p>
    <w:p w14:paraId="2DEA0C03">
      <w:pPr>
        <w:widowControl/>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五、解密及评审</w:t>
      </w:r>
    </w:p>
    <w:p w14:paraId="06DBA6C2">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1.投标文件解密时间：30分钟，</w:t>
      </w:r>
      <w:r>
        <w:rPr>
          <w:rFonts w:hint="eastAsia" w:ascii="仿宋" w:hAnsi="仿宋" w:eastAsia="仿宋" w:cs="仿宋"/>
          <w:bCs/>
          <w:color w:val="auto"/>
          <w:kern w:val="0"/>
          <w:sz w:val="24"/>
          <w:highlight w:val="none"/>
          <w:lang w:eastAsia="zh-CN"/>
        </w:rPr>
        <w:t>2025年7月2日09点30分</w:t>
      </w:r>
      <w:r>
        <w:rPr>
          <w:rFonts w:hint="eastAsia" w:ascii="仿宋" w:hAnsi="仿宋" w:eastAsia="仿宋" w:cs="仿宋"/>
          <w:bCs/>
          <w:color w:val="auto"/>
          <w:kern w:val="0"/>
          <w:sz w:val="24"/>
          <w:highlight w:val="none"/>
        </w:rPr>
        <w:t>-</w:t>
      </w:r>
      <w:r>
        <w:rPr>
          <w:rFonts w:hint="eastAsia" w:ascii="仿宋" w:hAnsi="仿宋" w:eastAsia="仿宋" w:cs="仿宋"/>
          <w:bCs/>
          <w:color w:val="auto"/>
          <w:kern w:val="0"/>
          <w:sz w:val="24"/>
          <w:highlight w:val="none"/>
          <w:lang w:val="en-US" w:eastAsia="zh-CN"/>
        </w:rPr>
        <w:t>10</w:t>
      </w:r>
      <w:r>
        <w:rPr>
          <w:rFonts w:hint="eastAsia" w:ascii="仿宋" w:hAnsi="仿宋" w:eastAsia="仿宋" w:cs="仿宋"/>
          <w:bCs/>
          <w:color w:val="auto"/>
          <w:kern w:val="0"/>
          <w:sz w:val="24"/>
          <w:highlight w:val="none"/>
        </w:rPr>
        <w:t>点</w:t>
      </w:r>
      <w:r>
        <w:rPr>
          <w:rFonts w:hint="eastAsia" w:ascii="仿宋" w:hAnsi="仿宋" w:eastAsia="仿宋" w:cs="仿宋"/>
          <w:bCs/>
          <w:color w:val="auto"/>
          <w:kern w:val="0"/>
          <w:sz w:val="24"/>
          <w:highlight w:val="none"/>
          <w:lang w:val="en-US" w:eastAsia="zh-CN"/>
        </w:rPr>
        <w:t>00</w:t>
      </w:r>
      <w:r>
        <w:rPr>
          <w:rFonts w:hint="eastAsia" w:ascii="仿宋" w:hAnsi="仿宋" w:eastAsia="仿宋" w:cs="仿宋"/>
          <w:bCs/>
          <w:color w:val="auto"/>
          <w:kern w:val="0"/>
          <w:sz w:val="24"/>
          <w:highlight w:val="none"/>
        </w:rPr>
        <w:t>分（北京时间）</w:t>
      </w:r>
    </w:p>
    <w:p w14:paraId="339927E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2.评审地点：广西政府采购云平台。</w:t>
      </w:r>
    </w:p>
    <w:p w14:paraId="159BE6EA">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六、公告期限</w:t>
      </w:r>
      <w:bookmarkEnd w:id="23"/>
      <w:bookmarkEnd w:id="24"/>
      <w:bookmarkEnd w:id="25"/>
      <w:bookmarkEnd w:id="26"/>
    </w:p>
    <w:p w14:paraId="18F6625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3F28954D">
      <w:pPr>
        <w:spacing w:line="360" w:lineRule="auto"/>
        <w:ind w:firstLine="482" w:firstLineChars="200"/>
        <w:rPr>
          <w:rFonts w:ascii="仿宋" w:hAnsi="仿宋" w:eastAsia="仿宋" w:cs="仿宋"/>
          <w:b/>
          <w:bCs/>
          <w:color w:val="auto"/>
          <w:sz w:val="24"/>
          <w:highlight w:val="none"/>
        </w:rPr>
      </w:pPr>
      <w:bookmarkStart w:id="27" w:name="_Hlk37429674"/>
      <w:r>
        <w:rPr>
          <w:rFonts w:hint="eastAsia" w:ascii="仿宋" w:hAnsi="仿宋" w:eastAsia="仿宋" w:cs="仿宋"/>
          <w:b/>
          <w:bCs/>
          <w:color w:val="auto"/>
          <w:sz w:val="24"/>
          <w:highlight w:val="none"/>
        </w:rPr>
        <w:t>七、其他补充事宜</w:t>
      </w:r>
    </w:p>
    <w:p w14:paraId="12F48D0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AD4230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74FE42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3.网上查询地址：中国政府采购网（www.ccgp.gov.cn），广西政府采购网（zfcg.gxzf.gov.cn），广西壮族自治区公共资源交易中心网站（http：//gxggzy.gxzf.gov.cn）。</w:t>
      </w:r>
    </w:p>
    <w:p w14:paraId="5EF0C9F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4.本项目需要落实的政府采购政策：</w:t>
      </w:r>
    </w:p>
    <w:p w14:paraId="5680F71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（1）政府采购促进中小企业发展。</w:t>
      </w:r>
    </w:p>
    <w:p w14:paraId="2C94694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（2）政府采购支持采用本国产品的政策。</w:t>
      </w:r>
    </w:p>
    <w:p w14:paraId="5497918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（3）强制采购节能产品；优先采购节能产品、环境标志产品。</w:t>
      </w:r>
    </w:p>
    <w:p w14:paraId="55B7900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（4）政府采购促进残疾人就业政策。</w:t>
      </w:r>
    </w:p>
    <w:p w14:paraId="7E1C88F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（5）政府采购支持监狱企业发展。</w:t>
      </w:r>
    </w:p>
    <w:p w14:paraId="27C08A89">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5.投标注意事项：</w:t>
      </w:r>
    </w:p>
    <w:p w14:paraId="208F72D4">
      <w:pPr>
        <w:widowControl/>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lang w:bidi="ar"/>
        </w:rPr>
        <w:t>（1）投标文件提交方式：本项目为全流程电子化政府采购项目，通过</w:t>
      </w:r>
      <w:r>
        <w:rPr>
          <w:rFonts w:hint="eastAsia" w:ascii="仿宋" w:hAnsi="仿宋" w:eastAsia="仿宋" w:cs="仿宋"/>
          <w:color w:val="auto"/>
          <w:sz w:val="24"/>
          <w:highlight w:val="none"/>
        </w:rPr>
        <w:t>广西政府采购云平台</w:t>
      </w:r>
      <w:r>
        <w:rPr>
          <w:rFonts w:hint="eastAsia" w:ascii="仿宋" w:hAnsi="仿宋" w:eastAsia="仿宋" w:cs="仿宋"/>
          <w:color w:val="auto"/>
          <w:sz w:val="24"/>
          <w:highlight w:val="none"/>
          <w:lang w:bidi="ar"/>
        </w:rPr>
        <w:t>（</w:t>
      </w:r>
      <w:r>
        <w:rPr>
          <w:rFonts w:hint="eastAsia" w:ascii="仿宋" w:hAnsi="仿宋" w:eastAsia="仿宋" w:cs="仿宋"/>
          <w:color w:val="auto"/>
          <w:sz w:val="24"/>
          <w:highlight w:val="none"/>
        </w:rPr>
        <w:t>https：//www.gcy.zfcg.gxzf.gov.cn/</w:t>
      </w:r>
      <w:r>
        <w:rPr>
          <w:rFonts w:hint="eastAsia" w:ascii="仿宋" w:hAnsi="仿宋" w:eastAsia="仿宋" w:cs="仿宋"/>
          <w:color w:val="auto"/>
          <w:sz w:val="24"/>
          <w:highlight w:val="none"/>
          <w:lang w:bidi="ar"/>
        </w:rPr>
        <w:t>）实行在线电子投标，供应商应先安装“</w:t>
      </w:r>
      <w:r>
        <w:rPr>
          <w:rFonts w:hint="eastAsia" w:ascii="仿宋" w:hAnsi="仿宋" w:eastAsia="仿宋" w:cs="仿宋"/>
          <w:color w:val="auto"/>
          <w:sz w:val="24"/>
          <w:highlight w:val="none"/>
        </w:rPr>
        <w:t>广西政府采购云平台</w:t>
      </w:r>
      <w:r>
        <w:rPr>
          <w:rFonts w:hint="eastAsia" w:ascii="仿宋" w:hAnsi="仿宋" w:eastAsia="仿宋" w:cs="仿宋"/>
          <w:color w:val="auto"/>
          <w:sz w:val="24"/>
          <w:highlight w:val="none"/>
          <w:lang w:bidi="ar"/>
        </w:rPr>
        <w:t>电子交易客户端”（请自行前往</w:t>
      </w:r>
      <w:r>
        <w:rPr>
          <w:rFonts w:hint="eastAsia" w:ascii="仿宋" w:hAnsi="仿宋" w:eastAsia="仿宋" w:cs="仿宋"/>
          <w:color w:val="auto"/>
          <w:sz w:val="24"/>
          <w:highlight w:val="none"/>
        </w:rPr>
        <w:t>广西政府采购云平台</w:t>
      </w:r>
      <w:r>
        <w:rPr>
          <w:rFonts w:hint="eastAsia" w:ascii="仿宋" w:hAnsi="仿宋" w:eastAsia="仿宋" w:cs="仿宋"/>
          <w:color w:val="auto"/>
          <w:sz w:val="24"/>
          <w:highlight w:val="none"/>
          <w:lang w:bidi="ar"/>
        </w:rPr>
        <w:t>进行下载），并按照本项目招标文件和</w:t>
      </w:r>
      <w:r>
        <w:rPr>
          <w:rFonts w:hint="eastAsia" w:ascii="仿宋" w:hAnsi="仿宋" w:eastAsia="仿宋" w:cs="仿宋"/>
          <w:color w:val="auto"/>
          <w:sz w:val="24"/>
          <w:highlight w:val="none"/>
        </w:rPr>
        <w:t>广西政府采购云平台</w:t>
      </w:r>
      <w:r>
        <w:rPr>
          <w:rFonts w:hint="eastAsia" w:ascii="仿宋" w:hAnsi="仿宋" w:eastAsia="仿宋" w:cs="仿宋"/>
          <w:color w:val="auto"/>
          <w:sz w:val="24"/>
          <w:highlight w:val="none"/>
          <w:lang w:bidi="ar"/>
        </w:rPr>
        <w:t>的要求编制、加密后在投标截止时间前通过网络上传至</w:t>
      </w:r>
      <w:r>
        <w:rPr>
          <w:rFonts w:hint="eastAsia" w:ascii="仿宋" w:hAnsi="仿宋" w:eastAsia="仿宋" w:cs="仿宋"/>
          <w:color w:val="auto"/>
          <w:sz w:val="24"/>
          <w:highlight w:val="none"/>
        </w:rPr>
        <w:t>广西政府采购云平台</w:t>
      </w:r>
      <w:r>
        <w:rPr>
          <w:rFonts w:hint="eastAsia" w:ascii="仿宋" w:hAnsi="仿宋" w:eastAsia="仿宋" w:cs="仿宋"/>
          <w:color w:val="auto"/>
          <w:sz w:val="24"/>
          <w:highlight w:val="none"/>
          <w:lang w:bidi="ar"/>
        </w:rPr>
        <w:t>，</w:t>
      </w:r>
      <w:r>
        <w:rPr>
          <w:rFonts w:hint="eastAsia" w:ascii="仿宋" w:hAnsi="仿宋" w:eastAsia="仿宋" w:cs="仿宋"/>
          <w:b/>
          <w:color w:val="auto"/>
          <w:sz w:val="24"/>
          <w:highlight w:val="none"/>
          <w:lang w:bidi="ar"/>
        </w:rPr>
        <w:t>供应商在广西政府采购云平台提交电子版投标文件时，请填写参加远程开标活动经办人联系方式。</w:t>
      </w:r>
    </w:p>
    <w:p w14:paraId="3A34E650">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（2）供应商应及时熟悉掌握电子标系统操作指南（见</w:t>
      </w:r>
      <w:r>
        <w:rPr>
          <w:rFonts w:hint="eastAsia" w:ascii="仿宋" w:hAnsi="仿宋" w:eastAsia="仿宋" w:cs="仿宋"/>
          <w:color w:val="auto"/>
          <w:sz w:val="24"/>
          <w:highlight w:val="none"/>
        </w:rPr>
        <w:t>广西政府采购云平台</w:t>
      </w:r>
      <w:r>
        <w:rPr>
          <w:rFonts w:hint="eastAsia" w:ascii="仿宋" w:hAnsi="仿宋" w:eastAsia="仿宋" w:cs="仿宋"/>
          <w:color w:val="auto"/>
          <w:sz w:val="24"/>
          <w:highlight w:val="none"/>
          <w:lang w:bidi="ar"/>
        </w:rPr>
        <w:t>电子卖场首页右上角—服务中心—帮助文档—项目采购）；及时完成CA申领和绑定（见广西壮族自治区政府采购网—办事服务—下载专区-</w:t>
      </w:r>
      <w:r>
        <w:rPr>
          <w:rFonts w:hint="eastAsia" w:ascii="仿宋" w:hAnsi="仿宋" w:eastAsia="仿宋" w:cs="仿宋"/>
          <w:color w:val="auto"/>
          <w:sz w:val="24"/>
          <w:highlight w:val="none"/>
        </w:rPr>
        <w:t>广西政府采购云平台</w:t>
      </w:r>
      <w:r>
        <w:rPr>
          <w:rFonts w:hint="eastAsia" w:ascii="仿宋" w:hAnsi="仿宋" w:eastAsia="仿宋" w:cs="仿宋"/>
          <w:color w:val="auto"/>
          <w:sz w:val="24"/>
          <w:highlight w:val="none"/>
          <w:lang w:bidi="ar"/>
        </w:rPr>
        <w:t>CA证书办理操作指南）。</w:t>
      </w:r>
    </w:p>
    <w:p w14:paraId="1A7466DA">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7E9A8039">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08361268">
      <w:pPr>
        <w:widowControl/>
        <w:spacing w:line="360" w:lineRule="auto"/>
        <w:ind w:firstLine="482" w:firstLineChars="200"/>
        <w:rPr>
          <w:rFonts w:ascii="仿宋" w:hAnsi="仿宋" w:eastAsia="仿宋" w:cs="仿宋"/>
          <w:color w:val="auto"/>
          <w:sz w:val="24"/>
          <w:highlight w:val="none"/>
          <w:lang w:bidi="ar"/>
        </w:rPr>
      </w:pPr>
      <w:r>
        <w:rPr>
          <w:rFonts w:hint="eastAsia" w:ascii="仿宋" w:hAnsi="仿宋" w:eastAsia="仿宋" w:cs="仿宋"/>
          <w:b/>
          <w:bCs/>
          <w:color w:val="auto"/>
          <w:sz w:val="24"/>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D6CD176">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lang w:bidi="ar"/>
        </w:rPr>
        <w:t>6.CA证书在线解密：供应商投标时，需携带制作投标文件时用来加</w:t>
      </w:r>
      <w:r>
        <w:rPr>
          <w:rFonts w:hint="eastAsia" w:ascii="仿宋" w:hAnsi="仿宋" w:eastAsia="仿宋" w:cs="仿宋"/>
          <w:color w:val="auto"/>
          <w:kern w:val="0"/>
          <w:sz w:val="24"/>
          <w:highlight w:val="none"/>
          <w:lang w:bidi="ar"/>
        </w:rPr>
        <w:t>密的有效数字证书（CA认证）登录</w:t>
      </w:r>
      <w:r>
        <w:rPr>
          <w:rFonts w:hint="eastAsia" w:ascii="仿宋" w:hAnsi="仿宋" w:eastAsia="仿宋" w:cs="仿宋"/>
          <w:color w:val="auto"/>
          <w:sz w:val="24"/>
          <w:highlight w:val="none"/>
        </w:rPr>
        <w:t>广西政府采购云平台</w:t>
      </w:r>
      <w:r>
        <w:rPr>
          <w:rFonts w:hint="eastAsia" w:ascii="仿宋" w:hAnsi="仿宋" w:eastAsia="仿宋" w:cs="仿宋"/>
          <w:color w:val="auto"/>
          <w:kern w:val="0"/>
          <w:sz w:val="24"/>
          <w:highlight w:val="none"/>
          <w:lang w:bidi="ar"/>
        </w:rPr>
        <w:t>电子开标大厅现场按规定时间对加密的投标文件进行解密，否则后果自负。</w:t>
      </w:r>
    </w:p>
    <w:p w14:paraId="72AC5FC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7.若对项目采购电子交易系统操作有疑问，可登录</w:t>
      </w:r>
      <w:r>
        <w:rPr>
          <w:rFonts w:hint="eastAsia" w:ascii="仿宋" w:hAnsi="仿宋" w:eastAsia="仿宋" w:cs="仿宋"/>
          <w:color w:val="auto"/>
          <w:sz w:val="24"/>
          <w:highlight w:val="none"/>
        </w:rPr>
        <w:t>广西政府采购云平台</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https：//www.gcy.zfcg.gxzf.gov.cn/</w:t>
      </w:r>
      <w:r>
        <w:rPr>
          <w:rFonts w:hint="eastAsia" w:ascii="仿宋" w:hAnsi="仿宋" w:eastAsia="仿宋" w:cs="仿宋"/>
          <w:color w:val="auto"/>
          <w:kern w:val="0"/>
          <w:sz w:val="24"/>
          <w:highlight w:val="none"/>
        </w:rPr>
        <w:t>），点击右侧咨询小采，获取采小蜜智能服务管家帮助，或拨打</w:t>
      </w:r>
      <w:r>
        <w:rPr>
          <w:rFonts w:hint="eastAsia" w:ascii="仿宋" w:hAnsi="仿宋" w:eastAsia="仿宋" w:cs="仿宋"/>
          <w:color w:val="auto"/>
          <w:sz w:val="24"/>
          <w:highlight w:val="none"/>
        </w:rPr>
        <w:t>广西政府采购云平台</w:t>
      </w:r>
      <w:r>
        <w:rPr>
          <w:rFonts w:hint="eastAsia" w:ascii="仿宋" w:hAnsi="仿宋" w:eastAsia="仿宋" w:cs="仿宋"/>
          <w:color w:val="auto"/>
          <w:kern w:val="0"/>
          <w:sz w:val="24"/>
          <w:highlight w:val="none"/>
        </w:rPr>
        <w:t>服务热线95763获取热线服务帮助。</w:t>
      </w:r>
      <w:bookmarkEnd w:id="27"/>
    </w:p>
    <w:p w14:paraId="59E23851">
      <w:pPr>
        <w:spacing w:line="360" w:lineRule="auto"/>
        <w:ind w:firstLine="482" w:firstLineChars="200"/>
        <w:rPr>
          <w:rFonts w:ascii="仿宋" w:hAnsi="仿宋" w:eastAsia="仿宋" w:cs="仿宋"/>
          <w:b/>
          <w:bCs/>
          <w:color w:val="auto"/>
          <w:sz w:val="24"/>
          <w:highlight w:val="none"/>
        </w:rPr>
      </w:pPr>
      <w:bookmarkStart w:id="28" w:name="_Toc35393627"/>
      <w:bookmarkStart w:id="29" w:name="_Toc28359008"/>
      <w:bookmarkStart w:id="30" w:name="_Toc28359085"/>
      <w:bookmarkStart w:id="31" w:name="_Toc35393796"/>
      <w:r>
        <w:rPr>
          <w:rFonts w:hint="eastAsia" w:ascii="仿宋" w:hAnsi="仿宋" w:eastAsia="仿宋" w:cs="仿宋"/>
          <w:b/>
          <w:bCs/>
          <w:color w:val="auto"/>
          <w:sz w:val="24"/>
          <w:highlight w:val="none"/>
        </w:rPr>
        <w:t>八、对本次招标提出询问，请按以下方式联系</w:t>
      </w:r>
      <w:bookmarkEnd w:id="28"/>
      <w:bookmarkEnd w:id="29"/>
      <w:bookmarkEnd w:id="30"/>
      <w:bookmarkEnd w:id="31"/>
    </w:p>
    <w:p w14:paraId="56976719">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095B0499">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名称：广西大学         </w:t>
      </w:r>
    </w:p>
    <w:p w14:paraId="03CC253F">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地址：广西壮族自治区南宁市大学东路100号</w:t>
      </w:r>
    </w:p>
    <w:p w14:paraId="49BD9630">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联系人：肖祖宁                联系电话：0771-3274121　　　</w:t>
      </w:r>
    </w:p>
    <w:p w14:paraId="0937810A">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315E08B1">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名称：广西科文招标有限公司  </w:t>
      </w:r>
    </w:p>
    <w:p w14:paraId="7F8040A5">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地址：广西壮族自治区南宁市民族大道141号中鼎万象东方D区五层</w:t>
      </w:r>
    </w:p>
    <w:p w14:paraId="763CEBAE">
      <w:pPr>
        <w:spacing w:line="360" w:lineRule="auto"/>
        <w:ind w:firstLine="648" w:firstLineChars="270"/>
        <w:jc w:val="left"/>
        <w:rPr>
          <w:rFonts w:ascii="仿宋" w:hAnsi="仿宋" w:eastAsia="仿宋" w:cs="仿宋"/>
          <w:color w:val="auto"/>
          <w:sz w:val="24"/>
          <w:highlight w:val="none"/>
        </w:rPr>
      </w:pPr>
      <w:bookmarkStart w:id="32" w:name="_Toc28359010"/>
      <w:bookmarkStart w:id="33" w:name="_Toc28359087"/>
      <w:r>
        <w:rPr>
          <w:rFonts w:hint="eastAsia" w:ascii="仿宋" w:hAnsi="仿宋" w:eastAsia="仿宋" w:cs="仿宋"/>
          <w:color w:val="auto"/>
          <w:sz w:val="24"/>
          <w:highlight w:val="none"/>
        </w:rPr>
        <w:t xml:space="preserve">联系人：梁伟贞  严广廷       联系电话：0771-2023650  </w:t>
      </w:r>
    </w:p>
    <w:p w14:paraId="1A2A6813">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3.项目联系方式</w:t>
      </w:r>
      <w:bookmarkEnd w:id="32"/>
      <w:bookmarkEnd w:id="33"/>
    </w:p>
    <w:p w14:paraId="67E77019">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联系人：梁伟贞  严广廷       联系电话：0771-2023650</w:t>
      </w:r>
    </w:p>
    <w:p w14:paraId="34C46F10">
      <w:pPr>
        <w:spacing w:line="360" w:lineRule="auto"/>
        <w:ind w:firstLine="648" w:firstLineChars="27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EE57594">
      <w:pPr>
        <w:spacing w:line="360" w:lineRule="auto"/>
        <w:ind w:firstLine="482"/>
        <w:jc w:val="right"/>
        <w:rPr>
          <w:rFonts w:ascii="仿宋" w:hAnsi="仿宋" w:eastAsia="仿宋" w:cs="仿宋"/>
          <w:color w:val="auto"/>
          <w:sz w:val="24"/>
          <w:highlight w:val="none"/>
        </w:rPr>
      </w:pPr>
      <w:r>
        <w:rPr>
          <w:rFonts w:hint="eastAsia" w:ascii="仿宋" w:hAnsi="仿宋" w:eastAsia="仿宋" w:cs="仿宋"/>
          <w:color w:val="auto"/>
          <w:sz w:val="24"/>
          <w:highlight w:val="none"/>
        </w:rPr>
        <w:t>代理机构：广西科文招标有限公司</w:t>
      </w:r>
    </w:p>
    <w:p w14:paraId="73DC9484">
      <w:pPr>
        <w:wordWrap w:val="0"/>
        <w:snapToGrid w:val="0"/>
        <w:spacing w:line="360" w:lineRule="auto"/>
        <w:ind w:left="238"/>
        <w:jc w:val="right"/>
        <w:rPr>
          <w:rFonts w:ascii="仿宋" w:hAnsi="仿宋" w:eastAsia="仿宋" w:cs="仿宋"/>
          <w:color w:val="auto"/>
          <w:sz w:val="24"/>
          <w:highlight w:val="none"/>
        </w:rPr>
      </w:pPr>
      <w:r>
        <w:rPr>
          <w:rFonts w:hint="eastAsia" w:ascii="仿宋" w:hAnsi="仿宋" w:eastAsia="仿宋" w:cs="仿宋"/>
          <w:color w:val="auto"/>
          <w:sz w:val="24"/>
          <w:highlight w:val="none"/>
        </w:rPr>
        <w:t>2025年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 xml:space="preserve">日 </w:t>
      </w:r>
    </w:p>
    <w:p w14:paraId="703A7F6A">
      <w:pPr>
        <w:rPr>
          <w:rFonts w:ascii="仿宋" w:hAnsi="仿宋" w:eastAsia="仿宋" w:cs="仿宋"/>
          <w:color w:val="auto"/>
          <w:highlight w:val="none"/>
        </w:rPr>
      </w:pPr>
      <w:bookmarkStart w:id="34" w:name="_Toc74320801"/>
      <w:r>
        <w:rPr>
          <w:rFonts w:hint="eastAsia" w:ascii="仿宋" w:hAnsi="仿宋" w:eastAsia="仿宋" w:cs="仿宋"/>
          <w:color w:val="auto"/>
          <w:highlight w:val="none"/>
        </w:rPr>
        <w:br w:type="page"/>
      </w:r>
    </w:p>
    <w:p w14:paraId="0F370244">
      <w:pPr>
        <w:pStyle w:val="3"/>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第二章  采购需求</w:t>
      </w:r>
      <w:bookmarkEnd w:id="34"/>
    </w:p>
    <w:p w14:paraId="4C5EAED0">
      <w:pPr>
        <w:jc w:val="left"/>
        <w:rPr>
          <w:rFonts w:ascii="仿宋" w:hAnsi="仿宋" w:eastAsia="仿宋" w:cs="仿宋"/>
          <w:bCs/>
          <w:color w:val="auto"/>
          <w:sz w:val="24"/>
          <w:highlight w:val="none"/>
        </w:rPr>
      </w:pPr>
      <w:bookmarkStart w:id="35" w:name="_Toc254970490"/>
      <w:bookmarkStart w:id="36" w:name="_Toc254970631"/>
      <w:r>
        <w:rPr>
          <w:rFonts w:hint="eastAsia" w:ascii="仿宋" w:hAnsi="仿宋" w:eastAsia="仿宋" w:cs="仿宋"/>
          <w:bCs/>
          <w:color w:val="auto"/>
          <w:sz w:val="24"/>
          <w:highlight w:val="none"/>
        </w:rPr>
        <w:t>说明：</w:t>
      </w:r>
    </w:p>
    <w:p w14:paraId="67653FA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采购需求》中的技术要求。</w:t>
      </w:r>
    </w:p>
    <w:p w14:paraId="324888B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2．凡在“技术要求”中表述为“标配”或“标准配置”的设备，投标人应在设备性能配置清单中将其标配参数详细列明。</w:t>
      </w:r>
    </w:p>
    <w:p w14:paraId="23B1CF8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否则按无效投标处理。</w:t>
      </w:r>
    </w:p>
    <w:p w14:paraId="7772B82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4．如投标人投标产品存在侵犯他人的知识产权或者专利成果行为的，由投标人自行承担相应法律责任。</w:t>
      </w:r>
    </w:p>
    <w:p w14:paraId="071032D3">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5．“实质性要求”是指招标文件中已经指明不满足则投标无效的条款，或者不容许负偏离的条款，或者采购需求中带“▲”的条款。</w:t>
      </w:r>
      <w:r>
        <w:rPr>
          <w:rFonts w:hint="eastAsia" w:ascii="仿宋" w:hAnsi="仿宋" w:eastAsia="仿宋" w:cs="仿宋"/>
          <w:bCs/>
          <w:color w:val="auto"/>
          <w:sz w:val="24"/>
          <w:highlight w:val="none"/>
          <w:u w:val="single"/>
        </w:rPr>
        <w:t>每个分标不带“▲”的非实质性条款</w:t>
      </w:r>
      <w:r>
        <w:rPr>
          <w:rFonts w:hint="eastAsia" w:ascii="仿宋" w:hAnsi="仿宋" w:eastAsia="仿宋" w:cs="仿宋"/>
          <w:color w:val="auto"/>
          <w:sz w:val="24"/>
          <w:highlight w:val="none"/>
          <w:u w:val="single"/>
        </w:rPr>
        <w:t>允许负偏离的条款数为2项，3项及以上的负偏离则投标无效。</w:t>
      </w:r>
    </w:p>
    <w:p w14:paraId="137A7D0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采购预算：详见采购公告</w:t>
      </w:r>
    </w:p>
    <w:p w14:paraId="5D1B4E1B">
      <w:pPr>
        <w:spacing w:line="360" w:lineRule="auto"/>
        <w:ind w:left="-10" w:leftChars="-5" w:right="2" w:rightChars="1"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项目所属行业：工业。</w:t>
      </w:r>
    </w:p>
    <w:tbl>
      <w:tblPr>
        <w:tblStyle w:val="49"/>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550"/>
        <w:gridCol w:w="12"/>
        <w:gridCol w:w="478"/>
        <w:gridCol w:w="576"/>
        <w:gridCol w:w="5760"/>
      </w:tblGrid>
      <w:tr w14:paraId="6B52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8792" w:type="dxa"/>
            <w:gridSpan w:val="6"/>
            <w:vAlign w:val="center"/>
          </w:tcPr>
          <w:p w14:paraId="7B905678">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1分标</w:t>
            </w:r>
          </w:p>
        </w:tc>
      </w:tr>
      <w:tr w14:paraId="66B9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416" w:type="dxa"/>
            <w:vAlign w:val="center"/>
          </w:tcPr>
          <w:p w14:paraId="4B6F0511">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550" w:type="dxa"/>
            <w:vAlign w:val="center"/>
          </w:tcPr>
          <w:p w14:paraId="7D223E81">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货物名称</w:t>
            </w:r>
          </w:p>
        </w:tc>
        <w:tc>
          <w:tcPr>
            <w:tcW w:w="490" w:type="dxa"/>
            <w:gridSpan w:val="2"/>
            <w:vAlign w:val="center"/>
          </w:tcPr>
          <w:p w14:paraId="25C4D932">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576" w:type="dxa"/>
            <w:vAlign w:val="center"/>
          </w:tcPr>
          <w:p w14:paraId="0BCD1016">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单位</w:t>
            </w:r>
          </w:p>
        </w:tc>
        <w:tc>
          <w:tcPr>
            <w:tcW w:w="5760" w:type="dxa"/>
            <w:vAlign w:val="center"/>
          </w:tcPr>
          <w:p w14:paraId="54EEC2F4">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技术参数及性能（配置）要求</w:t>
            </w:r>
          </w:p>
        </w:tc>
      </w:tr>
      <w:tr w14:paraId="32EA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6" w:type="dxa"/>
            <w:vAlign w:val="center"/>
          </w:tcPr>
          <w:p w14:paraId="0719F65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0" w:type="dxa"/>
            <w:vAlign w:val="center"/>
          </w:tcPr>
          <w:p w14:paraId="0A0CB716">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X射线衍射仪</w:t>
            </w:r>
          </w:p>
        </w:tc>
        <w:tc>
          <w:tcPr>
            <w:tcW w:w="490" w:type="dxa"/>
            <w:gridSpan w:val="2"/>
            <w:vAlign w:val="center"/>
          </w:tcPr>
          <w:p w14:paraId="24D8790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76" w:type="dxa"/>
            <w:vAlign w:val="center"/>
          </w:tcPr>
          <w:p w14:paraId="1FA881B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760" w:type="dxa"/>
            <w:vAlign w:val="center"/>
          </w:tcPr>
          <w:p w14:paraId="1E85712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（一）设备要求：</w:t>
            </w:r>
          </w:p>
          <w:p w14:paraId="00536C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用多晶X射线衍射分析法，可区分结晶和非晶物质，并对样品进行定性结构分析、无标样定量分析、结晶度计算、晶胞参数精修、晶粒尺寸及点阵畸变测定、结构参数分析等。本系统主要由X射线光源，测角仪，高能探测器，功能附件等组成。</w:t>
            </w:r>
          </w:p>
          <w:p w14:paraId="1B6696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（二）主要技术参数要求</w:t>
            </w:r>
          </w:p>
          <w:p w14:paraId="49AE7EE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  X射线光源部分</w:t>
            </w:r>
          </w:p>
          <w:p w14:paraId="4646496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1.1.1  X光管类型：陶瓷X光管，Cu靶和Ag靶</w:t>
            </w:r>
          </w:p>
          <w:p w14:paraId="117B52E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1.1.2. X光管最大功率：≥2.2 kW</w:t>
            </w:r>
          </w:p>
          <w:p w14:paraId="432766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1.1.3  X光管焦斑：0.4 × 12 mm</w:t>
            </w:r>
          </w:p>
          <w:p w14:paraId="599D5B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1.1.4高压发生器最大输出功率：≥3kW </w:t>
            </w:r>
          </w:p>
          <w:p w14:paraId="04BF59C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▲1.1.5 射线防护标准：投标文件中须提供投标产品的国内生产单位或进口产品的国内总代理单位或进口产品国内分公司办理的中国辐射认证豁免（注明投标文件页码。）</w:t>
            </w:r>
          </w:p>
          <w:p w14:paraId="3BE453B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  测角仪</w:t>
            </w:r>
          </w:p>
          <w:p w14:paraId="416BF88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1.2.1  采用光学编码器技术与步进马达（或者直流马达）双重定位</w:t>
            </w:r>
          </w:p>
          <w:p w14:paraId="66295E1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1.2.2  扫描方式：Theta/Theta 立式测角仪，样品水平放置</w:t>
            </w:r>
          </w:p>
          <w:p w14:paraId="5C0B10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1.2.3  测角仪半径：≤300 mm，测角圆直径可连续改变</w:t>
            </w:r>
          </w:p>
          <w:p w14:paraId="2F8D021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1.2.4  2θ转动范围不小于：-110</w:t>
            </w:r>
            <w:r>
              <w:rPr>
                <w:rFonts w:ascii="仿宋" w:hAnsi="仿宋" w:eastAsia="仿宋" w:cs="仿宋"/>
                <w:color w:val="auto"/>
                <w:sz w:val="24"/>
                <w:highlight w:val="none"/>
                <w:vertAlign w:val="superscript"/>
              </w:rPr>
              <w:t>o</w:t>
            </w:r>
            <w:r>
              <w:rPr>
                <w:rFonts w:hint="eastAsia" w:ascii="仿宋" w:hAnsi="仿宋" w:eastAsia="仿宋" w:cs="仿宋"/>
                <w:color w:val="auto"/>
                <w:sz w:val="24"/>
                <w:highlight w:val="none"/>
              </w:rPr>
              <w:t>～160</w:t>
            </w:r>
            <w:r>
              <w:rPr>
                <w:rFonts w:ascii="仿宋" w:hAnsi="仿宋" w:eastAsia="仿宋" w:cs="仿宋"/>
                <w:color w:val="auto"/>
                <w:sz w:val="24"/>
                <w:highlight w:val="none"/>
                <w:vertAlign w:val="superscript"/>
              </w:rPr>
              <w:t>o</w:t>
            </w:r>
            <w:r>
              <w:rPr>
                <w:rFonts w:hint="eastAsia" w:ascii="仿宋" w:hAnsi="仿宋" w:eastAsia="仿宋" w:cs="仿宋"/>
                <w:color w:val="auto"/>
                <w:sz w:val="24"/>
                <w:highlight w:val="none"/>
              </w:rPr>
              <w:t xml:space="preserve"> </w:t>
            </w:r>
          </w:p>
          <w:p w14:paraId="4F95FC6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1.2.5  可读最小步长：0.0001</w:t>
            </w:r>
            <w:r>
              <w:rPr>
                <w:rFonts w:ascii="仿宋" w:hAnsi="仿宋" w:eastAsia="仿宋" w:cs="仿宋"/>
                <w:color w:val="auto"/>
                <w:sz w:val="24"/>
                <w:highlight w:val="none"/>
                <w:vertAlign w:val="superscript"/>
              </w:rPr>
              <w:t>o</w:t>
            </w:r>
          </w:p>
          <w:p w14:paraId="47FFEE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1.2.6 验收精度：国际标准样品现场检测，全谱范围内所有峰的角度偏差不超过±0.01度。</w:t>
            </w:r>
          </w:p>
          <w:p w14:paraId="407824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1.3.  半导体阵列探测器： </w:t>
            </w:r>
          </w:p>
          <w:p w14:paraId="5C1B60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▲1.3.1探测器有效探测器面积：≥35 mm×35 mm； </w:t>
            </w:r>
          </w:p>
          <w:p w14:paraId="213F46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1.3.2子探测器个数：≥250,000；</w:t>
            </w:r>
          </w:p>
          <w:p w14:paraId="13742C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▲1.3.3单个探测器的像素≤75µm×75µm；</w:t>
            </w:r>
          </w:p>
          <w:p w14:paraId="6ADDEEE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1.3.4 扫描方式：零维模式（点探测器），一维模式（线探测器），二维模式（面探测器）；三种模式可以计算机控制自动切换。</w:t>
            </w:r>
          </w:p>
          <w:p w14:paraId="5F22A09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▲1.3.5一个探测器必须适合Cr、Co、Cu、Mo、Ag多种波长X射线</w:t>
            </w:r>
          </w:p>
          <w:p w14:paraId="4E7742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1.3.6 免维护，无需通气干燥。</w:t>
            </w:r>
          </w:p>
          <w:p w14:paraId="503C48A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 光路部分</w:t>
            </w:r>
          </w:p>
          <w:p w14:paraId="33BD29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1.4.1  所有光学附件均采用模块化设计，采用无工具安装、拆卸方式。</w:t>
            </w:r>
          </w:p>
          <w:p w14:paraId="7AEB423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 入射光光路系统：</w:t>
            </w:r>
          </w:p>
          <w:p w14:paraId="2E582F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1.4.2.1 自动发散狭缝系统：可变范围不小于5mm。</w:t>
            </w:r>
          </w:p>
          <w:p w14:paraId="081D041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▲1.4.4</w:t>
            </w:r>
            <w:r>
              <w:rPr>
                <w:rFonts w:ascii="仿宋" w:hAnsi="仿宋" w:eastAsia="仿宋" w:cs="仿宋"/>
                <w:color w:val="auto"/>
                <w:sz w:val="24"/>
                <w:highlight w:val="none"/>
              </w:rPr>
              <w:t>.2 Ag</w:t>
            </w:r>
            <w:r>
              <w:rPr>
                <w:rFonts w:hint="eastAsia" w:ascii="仿宋" w:hAnsi="仿宋" w:eastAsia="仿宋" w:cs="仿宋"/>
                <w:color w:val="auto"/>
                <w:sz w:val="24"/>
                <w:highlight w:val="none"/>
              </w:rPr>
              <w:t>靶聚焦镜：长度≥60mm。</w:t>
            </w:r>
          </w:p>
          <w:p w14:paraId="5C326D8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1.4.3 衍射光路系统：自动防散射狭缝可变范围不小于5mm。</w:t>
            </w:r>
          </w:p>
          <w:p w14:paraId="15A17E7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1.4.4 小角度附件</w:t>
            </w:r>
          </w:p>
          <w:p w14:paraId="6F7E20B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 样品台</w:t>
            </w:r>
          </w:p>
          <w:p w14:paraId="54BA7CE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1.5.1标准样品台</w:t>
            </w:r>
          </w:p>
          <w:p w14:paraId="1157659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r>
              <w:rPr>
                <w:rFonts w:ascii="仿宋" w:hAnsi="仿宋" w:eastAsia="仿宋" w:cs="仿宋"/>
                <w:color w:val="auto"/>
                <w:sz w:val="24"/>
                <w:highlight w:val="none"/>
              </w:rPr>
              <w:t>多功能样品台，能同时满足常规粉末样品分析、</w:t>
            </w:r>
            <w:r>
              <w:rPr>
                <w:rFonts w:hint="eastAsia" w:ascii="仿宋" w:hAnsi="仿宋" w:eastAsia="仿宋" w:cs="仿宋"/>
                <w:color w:val="auto"/>
                <w:sz w:val="24"/>
                <w:highlight w:val="none"/>
              </w:rPr>
              <w:t>块体样品、软包电池原位测试而无需</w:t>
            </w:r>
            <w:r>
              <w:rPr>
                <w:rFonts w:ascii="仿宋" w:hAnsi="仿宋" w:eastAsia="仿宋" w:cs="仿宋"/>
                <w:color w:val="auto"/>
                <w:sz w:val="24"/>
                <w:highlight w:val="none"/>
              </w:rPr>
              <w:t>更换样品台</w:t>
            </w:r>
            <w:r>
              <w:rPr>
                <w:rFonts w:hint="eastAsia" w:ascii="仿宋" w:hAnsi="仿宋" w:eastAsia="仿宋" w:cs="仿宋"/>
                <w:color w:val="auto"/>
                <w:sz w:val="24"/>
                <w:highlight w:val="none"/>
              </w:rPr>
              <w:t>。</w:t>
            </w:r>
          </w:p>
          <w:p w14:paraId="60E1355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 毛细管样品台，适合多种直径毛细管。</w:t>
            </w:r>
          </w:p>
          <w:p w14:paraId="3AC8EC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  样品架个数：粉末样品架40个，零背景样品架2个，块体样品架4个。</w:t>
            </w:r>
          </w:p>
          <w:p w14:paraId="492BA18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1.5.4 制样附件:包括研磨、压样附件。</w:t>
            </w:r>
          </w:p>
          <w:p w14:paraId="29E0903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  仪器控制和数据采集系统</w:t>
            </w:r>
          </w:p>
          <w:p w14:paraId="270A1F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1.6.1  控制系统：四核主频2.5G Hz及以上，16G 内存，1T HD，CD-RW，24”LED显示器，网卡，Windows11 64位操作系统。</w:t>
            </w:r>
          </w:p>
          <w:p w14:paraId="4A6BD7B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  仪器控制和数据采集软件</w:t>
            </w:r>
          </w:p>
          <w:p w14:paraId="263FC0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  应用软件满足以下功能</w:t>
            </w:r>
          </w:p>
          <w:p w14:paraId="76CAD41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 数据处理：背景、平滑、扣除Ka2、寻峰、积分、自定义打印模板等等。</w:t>
            </w:r>
          </w:p>
          <w:p w14:paraId="5E373B4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 物相检索：含原始数据直接检索功能；单峰和多峰检索。</w:t>
            </w:r>
          </w:p>
          <w:p w14:paraId="07EA63E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 物相定量分析方法包括但不限于：RIR、结晶度、无标样定量分析、内标法等多种定量方法。</w:t>
            </w:r>
          </w:p>
          <w:p w14:paraId="460806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 晶粒大小及微观应变</w:t>
            </w:r>
          </w:p>
          <w:p w14:paraId="3CF374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1.7.5 谱图拟合功能。</w:t>
            </w:r>
          </w:p>
          <w:p w14:paraId="62B62D9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1.7.6正版衍射图谱数据库</w:t>
            </w:r>
          </w:p>
          <w:p w14:paraId="01FF006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  辅助设备</w:t>
            </w:r>
          </w:p>
          <w:p w14:paraId="2EBF12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1.8.1  循环水冷系统：满足相应系统连续满功率运行：≥5kW</w:t>
            </w:r>
          </w:p>
          <w:p w14:paraId="7323B9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1.8.2  稳压电源：功率：≥10kA</w:t>
            </w:r>
          </w:p>
          <w:p w14:paraId="3CA20947">
            <w:pPr>
              <w:widowControl/>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（三）配置清单要求</w:t>
            </w:r>
          </w:p>
          <w:p w14:paraId="2F4ACCD3">
            <w:pPr>
              <w:spacing w:line="360" w:lineRule="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1. 防辐射机柜 1套</w:t>
            </w:r>
          </w:p>
          <w:p w14:paraId="63A080E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 高压发生器 1个</w:t>
            </w:r>
          </w:p>
          <w:p w14:paraId="1F7F39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 X射线管 Cu 和Ag个各 1根</w:t>
            </w:r>
          </w:p>
          <w:p w14:paraId="6EC2345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 测角仪 1套</w:t>
            </w:r>
          </w:p>
          <w:p w14:paraId="2B5ECD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 样品台 2套</w:t>
            </w:r>
          </w:p>
          <w:p w14:paraId="6EF0A8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 光路系统 1套</w:t>
            </w:r>
          </w:p>
          <w:p w14:paraId="21769E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 探测器 1个</w:t>
            </w:r>
          </w:p>
          <w:p w14:paraId="5EBC6A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 水冷机 1台</w:t>
            </w:r>
          </w:p>
          <w:p w14:paraId="7D4041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 稳压电源 1台</w:t>
            </w:r>
          </w:p>
          <w:p w14:paraId="250B05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 控制系统 1套</w:t>
            </w:r>
          </w:p>
        </w:tc>
      </w:tr>
      <w:tr w14:paraId="467A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2" w:type="dxa"/>
            <w:gridSpan w:val="6"/>
            <w:vAlign w:val="center"/>
          </w:tcPr>
          <w:p w14:paraId="6701ADF0">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商务要求表</w:t>
            </w:r>
          </w:p>
        </w:tc>
      </w:tr>
      <w:tr w14:paraId="7B28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78" w:type="dxa"/>
            <w:gridSpan w:val="3"/>
            <w:vAlign w:val="center"/>
          </w:tcPr>
          <w:p w14:paraId="6C215178">
            <w:pPr>
              <w:widowControl/>
              <w:spacing w:line="360" w:lineRule="auto"/>
              <w:jc w:val="center"/>
              <w:rPr>
                <w:rFonts w:ascii="仿宋" w:hAnsi="仿宋" w:eastAsia="仿宋" w:cs="仿宋"/>
                <w:b/>
                <w:bCs/>
                <w:color w:val="auto"/>
                <w:kern w:val="1"/>
                <w:sz w:val="24"/>
                <w:highlight w:val="none"/>
              </w:rPr>
            </w:pPr>
            <w:r>
              <w:rPr>
                <w:rFonts w:hint="eastAsia" w:ascii="仿宋" w:hAnsi="仿宋" w:eastAsia="仿宋" w:cs="仿宋"/>
                <w:b/>
                <w:bCs/>
                <w:color w:val="auto"/>
                <w:sz w:val="24"/>
                <w:highlight w:val="none"/>
              </w:rPr>
              <w:t>合同签订时间</w:t>
            </w:r>
          </w:p>
        </w:tc>
        <w:tc>
          <w:tcPr>
            <w:tcW w:w="6814" w:type="dxa"/>
            <w:gridSpan w:val="3"/>
            <w:vAlign w:val="center"/>
          </w:tcPr>
          <w:p w14:paraId="553F5EE8">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自中标通知书发出之日起25日内。</w:t>
            </w:r>
          </w:p>
        </w:tc>
      </w:tr>
      <w:tr w14:paraId="1294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78" w:type="dxa"/>
            <w:gridSpan w:val="3"/>
            <w:vAlign w:val="center"/>
          </w:tcPr>
          <w:p w14:paraId="64E4B759">
            <w:pPr>
              <w:spacing w:line="360" w:lineRule="auto"/>
              <w:jc w:val="center"/>
              <w:rPr>
                <w:rFonts w:ascii="仿宋" w:hAnsi="仿宋" w:eastAsia="仿宋" w:cs="仿宋"/>
                <w:color w:val="auto"/>
                <w:kern w:val="1"/>
                <w:sz w:val="24"/>
                <w:highlight w:val="none"/>
              </w:rPr>
            </w:pPr>
            <w:r>
              <w:rPr>
                <w:rFonts w:hint="eastAsia" w:ascii="仿宋" w:hAnsi="仿宋" w:eastAsia="仿宋" w:cs="仿宋"/>
                <w:b/>
                <w:color w:val="auto"/>
                <w:sz w:val="24"/>
                <w:highlight w:val="none"/>
              </w:rPr>
              <w:t>交货时间及地点</w:t>
            </w:r>
          </w:p>
        </w:tc>
        <w:tc>
          <w:tcPr>
            <w:tcW w:w="6814" w:type="dxa"/>
            <w:gridSpan w:val="3"/>
            <w:vAlign w:val="center"/>
          </w:tcPr>
          <w:p w14:paraId="355AB6B6">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交货时间：国产设备自签订合同之日起120日历天内到货安装调试完成并通过验收。进口设备自签订合同之日起2</w:t>
            </w:r>
            <w:r>
              <w:rPr>
                <w:rFonts w:ascii="仿宋" w:hAnsi="仿宋" w:eastAsia="仿宋" w:cs="仿宋"/>
                <w:color w:val="auto"/>
                <w:sz w:val="24"/>
                <w:highlight w:val="none"/>
              </w:rPr>
              <w:t>1</w:t>
            </w:r>
            <w:r>
              <w:rPr>
                <w:rFonts w:hint="eastAsia" w:ascii="仿宋" w:hAnsi="仿宋" w:eastAsia="仿宋" w:cs="仿宋"/>
                <w:color w:val="auto"/>
                <w:sz w:val="24"/>
                <w:highlight w:val="none"/>
              </w:rPr>
              <w:t>0日历天内到货安装调试完成并通过验收。</w:t>
            </w:r>
          </w:p>
          <w:p w14:paraId="742034BD">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交货地点：广西大学用户指定地点。</w:t>
            </w:r>
          </w:p>
        </w:tc>
      </w:tr>
      <w:tr w14:paraId="609E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78" w:type="dxa"/>
            <w:gridSpan w:val="3"/>
            <w:shd w:val="clear" w:color="auto" w:fill="auto"/>
            <w:vAlign w:val="center"/>
          </w:tcPr>
          <w:p w14:paraId="57D932C2">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货物验收</w:t>
            </w:r>
          </w:p>
        </w:tc>
        <w:tc>
          <w:tcPr>
            <w:tcW w:w="6814" w:type="dxa"/>
            <w:gridSpan w:val="3"/>
            <w:shd w:val="clear" w:color="auto" w:fill="auto"/>
            <w:vAlign w:val="center"/>
          </w:tcPr>
          <w:p w14:paraId="427D3051">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14:paraId="57B36638">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2.货物经过双方检验认可后，签署验收报告。由中标人提供产品保修文件。</w:t>
            </w:r>
          </w:p>
          <w:p w14:paraId="18656789">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3.当满足以下条件时，采购人才向中标人签发货物验收报告：</w:t>
            </w:r>
          </w:p>
          <w:p w14:paraId="0541A98C">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（1）中标人已按照合同规定提供了全部产品及完整的技术资料。</w:t>
            </w:r>
          </w:p>
          <w:p w14:paraId="43120ADE">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（2）货物各项参数完全符合《技术参数及性能（配置）要求》的要求，性能满足要求。</w:t>
            </w:r>
          </w:p>
          <w:p w14:paraId="2637CA88">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（3）中标人需负责安装、调试（测试），并完成采购人的使用操作培训。</w:t>
            </w:r>
          </w:p>
          <w:p w14:paraId="45617BC1">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4.验收过程中所产生的一切费用均包含在投标报价中，由中标人承担。</w:t>
            </w:r>
          </w:p>
          <w:p w14:paraId="47D5655E">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5.中标产品不能涉及任何法律纠纷。</w:t>
            </w:r>
          </w:p>
        </w:tc>
      </w:tr>
      <w:tr w14:paraId="5099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78" w:type="dxa"/>
            <w:gridSpan w:val="3"/>
            <w:shd w:val="clear" w:color="auto" w:fill="auto"/>
            <w:vAlign w:val="center"/>
          </w:tcPr>
          <w:p w14:paraId="409B7B3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质量保证要求</w:t>
            </w:r>
          </w:p>
        </w:tc>
        <w:tc>
          <w:tcPr>
            <w:tcW w:w="6814" w:type="dxa"/>
            <w:gridSpan w:val="3"/>
            <w:shd w:val="clear" w:color="auto" w:fill="auto"/>
          </w:tcPr>
          <w:p w14:paraId="27D1FA31">
            <w:pPr>
              <w:tabs>
                <w:tab w:val="left" w:pos="420"/>
              </w:tabs>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1.按国家有关产品“三包”规定执行“三包”政策，质量保证期不少于3年（分项货物或配置有明确要求的按分项要求；生产厂家承诺的质量保证期更长的按生产厂家的承诺），交货验收合格之日起计。</w:t>
            </w:r>
          </w:p>
          <w:p w14:paraId="3D77F926">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在质量保证期内出现的</w:t>
            </w:r>
            <w:r>
              <w:rPr>
                <w:rFonts w:hint="eastAsia" w:ascii="仿宋" w:hAnsi="仿宋" w:eastAsia="仿宋" w:cs="仿宋"/>
                <w:color w:val="auto"/>
                <w:sz w:val="24"/>
                <w:highlight w:val="none"/>
              </w:rPr>
              <w:t>任何故障及损失，中标人负责维修、更换配件，并负责软件更新升级、系统维护和远程服务。</w:t>
            </w:r>
          </w:p>
          <w:p w14:paraId="3E9E0E5B">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3.质量保证期满后，终身维护，且以市场最优惠价格提供维修和备件更换、软件更新升级，且承诺为用户提供终身技术咨询服务。</w:t>
            </w:r>
          </w:p>
        </w:tc>
      </w:tr>
      <w:tr w14:paraId="26D0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78" w:type="dxa"/>
            <w:gridSpan w:val="3"/>
            <w:shd w:val="clear" w:color="auto" w:fill="auto"/>
            <w:vAlign w:val="center"/>
          </w:tcPr>
          <w:p w14:paraId="2ECD916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售后服务要求</w:t>
            </w:r>
          </w:p>
        </w:tc>
        <w:tc>
          <w:tcPr>
            <w:tcW w:w="6814" w:type="dxa"/>
            <w:gridSpan w:val="3"/>
            <w:shd w:val="clear" w:color="auto" w:fill="auto"/>
          </w:tcPr>
          <w:p w14:paraId="1F507BEE">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1.负责送货上门、提供产品原厂工程师现场安装、安装调试服务、技术培训和36个月远程服务。</w:t>
            </w:r>
          </w:p>
          <w:p w14:paraId="6DAF2CEE">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2.维修响应：售后服务要求7天×8小时工作制，中标人在接到用户维修电话后1小时内响应，3小时内到达现场处理，一般情况下24小时内恢复正常使用。若不能修复须有合理应对方案。</w:t>
            </w:r>
          </w:p>
          <w:p w14:paraId="745B8DA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Cs/>
                <w:color w:val="auto"/>
                <w:kern w:val="0"/>
                <w:sz w:val="24"/>
                <w:highlight w:val="none"/>
              </w:rPr>
              <w:t>质量保证期</w:t>
            </w:r>
            <w:r>
              <w:rPr>
                <w:rFonts w:hint="eastAsia" w:ascii="仿宋" w:hAnsi="仿宋" w:eastAsia="仿宋" w:cs="仿宋"/>
                <w:color w:val="auto"/>
                <w:sz w:val="24"/>
                <w:highlight w:val="none"/>
              </w:rPr>
              <w:t>内因设备性能故障检修三次仍不能正常使用的，更换新设备。在超出</w:t>
            </w:r>
            <w:r>
              <w:rPr>
                <w:rFonts w:hint="eastAsia" w:ascii="仿宋" w:hAnsi="仿宋" w:eastAsia="仿宋" w:cs="仿宋"/>
                <w:bCs/>
                <w:color w:val="auto"/>
                <w:kern w:val="0"/>
                <w:sz w:val="24"/>
                <w:highlight w:val="none"/>
              </w:rPr>
              <w:t>质量保证期</w:t>
            </w:r>
            <w:r>
              <w:rPr>
                <w:rFonts w:hint="eastAsia" w:ascii="仿宋" w:hAnsi="仿宋" w:eastAsia="仿宋" w:cs="仿宋"/>
                <w:color w:val="auto"/>
                <w:sz w:val="24"/>
                <w:highlight w:val="none"/>
              </w:rPr>
              <w:t>后，如产品发生故障，可派技术员上门服务；如需更换配件，配件均按市场最优惠价格供应。</w:t>
            </w:r>
          </w:p>
          <w:p w14:paraId="775584B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4.终身提供技术协助服务。</w:t>
            </w:r>
          </w:p>
        </w:tc>
      </w:tr>
      <w:tr w14:paraId="7463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78" w:type="dxa"/>
            <w:gridSpan w:val="3"/>
            <w:shd w:val="clear" w:color="auto" w:fill="auto"/>
            <w:vAlign w:val="center"/>
          </w:tcPr>
          <w:p w14:paraId="2D02F309">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履约保证金收取及退付</w:t>
            </w:r>
          </w:p>
        </w:tc>
        <w:tc>
          <w:tcPr>
            <w:tcW w:w="6814" w:type="dxa"/>
            <w:gridSpan w:val="3"/>
            <w:shd w:val="clear" w:color="auto" w:fill="auto"/>
          </w:tcPr>
          <w:p w14:paraId="653262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1.履约保证金为合同金额的5%（中标人为中小微企业的，履约保证金为合同金额的2%。以投标文件中提交的中小企业声明函为依据）；签订合同时交至指定账户。</w:t>
            </w:r>
          </w:p>
          <w:p w14:paraId="58EE5F1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2.履约保证金缴纳方式：银行转账、支票、汇票、本票、保函等非现金方式。由中标人在签订合同时按规定的金额直接缴入以下采购人账户。</w:t>
            </w:r>
          </w:p>
          <w:p w14:paraId="4BC325B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统一社会信用代码：124500004985009929</w:t>
            </w:r>
          </w:p>
          <w:p w14:paraId="188B8D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户名：广西大学   </w:t>
            </w:r>
          </w:p>
          <w:p w14:paraId="3CBEE4D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开户行：中国银行广西南宁市西大支行（行号：104611010324）</w:t>
            </w:r>
          </w:p>
          <w:p w14:paraId="025E31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账号：618 457 484 938 </w:t>
            </w:r>
          </w:p>
          <w:p w14:paraId="72A843B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地址：广西南宁市大学东路100号  </w:t>
            </w:r>
          </w:p>
          <w:p w14:paraId="3C3A5B3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电话：0771-3232888</w:t>
            </w:r>
          </w:p>
          <w:p w14:paraId="25CAED8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缴纳履约保证金注明：“项目名称+项目编号”履约保证金。</w:t>
            </w:r>
          </w:p>
          <w:p w14:paraId="750740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325507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4.备注：</w:t>
            </w:r>
          </w:p>
          <w:p w14:paraId="0318E78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（1）履约保证金必须足额缴纳，或出具的保函额度必须足额且保函有效期不能低于合同履行期限（即签订采购合同之日起至履行完合同约定的权利及义务之日止），否则视为无效履约保证金。</w:t>
            </w:r>
          </w:p>
          <w:p w14:paraId="6D76749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（2）采用保函的，必须为无条件保函，否则视为无效履约保证金。</w:t>
            </w:r>
          </w:p>
        </w:tc>
      </w:tr>
      <w:tr w14:paraId="4342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78" w:type="dxa"/>
            <w:gridSpan w:val="3"/>
            <w:shd w:val="clear" w:color="auto" w:fill="auto"/>
            <w:vAlign w:val="center"/>
          </w:tcPr>
          <w:p w14:paraId="2D78739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6814" w:type="dxa"/>
            <w:gridSpan w:val="3"/>
            <w:shd w:val="clear" w:color="auto" w:fill="auto"/>
            <w:vAlign w:val="center"/>
          </w:tcPr>
          <w:p w14:paraId="00F6DA7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1.国产设备付款：本项目无预付款，全部货物安装调试完毕并经验收合格后，采购人一次性向中标人支付全部合同款（无息）；付款前，中标人开具等额增值税专用发票给采购人。</w:t>
            </w:r>
          </w:p>
          <w:p w14:paraId="19270D8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免税进口设备付款：本项目外贸进口代理业务由采购人指定外贸代理承担，并按下述方式支付合同款：合同生效后，采购人支付100%合同款给指定外贸代理商，指定外贸代理商与中标人按以下方式结算：（1）指定外贸代理商向中标产品国外生产商开出设备款100%的即期不可撤销信用证或者电汇支付；（2）设备到货并经采购人验收合格后，指定外贸代理商与中标人结算合同款。（注：双方以人民币结算）采购人、中标人及指定外贸代理商三方另行签订《外贸进口代理协议书（三方协议）》，约定外贸进口业务有关事宜。</w:t>
            </w:r>
          </w:p>
          <w:p w14:paraId="0A3F8E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3.依法不能办理免税的进口设备按国产设备付款方式支付。</w:t>
            </w:r>
          </w:p>
        </w:tc>
      </w:tr>
      <w:tr w14:paraId="3B1D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78" w:type="dxa"/>
            <w:gridSpan w:val="3"/>
            <w:shd w:val="clear" w:color="auto" w:fill="auto"/>
            <w:vAlign w:val="center"/>
          </w:tcPr>
          <w:p w14:paraId="78D180B0">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进口产品投标</w:t>
            </w:r>
          </w:p>
          <w:p w14:paraId="1842D7FA">
            <w:pPr>
              <w:spacing w:line="360" w:lineRule="auto"/>
              <w:jc w:val="center"/>
              <w:rPr>
                <w:rFonts w:ascii="仿宋" w:hAnsi="仿宋" w:eastAsia="仿宋" w:cs="仿宋"/>
                <w:b/>
                <w:color w:val="auto"/>
                <w:sz w:val="24"/>
                <w:highlight w:val="none"/>
              </w:rPr>
            </w:pPr>
            <w:r>
              <w:rPr>
                <w:rFonts w:hint="eastAsia" w:ascii="仿宋" w:hAnsi="仿宋" w:eastAsia="仿宋" w:cs="仿宋"/>
                <w:bCs/>
                <w:color w:val="auto"/>
                <w:sz w:val="24"/>
                <w:highlight w:val="none"/>
              </w:rPr>
              <w:t>注意事项</w:t>
            </w:r>
          </w:p>
        </w:tc>
        <w:tc>
          <w:tcPr>
            <w:tcW w:w="6814" w:type="dxa"/>
            <w:gridSpan w:val="3"/>
            <w:shd w:val="clear" w:color="auto" w:fill="auto"/>
            <w:vAlign w:val="center"/>
          </w:tcPr>
          <w:p w14:paraId="576444D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本分标货物已按规定办妥进口产品采购审核手续，供应商的投标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w:t>
            </w:r>
          </w:p>
          <w:p w14:paraId="3CB2070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标人在成交后负责与指定外贸代理机构办理进口产品的相关手续，承担相关的所有费用（含办理免税证的费用），采购人负责协助中标人办理免税手续。依法不能办理免税的进口设备由中标人办理进口产品的相关手续，供货时中标人需提供进口设备报关单。</w:t>
            </w:r>
          </w:p>
          <w:p w14:paraId="14C596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2.进口代理费费率基准如下：</w:t>
            </w:r>
          </w:p>
          <w:p w14:paraId="7B2014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中标金额80万元（不含）以下，进口代理服务费收取比例为1.5%;</w:t>
            </w:r>
          </w:p>
          <w:p w14:paraId="18CD698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中标金额80--200万元（不含）,进口代理服务费收取比例为1.2%;</w:t>
            </w:r>
          </w:p>
          <w:p w14:paraId="1B565B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中标金额200—500万元（不含）,进口代理服务费收取比例为1%;</w:t>
            </w:r>
          </w:p>
          <w:p w14:paraId="5AEDEB9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中标金额500万元以上,进口代理服务费收取比例为0.8% 。</w:t>
            </w:r>
          </w:p>
          <w:p w14:paraId="7474ACF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3.若投标产品为进口产品，投标文件中必须提供生产厂家或厂家驻国内办事处或中国总代理商出具的授权书和售后服务承诺书原件扫描件；在供货时须提供原件。</w:t>
            </w:r>
          </w:p>
        </w:tc>
      </w:tr>
      <w:tr w14:paraId="6E12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78" w:type="dxa"/>
            <w:gridSpan w:val="3"/>
            <w:shd w:val="clear" w:color="auto" w:fill="auto"/>
            <w:vAlign w:val="center"/>
          </w:tcPr>
          <w:p w14:paraId="71F7574D">
            <w:pPr>
              <w:spacing w:line="360" w:lineRule="auto"/>
              <w:jc w:val="center"/>
              <w:rPr>
                <w:rFonts w:ascii="仿宋" w:hAnsi="仿宋" w:eastAsia="仿宋" w:cs="仿宋"/>
                <w:b/>
                <w:color w:val="auto"/>
                <w:kern w:val="1"/>
                <w:sz w:val="24"/>
                <w:highlight w:val="none"/>
              </w:rPr>
            </w:pPr>
            <w:r>
              <w:rPr>
                <w:rFonts w:hint="eastAsia" w:ascii="仿宋" w:hAnsi="仿宋" w:eastAsia="仿宋" w:cs="仿宋"/>
                <w:bCs/>
                <w:color w:val="auto"/>
                <w:sz w:val="24"/>
                <w:highlight w:val="none"/>
              </w:rPr>
              <w:t>其他要求</w:t>
            </w:r>
          </w:p>
        </w:tc>
        <w:tc>
          <w:tcPr>
            <w:tcW w:w="6814" w:type="dxa"/>
            <w:gridSpan w:val="3"/>
            <w:shd w:val="clear" w:color="auto" w:fill="auto"/>
            <w:vAlign w:val="center"/>
          </w:tcPr>
          <w:p w14:paraId="38DD07E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1284139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本项目实行总价包干制，投标报价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w:t>
            </w:r>
          </w:p>
          <w:p w14:paraId="6FF03A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3.中标人承担货物交付验收前的运输、安装等作业工人人身、设备安全责任；验收前，如果设备丢失、因投标人自身原因及第三人原因导致损坏，中标人应自行负责并承担不能交付货物的责任。</w:t>
            </w:r>
          </w:p>
        </w:tc>
      </w:tr>
    </w:tbl>
    <w:p w14:paraId="5B4BD23B">
      <w:pPr>
        <w:widowControl/>
        <w:spacing w:line="360" w:lineRule="auto"/>
        <w:jc w:val="center"/>
        <w:textAlignment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tbl>
      <w:tblPr>
        <w:tblStyle w:val="49"/>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529"/>
        <w:gridCol w:w="21"/>
        <w:gridCol w:w="490"/>
        <w:gridCol w:w="576"/>
        <w:gridCol w:w="6150"/>
      </w:tblGrid>
      <w:tr w14:paraId="0599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9182" w:type="dxa"/>
            <w:gridSpan w:val="6"/>
            <w:vAlign w:val="center"/>
          </w:tcPr>
          <w:p w14:paraId="06CD1B32">
            <w:pPr>
              <w:spacing w:line="360" w:lineRule="auto"/>
              <w:jc w:val="center"/>
              <w:rPr>
                <w:rFonts w:ascii="仿宋" w:hAnsi="仿宋" w:eastAsia="仿宋" w:cs="仿宋"/>
                <w:b/>
                <w:bCs/>
                <w:color w:val="auto"/>
                <w:kern w:val="0"/>
                <w:sz w:val="24"/>
                <w:szCs w:val="24"/>
                <w:highlight w:val="none"/>
              </w:rPr>
            </w:pPr>
            <w:bookmarkStart w:id="37" w:name="_Toc74320802"/>
            <w:r>
              <w:rPr>
                <w:rFonts w:hint="eastAsia" w:ascii="仿宋" w:hAnsi="仿宋" w:eastAsia="仿宋" w:cs="仿宋"/>
                <w:b/>
                <w:bCs/>
                <w:color w:val="auto"/>
                <w:kern w:val="0"/>
                <w:sz w:val="24"/>
                <w:szCs w:val="24"/>
                <w:highlight w:val="none"/>
              </w:rPr>
              <w:t>2分标</w:t>
            </w:r>
          </w:p>
        </w:tc>
      </w:tr>
      <w:bookmarkEnd w:id="35"/>
      <w:bookmarkEnd w:id="36"/>
      <w:tr w14:paraId="59A7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416" w:type="dxa"/>
            <w:vAlign w:val="center"/>
          </w:tcPr>
          <w:p w14:paraId="5AAEBA42">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550" w:type="dxa"/>
            <w:gridSpan w:val="2"/>
            <w:vAlign w:val="center"/>
          </w:tcPr>
          <w:p w14:paraId="7C2C4A58">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货物名称</w:t>
            </w:r>
          </w:p>
        </w:tc>
        <w:tc>
          <w:tcPr>
            <w:tcW w:w="490" w:type="dxa"/>
            <w:vAlign w:val="center"/>
          </w:tcPr>
          <w:p w14:paraId="4A2D000A">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576" w:type="dxa"/>
            <w:vAlign w:val="center"/>
          </w:tcPr>
          <w:p w14:paraId="3B675307">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6150" w:type="dxa"/>
            <w:vAlign w:val="center"/>
          </w:tcPr>
          <w:p w14:paraId="05E913C1">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技术参数及性能（配置）要求</w:t>
            </w:r>
          </w:p>
        </w:tc>
      </w:tr>
      <w:tr w14:paraId="20CF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6" w:type="dxa"/>
            <w:vAlign w:val="center"/>
          </w:tcPr>
          <w:p w14:paraId="0C309187">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0" w:type="dxa"/>
            <w:gridSpan w:val="2"/>
            <w:vAlign w:val="center"/>
          </w:tcPr>
          <w:p w14:paraId="3E4BAFC0">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压电力显微镜</w:t>
            </w:r>
          </w:p>
        </w:tc>
        <w:tc>
          <w:tcPr>
            <w:tcW w:w="490" w:type="dxa"/>
            <w:vAlign w:val="center"/>
          </w:tcPr>
          <w:p w14:paraId="78A22C11">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76" w:type="dxa"/>
            <w:vAlign w:val="center"/>
          </w:tcPr>
          <w:p w14:paraId="008187C8">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6150" w:type="dxa"/>
            <w:vAlign w:val="center"/>
          </w:tcPr>
          <w:p w14:paraId="0442C406">
            <w:pPr>
              <w:suppressAutoHyphen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（一）技术要求：</w:t>
            </w:r>
          </w:p>
          <w:p w14:paraId="1066CEC9">
            <w:pPr>
              <w:suppressAutoHyphen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利用压电效应和原子力显微镜 (AFM)的原理实现对材料的微观表征和测试，用于研究材料的压电性质和力学性质。能够在原子尺度真实反应材料表面结构和性质，能够在大气及液体环境下准确地观测样品表面纳米尺度的三维形貌，可对样品表面物理化学特性进行研究，如表面组分区别、表面电势、磁场力和其他表面力以及相互作用力的测量。配备扫描器。</w:t>
            </w:r>
          </w:p>
          <w:p w14:paraId="5317A144">
            <w:pPr>
              <w:suppressAutoHyphen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模块配置包含：轻敲模式；接触模式 ；定量相位成像模式 ；频率调制模式；压电力显微镜 ；静电力显微镜 ；表面电势显微镜；极化转换谱模式；双频高次谐波成像模式；智能探针校准；损耗因子显微镜；矢量压电力显微镜；力阵列测量；横向力模式；纳米操纵；双频共振追踪压电力显微镜模式；磁场力显微技术。</w:t>
            </w:r>
          </w:p>
          <w:p w14:paraId="4C927E4A">
            <w:pPr>
              <w:suppressAutoHyphen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其它附件：需配置标准扫描器、探针、标准样品、光学系统，适合在大气环境中使用的夹具工具等。</w:t>
            </w:r>
          </w:p>
          <w:p w14:paraId="2B03B12E">
            <w:pPr>
              <w:suppressAutoHyphen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7B0F273">
            <w:pPr>
              <w:pStyle w:val="137"/>
              <w:spacing w:line="360" w:lineRule="auto"/>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 xml:space="preserve">（二）具体性能指标：  </w:t>
            </w:r>
          </w:p>
          <w:p w14:paraId="6A51FD37">
            <w:pPr>
              <w:autoSpaceDN w:val="0"/>
              <w:spacing w:line="360" w:lineRule="auto"/>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 XYZ 三轴闭环扫描器：XY方向扫描范围≥100µm × 100µm；Z方向扫描范围≥10 µm。（</w:t>
            </w:r>
            <w:r>
              <w:rPr>
                <w:rFonts w:hint="eastAsia" w:ascii="仿宋" w:hAnsi="仿宋" w:eastAsia="仿宋" w:cs="仿宋"/>
                <w:b w:val="0"/>
                <w:color w:val="auto"/>
                <w:sz w:val="24"/>
                <w:szCs w:val="24"/>
                <w:highlight w:val="none"/>
                <w:lang w:eastAsia="zh-CN"/>
              </w:rPr>
              <w:t>投标文件中提供</w:t>
            </w:r>
            <w:r>
              <w:rPr>
                <w:rFonts w:hint="eastAsia" w:ascii="仿宋" w:hAnsi="仿宋" w:eastAsia="仿宋" w:cs="仿宋"/>
                <w:b w:val="0"/>
                <w:color w:val="auto"/>
                <w:sz w:val="24"/>
                <w:szCs w:val="24"/>
                <w:highlight w:val="none"/>
              </w:rPr>
              <w:t>：厂家或制造商公开宣传的彩页或制造商</w:t>
            </w:r>
            <w:r>
              <w:rPr>
                <w:rFonts w:hint="eastAsia" w:ascii="仿宋" w:hAnsi="仿宋" w:eastAsia="仿宋" w:cs="仿宋"/>
                <w:b w:val="0"/>
                <w:color w:val="auto"/>
                <w:sz w:val="24"/>
                <w:szCs w:val="24"/>
                <w:highlight w:val="none"/>
                <w:lang w:eastAsia="zh-CN"/>
              </w:rPr>
              <w:t>编制的功能或技术参数证明材料。进口产品投标的，证明材料需要加盖制造商印章。</w:t>
            </w:r>
            <w:r>
              <w:rPr>
                <w:rFonts w:hint="eastAsia" w:ascii="仿宋" w:hAnsi="仿宋" w:eastAsia="仿宋" w:cs="仿宋"/>
                <w:color w:val="auto"/>
                <w:sz w:val="24"/>
                <w:szCs w:val="24"/>
                <w:highlight w:val="none"/>
              </w:rPr>
              <w:t>）</w:t>
            </w:r>
          </w:p>
          <w:p w14:paraId="666C2635">
            <w:pPr>
              <w:autoSpaceDN w:val="0"/>
              <w:spacing w:line="360" w:lineRule="auto"/>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 扫描器Z方向实际测试噪声水平≤0.035 nm；XY方向实际测试噪声水平≤0.15 nm。</w:t>
            </w:r>
          </w:p>
          <w:p w14:paraId="5E02A96D">
            <w:pPr>
              <w:autoSpaceDN w:val="0"/>
              <w:spacing w:line="360" w:lineRule="auto"/>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 高度检测噪声＜ 25 pm</w:t>
            </w:r>
          </w:p>
          <w:p w14:paraId="272AA333">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 需为三轴分离的平板式扫描器，三轴运动方向正交，高性能闭环控制技术，扫描器出厂后不需要校正。（</w:t>
            </w:r>
            <w:r>
              <w:rPr>
                <w:rFonts w:hint="eastAsia" w:ascii="仿宋" w:hAnsi="仿宋" w:eastAsia="仿宋" w:cs="仿宋"/>
                <w:b w:val="0"/>
                <w:color w:val="auto"/>
                <w:sz w:val="24"/>
                <w:szCs w:val="24"/>
                <w:highlight w:val="none"/>
                <w:lang w:eastAsia="zh-CN"/>
              </w:rPr>
              <w:t>投标文件中提供</w:t>
            </w:r>
            <w:r>
              <w:rPr>
                <w:rFonts w:hint="eastAsia" w:ascii="仿宋" w:hAnsi="仿宋" w:eastAsia="仿宋" w:cs="仿宋"/>
                <w:b w:val="0"/>
                <w:color w:val="auto"/>
                <w:sz w:val="24"/>
                <w:szCs w:val="24"/>
                <w:highlight w:val="none"/>
              </w:rPr>
              <w:t>：厂家或制造商公开宣传的彩页或制造商</w:t>
            </w:r>
            <w:r>
              <w:rPr>
                <w:rFonts w:hint="eastAsia" w:ascii="仿宋" w:hAnsi="仿宋" w:eastAsia="仿宋" w:cs="仿宋"/>
                <w:b w:val="0"/>
                <w:color w:val="auto"/>
                <w:sz w:val="24"/>
                <w:szCs w:val="24"/>
                <w:highlight w:val="none"/>
                <w:lang w:eastAsia="zh-CN"/>
              </w:rPr>
              <w:t>编制的功能或技术参数证明材料。进口产品投标的，证明材料需要加盖制造商印章。</w:t>
            </w:r>
            <w:r>
              <w:rPr>
                <w:rFonts w:hint="eastAsia" w:ascii="仿宋" w:hAnsi="仿宋" w:eastAsia="仿宋" w:cs="仿宋"/>
                <w:color w:val="auto"/>
                <w:sz w:val="24"/>
                <w:szCs w:val="24"/>
                <w:highlight w:val="none"/>
              </w:rPr>
              <w:t>）</w:t>
            </w:r>
          </w:p>
          <w:p w14:paraId="29C3A4E2">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 进针方式：智能自动进针方式，采用马达加压电陶瓷自动探测的智能进针模式。</w:t>
            </w:r>
          </w:p>
          <w:p w14:paraId="51994545">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1.6扫描速度：轻敲模式时，保证正常稳定成像的前提下：</w:t>
            </w:r>
          </w:p>
          <w:p w14:paraId="000359BD">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1.6.1 1μm范围扫描时，像素点至少256×256，扫描成像速度不低于40Hz；</w:t>
            </w:r>
          </w:p>
          <w:p w14:paraId="1B9649D4">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1.6.2 50μm大范围扫描时，像素点至少256×256，扫描成像速度不低于15Hz</w:t>
            </w:r>
          </w:p>
          <w:p w14:paraId="6F9B1D43">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 控制器内置≥3个锁相放大器</w:t>
            </w:r>
          </w:p>
          <w:p w14:paraId="2CBE7370">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 每条扫描线可获得的最大数据点数≥16000</w:t>
            </w:r>
          </w:p>
          <w:p w14:paraId="215F548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 有≥8通道同时成像。每个通道可同时获得≥5000×5000数据点；</w:t>
            </w:r>
          </w:p>
          <w:p w14:paraId="613B55ED">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 控制器提供开放信号接口，可通过开放接口提取或控制系统，实现与其他设备的信号交换；</w:t>
            </w:r>
          </w:p>
          <w:p w14:paraId="3C5C417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 热噪音法标定探针弹性系数的频率上限≥2MHz。</w:t>
            </w:r>
          </w:p>
          <w:p w14:paraId="3A490A77">
            <w:pPr>
              <w:autoSpaceDN w:val="0"/>
              <w:spacing w:line="360" w:lineRule="auto"/>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 样品台：最大可容纳样品直径≥200mm, 最大可容纳样品厚度≥15mm </w:t>
            </w:r>
          </w:p>
          <w:p w14:paraId="1F233799">
            <w:pPr>
              <w:autoSpaceDN w:val="0"/>
              <w:spacing w:line="360" w:lineRule="auto"/>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 样品台马达自动移动行程≥180x180mm；（</w:t>
            </w:r>
            <w:r>
              <w:rPr>
                <w:rFonts w:hint="eastAsia" w:ascii="仿宋" w:hAnsi="仿宋" w:eastAsia="仿宋" w:cs="仿宋"/>
                <w:b w:val="0"/>
                <w:color w:val="auto"/>
                <w:sz w:val="24"/>
                <w:szCs w:val="24"/>
                <w:highlight w:val="none"/>
                <w:lang w:eastAsia="zh-CN"/>
              </w:rPr>
              <w:t>投标文件中提供</w:t>
            </w:r>
            <w:r>
              <w:rPr>
                <w:rFonts w:hint="eastAsia" w:ascii="仿宋" w:hAnsi="仿宋" w:eastAsia="仿宋" w:cs="仿宋"/>
                <w:b w:val="0"/>
                <w:color w:val="auto"/>
                <w:sz w:val="24"/>
                <w:szCs w:val="24"/>
                <w:highlight w:val="none"/>
              </w:rPr>
              <w:t>：厂家或制造商公开宣传的彩页或制造商</w:t>
            </w:r>
            <w:r>
              <w:rPr>
                <w:rFonts w:hint="eastAsia" w:ascii="仿宋" w:hAnsi="仿宋" w:eastAsia="仿宋" w:cs="仿宋"/>
                <w:b w:val="0"/>
                <w:color w:val="auto"/>
                <w:sz w:val="24"/>
                <w:szCs w:val="24"/>
                <w:highlight w:val="none"/>
                <w:lang w:eastAsia="zh-CN"/>
              </w:rPr>
              <w:t>编制的功能或技术参数证明材料。进口产品投标的，证明材料需要加盖制造商印章。</w:t>
            </w:r>
            <w:r>
              <w:rPr>
                <w:rFonts w:hint="eastAsia" w:ascii="仿宋" w:hAnsi="仿宋" w:eastAsia="仿宋" w:cs="仿宋"/>
                <w:color w:val="auto"/>
                <w:sz w:val="24"/>
                <w:szCs w:val="24"/>
                <w:highlight w:val="none"/>
              </w:rPr>
              <w:t>）</w:t>
            </w:r>
          </w:p>
          <w:p w14:paraId="25189D2F">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 要求样品台可真空吸附样品。</w:t>
            </w:r>
          </w:p>
          <w:p w14:paraId="3C52DB2F">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 马达控制样品台移动速度≥40mm/s</w:t>
            </w:r>
          </w:p>
          <w:p w14:paraId="51AF5C03">
            <w:pPr>
              <w:autoSpaceDN w:val="0"/>
              <w:spacing w:line="360" w:lineRule="auto"/>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提供面内和面外压电力显微镜模式：具备形貌，面内和面外压电力信号同时实时扫描成像功能。通过内置或外加锁相放大器，压电力显微镜系统能实现双频共振追踪压电力显微镜、极化翻转谱压电力显微镜测试以及矢量压电力显微镜技术，在双频共振追踪压电力显微镜模式中，同时在共振峰的两侧施加两个振动频率以实时的追踪共振频率的变化；可以加载最高电压≧10V。（</w:t>
            </w:r>
            <w:r>
              <w:rPr>
                <w:rFonts w:hint="eastAsia" w:ascii="仿宋" w:hAnsi="仿宋" w:eastAsia="仿宋" w:cs="仿宋"/>
                <w:b w:val="0"/>
                <w:color w:val="auto"/>
                <w:sz w:val="24"/>
                <w:szCs w:val="24"/>
                <w:highlight w:val="none"/>
                <w:lang w:eastAsia="zh-CN"/>
              </w:rPr>
              <w:t>投标文件中提供</w:t>
            </w:r>
            <w:r>
              <w:rPr>
                <w:rFonts w:hint="eastAsia" w:ascii="仿宋" w:hAnsi="仿宋" w:eastAsia="仿宋" w:cs="仿宋"/>
                <w:b w:val="0"/>
                <w:color w:val="auto"/>
                <w:sz w:val="24"/>
                <w:szCs w:val="24"/>
                <w:highlight w:val="none"/>
              </w:rPr>
              <w:t>：厂家或制造商公开宣传的彩页或制造商</w:t>
            </w:r>
            <w:r>
              <w:rPr>
                <w:rFonts w:hint="eastAsia" w:ascii="仿宋" w:hAnsi="仿宋" w:eastAsia="仿宋" w:cs="仿宋"/>
                <w:b w:val="0"/>
                <w:color w:val="auto"/>
                <w:sz w:val="24"/>
                <w:szCs w:val="24"/>
                <w:highlight w:val="none"/>
                <w:lang w:eastAsia="zh-CN"/>
              </w:rPr>
              <w:t>编制的功能或技术参数证明材料。进口产品投标的，证明材料需要加盖制造商印章。</w:t>
            </w:r>
            <w:r>
              <w:rPr>
                <w:rFonts w:hint="eastAsia" w:ascii="仿宋" w:hAnsi="仿宋" w:eastAsia="仿宋" w:cs="仿宋"/>
                <w:color w:val="auto"/>
                <w:sz w:val="24"/>
                <w:szCs w:val="24"/>
                <w:highlight w:val="none"/>
              </w:rPr>
              <w:t>）</w:t>
            </w:r>
          </w:p>
          <w:p w14:paraId="4F69B2EF">
            <w:pPr>
              <w:numPr>
                <w:ilvl w:val="-1"/>
                <w:numId w:val="0"/>
              </w:numPr>
              <w:autoSpaceDN w:val="0"/>
              <w:snapToGrid/>
              <w:spacing w:line="360" w:lineRule="auto"/>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外加可变磁场模块：该模块由系统永磁体提供外加磁场，通过内置的高斯计闭环控制外加磁场的强度。水平方向施加磁场的范围不低于-7000至7000高斯,垂直方向的磁场范围不低于-1200至1200高斯，磁场强度需通过原子力显微镜主机的软件直接进行调节；模块需由原厂提供，不接受第三方定制。（</w:t>
            </w:r>
            <w:r>
              <w:rPr>
                <w:rFonts w:hint="eastAsia" w:ascii="仿宋" w:hAnsi="仿宋" w:eastAsia="仿宋" w:cs="仿宋"/>
                <w:b w:val="0"/>
                <w:color w:val="auto"/>
                <w:sz w:val="24"/>
                <w:szCs w:val="24"/>
                <w:highlight w:val="none"/>
                <w:lang w:eastAsia="zh-CN"/>
              </w:rPr>
              <w:t>投标文件中提供</w:t>
            </w:r>
            <w:r>
              <w:rPr>
                <w:rFonts w:hint="eastAsia" w:ascii="仿宋" w:hAnsi="仿宋" w:eastAsia="仿宋" w:cs="仿宋"/>
                <w:b w:val="0"/>
                <w:color w:val="auto"/>
                <w:sz w:val="24"/>
                <w:szCs w:val="24"/>
                <w:highlight w:val="none"/>
              </w:rPr>
              <w:t>：厂家或制造商公开宣传的彩页或制造商</w:t>
            </w:r>
            <w:r>
              <w:rPr>
                <w:rFonts w:hint="eastAsia" w:ascii="仿宋" w:hAnsi="仿宋" w:eastAsia="仿宋" w:cs="仿宋"/>
                <w:b w:val="0"/>
                <w:color w:val="auto"/>
                <w:sz w:val="24"/>
                <w:szCs w:val="24"/>
                <w:highlight w:val="none"/>
                <w:lang w:eastAsia="zh-CN"/>
              </w:rPr>
              <w:t>编制的功能或技术参数证明材料。进口产品投标的，证明材料需要加盖制造商印章。</w:t>
            </w:r>
            <w:r>
              <w:rPr>
                <w:rFonts w:hint="eastAsia" w:ascii="仿宋" w:hAnsi="仿宋" w:eastAsia="仿宋" w:cs="仿宋"/>
                <w:color w:val="auto"/>
                <w:sz w:val="24"/>
                <w:szCs w:val="24"/>
                <w:highlight w:val="none"/>
              </w:rPr>
              <w:t>）</w:t>
            </w:r>
          </w:p>
          <w:p w14:paraId="0808B808">
            <w:pPr>
              <w:autoSpaceDN w:val="0"/>
              <w:spacing w:line="360" w:lineRule="auto"/>
              <w:textAlignment w:val="center"/>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6.1 辅助光学模块具备聚焦和缩放功能，单视野最大范围≥0.9x1.2mm。光学</w:t>
            </w:r>
            <w:r>
              <w:rPr>
                <w:rFonts w:hint="eastAsia" w:ascii="仿宋" w:hAnsi="仿宋" w:eastAsia="仿宋" w:cs="仿宋"/>
                <w:b w:val="0"/>
                <w:bCs w:val="0"/>
                <w:color w:val="auto"/>
                <w:sz w:val="24"/>
                <w:szCs w:val="24"/>
                <w:highlight w:val="none"/>
              </w:rPr>
              <w:t>分辨率≤1.5微米，计算机控制照明，彩色CCD摄像头</w:t>
            </w:r>
            <w:bookmarkStart w:id="148" w:name="_GoBack"/>
            <w:bookmarkEnd w:id="148"/>
          </w:p>
          <w:p w14:paraId="5188BD7B">
            <w:pPr>
              <w:autoSpaceDN w:val="0"/>
              <w:spacing w:line="360" w:lineRule="auto"/>
              <w:textAlignment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7.1 提供力谱功能，可以实现力谱测试功能，速度≥5Hz；</w:t>
            </w:r>
          </w:p>
          <w:p w14:paraId="05DA08D4">
            <w:pPr>
              <w:pStyle w:val="58"/>
              <w:spacing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8.1智能化控制软件</w:t>
            </w:r>
          </w:p>
          <w:p w14:paraId="18916B22">
            <w:pPr>
              <w:pStyle w:val="58"/>
              <w:spacing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▲8.1.1通过原子力显微镜 (AFM)操作软件驱动马达自由移动检测激光的光斑位置，无需手动调节旋钮；（</w:t>
            </w:r>
            <w:r>
              <w:rPr>
                <w:rFonts w:hint="eastAsia" w:ascii="仿宋" w:hAnsi="仿宋" w:eastAsia="仿宋" w:cs="仿宋"/>
                <w:b w:val="0"/>
                <w:bCs w:val="0"/>
                <w:color w:val="auto"/>
                <w:sz w:val="24"/>
                <w:szCs w:val="24"/>
                <w:highlight w:val="none"/>
                <w:lang w:eastAsia="zh-CN"/>
              </w:rPr>
              <w:t>投标文件中提供</w:t>
            </w:r>
            <w:r>
              <w:rPr>
                <w:rFonts w:hint="eastAsia" w:ascii="仿宋" w:hAnsi="仿宋" w:eastAsia="仿宋" w:cs="仿宋"/>
                <w:b w:val="0"/>
                <w:bCs w:val="0"/>
                <w:color w:val="auto"/>
                <w:sz w:val="24"/>
                <w:szCs w:val="24"/>
                <w:highlight w:val="none"/>
              </w:rPr>
              <w:t>：厂家或制造商公开宣传的彩页或制造商</w:t>
            </w:r>
            <w:r>
              <w:rPr>
                <w:rFonts w:hint="eastAsia" w:ascii="仿宋" w:hAnsi="仿宋" w:eastAsia="仿宋" w:cs="仿宋"/>
                <w:b w:val="0"/>
                <w:bCs w:val="0"/>
                <w:color w:val="auto"/>
                <w:sz w:val="24"/>
                <w:szCs w:val="24"/>
                <w:highlight w:val="none"/>
                <w:lang w:eastAsia="zh-CN"/>
              </w:rPr>
              <w:t>编制的功能或技术参数证明材料。进口产品投标的，证明材料需要加盖制造商印章。</w:t>
            </w:r>
            <w:r>
              <w:rPr>
                <w:rFonts w:hint="eastAsia" w:ascii="仿宋" w:hAnsi="仿宋" w:eastAsia="仿宋" w:cs="仿宋"/>
                <w:b w:val="0"/>
                <w:bCs w:val="0"/>
                <w:color w:val="auto"/>
                <w:sz w:val="24"/>
                <w:szCs w:val="24"/>
                <w:highlight w:val="none"/>
              </w:rPr>
              <w:t>）</w:t>
            </w:r>
          </w:p>
          <w:p w14:paraId="1DC7C115">
            <w:pPr>
              <w:pStyle w:val="58"/>
              <w:spacing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▲8.1.2通过原子力显微镜 (AFM)操作软件控制光电二极管检测器自动归零，无需手动调节旋钮；（</w:t>
            </w:r>
            <w:r>
              <w:rPr>
                <w:rFonts w:hint="eastAsia" w:ascii="仿宋" w:hAnsi="仿宋" w:eastAsia="仿宋" w:cs="仿宋"/>
                <w:b w:val="0"/>
                <w:bCs w:val="0"/>
                <w:color w:val="auto"/>
                <w:sz w:val="24"/>
                <w:szCs w:val="24"/>
                <w:highlight w:val="none"/>
                <w:lang w:eastAsia="zh-CN"/>
              </w:rPr>
              <w:t>投标文件中提供</w:t>
            </w:r>
            <w:r>
              <w:rPr>
                <w:rFonts w:hint="eastAsia" w:ascii="仿宋" w:hAnsi="仿宋" w:eastAsia="仿宋" w:cs="仿宋"/>
                <w:b w:val="0"/>
                <w:bCs w:val="0"/>
                <w:color w:val="auto"/>
                <w:sz w:val="24"/>
                <w:szCs w:val="24"/>
                <w:highlight w:val="none"/>
              </w:rPr>
              <w:t>：厂家或制造商公开宣传的彩页或制造商</w:t>
            </w:r>
            <w:r>
              <w:rPr>
                <w:rFonts w:hint="eastAsia" w:ascii="仿宋" w:hAnsi="仿宋" w:eastAsia="仿宋" w:cs="仿宋"/>
                <w:b w:val="0"/>
                <w:bCs w:val="0"/>
                <w:color w:val="auto"/>
                <w:sz w:val="24"/>
                <w:szCs w:val="24"/>
                <w:highlight w:val="none"/>
                <w:lang w:eastAsia="zh-CN"/>
              </w:rPr>
              <w:t>编制的功能或技术参数证明材料。进口产品投标的，证明材料需要加盖制造商印章。</w:t>
            </w:r>
            <w:r>
              <w:rPr>
                <w:rFonts w:hint="eastAsia" w:ascii="仿宋" w:hAnsi="仿宋" w:eastAsia="仿宋" w:cs="仿宋"/>
                <w:b w:val="0"/>
                <w:bCs w:val="0"/>
                <w:color w:val="auto"/>
                <w:sz w:val="24"/>
                <w:highlight w:val="none"/>
              </w:rPr>
              <w:t>）</w:t>
            </w:r>
          </w:p>
          <w:p w14:paraId="13471248">
            <w:pPr>
              <w:autoSpaceDE w:val="0"/>
              <w:autoSpaceDN w:val="0"/>
              <w:adjustRightInd w:val="0"/>
              <w:spacing w:line="360" w:lineRule="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9.1 提供编程多点自动扫描模式，配合自动样品台，可实现多位点多样品的自动移动、下针及测试等。</w:t>
            </w:r>
          </w:p>
          <w:p w14:paraId="28950ADB">
            <w:pPr>
              <w:pStyle w:val="58"/>
              <w:spacing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10.1 主机控制系统（Windows系统， ≥1T固态硬盘，≥16G内存，独立显卡，≥30英寸彩色显示器）；</w:t>
            </w:r>
          </w:p>
          <w:p w14:paraId="78CE3DF6">
            <w:pPr>
              <w:pStyle w:val="58"/>
              <w:spacing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10.2 智能成像模式：用户只需要选择扫描范围，系统就能够在扫描过程自动调节≥3个参数。</w:t>
            </w:r>
          </w:p>
          <w:p w14:paraId="1B2BEE5F">
            <w:pPr>
              <w:pStyle w:val="58"/>
              <w:spacing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w:t>
            </w:r>
            <w:r>
              <w:rPr>
                <w:rFonts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rPr>
              <w:t xml:space="preserve"> 在线及离线图像分析功能，提供图像导出，粗糙度分析，力曲线及图像切片数据获取等功能，终身免费升级。</w:t>
            </w:r>
          </w:p>
          <w:p w14:paraId="7F646A7B">
            <w:pPr>
              <w:pStyle w:val="58"/>
              <w:spacing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▲11.1原子力显微镜系统需可升级光热激发成像功能（通过激光驱动探针稳定的振动，非传统压电陶瓷驱动）。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szCs w:val="24"/>
                <w:highlight w:val="none"/>
                <w:lang w:eastAsia="zh-CN"/>
              </w:rPr>
              <w:t>投标文件中提供</w:t>
            </w:r>
            <w:r>
              <w:rPr>
                <w:rFonts w:hint="eastAsia" w:ascii="仿宋" w:hAnsi="仿宋" w:eastAsia="仿宋" w:cs="仿宋"/>
                <w:b w:val="0"/>
                <w:bCs w:val="0"/>
                <w:color w:val="auto"/>
                <w:sz w:val="24"/>
                <w:szCs w:val="24"/>
                <w:highlight w:val="none"/>
              </w:rPr>
              <w:t>：厂家或制造商公开宣传的彩页或制造商</w:t>
            </w:r>
            <w:r>
              <w:rPr>
                <w:rFonts w:hint="eastAsia" w:ascii="仿宋" w:hAnsi="仿宋" w:eastAsia="仿宋" w:cs="仿宋"/>
                <w:b w:val="0"/>
                <w:bCs w:val="0"/>
                <w:color w:val="auto"/>
                <w:sz w:val="24"/>
                <w:szCs w:val="24"/>
                <w:highlight w:val="none"/>
                <w:lang w:eastAsia="zh-CN"/>
              </w:rPr>
              <w:t>编制的功能或技术参数证明材料。进口产品投标的，证明材料需要加盖制造商印章。</w:t>
            </w:r>
            <w:r>
              <w:rPr>
                <w:rFonts w:hint="eastAsia" w:ascii="仿宋" w:hAnsi="仿宋" w:eastAsia="仿宋" w:cs="仿宋"/>
                <w:b w:val="0"/>
                <w:bCs w:val="0"/>
                <w:color w:val="auto"/>
                <w:sz w:val="24"/>
                <w:highlight w:val="none"/>
              </w:rPr>
              <w:t>）</w:t>
            </w:r>
          </w:p>
          <w:p w14:paraId="4A55E4D2">
            <w:pPr>
              <w:autoSpaceDE w:val="0"/>
              <w:autoSpaceDN w:val="0"/>
              <w:adjustRightInd w:val="0"/>
              <w:spacing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szCs w:val="24"/>
                <w:highlight w:val="none"/>
              </w:rPr>
              <w:t>2.1提供专用一体式隔音减震台</w:t>
            </w:r>
          </w:p>
          <w:p w14:paraId="5C383AF5">
            <w:pPr>
              <w:autoSpaceDE w:val="0"/>
              <w:autoSpaceDN w:val="0"/>
              <w:adjustRightInd w:val="0"/>
              <w:spacing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13.1 提供扫描探针显微镜专用探针≥100根。</w:t>
            </w:r>
          </w:p>
          <w:p w14:paraId="743AADB4">
            <w:pPr>
              <w:autoSpaceDE w:val="0"/>
              <w:autoSpaceDN w:val="0"/>
              <w:adjustRightInd w:val="0"/>
              <w:spacing w:line="36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13.2 专用探针夹 1个。</w:t>
            </w:r>
          </w:p>
          <w:p w14:paraId="0F21DAB1">
            <w:pPr>
              <w:spacing w:line="360" w:lineRule="auto"/>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13.3 数据采集和处理</w:t>
            </w:r>
            <w:r>
              <w:rPr>
                <w:rFonts w:hint="eastAsia" w:ascii="仿宋" w:hAnsi="仿宋" w:eastAsia="仿宋" w:cs="仿宋"/>
                <w:color w:val="auto"/>
                <w:sz w:val="24"/>
                <w:szCs w:val="24"/>
                <w:highlight w:val="none"/>
              </w:rPr>
              <w:t xml:space="preserve">系统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1套</w:t>
            </w:r>
          </w:p>
        </w:tc>
      </w:tr>
      <w:tr w14:paraId="1343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82" w:type="dxa"/>
            <w:gridSpan w:val="6"/>
            <w:vAlign w:val="center"/>
          </w:tcPr>
          <w:p w14:paraId="52188F70">
            <w:pPr>
              <w:spacing w:line="360" w:lineRule="auto"/>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商务要求表</w:t>
            </w:r>
          </w:p>
        </w:tc>
      </w:tr>
      <w:tr w14:paraId="0D1C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45" w:type="dxa"/>
            <w:gridSpan w:val="2"/>
            <w:vAlign w:val="center"/>
          </w:tcPr>
          <w:p w14:paraId="21761D1B">
            <w:pPr>
              <w:widowControl/>
              <w:spacing w:line="360" w:lineRule="auto"/>
              <w:jc w:val="center"/>
              <w:rPr>
                <w:rFonts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合同签订时间</w:t>
            </w:r>
          </w:p>
        </w:tc>
        <w:tc>
          <w:tcPr>
            <w:tcW w:w="7237" w:type="dxa"/>
            <w:gridSpan w:val="4"/>
            <w:vAlign w:val="center"/>
          </w:tcPr>
          <w:p w14:paraId="4B4765E1">
            <w:pPr>
              <w:widowControl/>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自中标通知书发出之日起25日内。</w:t>
            </w:r>
          </w:p>
        </w:tc>
      </w:tr>
      <w:tr w14:paraId="47D6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45" w:type="dxa"/>
            <w:gridSpan w:val="2"/>
            <w:tcBorders>
              <w:bottom w:val="single" w:color="auto" w:sz="4" w:space="0"/>
            </w:tcBorders>
            <w:vAlign w:val="center"/>
          </w:tcPr>
          <w:p w14:paraId="13469601">
            <w:pPr>
              <w:spacing w:line="360" w:lineRule="auto"/>
              <w:jc w:val="center"/>
              <w:rPr>
                <w:rFonts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交货时间及地点</w:t>
            </w:r>
          </w:p>
        </w:tc>
        <w:tc>
          <w:tcPr>
            <w:tcW w:w="7237" w:type="dxa"/>
            <w:gridSpan w:val="4"/>
            <w:tcBorders>
              <w:bottom w:val="single" w:color="auto" w:sz="4" w:space="0"/>
            </w:tcBorders>
            <w:vAlign w:val="center"/>
          </w:tcPr>
          <w:p w14:paraId="15F56D1F">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1.交货时间：国产设备自签订合同之日起120日历天内到货安装调试完成并通过验收。进口设备自签订合同之日起180日历天内到货安装调试完成并通过验收。</w:t>
            </w:r>
          </w:p>
          <w:p w14:paraId="0368000E">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2.交货地点：广西大学用户指定地点。</w:t>
            </w:r>
          </w:p>
        </w:tc>
      </w:tr>
      <w:tr w14:paraId="2A75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75E463">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货物验收</w:t>
            </w:r>
          </w:p>
        </w:tc>
        <w:tc>
          <w:tcPr>
            <w:tcW w:w="7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C77305">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14:paraId="7A946479">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2.货物经过双方检验认可后，签署验收报告。由中标人提供产品保修文件。</w:t>
            </w:r>
          </w:p>
          <w:p w14:paraId="29DF781C">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3.当满足以下条件时，采购人才向中标人签发货物验收报告：</w:t>
            </w:r>
          </w:p>
          <w:p w14:paraId="7D0F9147">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（1）中标人已按照合同规定提供了全部产品及完整的技术资料。</w:t>
            </w:r>
          </w:p>
          <w:p w14:paraId="59453918">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（2）货物各项参数完全符合《技术参数及性能（配置）要求》的要求，性能满足要求。</w:t>
            </w:r>
          </w:p>
          <w:p w14:paraId="4FAC2190">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（3）中标人需负责安装、调试（测试），并完成采购人的使用操作培训。</w:t>
            </w:r>
          </w:p>
          <w:p w14:paraId="199074F8">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4.验收过程中所产生的一切费用均包含在投标报价中，由中标人承担。</w:t>
            </w:r>
          </w:p>
          <w:p w14:paraId="55E417E6">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5.中标产品不能涉及任何法律纠纷。</w:t>
            </w:r>
          </w:p>
        </w:tc>
      </w:tr>
      <w:tr w14:paraId="3F5F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E7D5EC">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质量保证要求</w:t>
            </w:r>
          </w:p>
        </w:tc>
        <w:tc>
          <w:tcPr>
            <w:tcW w:w="7237" w:type="dxa"/>
            <w:gridSpan w:val="4"/>
            <w:tcBorders>
              <w:top w:val="single" w:color="auto" w:sz="4" w:space="0"/>
              <w:left w:val="single" w:color="auto" w:sz="4" w:space="0"/>
              <w:bottom w:val="single" w:color="auto" w:sz="4" w:space="0"/>
              <w:right w:val="single" w:color="auto" w:sz="4" w:space="0"/>
            </w:tcBorders>
            <w:shd w:val="clear" w:color="auto" w:fill="auto"/>
          </w:tcPr>
          <w:p w14:paraId="1F06AFE1">
            <w:pPr>
              <w:tabs>
                <w:tab w:val="left" w:pos="420"/>
              </w:tabs>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1.按国家有关产品“三包”规定执行“三包”政策，质量保证期不少于</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年（分项货物或配置有明确要求的按分项要求；生产厂家承诺的质量保证期更长的按生产厂家的承诺），交货验收合格之日起计。</w:t>
            </w:r>
          </w:p>
          <w:p w14:paraId="5E9608DA">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在质量保证期内出现的</w:t>
            </w:r>
            <w:r>
              <w:rPr>
                <w:rFonts w:hint="eastAsia" w:ascii="仿宋" w:hAnsi="仿宋" w:eastAsia="仿宋" w:cs="仿宋"/>
                <w:color w:val="auto"/>
                <w:sz w:val="24"/>
                <w:szCs w:val="24"/>
                <w:highlight w:val="none"/>
              </w:rPr>
              <w:t>任何故障及损失，中标人负责维修、更换配件，并负责软件更新升级、系统维护和远程服务。</w:t>
            </w:r>
          </w:p>
          <w:p w14:paraId="3CDE834A">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3.质量保证期满后，终身维护，且以市场最优惠价格提供维修和备件更换、软件更新升级，且承诺为用户提供终身技术咨询服务。</w:t>
            </w:r>
          </w:p>
        </w:tc>
      </w:tr>
      <w:tr w14:paraId="131D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5FA777">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售后服务要求</w:t>
            </w:r>
          </w:p>
        </w:tc>
        <w:tc>
          <w:tcPr>
            <w:tcW w:w="7237" w:type="dxa"/>
            <w:gridSpan w:val="4"/>
            <w:tcBorders>
              <w:top w:val="single" w:color="auto" w:sz="4" w:space="0"/>
              <w:left w:val="single" w:color="auto" w:sz="4" w:space="0"/>
              <w:bottom w:val="single" w:color="auto" w:sz="4" w:space="0"/>
              <w:right w:val="single" w:color="auto" w:sz="4" w:space="0"/>
            </w:tcBorders>
            <w:shd w:val="clear" w:color="auto" w:fill="auto"/>
          </w:tcPr>
          <w:p w14:paraId="69A870FF">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1.负责送货上门、提供产品原厂工程师现场安装、安装调试服务、技术培训和36个月远程服务。</w:t>
            </w:r>
          </w:p>
          <w:p w14:paraId="731B218C">
            <w:pPr>
              <w:tabs>
                <w:tab w:val="left" w:pos="42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2.维修响应：售后服务要求7天×8小时工作制，中标人在接到用户维修电话后1小时内响应，3小时内到达现场处理，一般情况下24小时内恢复正常使用。若不能修复须有合理应对方案。</w:t>
            </w:r>
          </w:p>
          <w:p w14:paraId="72E2EC12">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kern w:val="0"/>
                <w:sz w:val="24"/>
                <w:szCs w:val="24"/>
                <w:highlight w:val="none"/>
              </w:rPr>
              <w:t>质量保证期</w:t>
            </w:r>
            <w:r>
              <w:rPr>
                <w:rFonts w:hint="eastAsia" w:ascii="仿宋" w:hAnsi="仿宋" w:eastAsia="仿宋" w:cs="仿宋"/>
                <w:color w:val="auto"/>
                <w:sz w:val="24"/>
                <w:szCs w:val="24"/>
                <w:highlight w:val="none"/>
              </w:rPr>
              <w:t>内因设备性能故障检修三次仍不能正常使用的，更换新设备。在超出</w:t>
            </w:r>
            <w:r>
              <w:rPr>
                <w:rFonts w:hint="eastAsia" w:ascii="仿宋" w:hAnsi="仿宋" w:eastAsia="仿宋" w:cs="仿宋"/>
                <w:bCs/>
                <w:color w:val="auto"/>
                <w:kern w:val="0"/>
                <w:sz w:val="24"/>
                <w:szCs w:val="24"/>
                <w:highlight w:val="none"/>
              </w:rPr>
              <w:t>质量保证期</w:t>
            </w:r>
            <w:r>
              <w:rPr>
                <w:rFonts w:hint="eastAsia" w:ascii="仿宋" w:hAnsi="仿宋" w:eastAsia="仿宋" w:cs="仿宋"/>
                <w:color w:val="auto"/>
                <w:sz w:val="24"/>
                <w:szCs w:val="24"/>
                <w:highlight w:val="none"/>
              </w:rPr>
              <w:t>后，如产品发生故障，可派技术员上门服务；如需更换配件，配件均按市场最优惠价格供应。</w:t>
            </w:r>
          </w:p>
          <w:p w14:paraId="0687644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4.终身提供技术协助服务。</w:t>
            </w:r>
          </w:p>
        </w:tc>
      </w:tr>
      <w:tr w14:paraId="3B91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2FBD3A">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履约保证金收取及退付</w:t>
            </w:r>
          </w:p>
        </w:tc>
        <w:tc>
          <w:tcPr>
            <w:tcW w:w="7237" w:type="dxa"/>
            <w:gridSpan w:val="4"/>
            <w:tcBorders>
              <w:top w:val="single" w:color="auto" w:sz="4" w:space="0"/>
              <w:left w:val="single" w:color="auto" w:sz="4" w:space="0"/>
              <w:bottom w:val="single" w:color="auto" w:sz="4" w:space="0"/>
              <w:right w:val="single" w:color="auto" w:sz="4" w:space="0"/>
            </w:tcBorders>
            <w:shd w:val="clear" w:color="auto" w:fill="auto"/>
          </w:tcPr>
          <w:p w14:paraId="147B62D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1.履约保证金为合同金额的5%（中标人为中小微企业的，履约保证金为合同金额的2%。以投标文件中提交的中小企业声明函为依据）；签订合同时交至指定账户。</w:t>
            </w:r>
          </w:p>
          <w:p w14:paraId="5C8AB26F">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2.履约保证金缴纳方式：银行转账、支票、汇票、本票、保函等非现金方式。由中标人在签订合同时按规定的金额直接缴入以下采购人账户。</w:t>
            </w:r>
          </w:p>
          <w:p w14:paraId="4FEC233E">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统一社会信用代码：124500004985009929</w:t>
            </w:r>
          </w:p>
          <w:p w14:paraId="3110CFF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户名：广西大学   </w:t>
            </w:r>
          </w:p>
          <w:p w14:paraId="6D07641D">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开户行：中国银行广西南宁市西大支行（行号：104611010324）</w:t>
            </w:r>
          </w:p>
          <w:p w14:paraId="4F989283">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账号：618 457 484 938 </w:t>
            </w:r>
          </w:p>
          <w:p w14:paraId="2B398DA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地址：广西南宁市大学东路100号  </w:t>
            </w:r>
          </w:p>
          <w:p w14:paraId="59FCD068">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电话：0771-3232888</w:t>
            </w:r>
          </w:p>
          <w:p w14:paraId="52D40637">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缴纳履约保证金注明：“项目名称+项目编号”履约保证金。</w:t>
            </w:r>
          </w:p>
          <w:p w14:paraId="2AFF3D0E">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1CD60A18">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4.备注：</w:t>
            </w:r>
          </w:p>
          <w:p w14:paraId="5A4E038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（1）履约保证金必须足额缴纳，或出具的保函额度必须足额且保函有效期不能低于合同履行期限（即签订采购合同之日起至履行完合同约定的权利及义务之日止），否则视为无效履约保证金。</w:t>
            </w:r>
          </w:p>
          <w:p w14:paraId="7DEB00F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（2）采用保函的，必须为无条件保函，否则视为无效履约保证金。</w:t>
            </w:r>
          </w:p>
        </w:tc>
      </w:tr>
      <w:tr w14:paraId="7A49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F53C5D">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7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19A7AF">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1.国产设备付款：本项目无预付款，全部货物安装调试完毕并经验收合格后，采购人一次性向中标人支付全部合同款（无息）；付款前，中标人开具等额增值税专用发票给采购人。</w:t>
            </w:r>
          </w:p>
          <w:p w14:paraId="6442ADA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免税进口设备付款：本项目外贸进口代理业务由采购人指定外贸代理承担，并按下述方式支付合同款：合同生效后，采购人支付100%合同款给指定外贸代理商，指定外贸代理商与中标人按以下方式结算：（1）指定外贸代理商向中标产品国外生产商开出设备款100%的即期不可撤销信用证或者电汇支付；（2）设备到货并经采购人验收合格后，指定外贸代理商与中标人结算合同款。（注：双方以人民币结算）采购人、中标人及指定外贸代理商三方另行签订《外贸进口代理协议书（三方协议）》，约定外贸进口业务有关事宜。</w:t>
            </w:r>
          </w:p>
          <w:p w14:paraId="6D0BD725">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3.依法不能办理免税的进口设备按国产设备付款方式支付。</w:t>
            </w:r>
          </w:p>
        </w:tc>
      </w:tr>
      <w:tr w14:paraId="42CA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D59653">
            <w:pPr>
              <w:spacing w:line="360"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进口产品投标</w:t>
            </w:r>
          </w:p>
          <w:p w14:paraId="7AF4D686">
            <w:pPr>
              <w:spacing w:line="360" w:lineRule="auto"/>
              <w:jc w:val="cente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注意事项</w:t>
            </w:r>
          </w:p>
        </w:tc>
        <w:tc>
          <w:tcPr>
            <w:tcW w:w="7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D6D3EF">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分标货物已按规定办妥进口产品采购审核手续，供应商的投标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w:t>
            </w:r>
          </w:p>
          <w:p w14:paraId="558D380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在成交后负责与指定外贸代理机构办理进口产品的相关手续，承担相关的所有费用（含办理免税证的费用），采购人负责协助中标人办理免税手续。依法不能办理免税的进口设备由中标人办理进口产品的相关手续，供货时中标人需提供进口设备报关单。</w:t>
            </w:r>
          </w:p>
          <w:p w14:paraId="25ABA4A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2.进口代理费费率基准如下：</w:t>
            </w:r>
          </w:p>
          <w:p w14:paraId="44D8B6BE">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中标金额80万元（不含）以下，进口代理服务费收取比例为1.5%;</w:t>
            </w:r>
          </w:p>
          <w:p w14:paraId="48E77E93">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中标金额80--200万元（不含）,进口代理服务费收取比例为1.2%;</w:t>
            </w:r>
          </w:p>
          <w:p w14:paraId="73EFA84A">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中标金额200—500万元（不含）,进口代理服务费收取比例为1%;</w:t>
            </w:r>
          </w:p>
          <w:p w14:paraId="4C180562">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中标金额500万元以上,进口代理服务费收取比例为0.8% 。</w:t>
            </w:r>
          </w:p>
          <w:p w14:paraId="50936D06">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3.若投标产品为进口产品，投标文件中必须提供生产厂家或厂家驻国内办事处或中国总代理商出具的授权书和售后服务承诺书原件扫描件；在供货时须提供原件。</w:t>
            </w:r>
          </w:p>
        </w:tc>
      </w:tr>
      <w:tr w14:paraId="0881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D1917B">
            <w:pPr>
              <w:spacing w:line="360" w:lineRule="auto"/>
              <w:jc w:val="center"/>
              <w:rPr>
                <w:rFonts w:ascii="仿宋" w:hAnsi="仿宋" w:eastAsia="仿宋" w:cs="仿宋"/>
                <w:b/>
                <w:color w:val="auto"/>
                <w:kern w:val="1"/>
                <w:sz w:val="24"/>
                <w:szCs w:val="24"/>
                <w:highlight w:val="none"/>
              </w:rPr>
            </w:pPr>
            <w:r>
              <w:rPr>
                <w:rFonts w:hint="eastAsia" w:ascii="仿宋" w:hAnsi="仿宋" w:eastAsia="仿宋" w:cs="仿宋"/>
                <w:bCs/>
                <w:color w:val="auto"/>
                <w:sz w:val="24"/>
                <w:szCs w:val="24"/>
                <w:highlight w:val="none"/>
              </w:rPr>
              <w:t>其他要求</w:t>
            </w:r>
          </w:p>
        </w:tc>
        <w:tc>
          <w:tcPr>
            <w:tcW w:w="7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C6FA1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3C753F77">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总价包干制，投标报价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w:t>
            </w:r>
          </w:p>
          <w:p w14:paraId="79107C6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3.中标人承担货物交付验收前的运输、安装等作业工人人身、设备安全责任；验收前，如果设备丢失、因投标人自身原因及第三人原因导致损坏，中标人应自行负责并承担不能交付货物的责任。</w:t>
            </w:r>
          </w:p>
        </w:tc>
      </w:tr>
    </w:tbl>
    <w:p w14:paraId="779EFCAD">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tbl>
      <w:tblPr>
        <w:tblStyle w:val="49"/>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551"/>
        <w:gridCol w:w="490"/>
        <w:gridCol w:w="576"/>
        <w:gridCol w:w="6107"/>
      </w:tblGrid>
      <w:tr w14:paraId="0F94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9140" w:type="dxa"/>
            <w:gridSpan w:val="5"/>
            <w:vAlign w:val="center"/>
          </w:tcPr>
          <w:p w14:paraId="29507B39">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3分标</w:t>
            </w:r>
          </w:p>
        </w:tc>
      </w:tr>
      <w:tr w14:paraId="3AD4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416" w:type="dxa"/>
            <w:vAlign w:val="center"/>
          </w:tcPr>
          <w:p w14:paraId="3F0F2FE9">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550" w:type="dxa"/>
            <w:vAlign w:val="center"/>
          </w:tcPr>
          <w:p w14:paraId="44ADD6BC">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货物名称</w:t>
            </w:r>
          </w:p>
        </w:tc>
        <w:tc>
          <w:tcPr>
            <w:tcW w:w="490" w:type="dxa"/>
            <w:vAlign w:val="center"/>
          </w:tcPr>
          <w:p w14:paraId="5C13C303">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576" w:type="dxa"/>
            <w:vAlign w:val="center"/>
          </w:tcPr>
          <w:p w14:paraId="7D2D2653">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单位</w:t>
            </w:r>
          </w:p>
        </w:tc>
        <w:tc>
          <w:tcPr>
            <w:tcW w:w="6108" w:type="dxa"/>
            <w:vAlign w:val="center"/>
          </w:tcPr>
          <w:p w14:paraId="48242EFF">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技术参数及性能（配置）要求</w:t>
            </w:r>
          </w:p>
          <w:p w14:paraId="2F2BB53E">
            <w:pPr>
              <w:spacing w:line="360" w:lineRule="auto"/>
              <w:jc w:val="center"/>
              <w:rPr>
                <w:rFonts w:ascii="仿宋" w:hAnsi="仿宋" w:eastAsia="仿宋" w:cs="仿宋"/>
                <w:b/>
                <w:bCs/>
                <w:color w:val="auto"/>
                <w:sz w:val="24"/>
                <w:highlight w:val="none"/>
              </w:rPr>
            </w:pPr>
          </w:p>
        </w:tc>
      </w:tr>
      <w:tr w14:paraId="1AFE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6" w:type="dxa"/>
            <w:vAlign w:val="center"/>
          </w:tcPr>
          <w:p w14:paraId="147E51D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0" w:type="dxa"/>
            <w:vAlign w:val="center"/>
          </w:tcPr>
          <w:p w14:paraId="4D155D59">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原位环境扫描电镜</w:t>
            </w:r>
          </w:p>
        </w:tc>
        <w:tc>
          <w:tcPr>
            <w:tcW w:w="490" w:type="dxa"/>
            <w:vAlign w:val="center"/>
          </w:tcPr>
          <w:p w14:paraId="47AAEF6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76" w:type="dxa"/>
            <w:vAlign w:val="center"/>
          </w:tcPr>
          <w:p w14:paraId="03B02F7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108" w:type="dxa"/>
            <w:vAlign w:val="center"/>
          </w:tcPr>
          <w:p w14:paraId="1919E6A3">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1．设备要求:</w:t>
            </w:r>
          </w:p>
          <w:p w14:paraId="11B1BF1A">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原位环境扫描电镜通过检测电子束激发样品产生的二次电子和背散射电子以及X射线等信号，以获得样品表面形貌，可进一步扩展能谱仪等分析仪器可以对微区元素成分进行检测，是用于显微形貌观察及微区成分分析的必备手段。除气体外的所有试样，均可用环境扫描电镜进行观察，且对试样没有损耗，所需的样品量也很少。用于进行样品微区成分的定性、定量分析外，还可以进行电镜图像的收集和处理。</w:t>
            </w:r>
          </w:p>
          <w:p w14:paraId="6AFD11A6">
            <w:pPr>
              <w:spacing w:line="360" w:lineRule="auto"/>
              <w:outlineLvl w:val="0"/>
              <w:rPr>
                <w:rFonts w:ascii="仿宋" w:hAnsi="仿宋" w:eastAsia="仿宋" w:cs="仿宋"/>
                <w:b/>
                <w:color w:val="auto"/>
                <w:sz w:val="24"/>
                <w:highlight w:val="none"/>
              </w:rPr>
            </w:pPr>
          </w:p>
          <w:p w14:paraId="099AF8E8">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2．工作条件:</w:t>
            </w:r>
          </w:p>
          <w:p w14:paraId="194B8977">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1.1电源: 230V (+6%/-10%) / 50Hz (±0.5Hz)</w:t>
            </w:r>
          </w:p>
          <w:p w14:paraId="01E56204">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1.2运行环境温度: 17-23</w:t>
            </w:r>
            <w:r>
              <w:rPr>
                <w:rFonts w:hint="eastAsia" w:ascii="仿宋" w:hAnsi="仿宋" w:eastAsia="仿宋" w:cs="仿宋"/>
                <w:color w:val="auto"/>
                <w:sz w:val="24"/>
                <w:highlight w:val="none"/>
              </w:rPr>
              <w:sym w:font="Symbol" w:char="F0B0"/>
            </w:r>
            <w:r>
              <w:rPr>
                <w:rFonts w:hint="eastAsia" w:ascii="仿宋" w:hAnsi="仿宋" w:eastAsia="仿宋" w:cs="仿宋"/>
                <w:color w:val="auto"/>
                <w:sz w:val="24"/>
                <w:highlight w:val="none"/>
              </w:rPr>
              <w:t>C</w:t>
            </w:r>
          </w:p>
          <w:p w14:paraId="57EDE761">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1.3 运行环境: 相对湿度 &lt; 80% (无冷凝)</w:t>
            </w:r>
          </w:p>
          <w:p w14:paraId="5CD2495C">
            <w:pPr>
              <w:adjustRightInd w:val="0"/>
              <w:snapToGrid w:val="0"/>
              <w:spacing w:line="360" w:lineRule="auto"/>
              <w:jc w:val="left"/>
              <w:rPr>
                <w:rFonts w:ascii="仿宋" w:hAnsi="仿宋" w:eastAsia="仿宋" w:cs="仿宋"/>
                <w:color w:val="auto"/>
                <w:sz w:val="24"/>
                <w:highlight w:val="none"/>
                <w:lang w:val="et-EE"/>
              </w:rPr>
            </w:pPr>
            <w:r>
              <w:rPr>
                <w:rFonts w:hint="eastAsia" w:ascii="仿宋" w:hAnsi="仿宋" w:eastAsia="仿宋" w:cs="仿宋"/>
                <w:color w:val="auto"/>
                <w:sz w:val="24"/>
                <w:highlight w:val="none"/>
              </w:rPr>
              <w:t xml:space="preserve">1.4 </w:t>
            </w:r>
            <w:r>
              <w:rPr>
                <w:rFonts w:hint="eastAsia" w:ascii="仿宋" w:hAnsi="仿宋" w:eastAsia="仿宋" w:cs="仿宋"/>
                <w:color w:val="auto"/>
                <w:sz w:val="24"/>
                <w:highlight w:val="none"/>
                <w:lang w:val="et-EE"/>
              </w:rPr>
              <w:t>噪音: &lt; 68dBC</w:t>
            </w:r>
          </w:p>
          <w:p w14:paraId="0A552617">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1.5仪器运行的持久性: 可连续运行</w:t>
            </w:r>
          </w:p>
          <w:p w14:paraId="7FA307C2">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C6DA1A7">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3．技术规格:</w:t>
            </w:r>
          </w:p>
          <w:p w14:paraId="04DF4708">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3.1电子光学系统:</w:t>
            </w:r>
          </w:p>
          <w:p w14:paraId="04B4BCB3">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3.1.1 分辨率: 二次电子 (SE) 像</w:t>
            </w:r>
          </w:p>
          <w:p w14:paraId="24B7DABF">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3.1.1.1 高真空模式：30 kV时优于1.0 nm；1 kV时优于3.0 nm</w:t>
            </w:r>
          </w:p>
          <w:p w14:paraId="3C4FA24F">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3.1.1.2 低真空模式：30 kV时优于1.3 nm；3 kV时优于3.0 nm</w:t>
            </w:r>
          </w:p>
          <w:p w14:paraId="56129122">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▲3.1.1.3 超低真空模式 (ESEM)：30kV 时优于 1.5nm</w:t>
            </w:r>
          </w:p>
          <w:p w14:paraId="2156966D">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3.1.2 分辨率: 背散射电子 (BSE) 像：30kV时优于2.5nm</w:t>
            </w:r>
          </w:p>
          <w:p w14:paraId="11D59B9B">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3.1.3 加速电压： 0.2kV－30KV</w:t>
            </w:r>
          </w:p>
          <w:p w14:paraId="4ABF5223">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3.1.4 放大倍数： 6倍－250万倍</w:t>
            </w:r>
          </w:p>
          <w:p w14:paraId="28BEF7D6">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▲3.1.5 电子枪：场发射电子枪，束流范围 ≥ 1pA～200nA（投标文件中提供软件截图证明）</w:t>
            </w:r>
          </w:p>
          <w:p w14:paraId="41368E88">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▲3.1.6 物镜光阑：物镜光阑自加热自清洁；无需拆卸镜筒即可更换物镜光阑</w:t>
            </w:r>
          </w:p>
          <w:p w14:paraId="6506BD50">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3.1.7 二次电子和背散射电子成像系统: 自动调节和手动调节亮度、对比度</w:t>
            </w:r>
          </w:p>
          <w:p w14:paraId="4E9991F5">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3.2样品室</w:t>
            </w:r>
          </w:p>
          <w:p w14:paraId="7481536B">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▲3.2.1 样品台：5轴马达驱动，全对中样品台</w:t>
            </w:r>
          </w:p>
          <w:p w14:paraId="206A33E6">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移动范围：X ≥ 110mm，Y ≥ 110mm，Z ≥ 65mm</w:t>
            </w:r>
          </w:p>
          <w:p w14:paraId="2555B3FB">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T ≥ -11° to +90° </w:t>
            </w:r>
          </w:p>
          <w:p w14:paraId="63E66B37">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R ≥ 360°连续旋转</w:t>
            </w:r>
          </w:p>
          <w:p w14:paraId="19ABFE51">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3.2.2 样品室尺寸: 左右内径 ≥ 340mm</w:t>
            </w:r>
          </w:p>
          <w:p w14:paraId="76481B06">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3.2.3 分析工作距离 ≥ 10 mm</w:t>
            </w:r>
          </w:p>
          <w:p w14:paraId="4741BED3">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3.2.4 重复精度：≤ 3um (X/Y 方向)</w:t>
            </w:r>
          </w:p>
          <w:p w14:paraId="4042720E">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3.2.5  ≥ 12个探测器 / 附件接口</w:t>
            </w:r>
          </w:p>
          <w:p w14:paraId="501E4EEA">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3.3检测器：</w:t>
            </w:r>
          </w:p>
          <w:p w14:paraId="35C639F4">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3.3.1 高真空模式二次电子检测器；</w:t>
            </w:r>
          </w:p>
          <w:p w14:paraId="10AA2268">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3.3.2 低真空模式气体二次电子探头；</w:t>
            </w:r>
          </w:p>
          <w:p w14:paraId="69F69E4F">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▲3.3.3 环境真空模式气体二次电子探头；</w:t>
            </w:r>
          </w:p>
          <w:p w14:paraId="3524352F">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3.3.4 定向背散射电子检测器；</w:t>
            </w:r>
          </w:p>
          <w:p w14:paraId="491928E9">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3.3.5 样品室红外CCD相机；</w:t>
            </w:r>
          </w:p>
          <w:p w14:paraId="65434E81">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3.3.6 样品台导航相机。</w:t>
            </w:r>
          </w:p>
          <w:p w14:paraId="62279F3A">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3.4数字图像记录系统</w:t>
            </w:r>
          </w:p>
          <w:p w14:paraId="25145148">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▲3.4.1 图像处理：最大64k × 64k像素（投标文件中提供软件截图证明）</w:t>
            </w:r>
          </w:p>
          <w:p w14:paraId="177F0F80">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3.4.2 图像显示：单幅图像显示或 ≥ 4幅图像同时显示</w:t>
            </w:r>
          </w:p>
          <w:p w14:paraId="00825AE6">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3.4.3 图像记录: TIFF，BMP或JPEG</w:t>
            </w:r>
          </w:p>
          <w:p w14:paraId="23E5E247">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3.4.4 自动记录数字电影 (.avi) 功能</w:t>
            </w:r>
          </w:p>
          <w:p w14:paraId="45268487">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3.4.5 智能扫描 (256帧平均或积分, 线积分或平均, 隔行扫描)</w:t>
            </w:r>
          </w:p>
          <w:p w14:paraId="71B70000">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3.4.6 漂移补偿帧积分</w:t>
            </w:r>
          </w:p>
          <w:p w14:paraId="1487F724">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3.4.7 实时或静态按彩色或按灰度等级信号混合</w:t>
            </w:r>
          </w:p>
          <w:p w14:paraId="3F20CC36">
            <w:pPr>
              <w:adjustRightInd w:val="0"/>
              <w:snapToGrid w:val="0"/>
              <w:spacing w:line="360" w:lineRule="auto"/>
              <w:jc w:val="left"/>
              <w:rPr>
                <w:rFonts w:ascii="仿宋" w:hAnsi="仿宋" w:eastAsia="仿宋" w:cs="仿宋"/>
                <w:color w:val="auto"/>
                <w:sz w:val="24"/>
                <w:highlight w:val="none"/>
              </w:rPr>
            </w:pPr>
            <w:bookmarkStart w:id="38" w:name="OLE_LINK1"/>
            <w:r>
              <w:rPr>
                <w:rFonts w:hint="eastAsia" w:ascii="仿宋" w:hAnsi="仿宋" w:eastAsia="仿宋" w:cs="仿宋"/>
                <w:color w:val="auto"/>
                <w:sz w:val="24"/>
                <w:highlight w:val="none"/>
              </w:rPr>
              <w:t>3.5控制和数据处理系统</w:t>
            </w:r>
          </w:p>
          <w:bookmarkEnd w:id="38"/>
          <w:p w14:paraId="68470CEE">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3.6真空系统</w:t>
            </w:r>
          </w:p>
          <w:p w14:paraId="08C7F416">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3.6.1 由涡轮分子泵，离子泵，与机械泵组成</w:t>
            </w:r>
          </w:p>
          <w:p w14:paraId="79EB9980">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3.6.2在镜筒与样品室之间有真空隔离装置，防止更换样品时，镜筒内被污染和保护灯丝。</w:t>
            </w:r>
          </w:p>
          <w:p w14:paraId="5E6CB577">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▲3.6.3样品室真空度：高真空模式下优于6×10</w:t>
            </w:r>
            <w:r>
              <w:rPr>
                <w:rFonts w:hint="eastAsia" w:ascii="仿宋" w:hAnsi="仿宋" w:eastAsia="仿宋" w:cs="仿宋"/>
                <w:color w:val="auto"/>
                <w:sz w:val="24"/>
                <w:highlight w:val="none"/>
                <w:vertAlign w:val="superscript"/>
              </w:rPr>
              <w:t>-4</w:t>
            </w:r>
            <w:r>
              <w:rPr>
                <w:rFonts w:hint="eastAsia" w:ascii="仿宋" w:hAnsi="仿宋" w:eastAsia="仿宋" w:cs="仿宋"/>
                <w:color w:val="auto"/>
                <w:sz w:val="24"/>
                <w:highlight w:val="none"/>
              </w:rPr>
              <w:t>Pa</w:t>
            </w:r>
          </w:p>
          <w:p w14:paraId="0B7A7AB6">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低真空模式下 ≥ 10Pa ~ 200Pa</w:t>
            </w:r>
          </w:p>
          <w:p w14:paraId="74C261D8">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环境真空模式下 ≥ 10Pa ~ 3800Pa（投标文件中提供软件截图证明）</w:t>
            </w:r>
          </w:p>
          <w:p w14:paraId="6030917B">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3.6.4典型换样时间：高真空模式≤3.5分钟；</w:t>
            </w:r>
          </w:p>
          <w:p w14:paraId="4249F8D2">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低真空或环境真空模式≤4.5分钟(标准测试程序)。</w:t>
            </w:r>
          </w:p>
          <w:p w14:paraId="2ADB61AA">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3.7标准应用软件</w:t>
            </w:r>
          </w:p>
          <w:p w14:paraId="3D3E7446">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3.7.1 样品台图像导航功能</w:t>
            </w:r>
          </w:p>
          <w:p w14:paraId="1FFF8024">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3.7.2 鼠标拖曳式放大及对中功能</w:t>
            </w:r>
          </w:p>
          <w:p w14:paraId="27E3AF55">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3.7.3 直方图及图像测量软件</w:t>
            </w:r>
          </w:p>
          <w:p w14:paraId="64CA29F1">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3.7.4 数字动画记录</w:t>
            </w:r>
          </w:p>
          <w:p w14:paraId="3AB7E921">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3.8 软件控制的帕尔帖冷台</w:t>
            </w:r>
          </w:p>
          <w:p w14:paraId="3C776404">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3.8.1 软件控制的珀尔帖冷台，温度范围不小于 -20° C  –  +55° C </w:t>
            </w:r>
          </w:p>
          <w:p w14:paraId="4B44BCCD">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3.9 标准配件及耗材</w:t>
            </w:r>
          </w:p>
          <w:p w14:paraId="270BEC07">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3.9.1配有空压机和冷却循环水系统，分别用于冷却扫描电镜镜筒及其它部件。</w:t>
            </w:r>
          </w:p>
          <w:p w14:paraId="0F6A7D12">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3.10 环境真空加热台</w:t>
            </w:r>
          </w:p>
          <w:p w14:paraId="034CDBAF">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▲3.10.1 加热温度范围：范围不小于 200-1350℃</w:t>
            </w:r>
          </w:p>
          <w:p w14:paraId="36946845">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3.10.2 温度稳定性：≤ ±5℃</w:t>
            </w:r>
          </w:p>
          <w:p w14:paraId="7670F289">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3.10.3 样品尺寸：≥ 5mm*5 mm</w:t>
            </w:r>
          </w:p>
          <w:p w14:paraId="66156FF2">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▲3.10.4 加热台可以在环境真空下使用，可以实现气氛条件下的加热试验。</w:t>
            </w:r>
          </w:p>
          <w:p w14:paraId="5F74929E">
            <w:pPr>
              <w:adjustRightInd w:val="0"/>
              <w:snapToGrid w:val="0"/>
              <w:spacing w:line="360" w:lineRule="auto"/>
              <w:jc w:val="left"/>
              <w:rPr>
                <w:rFonts w:ascii="仿宋" w:hAnsi="仿宋" w:eastAsia="仿宋" w:cs="仿宋"/>
                <w:b/>
                <w:color w:val="auto"/>
                <w:sz w:val="24"/>
                <w:highlight w:val="none"/>
              </w:rPr>
            </w:pPr>
          </w:p>
          <w:p w14:paraId="1629B355">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4．产品配置要求</w:t>
            </w:r>
          </w:p>
          <w:p w14:paraId="58D187FD">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4.1 主机系统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1套</w:t>
            </w:r>
          </w:p>
          <w:p w14:paraId="795AD304">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4.2 电镜控制系统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1套</w:t>
            </w:r>
          </w:p>
          <w:p w14:paraId="2C5E460D">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二次电子探测器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3个</w:t>
            </w:r>
          </w:p>
          <w:p w14:paraId="37B23578">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4.4 背散射探测器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1个</w:t>
            </w:r>
          </w:p>
          <w:p w14:paraId="4ABA00C7">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4.5 红外CCD相机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1个</w:t>
            </w:r>
          </w:p>
          <w:p w14:paraId="5CBCB75F">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4.6 空压机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1台</w:t>
            </w:r>
          </w:p>
          <w:p w14:paraId="4ED392A0">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4.7 冷却循环水机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1台</w:t>
            </w:r>
          </w:p>
          <w:p w14:paraId="25ACD92C">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4.8 软件控制的帕尔帖冷台           1套</w:t>
            </w:r>
          </w:p>
          <w:p w14:paraId="731426AD">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4.9 环境真空加热台                1套</w:t>
            </w:r>
          </w:p>
          <w:p w14:paraId="671CB5CE">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4.10 备用场发射灯丝                1套</w:t>
            </w:r>
          </w:p>
          <w:p w14:paraId="53777C85">
            <w:pPr>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4.11 备用光阑                      2套</w:t>
            </w:r>
          </w:p>
          <w:p w14:paraId="29F0EE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4.12 基于Python语言的脚本控制软件  1套</w:t>
            </w:r>
          </w:p>
        </w:tc>
      </w:tr>
      <w:tr w14:paraId="16D3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40" w:type="dxa"/>
            <w:gridSpan w:val="5"/>
            <w:vAlign w:val="center"/>
          </w:tcPr>
          <w:p w14:paraId="317CABAF">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商务要求表</w:t>
            </w:r>
          </w:p>
        </w:tc>
      </w:tr>
      <w:tr w14:paraId="411D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7" w:type="dxa"/>
            <w:gridSpan w:val="2"/>
            <w:vAlign w:val="center"/>
          </w:tcPr>
          <w:p w14:paraId="4016949C">
            <w:pPr>
              <w:widowControl/>
              <w:spacing w:line="360" w:lineRule="auto"/>
              <w:jc w:val="center"/>
              <w:rPr>
                <w:rFonts w:ascii="仿宋" w:hAnsi="仿宋" w:eastAsia="仿宋" w:cs="仿宋"/>
                <w:b/>
                <w:bCs/>
                <w:color w:val="auto"/>
                <w:kern w:val="1"/>
                <w:sz w:val="24"/>
                <w:highlight w:val="none"/>
              </w:rPr>
            </w:pPr>
            <w:r>
              <w:rPr>
                <w:rFonts w:hint="eastAsia" w:ascii="仿宋" w:hAnsi="仿宋" w:eastAsia="仿宋" w:cs="仿宋"/>
                <w:b/>
                <w:bCs/>
                <w:color w:val="auto"/>
                <w:sz w:val="24"/>
                <w:highlight w:val="none"/>
              </w:rPr>
              <w:t>合同签订时间</w:t>
            </w:r>
          </w:p>
        </w:tc>
        <w:tc>
          <w:tcPr>
            <w:tcW w:w="7173" w:type="dxa"/>
            <w:gridSpan w:val="3"/>
            <w:vAlign w:val="center"/>
          </w:tcPr>
          <w:p w14:paraId="3D500003">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自中标通知书发出之日起25日内。</w:t>
            </w:r>
          </w:p>
        </w:tc>
      </w:tr>
      <w:tr w14:paraId="475A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7" w:type="dxa"/>
            <w:gridSpan w:val="2"/>
            <w:vAlign w:val="center"/>
          </w:tcPr>
          <w:p w14:paraId="18C75E8C">
            <w:pPr>
              <w:spacing w:line="360" w:lineRule="auto"/>
              <w:jc w:val="center"/>
              <w:rPr>
                <w:rFonts w:ascii="仿宋" w:hAnsi="仿宋" w:eastAsia="仿宋" w:cs="仿宋"/>
                <w:color w:val="auto"/>
                <w:kern w:val="1"/>
                <w:sz w:val="24"/>
                <w:highlight w:val="none"/>
              </w:rPr>
            </w:pPr>
            <w:r>
              <w:rPr>
                <w:rFonts w:hint="eastAsia" w:ascii="仿宋" w:hAnsi="仿宋" w:eastAsia="仿宋" w:cs="仿宋"/>
                <w:b/>
                <w:color w:val="auto"/>
                <w:sz w:val="24"/>
                <w:highlight w:val="none"/>
              </w:rPr>
              <w:t>交货时间及地点</w:t>
            </w:r>
          </w:p>
        </w:tc>
        <w:tc>
          <w:tcPr>
            <w:tcW w:w="7173" w:type="dxa"/>
            <w:gridSpan w:val="3"/>
            <w:vAlign w:val="center"/>
          </w:tcPr>
          <w:p w14:paraId="3382D037">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1.交货时间：国产设备自签订合同之日起120日历天内到货安装调试完成并通过验收。进口设备自签订合同之日起180日历天内到货安装调试完成并通过验收。</w:t>
            </w:r>
          </w:p>
          <w:p w14:paraId="3C7AA007">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2.交货地点：广西大学用户指定地点。</w:t>
            </w:r>
          </w:p>
        </w:tc>
      </w:tr>
      <w:tr w14:paraId="4F2D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7" w:type="dxa"/>
            <w:gridSpan w:val="2"/>
            <w:vAlign w:val="center"/>
          </w:tcPr>
          <w:p w14:paraId="631B5620">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货物验收</w:t>
            </w:r>
          </w:p>
        </w:tc>
        <w:tc>
          <w:tcPr>
            <w:tcW w:w="7173" w:type="dxa"/>
            <w:gridSpan w:val="3"/>
            <w:vAlign w:val="center"/>
          </w:tcPr>
          <w:p w14:paraId="2AC3FD9E">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14:paraId="3BE550C5">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2.货物经过双方检验认可后，签署验收报告。由中标人提供产品保修文件。</w:t>
            </w:r>
          </w:p>
          <w:p w14:paraId="67585C26">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3.当满足以下条件时，采购人才向中标人签发货物验收报告：</w:t>
            </w:r>
          </w:p>
          <w:p w14:paraId="43D3FBB1">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（1）中标人已按照合同规定提供了全部产品及完整的技术资料。</w:t>
            </w:r>
          </w:p>
          <w:p w14:paraId="366B7FA1">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（2）货物各项参数完全符合《技术参数及性能（配置）要求》的要求，性能满足要求。</w:t>
            </w:r>
          </w:p>
          <w:p w14:paraId="550C2485">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（3）中标人需负责安装、调试（测试），并完成采购人的使用操作培训。</w:t>
            </w:r>
          </w:p>
          <w:p w14:paraId="4DE1E4C6">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4.验收过程中所产生的一切费用均包含在投标报价中，由中标人承担。</w:t>
            </w:r>
          </w:p>
          <w:p w14:paraId="6E124D54">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5.中标产品不能涉及任何法律纠纷。</w:t>
            </w:r>
          </w:p>
        </w:tc>
      </w:tr>
      <w:tr w14:paraId="2472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7" w:type="dxa"/>
            <w:gridSpan w:val="2"/>
            <w:vAlign w:val="center"/>
          </w:tcPr>
          <w:p w14:paraId="1FD5CFB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质量保证要求</w:t>
            </w:r>
          </w:p>
        </w:tc>
        <w:tc>
          <w:tcPr>
            <w:tcW w:w="7173" w:type="dxa"/>
            <w:gridSpan w:val="3"/>
          </w:tcPr>
          <w:p w14:paraId="688DE2C9">
            <w:pPr>
              <w:tabs>
                <w:tab w:val="left" w:pos="420"/>
              </w:tabs>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1.按国家有关产品“三包”规定执行“三包”政策，质量保证期不少于3年（分项货物或配置有明确要求的按分项要求；生产厂家承诺的质量保证期更长的按生产厂家的承诺），交货验收合格之日起计。</w:t>
            </w:r>
          </w:p>
          <w:p w14:paraId="26423447">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在质量保证期内出现的</w:t>
            </w:r>
            <w:r>
              <w:rPr>
                <w:rFonts w:hint="eastAsia" w:ascii="仿宋" w:hAnsi="仿宋" w:eastAsia="仿宋" w:cs="仿宋"/>
                <w:color w:val="auto"/>
                <w:sz w:val="24"/>
                <w:highlight w:val="none"/>
              </w:rPr>
              <w:t>任何故障及损失，中标人负责维修、更换配件，并负责软件更新升级、系统维护和远程服务。</w:t>
            </w:r>
          </w:p>
          <w:p w14:paraId="54DC59EA">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3.质量保证期满后，终身维护，且以市场最优惠价格提供维修和备件更换、软件更新升级，且承诺为用户提供终身技术咨询服务。</w:t>
            </w:r>
          </w:p>
        </w:tc>
      </w:tr>
      <w:tr w14:paraId="61D6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7" w:type="dxa"/>
            <w:gridSpan w:val="2"/>
            <w:vAlign w:val="center"/>
          </w:tcPr>
          <w:p w14:paraId="4E7B345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售后服务要求</w:t>
            </w:r>
          </w:p>
        </w:tc>
        <w:tc>
          <w:tcPr>
            <w:tcW w:w="7173" w:type="dxa"/>
            <w:gridSpan w:val="3"/>
          </w:tcPr>
          <w:p w14:paraId="67936EE1">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1.负责送货上门、提供产品原厂工程师现场安装、安装调试服务、技术培训和36个月远程服务。</w:t>
            </w:r>
          </w:p>
          <w:p w14:paraId="1E118AF4">
            <w:pPr>
              <w:tabs>
                <w:tab w:val="left" w:pos="42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2.维修响应：售后服务要求7天×8小时工作制，中标人在接到用户维修电话后1小时内响应，3小时内到达现场处理，一般情况下24小时内恢复正常使用。若不能修复须有合理应对方案。</w:t>
            </w:r>
          </w:p>
          <w:p w14:paraId="220C64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Cs/>
                <w:color w:val="auto"/>
                <w:kern w:val="0"/>
                <w:sz w:val="24"/>
                <w:highlight w:val="none"/>
              </w:rPr>
              <w:t>质量保证期</w:t>
            </w:r>
            <w:r>
              <w:rPr>
                <w:rFonts w:hint="eastAsia" w:ascii="仿宋" w:hAnsi="仿宋" w:eastAsia="仿宋" w:cs="仿宋"/>
                <w:color w:val="auto"/>
                <w:sz w:val="24"/>
                <w:highlight w:val="none"/>
              </w:rPr>
              <w:t>内因设备性能故障检修三次仍不能正常使用的，更换新设备。在超出</w:t>
            </w:r>
            <w:r>
              <w:rPr>
                <w:rFonts w:hint="eastAsia" w:ascii="仿宋" w:hAnsi="仿宋" w:eastAsia="仿宋" w:cs="仿宋"/>
                <w:bCs/>
                <w:color w:val="auto"/>
                <w:kern w:val="0"/>
                <w:sz w:val="24"/>
                <w:highlight w:val="none"/>
              </w:rPr>
              <w:t>质量保证期</w:t>
            </w:r>
            <w:r>
              <w:rPr>
                <w:rFonts w:hint="eastAsia" w:ascii="仿宋" w:hAnsi="仿宋" w:eastAsia="仿宋" w:cs="仿宋"/>
                <w:color w:val="auto"/>
                <w:sz w:val="24"/>
                <w:highlight w:val="none"/>
              </w:rPr>
              <w:t>后，如产品发生故障，可派技术员上门服务；如需更换配件，配件均按市场最优惠价格供应。</w:t>
            </w:r>
          </w:p>
          <w:p w14:paraId="507CE1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4.终身提供技术协助服务。</w:t>
            </w:r>
          </w:p>
        </w:tc>
      </w:tr>
      <w:tr w14:paraId="6EF7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7" w:type="dxa"/>
            <w:gridSpan w:val="2"/>
            <w:vAlign w:val="center"/>
          </w:tcPr>
          <w:p w14:paraId="00F66623">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履约保证金收取及退付</w:t>
            </w:r>
          </w:p>
        </w:tc>
        <w:tc>
          <w:tcPr>
            <w:tcW w:w="7173" w:type="dxa"/>
            <w:gridSpan w:val="3"/>
          </w:tcPr>
          <w:p w14:paraId="07B8EBD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1.履约保证金为合同金额的5%（中标人为中小微企业的，履约保证金为合同金额的2%。以投标文件中提交的中小企业声明函为依据）；签订合同时交至指定账户。</w:t>
            </w:r>
          </w:p>
          <w:p w14:paraId="5C3B4CA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2.履约保证金缴纳方式：银行转账、支票、汇票、本票、保函等非现金方式。由中标人在签订合同时按规定的金额直接缴入以下采购人账户。</w:t>
            </w:r>
          </w:p>
          <w:p w14:paraId="69F8699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统一社会信用代码：124500004985009929</w:t>
            </w:r>
          </w:p>
          <w:p w14:paraId="79F7899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户名：广西大学   </w:t>
            </w:r>
          </w:p>
          <w:p w14:paraId="2866477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开户行：中国银行广西南宁市西大支行（行号：104611010324）</w:t>
            </w:r>
          </w:p>
          <w:p w14:paraId="76D153F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账号：618 457 484 938 </w:t>
            </w:r>
          </w:p>
          <w:p w14:paraId="578EDE2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地址：广西南宁市大学东路100号  </w:t>
            </w:r>
          </w:p>
          <w:p w14:paraId="1EEC890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电话：0771-3232888</w:t>
            </w:r>
          </w:p>
          <w:p w14:paraId="7352BB9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缴纳履约保证金注明：“项目名称+项目编号”履约保证金。</w:t>
            </w:r>
          </w:p>
          <w:p w14:paraId="47F3AA6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69DE33A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4.备注：</w:t>
            </w:r>
          </w:p>
          <w:p w14:paraId="0C71350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（1）履约保证金必须足额缴纳，或出具的保函额度必须足额且保函有效期不能低于合同履行期限（即签订采购合同之日起至履行完合同约定的权利及义务之日止），否则视为无效履约保证金。</w:t>
            </w:r>
          </w:p>
          <w:p w14:paraId="6E0C75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（2）采用保函的，必须为无条件保函，否则视为无效履约保证金。</w:t>
            </w:r>
          </w:p>
        </w:tc>
      </w:tr>
      <w:tr w14:paraId="6A5B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7" w:type="dxa"/>
            <w:gridSpan w:val="2"/>
            <w:vAlign w:val="center"/>
          </w:tcPr>
          <w:p w14:paraId="24122D5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7173" w:type="dxa"/>
            <w:gridSpan w:val="3"/>
            <w:vAlign w:val="center"/>
          </w:tcPr>
          <w:p w14:paraId="6861C30F">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1.国产设备付款：</w:t>
            </w:r>
            <w:r>
              <w:rPr>
                <w:rFonts w:hint="eastAsia" w:ascii="仿宋" w:hAnsi="仿宋" w:eastAsia="仿宋" w:cs="仿宋"/>
                <w:color w:val="auto"/>
                <w:sz w:val="24"/>
                <w:highlight w:val="none"/>
              </w:rPr>
              <w:t>本项目</w:t>
            </w:r>
            <w:r>
              <w:rPr>
                <w:rFonts w:ascii="仿宋" w:hAnsi="仿宋" w:eastAsia="仿宋" w:cs="仿宋"/>
                <w:color w:val="auto"/>
                <w:sz w:val="24"/>
                <w:highlight w:val="none"/>
              </w:rPr>
              <w:t>无预付款，</w:t>
            </w:r>
            <w:r>
              <w:rPr>
                <w:rFonts w:hint="eastAsia" w:ascii="仿宋" w:hAnsi="仿宋" w:eastAsia="仿宋" w:cs="仿宋"/>
                <w:color w:val="auto"/>
                <w:sz w:val="24"/>
                <w:highlight w:val="none"/>
              </w:rPr>
              <w:t>全部货物安装调试完毕并经验收合格后，采购人</w:t>
            </w:r>
            <w:r>
              <w:rPr>
                <w:rFonts w:ascii="仿宋" w:hAnsi="仿宋" w:eastAsia="仿宋" w:cs="仿宋"/>
                <w:color w:val="auto"/>
                <w:sz w:val="24"/>
                <w:highlight w:val="none"/>
              </w:rPr>
              <w:t>一次性</w:t>
            </w:r>
            <w:r>
              <w:rPr>
                <w:rFonts w:hint="eastAsia" w:ascii="仿宋" w:hAnsi="仿宋" w:eastAsia="仿宋" w:cs="仿宋"/>
                <w:color w:val="auto"/>
                <w:sz w:val="24"/>
                <w:highlight w:val="none"/>
              </w:rPr>
              <w:t>向中标人</w:t>
            </w:r>
            <w:r>
              <w:rPr>
                <w:rFonts w:ascii="仿宋" w:hAnsi="仿宋" w:eastAsia="仿宋" w:cs="仿宋"/>
                <w:color w:val="auto"/>
                <w:sz w:val="24"/>
                <w:highlight w:val="none"/>
              </w:rPr>
              <w:t>支付全部合同款（无息）</w:t>
            </w:r>
            <w:r>
              <w:rPr>
                <w:rFonts w:hint="eastAsia" w:ascii="仿宋" w:hAnsi="仿宋" w:eastAsia="仿宋" w:cs="仿宋"/>
                <w:color w:val="auto"/>
                <w:sz w:val="24"/>
                <w:highlight w:val="none"/>
              </w:rPr>
              <w:t>；</w:t>
            </w:r>
            <w:r>
              <w:rPr>
                <w:rFonts w:ascii="仿宋" w:hAnsi="仿宋" w:eastAsia="仿宋" w:cs="仿宋"/>
                <w:color w:val="auto"/>
                <w:sz w:val="24"/>
                <w:highlight w:val="none"/>
              </w:rPr>
              <w:t>付款前</w:t>
            </w:r>
            <w:r>
              <w:rPr>
                <w:rFonts w:hint="eastAsia" w:ascii="仿宋" w:hAnsi="仿宋" w:eastAsia="仿宋" w:cs="仿宋"/>
                <w:color w:val="auto"/>
                <w:sz w:val="24"/>
                <w:highlight w:val="none"/>
              </w:rPr>
              <w:t>，中标人</w:t>
            </w:r>
            <w:r>
              <w:rPr>
                <w:rFonts w:ascii="仿宋" w:hAnsi="仿宋" w:eastAsia="仿宋" w:cs="仿宋"/>
                <w:color w:val="auto"/>
                <w:sz w:val="24"/>
                <w:highlight w:val="none"/>
              </w:rPr>
              <w:t>开具等额增值税专用发票给</w:t>
            </w:r>
            <w:r>
              <w:rPr>
                <w:rFonts w:hint="eastAsia" w:ascii="仿宋" w:hAnsi="仿宋" w:eastAsia="仿宋" w:cs="仿宋"/>
                <w:color w:val="auto"/>
                <w:sz w:val="24"/>
                <w:highlight w:val="none"/>
              </w:rPr>
              <w:t>采购人</w:t>
            </w:r>
            <w:r>
              <w:rPr>
                <w:rFonts w:ascii="仿宋" w:hAnsi="仿宋" w:eastAsia="仿宋" w:cs="仿宋"/>
                <w:color w:val="auto"/>
                <w:sz w:val="24"/>
                <w:highlight w:val="none"/>
              </w:rPr>
              <w:t>。</w:t>
            </w:r>
          </w:p>
          <w:p w14:paraId="09850499">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免税</w:t>
            </w:r>
            <w:r>
              <w:rPr>
                <w:rFonts w:ascii="仿宋" w:hAnsi="仿宋" w:eastAsia="仿宋" w:cs="仿宋"/>
                <w:color w:val="auto"/>
                <w:sz w:val="24"/>
                <w:highlight w:val="none"/>
              </w:rPr>
              <w:t>进口设备付款：本</w:t>
            </w:r>
            <w:r>
              <w:rPr>
                <w:rFonts w:hint="eastAsia" w:ascii="仿宋" w:hAnsi="仿宋" w:eastAsia="仿宋" w:cs="仿宋"/>
                <w:color w:val="auto"/>
                <w:sz w:val="24"/>
                <w:highlight w:val="none"/>
              </w:rPr>
              <w:t>项目外贸进口代理业务由采购人指定外贸代理承担，并按下述方式支付合同款：合同生效后，采购人支付</w:t>
            </w:r>
            <w:r>
              <w:rPr>
                <w:rFonts w:ascii="仿宋" w:hAnsi="仿宋" w:eastAsia="仿宋" w:cs="仿宋"/>
                <w:color w:val="auto"/>
                <w:sz w:val="24"/>
                <w:highlight w:val="none"/>
              </w:rPr>
              <w:t>100%合同款给指定外贸代理商，指定外贸代理商与</w:t>
            </w:r>
            <w:r>
              <w:rPr>
                <w:rFonts w:hint="eastAsia" w:ascii="仿宋" w:hAnsi="仿宋" w:eastAsia="仿宋" w:cs="仿宋"/>
                <w:color w:val="auto"/>
                <w:sz w:val="24"/>
                <w:highlight w:val="none"/>
              </w:rPr>
              <w:t>中标人</w:t>
            </w:r>
            <w:r>
              <w:rPr>
                <w:rFonts w:ascii="仿宋" w:hAnsi="仿宋" w:eastAsia="仿宋" w:cs="仿宋"/>
                <w:color w:val="auto"/>
                <w:sz w:val="24"/>
                <w:highlight w:val="none"/>
              </w:rPr>
              <w:t>按以下方式结算：（1）指定外贸代理商向</w:t>
            </w:r>
            <w:r>
              <w:rPr>
                <w:rFonts w:hint="eastAsia" w:ascii="仿宋" w:hAnsi="仿宋" w:eastAsia="仿宋" w:cs="仿宋"/>
                <w:color w:val="auto"/>
                <w:sz w:val="24"/>
                <w:highlight w:val="none"/>
              </w:rPr>
              <w:t>中标</w:t>
            </w:r>
            <w:r>
              <w:rPr>
                <w:rFonts w:ascii="仿宋" w:hAnsi="仿宋" w:eastAsia="仿宋" w:cs="仿宋"/>
                <w:color w:val="auto"/>
                <w:sz w:val="24"/>
                <w:highlight w:val="none"/>
              </w:rPr>
              <w:t>产品国外生产商开出设备款100%的即期不可撤销信用证</w:t>
            </w:r>
            <w:r>
              <w:rPr>
                <w:rFonts w:hint="eastAsia" w:ascii="仿宋" w:hAnsi="仿宋" w:eastAsia="仿宋" w:cs="仿宋"/>
                <w:color w:val="auto"/>
                <w:sz w:val="24"/>
                <w:highlight w:val="none"/>
              </w:rPr>
              <w:t>或者电汇支付</w:t>
            </w:r>
            <w:r>
              <w:rPr>
                <w:rFonts w:ascii="仿宋" w:hAnsi="仿宋" w:eastAsia="仿宋" w:cs="仿宋"/>
                <w:color w:val="auto"/>
                <w:sz w:val="24"/>
                <w:highlight w:val="none"/>
              </w:rPr>
              <w:t>；（2）设备到货并经</w:t>
            </w:r>
            <w:r>
              <w:rPr>
                <w:rFonts w:hint="eastAsia" w:ascii="仿宋" w:hAnsi="仿宋" w:eastAsia="仿宋" w:cs="仿宋"/>
                <w:color w:val="auto"/>
                <w:sz w:val="24"/>
                <w:highlight w:val="none"/>
              </w:rPr>
              <w:t>采购人</w:t>
            </w:r>
            <w:r>
              <w:rPr>
                <w:rFonts w:ascii="仿宋" w:hAnsi="仿宋" w:eastAsia="仿宋" w:cs="仿宋"/>
                <w:color w:val="auto"/>
                <w:sz w:val="24"/>
                <w:highlight w:val="none"/>
              </w:rPr>
              <w:t>验收合格后，指定外贸代理商与</w:t>
            </w:r>
            <w:r>
              <w:rPr>
                <w:rFonts w:hint="eastAsia" w:ascii="仿宋" w:hAnsi="仿宋" w:eastAsia="仿宋" w:cs="仿宋"/>
                <w:color w:val="auto"/>
                <w:sz w:val="24"/>
                <w:highlight w:val="none"/>
              </w:rPr>
              <w:t>中标人</w:t>
            </w:r>
            <w:r>
              <w:rPr>
                <w:rFonts w:ascii="仿宋" w:hAnsi="仿宋" w:eastAsia="仿宋" w:cs="仿宋"/>
                <w:color w:val="auto"/>
                <w:sz w:val="24"/>
                <w:highlight w:val="none"/>
              </w:rPr>
              <w:t>结算合同款。</w:t>
            </w:r>
            <w:r>
              <w:rPr>
                <w:rFonts w:hint="eastAsia" w:ascii="仿宋" w:hAnsi="仿宋" w:eastAsia="仿宋" w:cs="仿宋"/>
                <w:color w:val="auto"/>
                <w:sz w:val="24"/>
                <w:highlight w:val="none"/>
              </w:rPr>
              <w:t>（</w:t>
            </w:r>
            <w:r>
              <w:rPr>
                <w:rFonts w:ascii="仿宋" w:hAnsi="仿宋" w:eastAsia="仿宋" w:cs="仿宋"/>
                <w:color w:val="auto"/>
                <w:sz w:val="24"/>
                <w:highlight w:val="none"/>
              </w:rPr>
              <w:t>注：双方以人民币结算</w:t>
            </w:r>
            <w:r>
              <w:rPr>
                <w:rFonts w:hint="eastAsia" w:ascii="仿宋" w:hAnsi="仿宋" w:eastAsia="仿宋" w:cs="仿宋"/>
                <w:color w:val="auto"/>
                <w:sz w:val="24"/>
                <w:highlight w:val="none"/>
              </w:rPr>
              <w:t>）采购人</w:t>
            </w:r>
            <w:r>
              <w:rPr>
                <w:rFonts w:ascii="仿宋" w:hAnsi="仿宋" w:eastAsia="仿宋" w:cs="仿宋"/>
                <w:color w:val="auto"/>
                <w:sz w:val="24"/>
                <w:highlight w:val="none"/>
              </w:rPr>
              <w:t>、</w:t>
            </w:r>
            <w:r>
              <w:rPr>
                <w:rFonts w:hint="eastAsia" w:ascii="仿宋" w:hAnsi="仿宋" w:eastAsia="仿宋" w:cs="仿宋"/>
                <w:color w:val="auto"/>
                <w:sz w:val="24"/>
                <w:highlight w:val="none"/>
              </w:rPr>
              <w:t>中标人</w:t>
            </w:r>
            <w:r>
              <w:rPr>
                <w:rFonts w:ascii="仿宋" w:hAnsi="仿宋" w:eastAsia="仿宋" w:cs="仿宋"/>
                <w:color w:val="auto"/>
                <w:sz w:val="24"/>
                <w:highlight w:val="none"/>
              </w:rPr>
              <w:t>及指定外贸代理商三方另行签订《外贸进口代理协议书（三方协议）》，约定外贸进口业务有关事宜。</w:t>
            </w:r>
          </w:p>
          <w:p w14:paraId="4F0E1582">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依法不能办理免税的进口设备按国产设备付款方式支付。</w:t>
            </w:r>
          </w:p>
        </w:tc>
      </w:tr>
      <w:tr w14:paraId="75F2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7" w:type="dxa"/>
            <w:gridSpan w:val="2"/>
            <w:shd w:val="clear" w:color="auto" w:fill="auto"/>
            <w:vAlign w:val="center"/>
          </w:tcPr>
          <w:p w14:paraId="6446A3FE">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进口产品投标</w:t>
            </w:r>
          </w:p>
          <w:p w14:paraId="050E3E1D">
            <w:pPr>
              <w:spacing w:line="360" w:lineRule="auto"/>
              <w:jc w:val="center"/>
              <w:rPr>
                <w:rFonts w:ascii="仿宋" w:hAnsi="仿宋" w:eastAsia="仿宋" w:cs="仿宋"/>
                <w:b/>
                <w:color w:val="auto"/>
                <w:sz w:val="24"/>
                <w:highlight w:val="none"/>
              </w:rPr>
            </w:pPr>
            <w:r>
              <w:rPr>
                <w:rFonts w:hint="eastAsia" w:ascii="仿宋" w:hAnsi="仿宋" w:eastAsia="仿宋" w:cs="仿宋"/>
                <w:bCs/>
                <w:color w:val="auto"/>
                <w:sz w:val="24"/>
                <w:highlight w:val="none"/>
              </w:rPr>
              <w:t>注意事项</w:t>
            </w:r>
          </w:p>
        </w:tc>
        <w:tc>
          <w:tcPr>
            <w:tcW w:w="7173" w:type="dxa"/>
            <w:gridSpan w:val="3"/>
            <w:shd w:val="clear" w:color="auto" w:fill="auto"/>
            <w:vAlign w:val="center"/>
          </w:tcPr>
          <w:p w14:paraId="0E71952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本分标货物已按规定办妥进口产品采购审核手续，供应商的投标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w:t>
            </w:r>
          </w:p>
          <w:p w14:paraId="3674095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标人在成交后负责与指定外贸代理机构办理进口产品的相关手续，承担相关的所有费用（含办理免税证的费用），采购人负责协助中标人办理免税手续。依法不能办理免税的进口设备由中标人办理进口产品的相关手续，供货时中标人需提供进口设备报关单。</w:t>
            </w:r>
          </w:p>
          <w:p w14:paraId="1C96C7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2.进口代理费费率基准如下：</w:t>
            </w:r>
          </w:p>
          <w:p w14:paraId="5F75962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中标金额80万元（不含）以下，进口代理服务费收取比例为1.5%;</w:t>
            </w:r>
          </w:p>
          <w:p w14:paraId="3D0F0DA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中标金额80--200万元（不含）,进口代理服务费收取比例为1.2%;</w:t>
            </w:r>
          </w:p>
          <w:p w14:paraId="058B4FD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中标金额200—500万元（不含）,进口代理服务费收取比例为1%;</w:t>
            </w:r>
          </w:p>
          <w:p w14:paraId="4C83410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中标金额500万元以上,进口代理服务费收取比例为0.8% 。</w:t>
            </w:r>
          </w:p>
          <w:p w14:paraId="6262736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3.若投标产品为进口产品，投标文件中必须提供生产厂家或厂家驻国内办事处或中国总代理商出具的授权书和售后服务承诺书原件扫描件；在供货时须提供原件。</w:t>
            </w:r>
          </w:p>
        </w:tc>
      </w:tr>
      <w:tr w14:paraId="321E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7" w:type="dxa"/>
            <w:gridSpan w:val="2"/>
            <w:vAlign w:val="center"/>
          </w:tcPr>
          <w:p w14:paraId="7FB4F41B">
            <w:pPr>
              <w:spacing w:line="360" w:lineRule="auto"/>
              <w:jc w:val="center"/>
              <w:rPr>
                <w:rFonts w:ascii="仿宋" w:hAnsi="仿宋" w:eastAsia="仿宋" w:cs="仿宋"/>
                <w:b/>
                <w:color w:val="auto"/>
                <w:kern w:val="1"/>
                <w:sz w:val="24"/>
                <w:highlight w:val="none"/>
              </w:rPr>
            </w:pPr>
            <w:r>
              <w:rPr>
                <w:rFonts w:hint="eastAsia" w:ascii="仿宋" w:hAnsi="仿宋" w:eastAsia="仿宋" w:cs="仿宋"/>
                <w:bCs/>
                <w:color w:val="auto"/>
                <w:sz w:val="24"/>
                <w:highlight w:val="none"/>
              </w:rPr>
              <w:t>其他要求</w:t>
            </w:r>
          </w:p>
        </w:tc>
        <w:tc>
          <w:tcPr>
            <w:tcW w:w="7173" w:type="dxa"/>
            <w:gridSpan w:val="3"/>
            <w:vAlign w:val="center"/>
          </w:tcPr>
          <w:p w14:paraId="5C05A15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5F0ACE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本项目实行总价包干制，投标报价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w:t>
            </w:r>
          </w:p>
          <w:p w14:paraId="3C94C38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3.中标人承担货物交付验收前的运输、安装等作业工人人身、设备安全责任；验收前，如果设备丢失、因投标人自身原因及第三人原因导致损坏，中标人应自行负责并承担不能交付货物的责任。</w:t>
            </w:r>
          </w:p>
        </w:tc>
      </w:tr>
    </w:tbl>
    <w:p w14:paraId="44D1A207">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3941B97D">
      <w:pPr>
        <w:spacing w:line="428" w:lineRule="exact"/>
        <w:ind w:left="11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附件1：</w:t>
      </w:r>
    </w:p>
    <w:p w14:paraId="2975CD2C">
      <w:pPr>
        <w:spacing w:before="7"/>
        <w:rPr>
          <w:rFonts w:ascii="仿宋" w:hAnsi="仿宋" w:eastAsia="仿宋" w:cs="仿宋"/>
          <w:color w:val="auto"/>
          <w:sz w:val="17"/>
          <w:szCs w:val="17"/>
          <w:highlight w:val="none"/>
        </w:rPr>
      </w:pPr>
    </w:p>
    <w:p w14:paraId="274CE5E1">
      <w:pPr>
        <w:spacing w:line="528" w:lineRule="exact"/>
        <w:ind w:left="220"/>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节能产品政府采购品目清单</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691"/>
        <w:gridCol w:w="1694"/>
        <w:gridCol w:w="1683"/>
        <w:gridCol w:w="3533"/>
      </w:tblGrid>
      <w:tr w14:paraId="7F03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4C1BBADC">
            <w:pPr>
              <w:jc w:val="center"/>
              <w:rPr>
                <w:rFonts w:ascii="仿宋" w:hAnsi="仿宋" w:eastAsia="仿宋" w:cs="仿宋"/>
                <w:color w:val="auto"/>
                <w:sz w:val="24"/>
                <w:highlight w:val="none"/>
              </w:rPr>
            </w:pPr>
            <w:r>
              <w:rPr>
                <w:rFonts w:hint="eastAsia" w:ascii="仿宋" w:hAnsi="仿宋" w:eastAsia="仿宋" w:cs="仿宋"/>
                <w:b/>
                <w:bCs/>
                <w:color w:val="auto"/>
                <w:w w:val="99"/>
                <w:sz w:val="24"/>
                <w:highlight w:val="none"/>
              </w:rPr>
              <w:t>品目序号</w:t>
            </w:r>
          </w:p>
        </w:tc>
        <w:tc>
          <w:tcPr>
            <w:tcW w:w="5191" w:type="dxa"/>
            <w:gridSpan w:val="3"/>
            <w:tcBorders>
              <w:top w:val="single" w:color="000000" w:sz="4" w:space="0"/>
              <w:left w:val="single" w:color="000000" w:sz="4" w:space="0"/>
              <w:bottom w:val="single" w:color="000000" w:sz="4" w:space="0"/>
              <w:right w:val="single" w:color="000000" w:sz="4" w:space="0"/>
            </w:tcBorders>
            <w:vAlign w:val="center"/>
          </w:tcPr>
          <w:p w14:paraId="5EDC66C2">
            <w:pPr>
              <w:jc w:val="center"/>
              <w:rPr>
                <w:rFonts w:ascii="仿宋" w:hAnsi="仿宋" w:eastAsia="仿宋" w:cs="仿宋"/>
                <w:color w:val="auto"/>
                <w:sz w:val="24"/>
                <w:highlight w:val="none"/>
              </w:rPr>
            </w:pPr>
            <w:r>
              <w:rPr>
                <w:rFonts w:hint="eastAsia" w:ascii="仿宋" w:hAnsi="仿宋" w:eastAsia="仿宋" w:cs="仿宋"/>
                <w:b/>
                <w:bCs/>
                <w:color w:val="auto"/>
                <w:w w:val="99"/>
                <w:sz w:val="24"/>
                <w:highlight w:val="none"/>
              </w:rPr>
              <w:t>名称</w:t>
            </w:r>
          </w:p>
        </w:tc>
        <w:tc>
          <w:tcPr>
            <w:tcW w:w="3875" w:type="dxa"/>
            <w:tcBorders>
              <w:top w:val="single" w:color="000000" w:sz="4" w:space="0"/>
              <w:left w:val="single" w:color="000000" w:sz="4" w:space="0"/>
              <w:bottom w:val="single" w:color="000000" w:sz="4" w:space="0"/>
              <w:right w:val="single" w:color="000000" w:sz="4" w:space="0"/>
            </w:tcBorders>
            <w:vAlign w:val="center"/>
          </w:tcPr>
          <w:p w14:paraId="485EFC57">
            <w:pPr>
              <w:jc w:val="center"/>
              <w:rPr>
                <w:rFonts w:ascii="仿宋" w:hAnsi="仿宋" w:eastAsia="仿宋" w:cs="仿宋"/>
                <w:color w:val="auto"/>
                <w:sz w:val="24"/>
                <w:highlight w:val="none"/>
              </w:rPr>
            </w:pPr>
            <w:r>
              <w:rPr>
                <w:rFonts w:hint="eastAsia" w:ascii="仿宋" w:hAnsi="仿宋" w:eastAsia="仿宋" w:cs="仿宋"/>
                <w:b/>
                <w:bCs/>
                <w:color w:val="auto"/>
                <w:w w:val="99"/>
                <w:sz w:val="24"/>
                <w:highlight w:val="none"/>
              </w:rPr>
              <w:t>依据的标准</w:t>
            </w:r>
          </w:p>
        </w:tc>
      </w:tr>
      <w:tr w14:paraId="2520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40110E8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6966DCA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A02010100</w:t>
            </w:r>
            <w:r>
              <w:rPr>
                <w:rFonts w:hint="eastAsia" w:ascii="仿宋" w:hAnsi="仿宋" w:eastAsia="仿宋" w:cs="仿宋"/>
                <w:color w:val="auto"/>
                <w:w w:val="99"/>
                <w:sz w:val="24"/>
                <w:highlight w:val="none"/>
              </w:rPr>
              <w:t>计算机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2A2BF8CB">
            <w:pPr>
              <w:pStyle w:val="65"/>
              <w:spacing w:before="93"/>
              <w:ind w:left="7" w:right="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w:t>
            </w:r>
            <w:r>
              <w:rPr>
                <w:rFonts w:hint="eastAsia" w:ascii="仿宋" w:hAnsi="仿宋" w:eastAsia="仿宋" w:cs="仿宋"/>
                <w:color w:val="auto"/>
                <w:kern w:val="2"/>
                <w:sz w:val="24"/>
                <w:szCs w:val="24"/>
                <w:highlight w:val="none"/>
              </w:rPr>
              <w:t>A02010105</w:t>
            </w:r>
            <w:r>
              <w:rPr>
                <w:rFonts w:hint="eastAsia" w:ascii="仿宋" w:hAnsi="仿宋" w:eastAsia="仿宋" w:cs="仿宋"/>
                <w:color w:val="auto"/>
                <w:w w:val="99"/>
                <w:kern w:val="2"/>
                <w:sz w:val="24"/>
                <w:szCs w:val="24"/>
                <w:highlight w:val="none"/>
              </w:rPr>
              <w:t>台式计算机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73F43C77">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7BC08E53">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《微型计算机能效限定值及能效等级》（GB28380）</w:t>
            </w:r>
          </w:p>
        </w:tc>
      </w:tr>
      <w:tr w14:paraId="74D7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EFC5FB">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8B16EF">
            <w:pPr>
              <w:widowControl/>
              <w:jc w:val="left"/>
              <w:rPr>
                <w:rFonts w:ascii="仿宋" w:hAnsi="仿宋" w:eastAsia="仿宋" w:cs="仿宋"/>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AFBA61E">
            <w:pPr>
              <w:pStyle w:val="65"/>
              <w:spacing w:before="44"/>
              <w:ind w:left="7" w:right="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w:t>
            </w:r>
            <w:r>
              <w:rPr>
                <w:rFonts w:hint="eastAsia" w:ascii="仿宋" w:hAnsi="仿宋" w:eastAsia="仿宋" w:cs="仿宋"/>
                <w:color w:val="auto"/>
                <w:kern w:val="2"/>
                <w:sz w:val="24"/>
                <w:szCs w:val="24"/>
                <w:highlight w:val="none"/>
              </w:rPr>
              <w:t>A02010108</w:t>
            </w:r>
            <w:r>
              <w:rPr>
                <w:rFonts w:hint="eastAsia" w:ascii="仿宋" w:hAnsi="仿宋" w:eastAsia="仿宋" w:cs="仿宋"/>
                <w:color w:val="auto"/>
                <w:w w:val="99"/>
                <w:kern w:val="2"/>
                <w:sz w:val="24"/>
                <w:szCs w:val="24"/>
                <w:highlight w:val="none"/>
              </w:rPr>
              <w:t>便携式计算机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332097D4">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046D6C12">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《微型计算机能效限定值及能效等级》（GB28380）</w:t>
            </w:r>
          </w:p>
        </w:tc>
      </w:tr>
      <w:tr w14:paraId="1362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88CCF2">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2B0FA5">
            <w:pPr>
              <w:widowControl/>
              <w:jc w:val="left"/>
              <w:rPr>
                <w:rFonts w:ascii="仿宋" w:hAnsi="仿宋" w:eastAsia="仿宋" w:cs="仿宋"/>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703FB78">
            <w:pPr>
              <w:pStyle w:val="65"/>
              <w:spacing w:before="64"/>
              <w:ind w:left="7" w:right="5"/>
              <w:jc w:val="center"/>
              <w:rPr>
                <w:rFonts w:ascii="仿宋" w:hAnsi="仿宋" w:eastAsia="仿宋" w:cs="仿宋"/>
                <w:color w:val="auto"/>
                <w:kern w:val="2"/>
                <w:sz w:val="24"/>
                <w:szCs w:val="24"/>
                <w:highlight w:val="none"/>
                <w:lang w:eastAsia="zh-CN"/>
              </w:rPr>
            </w:pPr>
            <w:r>
              <w:rPr>
                <w:rFonts w:hint="eastAsia" w:ascii="仿宋" w:hAnsi="仿宋" w:eastAsia="仿宋" w:cs="仿宋"/>
                <w:color w:val="auto"/>
                <w:w w:val="99"/>
                <w:kern w:val="2"/>
                <w:sz w:val="24"/>
                <w:szCs w:val="24"/>
                <w:highlight w:val="none"/>
                <w:lang w:eastAsia="zh-CN"/>
              </w:rPr>
              <w:t>★</w:t>
            </w:r>
            <w:r>
              <w:rPr>
                <w:rFonts w:hint="eastAsia" w:ascii="仿宋" w:hAnsi="仿宋" w:eastAsia="仿宋" w:cs="仿宋"/>
                <w:color w:val="auto"/>
                <w:kern w:val="2"/>
                <w:sz w:val="24"/>
                <w:szCs w:val="24"/>
                <w:highlight w:val="none"/>
                <w:lang w:eastAsia="zh-CN"/>
              </w:rPr>
              <w:t>A02010109平板式计算机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2ED2EBDC">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6CAF126A">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《微型计算机能效限定值及能效等级》（GB28380）</w:t>
            </w:r>
          </w:p>
        </w:tc>
      </w:tr>
      <w:tr w14:paraId="67BB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3D79475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70B28528">
            <w:pPr>
              <w:pStyle w:val="65"/>
              <w:ind w:left="7"/>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A02020000</w:t>
            </w:r>
            <w:r>
              <w:rPr>
                <w:rFonts w:hint="eastAsia" w:ascii="仿宋" w:hAnsi="仿宋" w:eastAsia="仿宋" w:cs="仿宋"/>
                <w:color w:val="auto"/>
                <w:w w:val="99"/>
                <w:kern w:val="2"/>
                <w:sz w:val="24"/>
                <w:szCs w:val="24"/>
                <w:highlight w:val="none"/>
              </w:rPr>
              <w:t>办公设备</w:t>
            </w: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0BAB4459">
            <w:pPr>
              <w:jc w:val="center"/>
              <w:rPr>
                <w:rFonts w:ascii="仿宋" w:hAnsi="仿宋" w:eastAsia="仿宋" w:cs="仿宋"/>
                <w:color w:val="auto"/>
                <w:sz w:val="24"/>
                <w:highlight w:val="none"/>
              </w:rPr>
            </w:pPr>
            <w:r>
              <w:rPr>
                <w:rFonts w:hint="eastAsia" w:ascii="仿宋" w:hAnsi="仿宋" w:eastAsia="仿宋" w:cs="仿宋"/>
                <w:color w:val="auto"/>
                <w:spacing w:val="1"/>
                <w:w w:val="99"/>
                <w:sz w:val="24"/>
                <w:highlight w:val="none"/>
              </w:rPr>
              <w:t>A02021000</w:t>
            </w:r>
            <w:r>
              <w:rPr>
                <w:rFonts w:hint="eastAsia" w:ascii="仿宋" w:hAnsi="仿宋" w:eastAsia="仿宋" w:cs="仿宋"/>
                <w:color w:val="auto"/>
                <w:sz w:val="24"/>
                <w:highlight w:val="none"/>
                <w:shd w:val="clear" w:color="auto" w:fill="FFFFFF"/>
              </w:rPr>
              <w:t>打印机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4469C4B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A02021001 A3黑白打印机</w:t>
            </w:r>
          </w:p>
        </w:tc>
        <w:tc>
          <w:tcPr>
            <w:tcW w:w="3875" w:type="dxa"/>
            <w:tcBorders>
              <w:top w:val="single" w:color="000000" w:sz="4" w:space="0"/>
              <w:left w:val="single" w:color="000000" w:sz="4" w:space="0"/>
              <w:bottom w:val="single" w:color="000000" w:sz="4" w:space="0"/>
              <w:right w:val="single" w:color="000000" w:sz="4" w:space="0"/>
            </w:tcBorders>
          </w:tcPr>
          <w:p w14:paraId="28ABF3FA">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《复印机、打印机和传真机能效限定值及能效等级》（GB21521）</w:t>
            </w:r>
          </w:p>
        </w:tc>
      </w:tr>
      <w:tr w14:paraId="7C0E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917B4D">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33F3A4">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16BD08">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05ECFA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A02021002 A3彩色打印机</w:t>
            </w:r>
          </w:p>
        </w:tc>
        <w:tc>
          <w:tcPr>
            <w:tcW w:w="3875" w:type="dxa"/>
            <w:tcBorders>
              <w:top w:val="single" w:color="000000" w:sz="4" w:space="0"/>
              <w:left w:val="single" w:color="000000" w:sz="4" w:space="0"/>
              <w:bottom w:val="single" w:color="000000" w:sz="4" w:space="0"/>
              <w:right w:val="single" w:color="000000" w:sz="4" w:space="0"/>
            </w:tcBorders>
          </w:tcPr>
          <w:p w14:paraId="2051C564">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《复印机、打印机和传真机能效限定值及能效等级》（GB21521）</w:t>
            </w:r>
          </w:p>
        </w:tc>
      </w:tr>
      <w:tr w14:paraId="329D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DBD061">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D5EE96">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2E9FB2">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9B15A2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A02021003 A4黑白打印机</w:t>
            </w:r>
          </w:p>
        </w:tc>
        <w:tc>
          <w:tcPr>
            <w:tcW w:w="3875" w:type="dxa"/>
            <w:tcBorders>
              <w:top w:val="single" w:color="000000" w:sz="4" w:space="0"/>
              <w:left w:val="single" w:color="000000" w:sz="4" w:space="0"/>
              <w:bottom w:val="single" w:color="000000" w:sz="4" w:space="0"/>
              <w:right w:val="single" w:color="000000" w:sz="4" w:space="0"/>
            </w:tcBorders>
          </w:tcPr>
          <w:p w14:paraId="53DBCEE6">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《复印机、打印机和传真机能效限定值及能效等级》（GB21521）</w:t>
            </w:r>
          </w:p>
        </w:tc>
      </w:tr>
      <w:tr w14:paraId="1506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D76A06">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0B4C23">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749A07">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0A45EB0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A02021004 A4彩色打印机</w:t>
            </w:r>
          </w:p>
        </w:tc>
        <w:tc>
          <w:tcPr>
            <w:tcW w:w="3875" w:type="dxa"/>
            <w:tcBorders>
              <w:top w:val="single" w:color="000000" w:sz="4" w:space="0"/>
              <w:left w:val="single" w:color="000000" w:sz="4" w:space="0"/>
              <w:bottom w:val="single" w:color="000000" w:sz="4" w:space="0"/>
              <w:right w:val="single" w:color="000000" w:sz="4" w:space="0"/>
            </w:tcBorders>
          </w:tcPr>
          <w:p w14:paraId="3756B912">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《复印机、打印机和传真机能效限定值及能效等级》（GB21521）</w:t>
            </w:r>
          </w:p>
        </w:tc>
      </w:tr>
      <w:tr w14:paraId="0B3E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970801">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1ADF95">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005370">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268DB05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A02021005 3D打印机</w:t>
            </w:r>
          </w:p>
        </w:tc>
        <w:tc>
          <w:tcPr>
            <w:tcW w:w="3875" w:type="dxa"/>
            <w:tcBorders>
              <w:top w:val="single" w:color="000000" w:sz="4" w:space="0"/>
              <w:left w:val="single" w:color="000000" w:sz="4" w:space="0"/>
              <w:bottom w:val="single" w:color="000000" w:sz="4" w:space="0"/>
              <w:right w:val="single" w:color="000000" w:sz="4" w:space="0"/>
            </w:tcBorders>
          </w:tcPr>
          <w:p w14:paraId="24B33D2C">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《复印机、打印机和传真机能效限定值及能效等级》（GB21521）</w:t>
            </w:r>
          </w:p>
        </w:tc>
      </w:tr>
      <w:tr w14:paraId="418E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7F5F1B">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707AEF">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28DA7E">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5F53126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A02021006票据打印机</w:t>
            </w:r>
          </w:p>
        </w:tc>
        <w:tc>
          <w:tcPr>
            <w:tcW w:w="3875" w:type="dxa"/>
            <w:tcBorders>
              <w:top w:val="single" w:color="000000" w:sz="4" w:space="0"/>
              <w:left w:val="single" w:color="000000" w:sz="4" w:space="0"/>
              <w:bottom w:val="single" w:color="000000" w:sz="4" w:space="0"/>
              <w:right w:val="single" w:color="000000" w:sz="4" w:space="0"/>
            </w:tcBorders>
          </w:tcPr>
          <w:p w14:paraId="10F5D236">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《复印机、打印机和传真机能效限定值及能效等级》（GB21521）</w:t>
            </w:r>
          </w:p>
        </w:tc>
      </w:tr>
      <w:tr w14:paraId="3270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335B3B">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3F890D">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798E6A">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7B59586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A02021007条码打印机</w:t>
            </w:r>
          </w:p>
        </w:tc>
        <w:tc>
          <w:tcPr>
            <w:tcW w:w="3875" w:type="dxa"/>
            <w:tcBorders>
              <w:top w:val="single" w:color="000000" w:sz="4" w:space="0"/>
              <w:left w:val="single" w:color="000000" w:sz="4" w:space="0"/>
              <w:bottom w:val="single" w:color="000000" w:sz="4" w:space="0"/>
              <w:right w:val="single" w:color="000000" w:sz="4" w:space="0"/>
            </w:tcBorders>
          </w:tcPr>
          <w:p w14:paraId="2DA1C788">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《复印机、打印机和传真机能效限定值及能效等级》（GB21521）</w:t>
            </w:r>
          </w:p>
        </w:tc>
      </w:tr>
      <w:tr w14:paraId="771D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C49FA3">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2CE724">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AC0907">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76E306D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A02021008地址打印机</w:t>
            </w:r>
          </w:p>
        </w:tc>
        <w:tc>
          <w:tcPr>
            <w:tcW w:w="3875" w:type="dxa"/>
            <w:tcBorders>
              <w:top w:val="single" w:color="000000" w:sz="4" w:space="0"/>
              <w:left w:val="single" w:color="000000" w:sz="4" w:space="0"/>
              <w:bottom w:val="single" w:color="000000" w:sz="4" w:space="0"/>
              <w:right w:val="single" w:color="000000" w:sz="4" w:space="0"/>
            </w:tcBorders>
          </w:tcPr>
          <w:p w14:paraId="7E895F62">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《复印机、打印机和传真机能效限定值及能效等级》（GB21521）</w:t>
            </w:r>
          </w:p>
        </w:tc>
      </w:tr>
      <w:tr w14:paraId="3086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CEC1A4">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E77B95">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7CD627">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F30538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A02021099其他打印机</w:t>
            </w:r>
          </w:p>
        </w:tc>
        <w:tc>
          <w:tcPr>
            <w:tcW w:w="3875" w:type="dxa"/>
            <w:tcBorders>
              <w:top w:val="single" w:color="000000" w:sz="4" w:space="0"/>
              <w:left w:val="single" w:color="000000" w:sz="4" w:space="0"/>
              <w:bottom w:val="single" w:color="000000" w:sz="4" w:space="0"/>
              <w:right w:val="single" w:color="000000" w:sz="4" w:space="0"/>
            </w:tcBorders>
          </w:tcPr>
          <w:p w14:paraId="0C017F8C">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《复印机、打印机和传真机能效限定值及能效等级》（GB21521）</w:t>
            </w:r>
          </w:p>
        </w:tc>
      </w:tr>
      <w:tr w14:paraId="1ED2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FFEE97">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70DE1D">
            <w:pPr>
              <w:widowControl/>
              <w:jc w:val="left"/>
              <w:rPr>
                <w:rFonts w:ascii="仿宋" w:hAnsi="仿宋" w:eastAsia="仿宋" w:cs="仿宋"/>
                <w:color w:val="auto"/>
                <w:sz w:val="24"/>
                <w:highlight w:val="none"/>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6B05CE6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A02021100输入输出设备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58CC5DBF">
            <w:pPr>
              <w:jc w:val="center"/>
              <w:rPr>
                <w:rFonts w:ascii="仿宋" w:hAnsi="仿宋" w:eastAsia="仿宋" w:cs="仿宋"/>
                <w:color w:val="auto"/>
                <w:sz w:val="24"/>
                <w:highlight w:val="none"/>
              </w:rPr>
            </w:pPr>
            <w:r>
              <w:rPr>
                <w:rFonts w:hint="eastAsia" w:ascii="仿宋" w:hAnsi="仿宋" w:eastAsia="仿宋" w:cs="仿宋"/>
                <w:color w:val="auto"/>
                <w:w w:val="99"/>
                <w:sz w:val="24"/>
                <w:highlight w:val="none"/>
              </w:rPr>
              <w:t>★</w:t>
            </w:r>
            <w:r>
              <w:rPr>
                <w:rFonts w:hint="eastAsia" w:ascii="仿宋" w:hAnsi="仿宋" w:eastAsia="仿宋" w:cs="仿宋"/>
                <w:color w:val="auto"/>
                <w:sz w:val="24"/>
                <w:highlight w:val="none"/>
              </w:rPr>
              <w:t>A02021104液晶显示器</w:t>
            </w:r>
          </w:p>
        </w:tc>
        <w:tc>
          <w:tcPr>
            <w:tcW w:w="3875" w:type="dxa"/>
            <w:tcBorders>
              <w:top w:val="single" w:color="000000" w:sz="4" w:space="0"/>
              <w:left w:val="single" w:color="000000" w:sz="4" w:space="0"/>
              <w:bottom w:val="single" w:color="000000" w:sz="4" w:space="0"/>
              <w:right w:val="single" w:color="000000" w:sz="4" w:space="0"/>
            </w:tcBorders>
            <w:vAlign w:val="center"/>
          </w:tcPr>
          <w:p w14:paraId="33354CDE">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《计算机显示器能效限定值及能效等级》（GB21520）</w:t>
            </w:r>
          </w:p>
        </w:tc>
      </w:tr>
      <w:tr w14:paraId="0670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DF1AE4">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175387">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EC2C72">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871F96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A02021118扫描仪</w:t>
            </w:r>
          </w:p>
        </w:tc>
        <w:tc>
          <w:tcPr>
            <w:tcW w:w="3875" w:type="dxa"/>
            <w:tcBorders>
              <w:top w:val="single" w:color="000000" w:sz="4" w:space="0"/>
              <w:left w:val="single" w:color="000000" w:sz="4" w:space="0"/>
              <w:bottom w:val="single" w:color="000000" w:sz="4" w:space="0"/>
              <w:right w:val="single" w:color="000000" w:sz="4" w:space="0"/>
            </w:tcBorders>
            <w:vAlign w:val="center"/>
          </w:tcPr>
          <w:p w14:paraId="577A35D7">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参照《复印机、打印机和传真机能效限定值及能效等级》（GB21521）中打印速度为15页/分的针式打印机相关要求</w:t>
            </w:r>
          </w:p>
        </w:tc>
      </w:tr>
      <w:tr w14:paraId="415D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21BD232">
            <w:pPr>
              <w:jc w:val="center"/>
              <w:rPr>
                <w:rFonts w:ascii="仿宋" w:hAnsi="仿宋" w:eastAsia="仿宋" w:cs="仿宋"/>
                <w:color w:val="auto"/>
                <w:sz w:val="24"/>
                <w:highlight w:val="none"/>
              </w:rPr>
            </w:pPr>
            <w:r>
              <w:rPr>
                <w:rFonts w:hint="eastAsia" w:ascii="仿宋" w:hAnsi="仿宋" w:eastAsia="仿宋" w:cs="仿宋"/>
                <w:color w:val="auto"/>
                <w:w w:val="99"/>
                <w:sz w:val="24"/>
                <w:highlight w:val="none"/>
              </w:rPr>
              <w:t>3</w:t>
            </w:r>
          </w:p>
        </w:tc>
        <w:tc>
          <w:tcPr>
            <w:tcW w:w="1732" w:type="dxa"/>
            <w:tcBorders>
              <w:top w:val="single" w:color="000000" w:sz="4" w:space="0"/>
              <w:left w:val="single" w:color="000000" w:sz="4" w:space="0"/>
              <w:bottom w:val="single" w:color="000000" w:sz="4" w:space="0"/>
              <w:right w:val="single" w:color="000000" w:sz="4" w:space="0"/>
            </w:tcBorders>
            <w:vAlign w:val="center"/>
          </w:tcPr>
          <w:p w14:paraId="205B868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A02020200投影仪</w:t>
            </w:r>
          </w:p>
        </w:tc>
        <w:tc>
          <w:tcPr>
            <w:tcW w:w="1735" w:type="dxa"/>
            <w:tcBorders>
              <w:top w:val="single" w:color="000000" w:sz="4" w:space="0"/>
              <w:left w:val="single" w:color="000000" w:sz="4" w:space="0"/>
              <w:bottom w:val="single" w:color="000000" w:sz="4" w:space="0"/>
              <w:right w:val="single" w:color="000000" w:sz="4" w:space="0"/>
            </w:tcBorders>
            <w:vAlign w:val="center"/>
          </w:tcPr>
          <w:p w14:paraId="7243E17F">
            <w:pPr>
              <w:jc w:val="center"/>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312EAEC9">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vAlign w:val="center"/>
          </w:tcPr>
          <w:p w14:paraId="66F43334">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《投影机能效限定值及能效等级》（GB32028）</w:t>
            </w:r>
          </w:p>
        </w:tc>
      </w:tr>
      <w:tr w14:paraId="51FB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303DC14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2" w:type="dxa"/>
            <w:tcBorders>
              <w:top w:val="single" w:color="000000" w:sz="4" w:space="0"/>
              <w:left w:val="single" w:color="000000" w:sz="4" w:space="0"/>
              <w:bottom w:val="single" w:color="000000" w:sz="4" w:space="0"/>
              <w:right w:val="single" w:color="000000" w:sz="4" w:space="0"/>
            </w:tcBorders>
            <w:vAlign w:val="center"/>
          </w:tcPr>
          <w:p w14:paraId="4C2C31A8">
            <w:pPr>
              <w:pStyle w:val="65"/>
              <w:spacing w:before="66"/>
              <w:ind w:left="7"/>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A02020400</w:t>
            </w:r>
            <w:r>
              <w:rPr>
                <w:rFonts w:hint="eastAsia" w:ascii="仿宋" w:hAnsi="仿宋" w:eastAsia="仿宋" w:cs="仿宋"/>
                <w:color w:val="auto"/>
                <w:w w:val="99"/>
                <w:kern w:val="2"/>
                <w:sz w:val="24"/>
                <w:szCs w:val="24"/>
                <w:highlight w:val="none"/>
              </w:rPr>
              <w:t>多功能一体机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5679DFB5">
            <w:pPr>
              <w:jc w:val="center"/>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C880F41">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vAlign w:val="center"/>
          </w:tcPr>
          <w:p w14:paraId="2ABDE4B1">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《复印机、打印机和传真机能效限定值及能效等级》（GB21521）</w:t>
            </w:r>
          </w:p>
        </w:tc>
      </w:tr>
      <w:tr w14:paraId="07E4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8ADED0F">
            <w:pPr>
              <w:pStyle w:val="65"/>
              <w:spacing w:before="160"/>
              <w:ind w:right="1"/>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5</w:t>
            </w:r>
          </w:p>
        </w:tc>
        <w:tc>
          <w:tcPr>
            <w:tcW w:w="1732" w:type="dxa"/>
            <w:tcBorders>
              <w:top w:val="single" w:color="000000" w:sz="4" w:space="0"/>
              <w:left w:val="single" w:color="000000" w:sz="4" w:space="0"/>
              <w:bottom w:val="single" w:color="000000" w:sz="4" w:space="0"/>
              <w:right w:val="single" w:color="000000" w:sz="4" w:space="0"/>
            </w:tcBorders>
            <w:vAlign w:val="center"/>
          </w:tcPr>
          <w:p w14:paraId="336C29AC">
            <w:pPr>
              <w:pStyle w:val="65"/>
              <w:spacing w:before="160"/>
              <w:ind w:left="7"/>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A02051900</w:t>
            </w:r>
            <w:r>
              <w:rPr>
                <w:rFonts w:hint="eastAsia" w:ascii="仿宋" w:hAnsi="仿宋" w:eastAsia="仿宋" w:cs="仿宋"/>
                <w:color w:val="auto"/>
                <w:w w:val="99"/>
                <w:kern w:val="2"/>
                <w:sz w:val="24"/>
                <w:szCs w:val="24"/>
                <w:highlight w:val="none"/>
              </w:rPr>
              <w:t>泵</w:t>
            </w:r>
          </w:p>
        </w:tc>
        <w:tc>
          <w:tcPr>
            <w:tcW w:w="1735" w:type="dxa"/>
            <w:tcBorders>
              <w:top w:val="single" w:color="000000" w:sz="4" w:space="0"/>
              <w:left w:val="single" w:color="000000" w:sz="4" w:space="0"/>
              <w:bottom w:val="single" w:color="000000" w:sz="4" w:space="0"/>
              <w:right w:val="single" w:color="000000" w:sz="4" w:space="0"/>
            </w:tcBorders>
            <w:vAlign w:val="center"/>
          </w:tcPr>
          <w:p w14:paraId="5787816D">
            <w:pPr>
              <w:pStyle w:val="65"/>
              <w:spacing w:before="160"/>
              <w:ind w:left="7"/>
              <w:jc w:val="center"/>
              <w:rPr>
                <w:rFonts w:ascii="仿宋" w:hAnsi="仿宋" w:eastAsia="仿宋" w:cs="仿宋"/>
                <w:color w:val="auto"/>
                <w:kern w:val="2"/>
                <w:sz w:val="24"/>
                <w:szCs w:val="24"/>
                <w:highlight w:val="none"/>
              </w:rPr>
            </w:pPr>
            <w:r>
              <w:rPr>
                <w:rFonts w:hint="eastAsia" w:ascii="仿宋" w:hAnsi="仿宋" w:eastAsia="仿宋" w:cs="仿宋"/>
                <w:color w:val="auto"/>
                <w:spacing w:val="1"/>
                <w:w w:val="99"/>
                <w:kern w:val="2"/>
                <w:sz w:val="24"/>
                <w:szCs w:val="24"/>
                <w:highlight w:val="none"/>
              </w:rPr>
              <w:t>A02</w:t>
            </w:r>
            <w:r>
              <w:rPr>
                <w:rFonts w:hint="eastAsia" w:ascii="仿宋" w:hAnsi="仿宋" w:eastAsia="仿宋" w:cs="仿宋"/>
                <w:color w:val="auto"/>
                <w:w w:val="99"/>
                <w:kern w:val="2"/>
                <w:sz w:val="24"/>
                <w:szCs w:val="24"/>
                <w:highlight w:val="none"/>
              </w:rPr>
              <w:t>05</w:t>
            </w:r>
            <w:r>
              <w:rPr>
                <w:rFonts w:hint="eastAsia" w:ascii="仿宋" w:hAnsi="仿宋" w:eastAsia="仿宋" w:cs="仿宋"/>
                <w:color w:val="auto"/>
                <w:spacing w:val="1"/>
                <w:w w:val="99"/>
                <w:kern w:val="2"/>
                <w:sz w:val="24"/>
                <w:szCs w:val="24"/>
                <w:highlight w:val="none"/>
              </w:rPr>
              <w:t>1</w:t>
            </w:r>
            <w:r>
              <w:rPr>
                <w:rFonts w:hint="eastAsia" w:ascii="仿宋" w:hAnsi="仿宋" w:eastAsia="仿宋" w:cs="仿宋"/>
                <w:color w:val="auto"/>
                <w:w w:val="99"/>
                <w:kern w:val="2"/>
                <w:sz w:val="24"/>
                <w:szCs w:val="24"/>
                <w:highlight w:val="none"/>
              </w:rPr>
              <w:t>901离心泵</w:t>
            </w:r>
          </w:p>
        </w:tc>
        <w:tc>
          <w:tcPr>
            <w:tcW w:w="1724" w:type="dxa"/>
            <w:tcBorders>
              <w:top w:val="single" w:color="000000" w:sz="4" w:space="0"/>
              <w:left w:val="single" w:color="000000" w:sz="4" w:space="0"/>
              <w:bottom w:val="single" w:color="000000" w:sz="4" w:space="0"/>
              <w:right w:val="single" w:color="000000" w:sz="4" w:space="0"/>
            </w:tcBorders>
            <w:vAlign w:val="center"/>
          </w:tcPr>
          <w:p w14:paraId="047D198E">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4E49FFBA">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《清水离心泵能效限定值及节能评价值》（GB19762）</w:t>
            </w:r>
          </w:p>
        </w:tc>
      </w:tr>
      <w:tr w14:paraId="4D9F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5FD0CD4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685FBFB5">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A02052300</w:t>
            </w:r>
            <w:r>
              <w:rPr>
                <w:rFonts w:hint="eastAsia" w:ascii="仿宋" w:hAnsi="仿宋" w:eastAsia="仿宋" w:cs="仿宋"/>
                <w:color w:val="auto"/>
                <w:w w:val="99"/>
                <w:kern w:val="2"/>
                <w:sz w:val="24"/>
                <w:szCs w:val="24"/>
                <w:highlight w:val="none"/>
              </w:rPr>
              <w:t>制冷空调设备</w:t>
            </w: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3C4A7552">
            <w:pPr>
              <w:pStyle w:val="65"/>
              <w:spacing w:line="276" w:lineRule="auto"/>
              <w:ind w:right="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w:t>
            </w:r>
            <w:r>
              <w:rPr>
                <w:rFonts w:hint="eastAsia" w:ascii="仿宋" w:hAnsi="仿宋" w:eastAsia="仿宋" w:cs="仿宋"/>
                <w:color w:val="auto"/>
                <w:spacing w:val="1"/>
                <w:w w:val="99"/>
                <w:kern w:val="2"/>
                <w:sz w:val="24"/>
                <w:szCs w:val="24"/>
                <w:highlight w:val="none"/>
              </w:rPr>
              <w:t>A020</w:t>
            </w:r>
            <w:r>
              <w:rPr>
                <w:rFonts w:hint="eastAsia" w:ascii="仿宋" w:hAnsi="仿宋" w:eastAsia="仿宋" w:cs="仿宋"/>
                <w:color w:val="auto"/>
                <w:w w:val="99"/>
                <w:kern w:val="2"/>
                <w:sz w:val="24"/>
                <w:szCs w:val="24"/>
                <w:highlight w:val="none"/>
              </w:rPr>
              <w:t>52</w:t>
            </w:r>
            <w:r>
              <w:rPr>
                <w:rFonts w:hint="eastAsia" w:ascii="仿宋" w:hAnsi="仿宋" w:eastAsia="仿宋" w:cs="仿宋"/>
                <w:color w:val="auto"/>
                <w:spacing w:val="1"/>
                <w:w w:val="99"/>
                <w:kern w:val="2"/>
                <w:sz w:val="24"/>
                <w:szCs w:val="24"/>
                <w:highlight w:val="none"/>
              </w:rPr>
              <w:t>3</w:t>
            </w:r>
            <w:r>
              <w:rPr>
                <w:rFonts w:hint="eastAsia" w:ascii="仿宋" w:hAnsi="仿宋" w:eastAsia="仿宋" w:cs="仿宋"/>
                <w:color w:val="auto"/>
                <w:w w:val="99"/>
                <w:kern w:val="2"/>
                <w:sz w:val="24"/>
                <w:szCs w:val="24"/>
                <w:highlight w:val="none"/>
              </w:rPr>
              <w:t>01制冷压缩机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0F839A37">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冷水机组</w:t>
            </w:r>
          </w:p>
        </w:tc>
        <w:tc>
          <w:tcPr>
            <w:tcW w:w="3875" w:type="dxa"/>
            <w:tcBorders>
              <w:top w:val="single" w:color="000000" w:sz="4" w:space="0"/>
              <w:left w:val="single" w:color="000000" w:sz="4" w:space="0"/>
              <w:bottom w:val="single" w:color="000000" w:sz="4" w:space="0"/>
              <w:right w:val="single" w:color="000000" w:sz="4" w:space="0"/>
            </w:tcBorders>
          </w:tcPr>
          <w:p w14:paraId="46BFF823">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《冷水机组能效限定值及能效等级》（GB19577），《低环境温度空气源热泵（冷水）机组能效限定值及能效等级》（GB37480）</w:t>
            </w:r>
          </w:p>
        </w:tc>
      </w:tr>
      <w:tr w14:paraId="5778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A0AE8F">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558CDA">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09460F">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24D1968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溴化锂吸收式冷水机组</w:t>
            </w:r>
          </w:p>
        </w:tc>
        <w:tc>
          <w:tcPr>
            <w:tcW w:w="3875" w:type="dxa"/>
            <w:tcBorders>
              <w:top w:val="single" w:color="000000" w:sz="4" w:space="0"/>
              <w:left w:val="single" w:color="000000" w:sz="4" w:space="0"/>
              <w:bottom w:val="single" w:color="000000" w:sz="4" w:space="0"/>
              <w:right w:val="single" w:color="000000" w:sz="4" w:space="0"/>
            </w:tcBorders>
            <w:vAlign w:val="center"/>
          </w:tcPr>
          <w:p w14:paraId="1787794E">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《溴化锂吸收式冷水机组能效限</w:t>
            </w:r>
          </w:p>
          <w:p w14:paraId="43455FC8">
            <w:pPr>
              <w:spacing w:before="131" w:line="276" w:lineRule="auto"/>
              <w:ind w:right="4"/>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定值及能效等级》（GB29540）</w:t>
            </w:r>
          </w:p>
        </w:tc>
      </w:tr>
      <w:tr w14:paraId="41BA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9D5005">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139A84">
            <w:pPr>
              <w:widowControl/>
              <w:jc w:val="left"/>
              <w:rPr>
                <w:rFonts w:ascii="仿宋" w:hAnsi="仿宋" w:eastAsia="仿宋" w:cs="仿宋"/>
                <w:color w:val="auto"/>
                <w:sz w:val="24"/>
                <w:highlight w:val="none"/>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5D1BBDD3">
            <w:pPr>
              <w:pStyle w:val="65"/>
              <w:spacing w:line="276" w:lineRule="auto"/>
              <w:ind w:right="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★A02052305空调机组</w:t>
            </w:r>
          </w:p>
        </w:tc>
        <w:tc>
          <w:tcPr>
            <w:tcW w:w="1724" w:type="dxa"/>
            <w:tcBorders>
              <w:top w:val="single" w:color="000000" w:sz="4" w:space="0"/>
              <w:left w:val="single" w:color="000000" w:sz="4" w:space="0"/>
              <w:bottom w:val="single" w:color="000000" w:sz="4" w:space="0"/>
              <w:right w:val="single" w:color="000000" w:sz="4" w:space="0"/>
            </w:tcBorders>
            <w:vAlign w:val="center"/>
          </w:tcPr>
          <w:p w14:paraId="0C4E3BDF">
            <w:pPr>
              <w:pStyle w:val="65"/>
              <w:spacing w:before="4" w:line="276" w:lineRule="auto"/>
              <w:ind w:left="7" w:right="7"/>
              <w:jc w:val="center"/>
              <w:rPr>
                <w:rFonts w:ascii="仿宋" w:hAnsi="仿宋" w:eastAsia="仿宋" w:cs="仿宋"/>
                <w:color w:val="auto"/>
                <w:w w:val="99"/>
                <w:kern w:val="2"/>
                <w:sz w:val="24"/>
                <w:szCs w:val="24"/>
                <w:highlight w:val="none"/>
                <w:lang w:eastAsia="zh-CN"/>
              </w:rPr>
            </w:pPr>
            <w:r>
              <w:rPr>
                <w:rFonts w:hint="eastAsia" w:ascii="仿宋" w:hAnsi="仿宋" w:eastAsia="仿宋" w:cs="仿宋"/>
                <w:color w:val="auto"/>
                <w:w w:val="99"/>
                <w:kern w:val="2"/>
                <w:sz w:val="24"/>
                <w:szCs w:val="24"/>
                <w:highlight w:val="none"/>
                <w:lang w:eastAsia="zh-CN"/>
              </w:rPr>
              <w:t>多联式空调（热泵）机组（制冷量&gt;14000W）</w:t>
            </w:r>
          </w:p>
        </w:tc>
        <w:tc>
          <w:tcPr>
            <w:tcW w:w="3875" w:type="dxa"/>
            <w:tcBorders>
              <w:top w:val="single" w:color="000000" w:sz="4" w:space="0"/>
              <w:left w:val="single" w:color="000000" w:sz="4" w:space="0"/>
              <w:bottom w:val="single" w:color="000000" w:sz="4" w:space="0"/>
              <w:right w:val="single" w:color="000000" w:sz="4" w:space="0"/>
            </w:tcBorders>
          </w:tcPr>
          <w:p w14:paraId="305B82ED">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《多联式空调（热泵）机组能效限定值及能源效率等级》（GB21454）</w:t>
            </w:r>
          </w:p>
        </w:tc>
      </w:tr>
      <w:tr w14:paraId="7DFC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A69A70">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7F7A73">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897DB8">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5A8E3EB">
            <w:pPr>
              <w:jc w:val="center"/>
              <w:rPr>
                <w:rFonts w:ascii="仿宋" w:hAnsi="仿宋" w:eastAsia="仿宋" w:cs="仿宋"/>
                <w:color w:val="auto"/>
                <w:sz w:val="24"/>
                <w:highlight w:val="none"/>
              </w:rPr>
            </w:pPr>
            <w:r>
              <w:rPr>
                <w:rFonts w:hint="eastAsia" w:ascii="仿宋" w:hAnsi="仿宋" w:eastAsia="仿宋" w:cs="仿宋"/>
                <w:color w:val="auto"/>
                <w:w w:val="99"/>
                <w:sz w:val="24"/>
                <w:highlight w:val="none"/>
              </w:rPr>
              <w:t>单元式空气调节机</w:t>
            </w:r>
          </w:p>
        </w:tc>
        <w:tc>
          <w:tcPr>
            <w:tcW w:w="3875" w:type="dxa"/>
            <w:tcBorders>
              <w:top w:val="single" w:color="000000" w:sz="4" w:space="0"/>
              <w:left w:val="single" w:color="000000" w:sz="4" w:space="0"/>
              <w:bottom w:val="single" w:color="000000" w:sz="4" w:space="0"/>
              <w:right w:val="single" w:color="000000" w:sz="4" w:space="0"/>
            </w:tcBorders>
          </w:tcPr>
          <w:p w14:paraId="1B3C93C0">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《单元式空气调节机能效限定值及能效等级》（GB19576）《风管送风式空调机组能效限定值及能效等级》（GB37479）</w:t>
            </w:r>
          </w:p>
        </w:tc>
      </w:tr>
      <w:tr w14:paraId="0105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91106F">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3053F4">
            <w:pPr>
              <w:widowControl/>
              <w:jc w:val="left"/>
              <w:rPr>
                <w:rFonts w:ascii="仿宋" w:hAnsi="仿宋" w:eastAsia="仿宋" w:cs="仿宋"/>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611AB8D">
            <w:pPr>
              <w:pStyle w:val="65"/>
              <w:spacing w:before="83"/>
              <w:ind w:left="7"/>
              <w:jc w:val="center"/>
              <w:rPr>
                <w:rFonts w:ascii="仿宋" w:hAnsi="仿宋" w:eastAsia="仿宋" w:cs="仿宋"/>
                <w:color w:val="auto"/>
                <w:w w:val="99"/>
                <w:kern w:val="2"/>
                <w:sz w:val="24"/>
                <w:szCs w:val="24"/>
                <w:highlight w:val="none"/>
                <w:lang w:eastAsia="zh-CN"/>
              </w:rPr>
            </w:pPr>
            <w:r>
              <w:rPr>
                <w:rFonts w:hint="eastAsia" w:ascii="仿宋" w:hAnsi="仿宋" w:eastAsia="仿宋" w:cs="仿宋"/>
                <w:color w:val="auto"/>
                <w:w w:val="99"/>
                <w:kern w:val="2"/>
                <w:sz w:val="24"/>
                <w:szCs w:val="24"/>
                <w:highlight w:val="none"/>
                <w:lang w:eastAsia="zh-CN"/>
              </w:rPr>
              <w:t>★A02052309专用制冷、空调设备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4EEF406D">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机房空调</w:t>
            </w:r>
          </w:p>
        </w:tc>
        <w:tc>
          <w:tcPr>
            <w:tcW w:w="3875" w:type="dxa"/>
            <w:tcBorders>
              <w:top w:val="single" w:color="000000" w:sz="4" w:space="0"/>
              <w:left w:val="single" w:color="000000" w:sz="4" w:space="0"/>
              <w:bottom w:val="single" w:color="000000" w:sz="4" w:space="0"/>
              <w:right w:val="single" w:color="000000" w:sz="4" w:space="0"/>
            </w:tcBorders>
          </w:tcPr>
          <w:p w14:paraId="4B876745">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《单元式空气调节机能效限定值</w:t>
            </w:r>
          </w:p>
          <w:p w14:paraId="24919B75">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及能效等级》（GB19576）</w:t>
            </w:r>
          </w:p>
        </w:tc>
      </w:tr>
      <w:tr w14:paraId="34BB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B3C2AF">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40A5EB">
            <w:pPr>
              <w:widowControl/>
              <w:jc w:val="left"/>
              <w:rPr>
                <w:rFonts w:ascii="仿宋" w:hAnsi="仿宋" w:eastAsia="仿宋" w:cs="仿宋"/>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A29EE5B">
            <w:pPr>
              <w:pStyle w:val="65"/>
              <w:spacing w:line="254" w:lineRule="exact"/>
              <w:ind w:left="7"/>
              <w:jc w:val="center"/>
              <w:rPr>
                <w:rFonts w:ascii="仿宋" w:hAnsi="仿宋" w:eastAsia="仿宋" w:cs="仿宋"/>
                <w:color w:val="auto"/>
                <w:w w:val="99"/>
                <w:kern w:val="2"/>
                <w:sz w:val="24"/>
                <w:szCs w:val="24"/>
                <w:highlight w:val="none"/>
              </w:rPr>
            </w:pPr>
            <w:r>
              <w:rPr>
                <w:rFonts w:hint="eastAsia" w:ascii="仿宋" w:hAnsi="仿宋" w:eastAsia="仿宋" w:cs="仿宋"/>
                <w:color w:val="auto"/>
                <w:w w:val="99"/>
                <w:kern w:val="2"/>
                <w:sz w:val="24"/>
                <w:szCs w:val="24"/>
                <w:highlight w:val="none"/>
              </w:rPr>
              <w:t>A02052399其他制冷</w:t>
            </w:r>
          </w:p>
          <w:p w14:paraId="55A9E58F">
            <w:pPr>
              <w:pStyle w:val="65"/>
              <w:spacing w:line="254" w:lineRule="exact"/>
              <w:ind w:left="7"/>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空调设备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71D88A3E">
            <w:pPr>
              <w:widowControl/>
              <w:jc w:val="center"/>
              <w:rPr>
                <w:rFonts w:ascii="仿宋" w:hAnsi="仿宋" w:eastAsia="仿宋" w:cs="仿宋"/>
                <w:color w:val="auto"/>
                <w:sz w:val="24"/>
                <w:highlight w:val="none"/>
                <w:lang w:eastAsia="en-US"/>
              </w:rPr>
            </w:pPr>
            <w:r>
              <w:rPr>
                <w:rFonts w:hint="eastAsia" w:ascii="仿宋" w:hAnsi="仿宋" w:eastAsia="仿宋" w:cs="仿宋"/>
                <w:color w:val="auto"/>
                <w:w w:val="99"/>
                <w:sz w:val="24"/>
                <w:highlight w:val="none"/>
              </w:rPr>
              <w:t>冷却塔</w:t>
            </w:r>
          </w:p>
        </w:tc>
        <w:tc>
          <w:tcPr>
            <w:tcW w:w="3875" w:type="dxa"/>
            <w:tcBorders>
              <w:top w:val="single" w:color="000000" w:sz="4" w:space="0"/>
              <w:left w:val="single" w:color="000000" w:sz="4" w:space="0"/>
              <w:bottom w:val="single" w:color="000000" w:sz="4" w:space="0"/>
              <w:right w:val="single" w:color="000000" w:sz="4" w:space="0"/>
            </w:tcBorders>
          </w:tcPr>
          <w:p w14:paraId="1B3C70ED">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《机械通风冷却塔第1部分：中小型开式冷却塔》（GB/T7190.1）</w:t>
            </w:r>
          </w:p>
          <w:p w14:paraId="78C4E612">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《机械通风冷却塔第2部分：大型开式冷却塔》（GB/T7190.2）</w:t>
            </w:r>
          </w:p>
        </w:tc>
      </w:tr>
      <w:tr w14:paraId="7CD4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0F92A07B">
            <w:pPr>
              <w:pStyle w:val="65"/>
              <w:ind w:right="1"/>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7</w:t>
            </w:r>
          </w:p>
        </w:tc>
        <w:tc>
          <w:tcPr>
            <w:tcW w:w="1732" w:type="dxa"/>
            <w:tcBorders>
              <w:top w:val="single" w:color="000000" w:sz="4" w:space="0"/>
              <w:left w:val="single" w:color="000000" w:sz="4" w:space="0"/>
              <w:bottom w:val="single" w:color="000000" w:sz="4" w:space="0"/>
              <w:right w:val="single" w:color="000000" w:sz="4" w:space="0"/>
            </w:tcBorders>
            <w:vAlign w:val="center"/>
          </w:tcPr>
          <w:p w14:paraId="0723556B">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A02060100</w:t>
            </w:r>
            <w:r>
              <w:rPr>
                <w:rFonts w:hint="eastAsia" w:ascii="仿宋" w:hAnsi="仿宋" w:eastAsia="仿宋" w:cs="仿宋"/>
                <w:color w:val="auto"/>
                <w:w w:val="99"/>
                <w:kern w:val="2"/>
                <w:sz w:val="24"/>
                <w:szCs w:val="24"/>
                <w:highlight w:val="none"/>
              </w:rPr>
              <w:t>电机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7190AF54">
            <w:pPr>
              <w:jc w:val="center"/>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56A311F7">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48F51283">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《中小型三相异步电动机能效限定值及能效等级》（GB18613）</w:t>
            </w:r>
          </w:p>
        </w:tc>
      </w:tr>
      <w:tr w14:paraId="3DB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6D1D7BEA">
            <w:pPr>
              <w:pStyle w:val="65"/>
              <w:ind w:right="1"/>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8</w:t>
            </w:r>
          </w:p>
        </w:tc>
        <w:tc>
          <w:tcPr>
            <w:tcW w:w="1732" w:type="dxa"/>
            <w:tcBorders>
              <w:top w:val="single" w:color="000000" w:sz="4" w:space="0"/>
              <w:left w:val="single" w:color="000000" w:sz="4" w:space="0"/>
              <w:bottom w:val="single" w:color="000000" w:sz="4" w:space="0"/>
              <w:right w:val="single" w:color="000000" w:sz="4" w:space="0"/>
            </w:tcBorders>
            <w:vAlign w:val="center"/>
          </w:tcPr>
          <w:p w14:paraId="1F27B606">
            <w:pPr>
              <w:pStyle w:val="65"/>
              <w:spacing w:before="30"/>
              <w:ind w:left="7"/>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A02060200</w:t>
            </w:r>
            <w:r>
              <w:rPr>
                <w:rFonts w:hint="eastAsia" w:ascii="仿宋" w:hAnsi="仿宋" w:eastAsia="仿宋" w:cs="仿宋"/>
                <w:color w:val="auto"/>
                <w:w w:val="99"/>
                <w:kern w:val="2"/>
                <w:sz w:val="24"/>
                <w:szCs w:val="24"/>
                <w:highlight w:val="none"/>
              </w:rPr>
              <w:t>变压</w:t>
            </w:r>
          </w:p>
        </w:tc>
        <w:tc>
          <w:tcPr>
            <w:tcW w:w="1735" w:type="dxa"/>
            <w:tcBorders>
              <w:top w:val="single" w:color="000000" w:sz="4" w:space="0"/>
              <w:left w:val="single" w:color="000000" w:sz="4" w:space="0"/>
              <w:bottom w:val="single" w:color="000000" w:sz="4" w:space="0"/>
              <w:right w:val="single" w:color="000000" w:sz="4" w:space="0"/>
            </w:tcBorders>
            <w:vAlign w:val="center"/>
          </w:tcPr>
          <w:p w14:paraId="517EBAF4">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配电变压器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05D6F404">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225BFAF9">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《三相配电变压器能效限定值及能效等级》（GB 20052）</w:t>
            </w:r>
          </w:p>
        </w:tc>
      </w:tr>
      <w:tr w14:paraId="6A08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5151DB17">
            <w:pPr>
              <w:pStyle w:val="65"/>
              <w:ind w:right="1"/>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9</w:t>
            </w:r>
          </w:p>
        </w:tc>
        <w:tc>
          <w:tcPr>
            <w:tcW w:w="1732" w:type="dxa"/>
            <w:tcBorders>
              <w:top w:val="single" w:color="000000" w:sz="4" w:space="0"/>
              <w:left w:val="single" w:color="000000" w:sz="4" w:space="0"/>
              <w:bottom w:val="single" w:color="000000" w:sz="4" w:space="0"/>
              <w:right w:val="single" w:color="000000" w:sz="4" w:space="0"/>
            </w:tcBorders>
            <w:vAlign w:val="center"/>
          </w:tcPr>
          <w:p w14:paraId="4C4EDB6B">
            <w:pPr>
              <w:pStyle w:val="65"/>
              <w:spacing w:before="126"/>
              <w:ind w:left="7"/>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★A02060900镇流器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08447E74">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管型荧光灯镇流器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46B3CECE">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7B11842F">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《管形荧光灯镇流器能效限定值及能效等级》（GB17896）</w:t>
            </w:r>
          </w:p>
        </w:tc>
      </w:tr>
      <w:tr w14:paraId="5C55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72846303">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10</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5BD75097">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A02061800生活用电器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6E3B9D46">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A02061801电冰箱</w:t>
            </w:r>
          </w:p>
        </w:tc>
        <w:tc>
          <w:tcPr>
            <w:tcW w:w="1724" w:type="dxa"/>
            <w:tcBorders>
              <w:top w:val="single" w:color="000000" w:sz="4" w:space="0"/>
              <w:left w:val="single" w:color="000000" w:sz="4" w:space="0"/>
              <w:bottom w:val="single" w:color="000000" w:sz="4" w:space="0"/>
              <w:right w:val="single" w:color="000000" w:sz="4" w:space="0"/>
            </w:tcBorders>
            <w:vAlign w:val="center"/>
          </w:tcPr>
          <w:p w14:paraId="000D8044">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20FE7185">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《家用电冰箱耗电量限定值及能效等级》（GB12021.2）</w:t>
            </w:r>
          </w:p>
        </w:tc>
      </w:tr>
      <w:tr w14:paraId="2E52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CED92A">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6E0D0E">
            <w:pPr>
              <w:widowControl/>
              <w:jc w:val="left"/>
              <w:rPr>
                <w:rFonts w:ascii="仿宋" w:hAnsi="仿宋" w:eastAsia="仿宋" w:cs="仿宋"/>
                <w:color w:val="auto"/>
                <w:sz w:val="24"/>
                <w:highlight w:val="none"/>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58F7A209">
            <w:pPr>
              <w:pStyle w:val="65"/>
              <w:spacing w:before="171"/>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w:t>
            </w:r>
            <w:r>
              <w:rPr>
                <w:rFonts w:hint="eastAsia" w:ascii="仿宋" w:hAnsi="仿宋" w:eastAsia="仿宋" w:cs="仿宋"/>
                <w:color w:val="auto"/>
                <w:kern w:val="2"/>
                <w:sz w:val="24"/>
                <w:szCs w:val="24"/>
                <w:highlight w:val="none"/>
              </w:rPr>
              <w:t>A02061804</w:t>
            </w:r>
            <w:r>
              <w:rPr>
                <w:rFonts w:hint="eastAsia" w:ascii="仿宋" w:hAnsi="仿宋" w:eastAsia="仿宋" w:cs="仿宋"/>
                <w:color w:val="auto"/>
                <w:w w:val="99"/>
                <w:kern w:val="2"/>
                <w:sz w:val="24"/>
                <w:szCs w:val="24"/>
                <w:highlight w:val="none"/>
              </w:rPr>
              <w:t>空调机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2F1005D8">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房间空气调节器</w:t>
            </w:r>
          </w:p>
        </w:tc>
        <w:tc>
          <w:tcPr>
            <w:tcW w:w="3875" w:type="dxa"/>
            <w:tcBorders>
              <w:top w:val="single" w:color="000000" w:sz="4" w:space="0"/>
              <w:left w:val="single" w:color="000000" w:sz="4" w:space="0"/>
              <w:bottom w:val="single" w:color="000000" w:sz="4" w:space="0"/>
              <w:right w:val="single" w:color="000000" w:sz="4" w:space="0"/>
            </w:tcBorders>
          </w:tcPr>
          <w:p w14:paraId="14BCE964">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《房间空气调节器能效限定值及能效等级》（GB21455-2019）</w:t>
            </w:r>
          </w:p>
        </w:tc>
      </w:tr>
      <w:tr w14:paraId="49BB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E4F97B">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43ABC4">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214E00">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BBA40FF">
            <w:pPr>
              <w:pStyle w:val="65"/>
              <w:spacing w:before="4" w:line="276" w:lineRule="auto"/>
              <w:ind w:left="7" w:right="7"/>
              <w:jc w:val="center"/>
              <w:rPr>
                <w:rFonts w:ascii="仿宋" w:hAnsi="仿宋" w:eastAsia="仿宋" w:cs="仿宋"/>
                <w:color w:val="auto"/>
                <w:kern w:val="2"/>
                <w:sz w:val="24"/>
                <w:szCs w:val="24"/>
                <w:highlight w:val="none"/>
                <w:lang w:eastAsia="zh-CN"/>
              </w:rPr>
            </w:pPr>
            <w:r>
              <w:rPr>
                <w:rFonts w:hint="eastAsia" w:ascii="仿宋" w:hAnsi="仿宋" w:eastAsia="仿宋" w:cs="仿宋"/>
                <w:color w:val="auto"/>
                <w:w w:val="99"/>
                <w:kern w:val="2"/>
                <w:sz w:val="24"/>
                <w:szCs w:val="24"/>
                <w:highlight w:val="none"/>
                <w:lang w:eastAsia="zh-CN"/>
              </w:rPr>
              <w:t>多联式空调（热泵）机组（制冷量≤ 14000W）</w:t>
            </w:r>
          </w:p>
        </w:tc>
        <w:tc>
          <w:tcPr>
            <w:tcW w:w="3875" w:type="dxa"/>
            <w:tcBorders>
              <w:top w:val="single" w:color="000000" w:sz="4" w:space="0"/>
              <w:left w:val="single" w:color="000000" w:sz="4" w:space="0"/>
              <w:bottom w:val="single" w:color="000000" w:sz="4" w:space="0"/>
              <w:right w:val="single" w:color="000000" w:sz="4" w:space="0"/>
            </w:tcBorders>
          </w:tcPr>
          <w:p w14:paraId="435C5F29">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《多联式空调（热泵）机组能效限定值及能源效率等级》（GB21454）</w:t>
            </w:r>
          </w:p>
        </w:tc>
      </w:tr>
      <w:tr w14:paraId="1C58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A8E13C">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D585B9">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77FCA0">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2023479D">
            <w:pPr>
              <w:pStyle w:val="65"/>
              <w:jc w:val="center"/>
              <w:rPr>
                <w:rFonts w:ascii="仿宋" w:hAnsi="仿宋" w:eastAsia="仿宋" w:cs="仿宋"/>
                <w:color w:val="auto"/>
                <w:kern w:val="2"/>
                <w:sz w:val="24"/>
                <w:szCs w:val="24"/>
                <w:highlight w:val="none"/>
                <w:lang w:eastAsia="zh-CN"/>
              </w:rPr>
            </w:pPr>
            <w:r>
              <w:rPr>
                <w:rFonts w:hint="eastAsia" w:ascii="仿宋" w:hAnsi="仿宋" w:eastAsia="仿宋" w:cs="仿宋"/>
                <w:color w:val="auto"/>
                <w:w w:val="99"/>
                <w:kern w:val="2"/>
                <w:sz w:val="24"/>
                <w:szCs w:val="24"/>
                <w:highlight w:val="none"/>
                <w:lang w:eastAsia="zh-CN"/>
              </w:rPr>
              <w:t>单元式空气调节机（制冷量≤ 14000W）</w:t>
            </w:r>
          </w:p>
        </w:tc>
        <w:tc>
          <w:tcPr>
            <w:tcW w:w="3875" w:type="dxa"/>
            <w:tcBorders>
              <w:top w:val="single" w:color="000000" w:sz="4" w:space="0"/>
              <w:left w:val="single" w:color="000000" w:sz="4" w:space="0"/>
              <w:bottom w:val="single" w:color="000000" w:sz="4" w:space="0"/>
              <w:right w:val="single" w:color="000000" w:sz="4" w:space="0"/>
            </w:tcBorders>
          </w:tcPr>
          <w:p w14:paraId="047F2270">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《单元式空气调节机能效限定值及能源效率等级》（GB19576）《风管送风式空调机组能效限定值及能效等级》（GB37479）</w:t>
            </w:r>
          </w:p>
        </w:tc>
      </w:tr>
      <w:tr w14:paraId="5531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8A4187">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009D6D">
            <w:pPr>
              <w:widowControl/>
              <w:jc w:val="left"/>
              <w:rPr>
                <w:rFonts w:ascii="仿宋" w:hAnsi="仿宋" w:eastAsia="仿宋" w:cs="仿宋"/>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FA44015">
            <w:pPr>
              <w:pStyle w:val="65"/>
              <w:spacing w:before="162"/>
              <w:ind w:left="7"/>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A02061810</w:t>
            </w:r>
            <w:r>
              <w:rPr>
                <w:rFonts w:hint="eastAsia" w:ascii="仿宋" w:hAnsi="仿宋" w:eastAsia="仿宋" w:cs="仿宋"/>
                <w:color w:val="auto"/>
                <w:w w:val="99"/>
                <w:kern w:val="2"/>
                <w:sz w:val="24"/>
                <w:szCs w:val="24"/>
                <w:highlight w:val="none"/>
              </w:rPr>
              <w:t>洗衣机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7B3B252A">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270DBDA9">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《电动洗衣机能效水效限定值及等级》（GB12021.4）</w:t>
            </w:r>
          </w:p>
        </w:tc>
      </w:tr>
      <w:tr w14:paraId="1B94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3421A4">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FB870A">
            <w:pPr>
              <w:widowControl/>
              <w:jc w:val="left"/>
              <w:rPr>
                <w:rFonts w:ascii="仿宋" w:hAnsi="仿宋" w:eastAsia="仿宋" w:cs="仿宋"/>
                <w:color w:val="auto"/>
                <w:sz w:val="24"/>
                <w:highlight w:val="none"/>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50786B37">
            <w:pPr>
              <w:pStyle w:val="65"/>
              <w:spacing w:before="161"/>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A02061819</w:t>
            </w:r>
            <w:r>
              <w:rPr>
                <w:rFonts w:hint="eastAsia" w:ascii="仿宋" w:hAnsi="仿宋" w:eastAsia="仿宋" w:cs="仿宋"/>
                <w:color w:val="auto"/>
                <w:w w:val="99"/>
                <w:kern w:val="2"/>
                <w:sz w:val="24"/>
                <w:szCs w:val="24"/>
                <w:highlight w:val="none"/>
              </w:rPr>
              <w:t>热水器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36B5FBFE">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★电热</w:t>
            </w:r>
            <w:r>
              <w:rPr>
                <w:rFonts w:hint="eastAsia" w:ascii="仿宋" w:hAnsi="仿宋" w:eastAsia="仿宋" w:cs="仿宋"/>
                <w:color w:val="auto"/>
                <w:spacing w:val="2"/>
                <w:w w:val="99"/>
                <w:kern w:val="2"/>
                <w:sz w:val="24"/>
                <w:szCs w:val="24"/>
                <w:highlight w:val="none"/>
              </w:rPr>
              <w:t>水</w:t>
            </w:r>
            <w:r>
              <w:rPr>
                <w:rFonts w:hint="eastAsia" w:ascii="仿宋" w:hAnsi="仿宋" w:eastAsia="仿宋" w:cs="仿宋"/>
                <w:color w:val="auto"/>
                <w:w w:val="99"/>
                <w:kern w:val="2"/>
                <w:sz w:val="24"/>
                <w:szCs w:val="24"/>
                <w:highlight w:val="none"/>
              </w:rPr>
              <w:t>器</w:t>
            </w:r>
          </w:p>
        </w:tc>
        <w:tc>
          <w:tcPr>
            <w:tcW w:w="3875" w:type="dxa"/>
            <w:tcBorders>
              <w:top w:val="single" w:color="000000" w:sz="4" w:space="0"/>
              <w:left w:val="single" w:color="000000" w:sz="4" w:space="0"/>
              <w:bottom w:val="single" w:color="000000" w:sz="4" w:space="0"/>
              <w:right w:val="single" w:color="000000" w:sz="4" w:space="0"/>
            </w:tcBorders>
          </w:tcPr>
          <w:p w14:paraId="7E90FF09">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《储水式电热水器能效限定值及能效等级》（GB21519）</w:t>
            </w:r>
          </w:p>
        </w:tc>
      </w:tr>
      <w:tr w14:paraId="2CC8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36BBB1">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CB5A9B">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5FB5F7">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BD48D6A">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燃气热</w:t>
            </w:r>
            <w:r>
              <w:rPr>
                <w:rFonts w:hint="eastAsia" w:ascii="仿宋" w:hAnsi="仿宋" w:eastAsia="仿宋" w:cs="仿宋"/>
                <w:color w:val="auto"/>
                <w:spacing w:val="2"/>
                <w:w w:val="99"/>
                <w:kern w:val="2"/>
                <w:sz w:val="24"/>
                <w:szCs w:val="24"/>
                <w:highlight w:val="none"/>
              </w:rPr>
              <w:t>水</w:t>
            </w:r>
            <w:r>
              <w:rPr>
                <w:rFonts w:hint="eastAsia" w:ascii="仿宋" w:hAnsi="仿宋" w:eastAsia="仿宋" w:cs="仿宋"/>
                <w:color w:val="auto"/>
                <w:w w:val="99"/>
                <w:kern w:val="2"/>
                <w:sz w:val="24"/>
                <w:szCs w:val="24"/>
                <w:highlight w:val="none"/>
              </w:rPr>
              <w:t>器</w:t>
            </w:r>
          </w:p>
        </w:tc>
        <w:tc>
          <w:tcPr>
            <w:tcW w:w="3875" w:type="dxa"/>
            <w:tcBorders>
              <w:top w:val="single" w:color="000000" w:sz="4" w:space="0"/>
              <w:left w:val="single" w:color="000000" w:sz="4" w:space="0"/>
              <w:bottom w:val="single" w:color="000000" w:sz="4" w:space="0"/>
              <w:right w:val="single" w:color="000000" w:sz="4" w:space="0"/>
            </w:tcBorders>
          </w:tcPr>
          <w:p w14:paraId="4441D654">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《家用燃气快速热水器和燃气采暖热水炉能效限定值及能效等级》（GB20665）</w:t>
            </w:r>
          </w:p>
        </w:tc>
      </w:tr>
      <w:tr w14:paraId="5836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48A605">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15DA65">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682098">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4B74122">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热泵热</w:t>
            </w:r>
            <w:r>
              <w:rPr>
                <w:rFonts w:hint="eastAsia" w:ascii="仿宋" w:hAnsi="仿宋" w:eastAsia="仿宋" w:cs="仿宋"/>
                <w:color w:val="auto"/>
                <w:spacing w:val="2"/>
                <w:w w:val="99"/>
                <w:kern w:val="2"/>
                <w:sz w:val="24"/>
                <w:szCs w:val="24"/>
                <w:highlight w:val="none"/>
              </w:rPr>
              <w:t>水</w:t>
            </w:r>
            <w:r>
              <w:rPr>
                <w:rFonts w:hint="eastAsia" w:ascii="仿宋" w:hAnsi="仿宋" w:eastAsia="仿宋" w:cs="仿宋"/>
                <w:color w:val="auto"/>
                <w:w w:val="99"/>
                <w:kern w:val="2"/>
                <w:sz w:val="24"/>
                <w:szCs w:val="24"/>
                <w:highlight w:val="none"/>
              </w:rPr>
              <w:t>器</w:t>
            </w:r>
          </w:p>
        </w:tc>
        <w:tc>
          <w:tcPr>
            <w:tcW w:w="3875" w:type="dxa"/>
            <w:tcBorders>
              <w:top w:val="single" w:color="000000" w:sz="4" w:space="0"/>
              <w:left w:val="single" w:color="000000" w:sz="4" w:space="0"/>
              <w:bottom w:val="single" w:color="000000" w:sz="4" w:space="0"/>
              <w:right w:val="single" w:color="000000" w:sz="4" w:space="0"/>
            </w:tcBorders>
          </w:tcPr>
          <w:p w14:paraId="454A8DFE">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《热泵热水机（器）能效限定值及能效等级》（GB29541）</w:t>
            </w:r>
          </w:p>
        </w:tc>
      </w:tr>
      <w:tr w14:paraId="4BC3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3E8919">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1E4C51">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6276CC">
            <w:pPr>
              <w:widowControl/>
              <w:jc w:val="left"/>
              <w:rPr>
                <w:rFonts w:ascii="仿宋" w:hAnsi="仿宋" w:eastAsia="仿宋" w:cs="仿宋"/>
                <w:color w:val="auto"/>
                <w:sz w:val="24"/>
                <w:highlight w:val="none"/>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027452DE">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太阳能</w:t>
            </w:r>
            <w:r>
              <w:rPr>
                <w:rFonts w:hint="eastAsia" w:ascii="仿宋" w:hAnsi="仿宋" w:eastAsia="仿宋" w:cs="仿宋"/>
                <w:color w:val="auto"/>
                <w:spacing w:val="2"/>
                <w:w w:val="99"/>
                <w:kern w:val="2"/>
                <w:sz w:val="24"/>
                <w:szCs w:val="24"/>
                <w:highlight w:val="none"/>
              </w:rPr>
              <w:t>热</w:t>
            </w:r>
            <w:r>
              <w:rPr>
                <w:rFonts w:hint="eastAsia" w:ascii="仿宋" w:hAnsi="仿宋" w:eastAsia="仿宋" w:cs="仿宋"/>
                <w:color w:val="auto"/>
                <w:w w:val="99"/>
                <w:kern w:val="2"/>
                <w:sz w:val="24"/>
                <w:szCs w:val="24"/>
                <w:highlight w:val="none"/>
              </w:rPr>
              <w:t>水系统</w:t>
            </w:r>
          </w:p>
        </w:tc>
        <w:tc>
          <w:tcPr>
            <w:tcW w:w="3875" w:type="dxa"/>
            <w:tcBorders>
              <w:top w:val="single" w:color="000000" w:sz="4" w:space="0"/>
              <w:left w:val="single" w:color="000000" w:sz="4" w:space="0"/>
              <w:bottom w:val="single" w:color="000000" w:sz="4" w:space="0"/>
              <w:right w:val="single" w:color="000000" w:sz="4" w:space="0"/>
            </w:tcBorders>
          </w:tcPr>
          <w:p w14:paraId="439BD18F">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《家用太阳能热水系统能效限定值及能效等级》（GB26969）</w:t>
            </w:r>
          </w:p>
        </w:tc>
      </w:tr>
      <w:tr w14:paraId="6350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1BFAE47B">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spacing w:val="1"/>
                <w:w w:val="99"/>
                <w:kern w:val="2"/>
                <w:sz w:val="24"/>
                <w:szCs w:val="24"/>
                <w:highlight w:val="none"/>
              </w:rPr>
              <w:t>1</w:t>
            </w:r>
            <w:r>
              <w:rPr>
                <w:rFonts w:hint="eastAsia" w:ascii="仿宋" w:hAnsi="仿宋" w:eastAsia="仿宋" w:cs="仿宋"/>
                <w:color w:val="auto"/>
                <w:w w:val="99"/>
                <w:kern w:val="2"/>
                <w:sz w:val="24"/>
                <w:szCs w:val="24"/>
                <w:highlight w:val="none"/>
              </w:rPr>
              <w:t>1</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031C084C">
            <w:pPr>
              <w:pStyle w:val="65"/>
              <w:spacing w:before="157"/>
              <w:jc w:val="center"/>
              <w:rPr>
                <w:rFonts w:ascii="仿宋" w:hAnsi="仿宋" w:eastAsia="仿宋" w:cs="仿宋"/>
                <w:color w:val="auto"/>
                <w:kern w:val="2"/>
                <w:sz w:val="24"/>
                <w:szCs w:val="24"/>
                <w:highlight w:val="none"/>
              </w:rPr>
            </w:pPr>
            <w:r>
              <w:rPr>
                <w:rFonts w:hint="eastAsia" w:ascii="仿宋" w:hAnsi="仿宋" w:eastAsia="仿宋" w:cs="仿宋"/>
                <w:color w:val="auto"/>
                <w:spacing w:val="1"/>
                <w:w w:val="99"/>
                <w:kern w:val="2"/>
                <w:sz w:val="24"/>
                <w:szCs w:val="24"/>
                <w:highlight w:val="none"/>
              </w:rPr>
              <w:t>A02</w:t>
            </w:r>
            <w:r>
              <w:rPr>
                <w:rFonts w:hint="eastAsia" w:ascii="仿宋" w:hAnsi="仿宋" w:eastAsia="仿宋" w:cs="仿宋"/>
                <w:color w:val="auto"/>
                <w:w w:val="99"/>
                <w:kern w:val="2"/>
                <w:sz w:val="24"/>
                <w:szCs w:val="24"/>
                <w:highlight w:val="none"/>
              </w:rPr>
              <w:t>06</w:t>
            </w:r>
            <w:r>
              <w:rPr>
                <w:rFonts w:hint="eastAsia" w:ascii="仿宋" w:hAnsi="仿宋" w:eastAsia="仿宋" w:cs="仿宋"/>
                <w:color w:val="auto"/>
                <w:spacing w:val="1"/>
                <w:w w:val="99"/>
                <w:kern w:val="2"/>
                <w:sz w:val="24"/>
                <w:szCs w:val="24"/>
                <w:highlight w:val="none"/>
              </w:rPr>
              <w:t>1</w:t>
            </w:r>
            <w:r>
              <w:rPr>
                <w:rFonts w:hint="eastAsia" w:ascii="仿宋" w:hAnsi="仿宋" w:eastAsia="仿宋" w:cs="仿宋"/>
                <w:color w:val="auto"/>
                <w:w w:val="99"/>
                <w:kern w:val="2"/>
                <w:sz w:val="24"/>
                <w:szCs w:val="24"/>
                <w:highlight w:val="none"/>
              </w:rPr>
              <w:t>900照明设备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6576F544">
            <w:pPr>
              <w:pStyle w:val="65"/>
              <w:spacing w:before="133" w:line="276" w:lineRule="auto"/>
              <w:ind w:left="7" w:right="7"/>
              <w:jc w:val="center"/>
              <w:rPr>
                <w:rFonts w:ascii="仿宋" w:hAnsi="仿宋" w:eastAsia="仿宋" w:cs="仿宋"/>
                <w:color w:val="auto"/>
                <w:kern w:val="2"/>
                <w:sz w:val="24"/>
                <w:szCs w:val="24"/>
                <w:highlight w:val="none"/>
                <w:lang w:eastAsia="zh-CN"/>
              </w:rPr>
            </w:pPr>
            <w:r>
              <w:rPr>
                <w:rFonts w:hint="eastAsia" w:ascii="仿宋" w:hAnsi="仿宋" w:eastAsia="仿宋" w:cs="仿宋"/>
                <w:color w:val="auto"/>
                <w:w w:val="99"/>
                <w:kern w:val="2"/>
                <w:sz w:val="24"/>
                <w:szCs w:val="24"/>
                <w:highlight w:val="none"/>
                <w:lang w:eastAsia="zh-CN"/>
              </w:rPr>
              <w:t>★普通照明用双端荧光灯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1FAC319C">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2BF7FA7A">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《普通照明用双端荧光灯能效限定值及能效等级》（GB19043）</w:t>
            </w:r>
          </w:p>
        </w:tc>
      </w:tr>
      <w:tr w14:paraId="3772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FF30C1">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FE35E1">
            <w:pPr>
              <w:widowControl/>
              <w:jc w:val="left"/>
              <w:rPr>
                <w:rFonts w:ascii="仿宋" w:hAnsi="仿宋" w:eastAsia="仿宋" w:cs="仿宋"/>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965C371">
            <w:pPr>
              <w:pStyle w:val="65"/>
              <w:spacing w:before="92" w:line="276" w:lineRule="auto"/>
              <w:ind w:left="7" w:right="2"/>
              <w:jc w:val="center"/>
              <w:rPr>
                <w:rFonts w:ascii="仿宋" w:hAnsi="仿宋" w:eastAsia="仿宋" w:cs="仿宋"/>
                <w:color w:val="auto"/>
                <w:kern w:val="2"/>
                <w:sz w:val="24"/>
                <w:szCs w:val="24"/>
                <w:highlight w:val="none"/>
              </w:rPr>
            </w:pPr>
            <w:r>
              <w:rPr>
                <w:rFonts w:hint="eastAsia" w:ascii="仿宋" w:hAnsi="仿宋" w:eastAsia="仿宋" w:cs="仿宋"/>
                <w:color w:val="auto"/>
                <w:spacing w:val="1"/>
                <w:w w:val="99"/>
                <w:kern w:val="2"/>
                <w:sz w:val="24"/>
                <w:szCs w:val="24"/>
                <w:highlight w:val="none"/>
              </w:rPr>
              <w:t>LE</w:t>
            </w:r>
            <w:r>
              <w:rPr>
                <w:rFonts w:hint="eastAsia" w:ascii="仿宋" w:hAnsi="仿宋" w:eastAsia="仿宋" w:cs="仿宋"/>
                <w:color w:val="auto"/>
                <w:w w:val="99"/>
                <w:kern w:val="2"/>
                <w:sz w:val="24"/>
                <w:szCs w:val="24"/>
                <w:highlight w:val="none"/>
              </w:rPr>
              <w:t>D</w:t>
            </w:r>
            <w:r>
              <w:rPr>
                <w:rFonts w:hint="eastAsia" w:ascii="仿宋" w:hAnsi="仿宋" w:eastAsia="仿宋" w:cs="仿宋"/>
                <w:color w:val="auto"/>
                <w:spacing w:val="12"/>
                <w:w w:val="99"/>
                <w:kern w:val="2"/>
                <w:sz w:val="24"/>
                <w:szCs w:val="24"/>
                <w:highlight w:val="none"/>
              </w:rPr>
              <w:t>道</w:t>
            </w:r>
            <w:r>
              <w:rPr>
                <w:rFonts w:hint="eastAsia" w:ascii="仿宋" w:hAnsi="仿宋" w:eastAsia="仿宋" w:cs="仿宋"/>
                <w:color w:val="auto"/>
                <w:spacing w:val="9"/>
                <w:w w:val="99"/>
                <w:kern w:val="2"/>
                <w:sz w:val="24"/>
                <w:szCs w:val="24"/>
                <w:highlight w:val="none"/>
              </w:rPr>
              <w:t>路</w:t>
            </w:r>
            <w:r>
              <w:rPr>
                <w:rFonts w:hint="eastAsia" w:ascii="仿宋" w:hAnsi="仿宋" w:eastAsia="仿宋" w:cs="仿宋"/>
                <w:color w:val="auto"/>
                <w:spacing w:val="13"/>
                <w:w w:val="99"/>
                <w:kern w:val="2"/>
                <w:sz w:val="24"/>
                <w:szCs w:val="24"/>
                <w:highlight w:val="none"/>
              </w:rPr>
              <w:t>/</w:t>
            </w:r>
            <w:r>
              <w:rPr>
                <w:rFonts w:hint="eastAsia" w:ascii="仿宋" w:hAnsi="仿宋" w:eastAsia="仿宋" w:cs="仿宋"/>
                <w:color w:val="auto"/>
                <w:spacing w:val="12"/>
                <w:w w:val="99"/>
                <w:kern w:val="2"/>
                <w:sz w:val="24"/>
                <w:szCs w:val="24"/>
                <w:highlight w:val="none"/>
              </w:rPr>
              <w:t>隧道照</w:t>
            </w:r>
            <w:r>
              <w:rPr>
                <w:rFonts w:hint="eastAsia" w:ascii="仿宋" w:hAnsi="仿宋" w:eastAsia="仿宋" w:cs="仿宋"/>
                <w:color w:val="auto"/>
                <w:w w:val="99"/>
                <w:kern w:val="2"/>
                <w:sz w:val="24"/>
                <w:szCs w:val="24"/>
                <w:highlight w:val="none"/>
              </w:rPr>
              <w:t>明产品</w:t>
            </w:r>
          </w:p>
        </w:tc>
        <w:tc>
          <w:tcPr>
            <w:tcW w:w="1724" w:type="dxa"/>
            <w:tcBorders>
              <w:top w:val="single" w:color="000000" w:sz="4" w:space="0"/>
              <w:left w:val="single" w:color="000000" w:sz="4" w:space="0"/>
              <w:bottom w:val="single" w:color="000000" w:sz="4" w:space="0"/>
              <w:right w:val="single" w:color="000000" w:sz="4" w:space="0"/>
            </w:tcBorders>
            <w:vAlign w:val="center"/>
          </w:tcPr>
          <w:p w14:paraId="6007A38F">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201A992A">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《道路和隧道照明用LED灯具能效限定值及能效等级》（GB37478）</w:t>
            </w:r>
          </w:p>
        </w:tc>
      </w:tr>
      <w:tr w14:paraId="1DCA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C4D4FD">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2BCCEC">
            <w:pPr>
              <w:widowControl/>
              <w:jc w:val="left"/>
              <w:rPr>
                <w:rFonts w:ascii="仿宋" w:hAnsi="仿宋" w:eastAsia="仿宋" w:cs="仿宋"/>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A61397F">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spacing w:val="1"/>
                <w:w w:val="99"/>
                <w:kern w:val="2"/>
                <w:sz w:val="24"/>
                <w:szCs w:val="24"/>
                <w:highlight w:val="none"/>
              </w:rPr>
              <w:t>LE</w:t>
            </w:r>
            <w:r>
              <w:rPr>
                <w:rFonts w:hint="eastAsia" w:ascii="仿宋" w:hAnsi="仿宋" w:eastAsia="仿宋" w:cs="仿宋"/>
                <w:color w:val="auto"/>
                <w:w w:val="99"/>
                <w:kern w:val="2"/>
                <w:sz w:val="24"/>
                <w:szCs w:val="24"/>
                <w:highlight w:val="none"/>
              </w:rPr>
              <w:t>D筒灯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0EE7AD15">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68E7C057">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《室内照明用LED产品能效限定值及能效等级》（GB30255）</w:t>
            </w:r>
          </w:p>
        </w:tc>
      </w:tr>
      <w:tr w14:paraId="0B0A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A4EA4E">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BD54A7">
            <w:pPr>
              <w:widowControl/>
              <w:jc w:val="left"/>
              <w:rPr>
                <w:rFonts w:ascii="仿宋" w:hAnsi="仿宋" w:eastAsia="仿宋" w:cs="仿宋"/>
                <w:color w:val="auto"/>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2656BDA">
            <w:pPr>
              <w:pStyle w:val="65"/>
              <w:spacing w:line="276" w:lineRule="auto"/>
              <w:ind w:right="7"/>
              <w:jc w:val="center"/>
              <w:rPr>
                <w:rFonts w:ascii="仿宋" w:hAnsi="仿宋" w:eastAsia="仿宋" w:cs="仿宋"/>
                <w:color w:val="auto"/>
                <w:kern w:val="2"/>
                <w:sz w:val="24"/>
                <w:szCs w:val="24"/>
                <w:highlight w:val="none"/>
                <w:lang w:eastAsia="zh-CN"/>
              </w:rPr>
            </w:pPr>
            <w:r>
              <w:rPr>
                <w:rFonts w:hint="eastAsia" w:ascii="仿宋" w:hAnsi="仿宋" w:eastAsia="仿宋" w:cs="仿宋"/>
                <w:color w:val="auto"/>
                <w:w w:val="99"/>
                <w:kern w:val="2"/>
                <w:sz w:val="24"/>
                <w:szCs w:val="24"/>
                <w:highlight w:val="none"/>
                <w:lang w:eastAsia="zh-CN"/>
              </w:rPr>
              <w:t>普</w:t>
            </w:r>
            <w:r>
              <w:rPr>
                <w:rFonts w:hint="eastAsia" w:ascii="仿宋" w:hAnsi="仿宋" w:eastAsia="仿宋" w:cs="仿宋"/>
                <w:color w:val="auto"/>
                <w:spacing w:val="24"/>
                <w:w w:val="99"/>
                <w:kern w:val="2"/>
                <w:sz w:val="24"/>
                <w:szCs w:val="24"/>
                <w:highlight w:val="none"/>
                <w:lang w:eastAsia="zh-CN"/>
              </w:rPr>
              <w:t>通</w:t>
            </w:r>
            <w:r>
              <w:rPr>
                <w:rFonts w:hint="eastAsia" w:ascii="仿宋" w:hAnsi="仿宋" w:eastAsia="仿宋" w:cs="仿宋"/>
                <w:color w:val="auto"/>
                <w:w w:val="99"/>
                <w:kern w:val="2"/>
                <w:sz w:val="24"/>
                <w:szCs w:val="24"/>
                <w:highlight w:val="none"/>
                <w:lang w:eastAsia="zh-CN"/>
              </w:rPr>
              <w:t>照明用非</w:t>
            </w:r>
            <w:r>
              <w:rPr>
                <w:rFonts w:hint="eastAsia" w:ascii="仿宋" w:hAnsi="仿宋" w:eastAsia="仿宋" w:cs="仿宋"/>
                <w:color w:val="auto"/>
                <w:spacing w:val="24"/>
                <w:w w:val="99"/>
                <w:kern w:val="2"/>
                <w:sz w:val="24"/>
                <w:szCs w:val="24"/>
                <w:highlight w:val="none"/>
                <w:lang w:eastAsia="zh-CN"/>
              </w:rPr>
              <w:t>定</w:t>
            </w:r>
            <w:r>
              <w:rPr>
                <w:rFonts w:hint="eastAsia" w:ascii="仿宋" w:hAnsi="仿宋" w:eastAsia="仿宋" w:cs="仿宋"/>
                <w:color w:val="auto"/>
                <w:w w:val="99"/>
                <w:kern w:val="2"/>
                <w:sz w:val="24"/>
                <w:szCs w:val="24"/>
                <w:highlight w:val="none"/>
                <w:lang w:eastAsia="zh-CN"/>
              </w:rPr>
              <w:t>向自镇流</w:t>
            </w:r>
            <w:r>
              <w:rPr>
                <w:rFonts w:hint="eastAsia" w:ascii="仿宋" w:hAnsi="仿宋" w:eastAsia="仿宋" w:cs="仿宋"/>
                <w:color w:val="auto"/>
                <w:spacing w:val="1"/>
                <w:w w:val="99"/>
                <w:kern w:val="2"/>
                <w:sz w:val="24"/>
                <w:szCs w:val="24"/>
                <w:highlight w:val="none"/>
                <w:lang w:eastAsia="zh-CN"/>
              </w:rPr>
              <w:t>LE</w:t>
            </w:r>
            <w:r>
              <w:rPr>
                <w:rFonts w:hint="eastAsia" w:ascii="仿宋" w:hAnsi="仿宋" w:eastAsia="仿宋" w:cs="仿宋"/>
                <w:color w:val="auto"/>
                <w:w w:val="99"/>
                <w:kern w:val="2"/>
                <w:sz w:val="24"/>
                <w:szCs w:val="24"/>
                <w:highlight w:val="none"/>
                <w:lang w:eastAsia="zh-CN"/>
              </w:rPr>
              <w:t>D灯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47E75439">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1096FA3B">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《室内照明用LED产品能效限定值及能效等级》（GB30255）</w:t>
            </w:r>
          </w:p>
        </w:tc>
      </w:tr>
      <w:tr w14:paraId="2C87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B5E1CFE">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spacing w:val="1"/>
                <w:w w:val="99"/>
                <w:kern w:val="2"/>
                <w:sz w:val="24"/>
                <w:szCs w:val="24"/>
                <w:highlight w:val="none"/>
              </w:rPr>
              <w:t>1</w:t>
            </w:r>
            <w:r>
              <w:rPr>
                <w:rFonts w:hint="eastAsia" w:ascii="仿宋" w:hAnsi="仿宋" w:eastAsia="仿宋" w:cs="仿宋"/>
                <w:color w:val="auto"/>
                <w:w w:val="99"/>
                <w:kern w:val="2"/>
                <w:sz w:val="24"/>
                <w:szCs w:val="24"/>
                <w:highlight w:val="none"/>
              </w:rPr>
              <w:t>2</w:t>
            </w:r>
          </w:p>
        </w:tc>
        <w:tc>
          <w:tcPr>
            <w:tcW w:w="1732" w:type="dxa"/>
            <w:tcBorders>
              <w:top w:val="single" w:color="000000" w:sz="4" w:space="0"/>
              <w:left w:val="single" w:color="000000" w:sz="4" w:space="0"/>
              <w:bottom w:val="single" w:color="000000" w:sz="4" w:space="0"/>
              <w:right w:val="single" w:color="000000" w:sz="4" w:space="0"/>
            </w:tcBorders>
            <w:vAlign w:val="center"/>
          </w:tcPr>
          <w:p w14:paraId="548B1630">
            <w:pPr>
              <w:pStyle w:val="65"/>
              <w:spacing w:before="81"/>
              <w:ind w:left="7"/>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w:t>
            </w:r>
            <w:r>
              <w:rPr>
                <w:rFonts w:hint="eastAsia" w:ascii="仿宋" w:hAnsi="仿宋" w:eastAsia="仿宋" w:cs="仿宋"/>
                <w:color w:val="auto"/>
                <w:spacing w:val="1"/>
                <w:w w:val="99"/>
                <w:kern w:val="2"/>
                <w:sz w:val="24"/>
                <w:szCs w:val="24"/>
                <w:highlight w:val="none"/>
              </w:rPr>
              <w:t>A020</w:t>
            </w:r>
            <w:r>
              <w:rPr>
                <w:rFonts w:hint="eastAsia" w:ascii="仿宋" w:hAnsi="仿宋" w:eastAsia="仿宋" w:cs="仿宋"/>
                <w:color w:val="auto"/>
                <w:w w:val="99"/>
                <w:kern w:val="2"/>
                <w:sz w:val="24"/>
                <w:szCs w:val="24"/>
                <w:highlight w:val="none"/>
              </w:rPr>
              <w:t>91000电视设备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76DF0813">
            <w:pPr>
              <w:pStyle w:val="65"/>
              <w:spacing w:before="81" w:line="276" w:lineRule="auto"/>
              <w:ind w:left="7" w:right="5"/>
              <w:jc w:val="center"/>
              <w:rPr>
                <w:rFonts w:ascii="仿宋" w:hAnsi="仿宋" w:eastAsia="仿宋" w:cs="仿宋"/>
                <w:color w:val="auto"/>
                <w:kern w:val="2"/>
                <w:sz w:val="24"/>
                <w:szCs w:val="24"/>
                <w:highlight w:val="none"/>
                <w:lang w:eastAsia="zh-CN"/>
              </w:rPr>
            </w:pPr>
            <w:r>
              <w:rPr>
                <w:rFonts w:hint="eastAsia" w:ascii="仿宋" w:hAnsi="仿宋" w:eastAsia="仿宋" w:cs="仿宋"/>
                <w:color w:val="auto"/>
                <w:spacing w:val="1"/>
                <w:w w:val="99"/>
                <w:kern w:val="2"/>
                <w:sz w:val="24"/>
                <w:szCs w:val="24"/>
                <w:highlight w:val="none"/>
                <w:lang w:eastAsia="zh-CN"/>
              </w:rPr>
              <w:t>A02</w:t>
            </w:r>
            <w:r>
              <w:rPr>
                <w:rFonts w:hint="eastAsia" w:ascii="仿宋" w:hAnsi="仿宋" w:eastAsia="仿宋" w:cs="仿宋"/>
                <w:color w:val="auto"/>
                <w:w w:val="99"/>
                <w:kern w:val="2"/>
                <w:sz w:val="24"/>
                <w:szCs w:val="24"/>
                <w:highlight w:val="none"/>
                <w:lang w:eastAsia="zh-CN"/>
              </w:rPr>
              <w:t>09</w:t>
            </w:r>
            <w:r>
              <w:rPr>
                <w:rFonts w:hint="eastAsia" w:ascii="仿宋" w:hAnsi="仿宋" w:eastAsia="仿宋" w:cs="仿宋"/>
                <w:color w:val="auto"/>
                <w:spacing w:val="1"/>
                <w:w w:val="99"/>
                <w:kern w:val="2"/>
                <w:sz w:val="24"/>
                <w:szCs w:val="24"/>
                <w:highlight w:val="none"/>
                <w:lang w:eastAsia="zh-CN"/>
              </w:rPr>
              <w:t>1</w:t>
            </w:r>
            <w:r>
              <w:rPr>
                <w:rFonts w:hint="eastAsia" w:ascii="仿宋" w:hAnsi="仿宋" w:eastAsia="仿宋" w:cs="仿宋"/>
                <w:color w:val="auto"/>
                <w:w w:val="99"/>
                <w:kern w:val="2"/>
                <w:sz w:val="24"/>
                <w:szCs w:val="24"/>
                <w:highlight w:val="none"/>
                <w:lang w:eastAsia="zh-CN"/>
              </w:rPr>
              <w:t>001普通电视设备（</w:t>
            </w:r>
            <w:r>
              <w:rPr>
                <w:rFonts w:hint="eastAsia" w:ascii="仿宋" w:hAnsi="仿宋" w:eastAsia="仿宋" w:cs="仿宋"/>
                <w:color w:val="auto"/>
                <w:spacing w:val="2"/>
                <w:w w:val="99"/>
                <w:kern w:val="2"/>
                <w:sz w:val="24"/>
                <w:szCs w:val="24"/>
                <w:highlight w:val="none"/>
                <w:lang w:eastAsia="zh-CN"/>
              </w:rPr>
              <w:t>电</w:t>
            </w:r>
            <w:r>
              <w:rPr>
                <w:rFonts w:hint="eastAsia" w:ascii="仿宋" w:hAnsi="仿宋" w:eastAsia="仿宋" w:cs="仿宋"/>
                <w:color w:val="auto"/>
                <w:w w:val="99"/>
                <w:kern w:val="2"/>
                <w:sz w:val="24"/>
                <w:szCs w:val="24"/>
                <w:highlight w:val="none"/>
                <w:lang w:eastAsia="zh-CN"/>
              </w:rPr>
              <w:t>视机）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6545BC88">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3F5EA25F">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《平板电视能效限定值及能效等级》（GB24850）</w:t>
            </w:r>
          </w:p>
        </w:tc>
      </w:tr>
      <w:tr w14:paraId="1318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7378FCC2">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spacing w:val="1"/>
                <w:w w:val="99"/>
                <w:kern w:val="2"/>
                <w:sz w:val="24"/>
                <w:szCs w:val="24"/>
                <w:highlight w:val="none"/>
              </w:rPr>
              <w:t>1</w:t>
            </w:r>
            <w:r>
              <w:rPr>
                <w:rFonts w:hint="eastAsia" w:ascii="仿宋" w:hAnsi="仿宋" w:eastAsia="仿宋" w:cs="仿宋"/>
                <w:color w:val="auto"/>
                <w:w w:val="99"/>
                <w:kern w:val="2"/>
                <w:sz w:val="24"/>
                <w:szCs w:val="24"/>
                <w:highlight w:val="none"/>
              </w:rPr>
              <w:t>3</w:t>
            </w:r>
          </w:p>
        </w:tc>
        <w:tc>
          <w:tcPr>
            <w:tcW w:w="1732" w:type="dxa"/>
            <w:tcBorders>
              <w:top w:val="single" w:color="000000" w:sz="4" w:space="0"/>
              <w:left w:val="single" w:color="000000" w:sz="4" w:space="0"/>
              <w:bottom w:val="single" w:color="000000" w:sz="4" w:space="0"/>
              <w:right w:val="single" w:color="000000" w:sz="4" w:space="0"/>
            </w:tcBorders>
            <w:vAlign w:val="center"/>
          </w:tcPr>
          <w:p w14:paraId="0385813C">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w:t>
            </w:r>
            <w:r>
              <w:rPr>
                <w:rFonts w:hint="eastAsia" w:ascii="仿宋" w:hAnsi="仿宋" w:eastAsia="仿宋" w:cs="仿宋"/>
                <w:color w:val="auto"/>
                <w:spacing w:val="1"/>
                <w:w w:val="99"/>
                <w:kern w:val="2"/>
                <w:sz w:val="24"/>
                <w:szCs w:val="24"/>
                <w:highlight w:val="none"/>
              </w:rPr>
              <w:t>A020</w:t>
            </w:r>
            <w:r>
              <w:rPr>
                <w:rFonts w:hint="eastAsia" w:ascii="仿宋" w:hAnsi="仿宋" w:eastAsia="仿宋" w:cs="仿宋"/>
                <w:color w:val="auto"/>
                <w:w w:val="99"/>
                <w:kern w:val="2"/>
                <w:sz w:val="24"/>
                <w:szCs w:val="24"/>
                <w:highlight w:val="none"/>
              </w:rPr>
              <w:t>91100视频设备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33BB9DB5">
            <w:pPr>
              <w:pStyle w:val="65"/>
              <w:spacing w:line="276" w:lineRule="auto"/>
              <w:ind w:right="5"/>
              <w:jc w:val="center"/>
              <w:rPr>
                <w:rFonts w:ascii="仿宋" w:hAnsi="仿宋" w:eastAsia="仿宋" w:cs="仿宋"/>
                <w:color w:val="auto"/>
                <w:kern w:val="2"/>
                <w:sz w:val="24"/>
                <w:szCs w:val="24"/>
                <w:highlight w:val="none"/>
              </w:rPr>
            </w:pPr>
            <w:r>
              <w:rPr>
                <w:rFonts w:hint="eastAsia" w:ascii="仿宋" w:hAnsi="仿宋" w:eastAsia="仿宋" w:cs="仿宋"/>
                <w:color w:val="auto"/>
                <w:spacing w:val="1"/>
                <w:w w:val="99"/>
                <w:kern w:val="2"/>
                <w:sz w:val="24"/>
                <w:szCs w:val="24"/>
                <w:highlight w:val="none"/>
              </w:rPr>
              <w:t>A02</w:t>
            </w:r>
            <w:r>
              <w:rPr>
                <w:rFonts w:hint="eastAsia" w:ascii="仿宋" w:hAnsi="仿宋" w:eastAsia="仿宋" w:cs="仿宋"/>
                <w:color w:val="auto"/>
                <w:w w:val="99"/>
                <w:kern w:val="2"/>
                <w:sz w:val="24"/>
                <w:szCs w:val="24"/>
                <w:highlight w:val="none"/>
              </w:rPr>
              <w:t>09</w:t>
            </w:r>
            <w:r>
              <w:rPr>
                <w:rFonts w:hint="eastAsia" w:ascii="仿宋" w:hAnsi="仿宋" w:eastAsia="仿宋" w:cs="仿宋"/>
                <w:color w:val="auto"/>
                <w:spacing w:val="1"/>
                <w:w w:val="99"/>
                <w:kern w:val="2"/>
                <w:sz w:val="24"/>
                <w:szCs w:val="24"/>
                <w:highlight w:val="none"/>
              </w:rPr>
              <w:t>1</w:t>
            </w:r>
            <w:r>
              <w:rPr>
                <w:rFonts w:hint="eastAsia" w:ascii="仿宋" w:hAnsi="仿宋" w:eastAsia="仿宋" w:cs="仿宋"/>
                <w:color w:val="auto"/>
                <w:w w:val="99"/>
                <w:kern w:val="2"/>
                <w:sz w:val="24"/>
                <w:szCs w:val="24"/>
                <w:highlight w:val="none"/>
              </w:rPr>
              <w:t>107视频监控设备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3F9E0A76">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监视器</w:t>
            </w:r>
          </w:p>
        </w:tc>
        <w:tc>
          <w:tcPr>
            <w:tcW w:w="3875" w:type="dxa"/>
            <w:tcBorders>
              <w:top w:val="single" w:color="000000" w:sz="4" w:space="0"/>
              <w:left w:val="single" w:color="000000" w:sz="4" w:space="0"/>
              <w:bottom w:val="single" w:color="000000" w:sz="4" w:space="0"/>
              <w:right w:val="single" w:color="000000" w:sz="4" w:space="0"/>
            </w:tcBorders>
          </w:tcPr>
          <w:p w14:paraId="2D042550">
            <w:pPr>
              <w:pStyle w:val="65"/>
              <w:spacing w:before="131" w:line="276" w:lineRule="auto"/>
              <w:ind w:left="7" w:right="4"/>
              <w:rPr>
                <w:rFonts w:ascii="仿宋" w:hAnsi="仿宋" w:eastAsia="仿宋" w:cs="仿宋"/>
                <w:color w:val="auto"/>
                <w:spacing w:val="10"/>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0F8C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3DEEDDD">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spacing w:val="1"/>
                <w:w w:val="99"/>
                <w:kern w:val="2"/>
                <w:sz w:val="24"/>
                <w:szCs w:val="24"/>
                <w:highlight w:val="none"/>
              </w:rPr>
              <w:t>1</w:t>
            </w:r>
            <w:r>
              <w:rPr>
                <w:rFonts w:hint="eastAsia" w:ascii="仿宋" w:hAnsi="仿宋" w:eastAsia="仿宋" w:cs="仿宋"/>
                <w:color w:val="auto"/>
                <w:w w:val="99"/>
                <w:kern w:val="2"/>
                <w:sz w:val="24"/>
                <w:szCs w:val="24"/>
                <w:highlight w:val="none"/>
              </w:rPr>
              <w:t>4</w:t>
            </w:r>
          </w:p>
        </w:tc>
        <w:tc>
          <w:tcPr>
            <w:tcW w:w="1732" w:type="dxa"/>
            <w:tcBorders>
              <w:top w:val="single" w:color="000000" w:sz="4" w:space="0"/>
              <w:left w:val="single" w:color="000000" w:sz="4" w:space="0"/>
              <w:bottom w:val="single" w:color="000000" w:sz="4" w:space="0"/>
              <w:right w:val="single" w:color="000000" w:sz="4" w:space="0"/>
            </w:tcBorders>
            <w:vAlign w:val="center"/>
          </w:tcPr>
          <w:p w14:paraId="3A57EA89">
            <w:pPr>
              <w:pStyle w:val="65"/>
              <w:spacing w:before="76"/>
              <w:ind w:left="7"/>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A02241000</w:t>
            </w:r>
            <w:r>
              <w:rPr>
                <w:rFonts w:hint="eastAsia" w:ascii="仿宋" w:hAnsi="仿宋" w:eastAsia="仿宋" w:cs="仿宋"/>
                <w:color w:val="auto"/>
                <w:w w:val="99"/>
                <w:kern w:val="2"/>
                <w:sz w:val="24"/>
                <w:szCs w:val="24"/>
                <w:highlight w:val="none"/>
              </w:rPr>
              <w:t>饮食炊事机械</w:t>
            </w:r>
          </w:p>
        </w:tc>
        <w:tc>
          <w:tcPr>
            <w:tcW w:w="1735" w:type="dxa"/>
            <w:tcBorders>
              <w:top w:val="single" w:color="000000" w:sz="4" w:space="0"/>
              <w:left w:val="single" w:color="000000" w:sz="4" w:space="0"/>
              <w:bottom w:val="single" w:color="000000" w:sz="4" w:space="0"/>
              <w:right w:val="single" w:color="000000" w:sz="4" w:space="0"/>
            </w:tcBorders>
            <w:vAlign w:val="center"/>
          </w:tcPr>
          <w:p w14:paraId="59CD6CE6">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商用燃</w:t>
            </w:r>
            <w:r>
              <w:rPr>
                <w:rFonts w:hint="eastAsia" w:ascii="仿宋" w:hAnsi="仿宋" w:eastAsia="仿宋" w:cs="仿宋"/>
                <w:color w:val="auto"/>
                <w:spacing w:val="2"/>
                <w:w w:val="99"/>
                <w:kern w:val="2"/>
                <w:sz w:val="24"/>
                <w:szCs w:val="24"/>
                <w:highlight w:val="none"/>
              </w:rPr>
              <w:t>气</w:t>
            </w:r>
            <w:r>
              <w:rPr>
                <w:rFonts w:hint="eastAsia" w:ascii="仿宋" w:hAnsi="仿宋" w:eastAsia="仿宋" w:cs="仿宋"/>
                <w:color w:val="auto"/>
                <w:w w:val="99"/>
                <w:kern w:val="2"/>
                <w:sz w:val="24"/>
                <w:szCs w:val="24"/>
                <w:highlight w:val="none"/>
              </w:rPr>
              <w:t>灶具</w:t>
            </w:r>
          </w:p>
        </w:tc>
        <w:tc>
          <w:tcPr>
            <w:tcW w:w="1724" w:type="dxa"/>
            <w:tcBorders>
              <w:top w:val="single" w:color="000000" w:sz="4" w:space="0"/>
              <w:left w:val="single" w:color="000000" w:sz="4" w:space="0"/>
              <w:bottom w:val="single" w:color="000000" w:sz="4" w:space="0"/>
              <w:right w:val="single" w:color="000000" w:sz="4" w:space="0"/>
            </w:tcBorders>
            <w:vAlign w:val="center"/>
          </w:tcPr>
          <w:p w14:paraId="38D7994F">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422138CD">
            <w:pPr>
              <w:pStyle w:val="65"/>
              <w:spacing w:before="131" w:line="276" w:lineRule="auto"/>
              <w:ind w:left="7" w:right="4"/>
              <w:rPr>
                <w:rFonts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《商用燃气灶具能效限定值及能效等级》（GB30531）</w:t>
            </w:r>
          </w:p>
        </w:tc>
      </w:tr>
      <w:tr w14:paraId="4CED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2B7EB6D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373824D3">
            <w:pPr>
              <w:pStyle w:val="65"/>
              <w:jc w:val="center"/>
              <w:rPr>
                <w:rFonts w:ascii="仿宋" w:hAnsi="仿宋" w:eastAsia="仿宋" w:cs="仿宋"/>
                <w:color w:val="auto"/>
                <w:w w:val="99"/>
                <w:kern w:val="2"/>
                <w:sz w:val="24"/>
                <w:szCs w:val="24"/>
                <w:highlight w:val="none"/>
              </w:rPr>
            </w:pPr>
            <w:r>
              <w:rPr>
                <w:rFonts w:hint="eastAsia" w:ascii="仿宋" w:hAnsi="仿宋" w:eastAsia="仿宋" w:cs="仿宋"/>
                <w:color w:val="auto"/>
                <w:w w:val="99"/>
                <w:kern w:val="2"/>
                <w:sz w:val="24"/>
                <w:szCs w:val="24"/>
                <w:highlight w:val="none"/>
              </w:rPr>
              <w:t>★</w:t>
            </w:r>
            <w:r>
              <w:rPr>
                <w:rFonts w:hint="eastAsia" w:ascii="仿宋" w:hAnsi="仿宋" w:eastAsia="仿宋" w:cs="仿宋"/>
                <w:color w:val="auto"/>
                <w:kern w:val="2"/>
                <w:sz w:val="24"/>
                <w:szCs w:val="24"/>
                <w:highlight w:val="none"/>
              </w:rPr>
              <w:t>A05020105</w:t>
            </w:r>
            <w:r>
              <w:rPr>
                <w:rFonts w:hint="eastAsia" w:ascii="仿宋" w:hAnsi="仿宋" w:eastAsia="仿宋" w:cs="仿宋"/>
                <w:color w:val="auto"/>
                <w:w w:val="99"/>
                <w:kern w:val="2"/>
                <w:sz w:val="24"/>
                <w:szCs w:val="24"/>
                <w:highlight w:val="none"/>
              </w:rPr>
              <w:t>便器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7FE995A1">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坐便器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3F1E3FAB">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067D5878">
            <w:pPr>
              <w:pStyle w:val="65"/>
              <w:spacing w:before="131" w:line="276" w:lineRule="auto"/>
              <w:ind w:left="7" w:right="4"/>
              <w:rPr>
                <w:rFonts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《坐便器水效限定值及水效等级》</w:t>
            </w:r>
          </w:p>
          <w:p w14:paraId="11B7A2CD">
            <w:pPr>
              <w:pStyle w:val="65"/>
              <w:spacing w:before="131" w:line="276" w:lineRule="auto"/>
              <w:ind w:left="7" w:right="4"/>
              <w:rPr>
                <w:rFonts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（GB25502）</w:t>
            </w:r>
          </w:p>
        </w:tc>
      </w:tr>
      <w:tr w14:paraId="2F11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1F703D">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21B364">
            <w:pPr>
              <w:widowControl/>
              <w:jc w:val="left"/>
              <w:rPr>
                <w:rFonts w:ascii="仿宋" w:hAnsi="仿宋" w:eastAsia="仿宋" w:cs="仿宋"/>
                <w:color w:val="auto"/>
                <w:w w:val="99"/>
                <w:sz w:val="24"/>
                <w:highlight w:val="none"/>
                <w:lang w:eastAsia="en-US"/>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CEBFE5D">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蹲便器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2489F301">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5B3C3033">
            <w:pPr>
              <w:pStyle w:val="65"/>
              <w:spacing w:before="131" w:line="276" w:lineRule="auto"/>
              <w:ind w:left="7" w:right="4"/>
              <w:rPr>
                <w:rFonts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《蹲便器用水效率限定值及用水效率等级》（GB30717）</w:t>
            </w:r>
          </w:p>
        </w:tc>
      </w:tr>
      <w:tr w14:paraId="5A0E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14DC44">
            <w:pPr>
              <w:widowControl/>
              <w:jc w:val="left"/>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53115D">
            <w:pPr>
              <w:widowControl/>
              <w:jc w:val="left"/>
              <w:rPr>
                <w:rFonts w:ascii="仿宋" w:hAnsi="仿宋" w:eastAsia="仿宋" w:cs="仿宋"/>
                <w:color w:val="auto"/>
                <w:w w:val="99"/>
                <w:sz w:val="24"/>
                <w:highlight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ACE15DE">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w w:val="99"/>
                <w:kern w:val="2"/>
                <w:sz w:val="24"/>
                <w:szCs w:val="24"/>
                <w:highlight w:val="none"/>
              </w:rPr>
              <w:t>小便器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5F29D3DE">
            <w:pPr>
              <w:jc w:val="center"/>
              <w:rPr>
                <w:rFonts w:ascii="仿宋" w:hAnsi="仿宋" w:eastAsia="仿宋" w:cs="仿宋"/>
                <w:color w:val="auto"/>
                <w:sz w:val="24"/>
                <w:highlight w:val="none"/>
              </w:rPr>
            </w:pPr>
          </w:p>
        </w:tc>
        <w:tc>
          <w:tcPr>
            <w:tcW w:w="3875" w:type="dxa"/>
            <w:tcBorders>
              <w:top w:val="single" w:color="000000" w:sz="4" w:space="0"/>
              <w:left w:val="single" w:color="000000" w:sz="4" w:space="0"/>
              <w:bottom w:val="single" w:color="000000" w:sz="4" w:space="0"/>
              <w:right w:val="single" w:color="000000" w:sz="4" w:space="0"/>
            </w:tcBorders>
          </w:tcPr>
          <w:p w14:paraId="62B1CCE7">
            <w:pPr>
              <w:pStyle w:val="65"/>
              <w:spacing w:before="131" w:line="276" w:lineRule="auto"/>
              <w:ind w:left="7" w:right="4"/>
              <w:rPr>
                <w:rFonts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《小便器用水效率限定值及用水效率等级》（GB28377）</w:t>
            </w:r>
          </w:p>
        </w:tc>
      </w:tr>
      <w:tr w14:paraId="383D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00B3D833">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16</w:t>
            </w:r>
          </w:p>
        </w:tc>
        <w:tc>
          <w:tcPr>
            <w:tcW w:w="1732" w:type="dxa"/>
            <w:tcBorders>
              <w:top w:val="single" w:color="000000" w:sz="4" w:space="0"/>
              <w:left w:val="single" w:color="000000" w:sz="4" w:space="0"/>
              <w:bottom w:val="single" w:color="000000" w:sz="4" w:space="0"/>
              <w:right w:val="single" w:color="000000" w:sz="4" w:space="0"/>
            </w:tcBorders>
            <w:vAlign w:val="center"/>
          </w:tcPr>
          <w:p w14:paraId="0E79C31E">
            <w:pPr>
              <w:pStyle w:val="65"/>
              <w:spacing w:before="153"/>
              <w:ind w:left="7"/>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★A05020106水</w:t>
            </w:r>
            <w:r>
              <w:rPr>
                <w:rFonts w:hint="eastAsia" w:ascii="仿宋" w:hAnsi="仿宋" w:eastAsia="仿宋" w:cs="仿宋"/>
                <w:color w:val="auto"/>
                <w:w w:val="99"/>
                <w:kern w:val="2"/>
                <w:sz w:val="24"/>
                <w:szCs w:val="24"/>
                <w:highlight w:val="none"/>
              </w:rPr>
              <w:t>嘴</w:t>
            </w:r>
          </w:p>
        </w:tc>
        <w:tc>
          <w:tcPr>
            <w:tcW w:w="1735" w:type="dxa"/>
            <w:tcBorders>
              <w:top w:val="single" w:color="000000" w:sz="4" w:space="0"/>
              <w:left w:val="single" w:color="000000" w:sz="4" w:space="0"/>
              <w:bottom w:val="single" w:color="000000" w:sz="4" w:space="0"/>
              <w:right w:val="single" w:color="000000" w:sz="4" w:space="0"/>
            </w:tcBorders>
            <w:vAlign w:val="center"/>
          </w:tcPr>
          <w:p w14:paraId="703F1E47">
            <w:pPr>
              <w:jc w:val="center"/>
              <w:rPr>
                <w:rFonts w:ascii="仿宋" w:hAnsi="仿宋" w:eastAsia="仿宋" w:cs="仿宋"/>
                <w:color w:val="auto"/>
                <w:sz w:val="24"/>
                <w:highlight w:val="none"/>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07980F7">
            <w:pPr>
              <w:jc w:val="center"/>
              <w:rPr>
                <w:rFonts w:ascii="仿宋" w:hAnsi="仿宋" w:eastAsia="仿宋" w:cs="仿宋"/>
                <w:color w:val="auto"/>
                <w:sz w:val="24"/>
                <w:highlight w:val="none"/>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10556CDC">
            <w:pPr>
              <w:pStyle w:val="65"/>
              <w:spacing w:before="153" w:line="276" w:lineRule="auto"/>
              <w:ind w:left="7" w:right="4"/>
              <w:rPr>
                <w:rFonts w:ascii="仿宋" w:hAnsi="仿宋" w:eastAsia="仿宋" w:cs="仿宋"/>
                <w:color w:val="auto"/>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《水嘴用水效率限定值及用水效</w:t>
            </w:r>
            <w:r>
              <w:rPr>
                <w:rFonts w:hint="eastAsia" w:ascii="仿宋" w:hAnsi="仿宋" w:eastAsia="仿宋" w:cs="仿宋"/>
                <w:color w:val="auto"/>
                <w:kern w:val="2"/>
                <w:sz w:val="24"/>
                <w:szCs w:val="24"/>
                <w:highlight w:val="none"/>
                <w:lang w:eastAsia="zh-CN"/>
              </w:rPr>
              <w:t>率等级》（GB 25501）</w:t>
            </w:r>
          </w:p>
        </w:tc>
      </w:tr>
      <w:tr w14:paraId="7295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38FA3034">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17</w:t>
            </w:r>
          </w:p>
        </w:tc>
        <w:tc>
          <w:tcPr>
            <w:tcW w:w="1732" w:type="dxa"/>
            <w:tcBorders>
              <w:top w:val="single" w:color="000000" w:sz="4" w:space="0"/>
              <w:left w:val="single" w:color="000000" w:sz="4" w:space="0"/>
              <w:bottom w:val="single" w:color="000000" w:sz="4" w:space="0"/>
              <w:right w:val="single" w:color="000000" w:sz="4" w:space="0"/>
            </w:tcBorders>
            <w:vAlign w:val="center"/>
          </w:tcPr>
          <w:p w14:paraId="711808D0">
            <w:pPr>
              <w:pStyle w:val="65"/>
              <w:spacing w:before="112"/>
              <w:ind w:left="7"/>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A05020107便器冲洗阀</w:t>
            </w:r>
          </w:p>
        </w:tc>
        <w:tc>
          <w:tcPr>
            <w:tcW w:w="1735" w:type="dxa"/>
            <w:tcBorders>
              <w:top w:val="single" w:color="000000" w:sz="4" w:space="0"/>
              <w:left w:val="single" w:color="000000" w:sz="4" w:space="0"/>
              <w:bottom w:val="single" w:color="000000" w:sz="4" w:space="0"/>
              <w:right w:val="single" w:color="000000" w:sz="4" w:space="0"/>
            </w:tcBorders>
            <w:vAlign w:val="center"/>
          </w:tcPr>
          <w:p w14:paraId="4217102B">
            <w:pPr>
              <w:jc w:val="center"/>
              <w:rPr>
                <w:rFonts w:ascii="仿宋" w:hAnsi="仿宋" w:eastAsia="仿宋" w:cs="仿宋"/>
                <w:color w:val="auto"/>
                <w:sz w:val="24"/>
                <w:highlight w:val="none"/>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09D41E29">
            <w:pPr>
              <w:jc w:val="center"/>
              <w:rPr>
                <w:rFonts w:ascii="仿宋" w:hAnsi="仿宋" w:eastAsia="仿宋" w:cs="仿宋"/>
                <w:color w:val="auto"/>
                <w:sz w:val="24"/>
                <w:highlight w:val="none"/>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2995CAE3">
            <w:pPr>
              <w:pStyle w:val="65"/>
              <w:spacing w:before="112" w:line="276" w:lineRule="auto"/>
              <w:ind w:left="7" w:right="4"/>
              <w:rPr>
                <w:rFonts w:ascii="仿宋" w:hAnsi="仿宋" w:eastAsia="仿宋" w:cs="仿宋"/>
                <w:color w:val="auto"/>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《便器冲洗阀用水效率限定值及</w:t>
            </w:r>
            <w:r>
              <w:rPr>
                <w:rFonts w:hint="eastAsia" w:ascii="仿宋" w:hAnsi="仿宋" w:eastAsia="仿宋" w:cs="仿宋"/>
                <w:color w:val="auto"/>
                <w:kern w:val="2"/>
                <w:sz w:val="24"/>
                <w:szCs w:val="24"/>
                <w:highlight w:val="none"/>
                <w:lang w:eastAsia="zh-CN"/>
              </w:rPr>
              <w:t>用水效率等级》（GB28379）</w:t>
            </w:r>
          </w:p>
        </w:tc>
      </w:tr>
      <w:tr w14:paraId="56B1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5DC33C34">
            <w:pPr>
              <w:pStyle w:val="6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18</w:t>
            </w:r>
          </w:p>
        </w:tc>
        <w:tc>
          <w:tcPr>
            <w:tcW w:w="1732" w:type="dxa"/>
            <w:tcBorders>
              <w:top w:val="single" w:color="000000" w:sz="4" w:space="0"/>
              <w:left w:val="single" w:color="000000" w:sz="4" w:space="0"/>
              <w:bottom w:val="single" w:color="000000" w:sz="4" w:space="0"/>
              <w:right w:val="single" w:color="000000" w:sz="4" w:space="0"/>
            </w:tcBorders>
            <w:vAlign w:val="center"/>
          </w:tcPr>
          <w:p w14:paraId="25E97D52">
            <w:pPr>
              <w:pStyle w:val="65"/>
              <w:spacing w:before="131"/>
              <w:ind w:left="7"/>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A05020110淋浴</w:t>
            </w:r>
            <w:r>
              <w:rPr>
                <w:rFonts w:hint="eastAsia" w:ascii="仿宋" w:hAnsi="仿宋" w:eastAsia="仿宋" w:cs="仿宋"/>
                <w:color w:val="auto"/>
                <w:w w:val="99"/>
                <w:kern w:val="2"/>
                <w:sz w:val="24"/>
                <w:szCs w:val="24"/>
                <w:highlight w:val="none"/>
              </w:rPr>
              <w:t>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097971E2">
            <w:pPr>
              <w:jc w:val="center"/>
              <w:rPr>
                <w:rFonts w:ascii="仿宋" w:hAnsi="仿宋" w:eastAsia="仿宋" w:cs="仿宋"/>
                <w:color w:val="auto"/>
                <w:sz w:val="24"/>
                <w:highlight w:val="none"/>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3129C55">
            <w:pPr>
              <w:jc w:val="center"/>
              <w:rPr>
                <w:rFonts w:ascii="仿宋" w:hAnsi="仿宋" w:eastAsia="仿宋" w:cs="仿宋"/>
                <w:color w:val="auto"/>
                <w:sz w:val="24"/>
                <w:highlight w:val="none"/>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4C042951">
            <w:pPr>
              <w:pStyle w:val="65"/>
              <w:spacing w:before="131" w:line="276" w:lineRule="auto"/>
              <w:ind w:left="7" w:right="4"/>
              <w:rPr>
                <w:rFonts w:ascii="仿宋" w:hAnsi="仿宋" w:eastAsia="仿宋" w:cs="仿宋"/>
                <w:color w:val="auto"/>
                <w:kern w:val="2"/>
                <w:sz w:val="24"/>
                <w:szCs w:val="24"/>
                <w:highlight w:val="none"/>
                <w:lang w:eastAsia="zh-CN"/>
              </w:rPr>
            </w:pPr>
            <w:r>
              <w:rPr>
                <w:rFonts w:hint="eastAsia" w:ascii="仿宋" w:hAnsi="仿宋" w:eastAsia="仿宋" w:cs="仿宋"/>
                <w:color w:val="auto"/>
                <w:spacing w:val="10"/>
                <w:kern w:val="2"/>
                <w:sz w:val="24"/>
                <w:szCs w:val="24"/>
                <w:highlight w:val="none"/>
                <w:lang w:eastAsia="zh-CN"/>
              </w:rPr>
              <w:t>《淋浴器用水效率限定值及用水</w:t>
            </w:r>
            <w:r>
              <w:rPr>
                <w:rFonts w:hint="eastAsia" w:ascii="仿宋" w:hAnsi="仿宋" w:eastAsia="仿宋" w:cs="仿宋"/>
                <w:color w:val="auto"/>
                <w:kern w:val="2"/>
                <w:sz w:val="24"/>
                <w:szCs w:val="24"/>
                <w:highlight w:val="none"/>
                <w:lang w:eastAsia="zh-CN"/>
              </w:rPr>
              <w:t>效率等级》（GB28378）</w:t>
            </w:r>
          </w:p>
        </w:tc>
      </w:tr>
    </w:tbl>
    <w:p w14:paraId="02788E69">
      <w:pPr>
        <w:widowControl/>
        <w:rPr>
          <w:rFonts w:ascii="仿宋" w:hAnsi="仿宋" w:eastAsia="仿宋" w:cs="仿宋"/>
          <w:color w:val="auto"/>
          <w:sz w:val="24"/>
          <w:highlight w:val="none"/>
        </w:rPr>
      </w:pPr>
    </w:p>
    <w:p w14:paraId="65FC1474">
      <w:pPr>
        <w:pStyle w:val="19"/>
        <w:spacing w:line="360" w:lineRule="auto"/>
        <w:ind w:firstLine="468" w:firstLineChars="200"/>
        <w:rPr>
          <w:rFonts w:ascii="仿宋" w:hAnsi="仿宋" w:eastAsia="仿宋" w:cs="仿宋"/>
          <w:color w:val="auto"/>
          <w:spacing w:val="-3"/>
          <w:highlight w:val="none"/>
        </w:rPr>
      </w:pPr>
      <w:r>
        <w:rPr>
          <w:rFonts w:hint="eastAsia" w:ascii="仿宋" w:hAnsi="仿宋" w:eastAsia="仿宋" w:cs="仿宋"/>
          <w:color w:val="auto"/>
          <w:spacing w:val="-3"/>
          <w:highlight w:val="none"/>
        </w:rPr>
        <w:t>注：1.节能产品认证应依据相关国家标准的最新版本，依据国家标准中二级能效（水效）指标。</w:t>
      </w:r>
    </w:p>
    <w:p w14:paraId="12A99CD5">
      <w:pPr>
        <w:pStyle w:val="19"/>
        <w:spacing w:line="360" w:lineRule="auto"/>
        <w:ind w:firstLine="468" w:firstLineChars="200"/>
        <w:rPr>
          <w:rFonts w:ascii="仿宋" w:hAnsi="仿宋" w:eastAsia="仿宋" w:cs="仿宋"/>
          <w:color w:val="auto"/>
          <w:spacing w:val="-3"/>
          <w:highlight w:val="none"/>
        </w:rPr>
      </w:pPr>
      <w:r>
        <w:rPr>
          <w:rFonts w:hint="eastAsia" w:ascii="仿宋" w:hAnsi="仿宋" w:eastAsia="仿宋" w:cs="仿宋"/>
          <w:color w:val="auto"/>
          <w:spacing w:val="-3"/>
          <w:highlight w:val="none"/>
        </w:rPr>
        <w:t>2.以“★”标注的为政府强制采购产品。</w:t>
      </w:r>
    </w:p>
    <w:p w14:paraId="0FF25712">
      <w:pPr>
        <w:pStyle w:val="19"/>
        <w:spacing w:line="360" w:lineRule="auto"/>
        <w:ind w:firstLine="468" w:firstLineChars="200"/>
        <w:rPr>
          <w:rFonts w:ascii="仿宋" w:hAnsi="仿宋" w:eastAsia="仿宋" w:cs="仿宋"/>
          <w:color w:val="auto"/>
          <w:highlight w:val="none"/>
        </w:rPr>
      </w:pPr>
      <w:r>
        <w:rPr>
          <w:rFonts w:hint="eastAsia" w:ascii="仿宋" w:hAnsi="仿宋" w:eastAsia="仿宋" w:cs="仿宋"/>
          <w:color w:val="auto"/>
          <w:spacing w:val="-3"/>
          <w:highlight w:val="none"/>
        </w:rPr>
        <w:t>3.本表格原为《关于印发节能产品政府采购品目清单的通知》（财库〔2019〕19号）规定的表格附件，其中名称及编码已根据《财政部关于印发〈政府采购品目分类目录〉的通知》（财库〔2022〕31号）修改</w:t>
      </w:r>
      <w:r>
        <w:rPr>
          <w:rFonts w:hint="eastAsia" w:ascii="仿宋" w:hAnsi="仿宋" w:eastAsia="仿宋" w:cs="仿宋"/>
          <w:b/>
          <w:bCs/>
          <w:color w:val="auto"/>
          <w:highlight w:val="none"/>
        </w:rPr>
        <w:t>。</w:t>
      </w:r>
      <w:r>
        <w:rPr>
          <w:rFonts w:hint="eastAsia" w:ascii="仿宋" w:hAnsi="仿宋" w:eastAsia="仿宋" w:cs="仿宋"/>
          <w:color w:val="auto"/>
          <w:highlight w:val="none"/>
        </w:rPr>
        <w:br w:type="page"/>
      </w:r>
    </w:p>
    <w:p w14:paraId="5F031026">
      <w:pPr>
        <w:pStyle w:val="2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附件2：</w:t>
      </w:r>
    </w:p>
    <w:p w14:paraId="138F6E01">
      <w:pPr>
        <w:spacing w:line="528" w:lineRule="exact"/>
        <w:ind w:left="220"/>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中小微企业划型标准</w:t>
      </w:r>
    </w:p>
    <w:tbl>
      <w:tblPr>
        <w:tblStyle w:val="49"/>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14:paraId="01BEA22A">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14:paraId="007BDAEF">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行业名称</w:t>
            </w:r>
          </w:p>
        </w:tc>
        <w:tc>
          <w:tcPr>
            <w:tcW w:w="1633" w:type="dxa"/>
            <w:tcBorders>
              <w:top w:val="single" w:color="auto" w:sz="4" w:space="0"/>
              <w:left w:val="nil"/>
              <w:bottom w:val="single" w:color="auto" w:sz="4" w:space="0"/>
              <w:right w:val="single" w:color="auto" w:sz="4" w:space="0"/>
            </w:tcBorders>
            <w:vAlign w:val="center"/>
          </w:tcPr>
          <w:p w14:paraId="2A8AA9A4">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指标名称</w:t>
            </w:r>
          </w:p>
        </w:tc>
        <w:tc>
          <w:tcPr>
            <w:tcW w:w="1077" w:type="dxa"/>
            <w:tcBorders>
              <w:top w:val="single" w:color="auto" w:sz="4" w:space="0"/>
              <w:left w:val="nil"/>
              <w:bottom w:val="single" w:color="auto" w:sz="4" w:space="0"/>
              <w:right w:val="single" w:color="auto" w:sz="4" w:space="0"/>
            </w:tcBorders>
            <w:vAlign w:val="center"/>
          </w:tcPr>
          <w:p w14:paraId="249AAF81">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计量单位</w:t>
            </w:r>
          </w:p>
        </w:tc>
        <w:tc>
          <w:tcPr>
            <w:tcW w:w="1911" w:type="dxa"/>
            <w:tcBorders>
              <w:top w:val="single" w:color="auto" w:sz="4" w:space="0"/>
              <w:left w:val="nil"/>
              <w:bottom w:val="single" w:color="auto" w:sz="4" w:space="0"/>
              <w:right w:val="single" w:color="auto" w:sz="4" w:space="0"/>
            </w:tcBorders>
            <w:vAlign w:val="center"/>
          </w:tcPr>
          <w:p w14:paraId="5D4BAC4F">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中型</w:t>
            </w:r>
          </w:p>
        </w:tc>
        <w:tc>
          <w:tcPr>
            <w:tcW w:w="1699" w:type="dxa"/>
            <w:tcBorders>
              <w:top w:val="single" w:color="auto" w:sz="4" w:space="0"/>
              <w:left w:val="nil"/>
              <w:bottom w:val="single" w:color="auto" w:sz="4" w:space="0"/>
              <w:right w:val="single" w:color="auto" w:sz="4" w:space="0"/>
            </w:tcBorders>
            <w:vAlign w:val="center"/>
          </w:tcPr>
          <w:p w14:paraId="3B1E3CFC">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小型</w:t>
            </w:r>
          </w:p>
        </w:tc>
        <w:tc>
          <w:tcPr>
            <w:tcW w:w="1091" w:type="dxa"/>
            <w:tcBorders>
              <w:top w:val="single" w:color="auto" w:sz="4" w:space="0"/>
              <w:left w:val="nil"/>
              <w:bottom w:val="single" w:color="auto" w:sz="4" w:space="0"/>
              <w:right w:val="single" w:color="auto" w:sz="4" w:space="0"/>
            </w:tcBorders>
            <w:vAlign w:val="center"/>
          </w:tcPr>
          <w:p w14:paraId="12166F75">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微型</w:t>
            </w:r>
          </w:p>
        </w:tc>
      </w:tr>
      <w:tr w14:paraId="2DAFD699">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14:paraId="095FE3C0">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农、林、牧、渔</w:t>
            </w:r>
          </w:p>
        </w:tc>
        <w:tc>
          <w:tcPr>
            <w:tcW w:w="1633" w:type="dxa"/>
            <w:tcBorders>
              <w:top w:val="nil"/>
              <w:left w:val="nil"/>
              <w:bottom w:val="single" w:color="auto" w:sz="4" w:space="0"/>
              <w:right w:val="single" w:color="auto" w:sz="4" w:space="0"/>
            </w:tcBorders>
            <w:vAlign w:val="center"/>
          </w:tcPr>
          <w:p w14:paraId="3EB102F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27CB696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4197815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500≤Y＜20000</w:t>
            </w:r>
          </w:p>
        </w:tc>
        <w:tc>
          <w:tcPr>
            <w:tcW w:w="1699" w:type="dxa"/>
            <w:tcBorders>
              <w:top w:val="nil"/>
              <w:left w:val="nil"/>
              <w:bottom w:val="single" w:color="auto" w:sz="4" w:space="0"/>
              <w:right w:val="single" w:color="auto" w:sz="4" w:space="0"/>
            </w:tcBorders>
            <w:vAlign w:val="center"/>
          </w:tcPr>
          <w:p w14:paraId="6C4AAAA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50≤Y＜500</w:t>
            </w:r>
          </w:p>
        </w:tc>
        <w:tc>
          <w:tcPr>
            <w:tcW w:w="1091" w:type="dxa"/>
            <w:tcBorders>
              <w:top w:val="nil"/>
              <w:left w:val="nil"/>
              <w:bottom w:val="single" w:color="auto" w:sz="4" w:space="0"/>
              <w:right w:val="single" w:color="auto" w:sz="4" w:space="0"/>
            </w:tcBorders>
            <w:vAlign w:val="center"/>
          </w:tcPr>
          <w:p w14:paraId="078252D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Y＜50</w:t>
            </w:r>
          </w:p>
        </w:tc>
      </w:tr>
      <w:tr w14:paraId="32BDD27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DC867AD">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工业</w:t>
            </w:r>
          </w:p>
        </w:tc>
        <w:tc>
          <w:tcPr>
            <w:tcW w:w="1633" w:type="dxa"/>
            <w:tcBorders>
              <w:top w:val="nil"/>
              <w:left w:val="nil"/>
              <w:bottom w:val="single" w:color="auto" w:sz="4" w:space="0"/>
              <w:right w:val="single" w:color="auto" w:sz="4" w:space="0"/>
            </w:tcBorders>
            <w:vAlign w:val="center"/>
          </w:tcPr>
          <w:p w14:paraId="1C3E254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1727D41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6DFFD63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14:paraId="0AC9B26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20≤X＜300</w:t>
            </w:r>
          </w:p>
        </w:tc>
        <w:tc>
          <w:tcPr>
            <w:tcW w:w="1091" w:type="dxa"/>
            <w:tcBorders>
              <w:top w:val="nil"/>
              <w:left w:val="nil"/>
              <w:bottom w:val="single" w:color="auto" w:sz="4" w:space="0"/>
              <w:right w:val="single" w:color="auto" w:sz="4" w:space="0"/>
            </w:tcBorders>
            <w:vAlign w:val="center"/>
          </w:tcPr>
          <w:p w14:paraId="76CD082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X＜20</w:t>
            </w:r>
          </w:p>
        </w:tc>
      </w:tr>
      <w:tr w14:paraId="58099F58">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74048CB">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38356F9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750781A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3C0680B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2000≤Y＜40000</w:t>
            </w:r>
          </w:p>
        </w:tc>
        <w:tc>
          <w:tcPr>
            <w:tcW w:w="1699" w:type="dxa"/>
            <w:tcBorders>
              <w:top w:val="nil"/>
              <w:left w:val="nil"/>
              <w:bottom w:val="single" w:color="auto" w:sz="4" w:space="0"/>
              <w:right w:val="single" w:color="auto" w:sz="4" w:space="0"/>
            </w:tcBorders>
            <w:vAlign w:val="center"/>
          </w:tcPr>
          <w:p w14:paraId="6084050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300≤Y＜2000</w:t>
            </w:r>
          </w:p>
        </w:tc>
        <w:tc>
          <w:tcPr>
            <w:tcW w:w="1091" w:type="dxa"/>
            <w:tcBorders>
              <w:top w:val="nil"/>
              <w:left w:val="nil"/>
              <w:bottom w:val="single" w:color="auto" w:sz="4" w:space="0"/>
              <w:right w:val="single" w:color="auto" w:sz="4" w:space="0"/>
            </w:tcBorders>
            <w:vAlign w:val="center"/>
          </w:tcPr>
          <w:p w14:paraId="43C0D71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Y＜300</w:t>
            </w:r>
          </w:p>
        </w:tc>
      </w:tr>
      <w:tr w14:paraId="46912028">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432E011">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建筑业</w:t>
            </w:r>
          </w:p>
        </w:tc>
        <w:tc>
          <w:tcPr>
            <w:tcW w:w="1633" w:type="dxa"/>
            <w:tcBorders>
              <w:top w:val="nil"/>
              <w:left w:val="nil"/>
              <w:bottom w:val="single" w:color="auto" w:sz="4" w:space="0"/>
              <w:right w:val="single" w:color="auto" w:sz="4" w:space="0"/>
            </w:tcBorders>
            <w:vAlign w:val="center"/>
          </w:tcPr>
          <w:p w14:paraId="2ECAB1A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310D7C4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6D6677C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6000≤Y＜80000</w:t>
            </w:r>
          </w:p>
        </w:tc>
        <w:tc>
          <w:tcPr>
            <w:tcW w:w="1699" w:type="dxa"/>
            <w:tcBorders>
              <w:top w:val="nil"/>
              <w:left w:val="nil"/>
              <w:bottom w:val="single" w:color="auto" w:sz="4" w:space="0"/>
              <w:right w:val="single" w:color="auto" w:sz="4" w:space="0"/>
            </w:tcBorders>
            <w:vAlign w:val="center"/>
          </w:tcPr>
          <w:p w14:paraId="0F0D028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300≤Y＜6000</w:t>
            </w:r>
          </w:p>
        </w:tc>
        <w:tc>
          <w:tcPr>
            <w:tcW w:w="1091" w:type="dxa"/>
            <w:tcBorders>
              <w:top w:val="nil"/>
              <w:left w:val="nil"/>
              <w:bottom w:val="single" w:color="auto" w:sz="4" w:space="0"/>
              <w:right w:val="single" w:color="auto" w:sz="4" w:space="0"/>
            </w:tcBorders>
            <w:vAlign w:val="center"/>
          </w:tcPr>
          <w:p w14:paraId="0126BF9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Y＜300</w:t>
            </w:r>
          </w:p>
        </w:tc>
      </w:tr>
      <w:tr w14:paraId="0BAA6E7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88B74A0">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2905F81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资产总额（Z）</w:t>
            </w:r>
          </w:p>
        </w:tc>
        <w:tc>
          <w:tcPr>
            <w:tcW w:w="1077" w:type="dxa"/>
            <w:tcBorders>
              <w:top w:val="nil"/>
              <w:left w:val="nil"/>
              <w:bottom w:val="single" w:color="auto" w:sz="4" w:space="0"/>
              <w:right w:val="single" w:color="auto" w:sz="4" w:space="0"/>
            </w:tcBorders>
            <w:vAlign w:val="center"/>
          </w:tcPr>
          <w:p w14:paraId="650C502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246B6C9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5000≤Z＜80000</w:t>
            </w:r>
          </w:p>
        </w:tc>
        <w:tc>
          <w:tcPr>
            <w:tcW w:w="1699" w:type="dxa"/>
            <w:tcBorders>
              <w:top w:val="nil"/>
              <w:left w:val="nil"/>
              <w:bottom w:val="single" w:color="auto" w:sz="4" w:space="0"/>
              <w:right w:val="single" w:color="auto" w:sz="4" w:space="0"/>
            </w:tcBorders>
            <w:vAlign w:val="center"/>
          </w:tcPr>
          <w:p w14:paraId="4831ABD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300≤Z＜5000</w:t>
            </w:r>
          </w:p>
        </w:tc>
        <w:tc>
          <w:tcPr>
            <w:tcW w:w="1091" w:type="dxa"/>
            <w:tcBorders>
              <w:top w:val="nil"/>
              <w:left w:val="nil"/>
              <w:bottom w:val="single" w:color="auto" w:sz="4" w:space="0"/>
              <w:right w:val="single" w:color="auto" w:sz="4" w:space="0"/>
            </w:tcBorders>
            <w:vAlign w:val="center"/>
          </w:tcPr>
          <w:p w14:paraId="3499CF1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Z＜300</w:t>
            </w:r>
          </w:p>
        </w:tc>
      </w:tr>
      <w:tr w14:paraId="248568A8">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45D6FAD">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批发业</w:t>
            </w:r>
          </w:p>
        </w:tc>
        <w:tc>
          <w:tcPr>
            <w:tcW w:w="1633" w:type="dxa"/>
            <w:tcBorders>
              <w:top w:val="nil"/>
              <w:left w:val="nil"/>
              <w:bottom w:val="single" w:color="auto" w:sz="4" w:space="0"/>
              <w:right w:val="single" w:color="auto" w:sz="4" w:space="0"/>
            </w:tcBorders>
            <w:vAlign w:val="center"/>
          </w:tcPr>
          <w:p w14:paraId="2F92178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129CEA5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28D7A93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20≤X＜200</w:t>
            </w:r>
          </w:p>
        </w:tc>
        <w:tc>
          <w:tcPr>
            <w:tcW w:w="1699" w:type="dxa"/>
            <w:tcBorders>
              <w:top w:val="nil"/>
              <w:left w:val="nil"/>
              <w:bottom w:val="single" w:color="auto" w:sz="4" w:space="0"/>
              <w:right w:val="single" w:color="auto" w:sz="4" w:space="0"/>
            </w:tcBorders>
            <w:vAlign w:val="center"/>
          </w:tcPr>
          <w:p w14:paraId="7484262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5≤X＜20</w:t>
            </w:r>
          </w:p>
        </w:tc>
        <w:tc>
          <w:tcPr>
            <w:tcW w:w="1091" w:type="dxa"/>
            <w:tcBorders>
              <w:top w:val="nil"/>
              <w:left w:val="nil"/>
              <w:bottom w:val="single" w:color="auto" w:sz="4" w:space="0"/>
              <w:right w:val="single" w:color="auto" w:sz="4" w:space="0"/>
            </w:tcBorders>
            <w:vAlign w:val="center"/>
          </w:tcPr>
          <w:p w14:paraId="0CB8B1B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X＜5</w:t>
            </w:r>
          </w:p>
        </w:tc>
      </w:tr>
      <w:tr w14:paraId="715E19A4">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2D0CC5F5">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5E13021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1A4363F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265F35D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5000≤Y＜40000</w:t>
            </w:r>
          </w:p>
        </w:tc>
        <w:tc>
          <w:tcPr>
            <w:tcW w:w="1699" w:type="dxa"/>
            <w:tcBorders>
              <w:top w:val="nil"/>
              <w:left w:val="nil"/>
              <w:bottom w:val="single" w:color="auto" w:sz="4" w:space="0"/>
              <w:right w:val="single" w:color="auto" w:sz="4" w:space="0"/>
            </w:tcBorders>
            <w:vAlign w:val="center"/>
          </w:tcPr>
          <w:p w14:paraId="2DA0CED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1000≤Y＜5000</w:t>
            </w:r>
          </w:p>
        </w:tc>
        <w:tc>
          <w:tcPr>
            <w:tcW w:w="1091" w:type="dxa"/>
            <w:tcBorders>
              <w:top w:val="nil"/>
              <w:left w:val="nil"/>
              <w:bottom w:val="single" w:color="auto" w:sz="4" w:space="0"/>
              <w:right w:val="single" w:color="auto" w:sz="4" w:space="0"/>
            </w:tcBorders>
            <w:vAlign w:val="center"/>
          </w:tcPr>
          <w:p w14:paraId="0D2C239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Y＜1000</w:t>
            </w:r>
          </w:p>
        </w:tc>
      </w:tr>
      <w:tr w14:paraId="3CBE9D9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20A94DA">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零售业</w:t>
            </w:r>
          </w:p>
        </w:tc>
        <w:tc>
          <w:tcPr>
            <w:tcW w:w="1633" w:type="dxa"/>
            <w:tcBorders>
              <w:top w:val="nil"/>
              <w:left w:val="nil"/>
              <w:bottom w:val="single" w:color="auto" w:sz="4" w:space="0"/>
              <w:right w:val="single" w:color="auto" w:sz="4" w:space="0"/>
            </w:tcBorders>
            <w:vAlign w:val="center"/>
          </w:tcPr>
          <w:p w14:paraId="2AFD34C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4EDF92D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7211DB7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50≤X＜300</w:t>
            </w:r>
          </w:p>
        </w:tc>
        <w:tc>
          <w:tcPr>
            <w:tcW w:w="1699" w:type="dxa"/>
            <w:tcBorders>
              <w:top w:val="nil"/>
              <w:left w:val="nil"/>
              <w:bottom w:val="single" w:color="auto" w:sz="4" w:space="0"/>
              <w:right w:val="single" w:color="auto" w:sz="4" w:space="0"/>
            </w:tcBorders>
            <w:vAlign w:val="center"/>
          </w:tcPr>
          <w:p w14:paraId="321D1A0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10≤X＜50</w:t>
            </w:r>
          </w:p>
        </w:tc>
        <w:tc>
          <w:tcPr>
            <w:tcW w:w="1091" w:type="dxa"/>
            <w:tcBorders>
              <w:top w:val="nil"/>
              <w:left w:val="nil"/>
              <w:bottom w:val="single" w:color="auto" w:sz="4" w:space="0"/>
              <w:right w:val="single" w:color="auto" w:sz="4" w:space="0"/>
            </w:tcBorders>
            <w:vAlign w:val="center"/>
          </w:tcPr>
          <w:p w14:paraId="217C686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5D8B22CA">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7B0D06B">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553890E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761BEDA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2879ADB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500≤Y＜20000</w:t>
            </w:r>
          </w:p>
        </w:tc>
        <w:tc>
          <w:tcPr>
            <w:tcW w:w="1699" w:type="dxa"/>
            <w:tcBorders>
              <w:top w:val="nil"/>
              <w:left w:val="nil"/>
              <w:bottom w:val="single" w:color="auto" w:sz="4" w:space="0"/>
              <w:right w:val="single" w:color="auto" w:sz="4" w:space="0"/>
            </w:tcBorders>
            <w:vAlign w:val="center"/>
          </w:tcPr>
          <w:p w14:paraId="5F09EAD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100≤Y＜500</w:t>
            </w:r>
          </w:p>
        </w:tc>
        <w:tc>
          <w:tcPr>
            <w:tcW w:w="1091" w:type="dxa"/>
            <w:tcBorders>
              <w:top w:val="nil"/>
              <w:left w:val="nil"/>
              <w:bottom w:val="single" w:color="auto" w:sz="4" w:space="0"/>
              <w:right w:val="single" w:color="auto" w:sz="4" w:space="0"/>
            </w:tcBorders>
            <w:vAlign w:val="center"/>
          </w:tcPr>
          <w:p w14:paraId="1A8438F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11F19CD2">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DC29A44">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交通运输业</w:t>
            </w:r>
          </w:p>
        </w:tc>
        <w:tc>
          <w:tcPr>
            <w:tcW w:w="1633" w:type="dxa"/>
            <w:tcBorders>
              <w:top w:val="nil"/>
              <w:left w:val="nil"/>
              <w:bottom w:val="single" w:color="auto" w:sz="4" w:space="0"/>
              <w:right w:val="single" w:color="auto" w:sz="4" w:space="0"/>
            </w:tcBorders>
            <w:vAlign w:val="center"/>
          </w:tcPr>
          <w:p w14:paraId="6DA4F85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6CD8396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3E1F4B2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14:paraId="5192370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20≤X＜300</w:t>
            </w:r>
          </w:p>
        </w:tc>
        <w:tc>
          <w:tcPr>
            <w:tcW w:w="1091" w:type="dxa"/>
            <w:tcBorders>
              <w:top w:val="nil"/>
              <w:left w:val="nil"/>
              <w:bottom w:val="single" w:color="auto" w:sz="4" w:space="0"/>
              <w:right w:val="single" w:color="auto" w:sz="4" w:space="0"/>
            </w:tcBorders>
            <w:vAlign w:val="center"/>
          </w:tcPr>
          <w:p w14:paraId="71562C6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X＜20</w:t>
            </w:r>
          </w:p>
        </w:tc>
      </w:tr>
      <w:tr w14:paraId="229D7ED7">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D19E972">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661DAD5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1B9047F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0925824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3000≤Y＜30000</w:t>
            </w:r>
          </w:p>
        </w:tc>
        <w:tc>
          <w:tcPr>
            <w:tcW w:w="1699" w:type="dxa"/>
            <w:tcBorders>
              <w:top w:val="nil"/>
              <w:left w:val="nil"/>
              <w:bottom w:val="single" w:color="auto" w:sz="4" w:space="0"/>
              <w:right w:val="single" w:color="auto" w:sz="4" w:space="0"/>
            </w:tcBorders>
            <w:vAlign w:val="center"/>
          </w:tcPr>
          <w:p w14:paraId="7F03DCC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200≤Y＜3000</w:t>
            </w:r>
          </w:p>
        </w:tc>
        <w:tc>
          <w:tcPr>
            <w:tcW w:w="1091" w:type="dxa"/>
            <w:tcBorders>
              <w:top w:val="nil"/>
              <w:left w:val="nil"/>
              <w:bottom w:val="single" w:color="auto" w:sz="4" w:space="0"/>
              <w:right w:val="single" w:color="auto" w:sz="4" w:space="0"/>
            </w:tcBorders>
            <w:vAlign w:val="center"/>
          </w:tcPr>
          <w:p w14:paraId="523A536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Y＜200</w:t>
            </w:r>
          </w:p>
        </w:tc>
      </w:tr>
      <w:tr w14:paraId="11495A96">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F17C657">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仓储业</w:t>
            </w:r>
          </w:p>
        </w:tc>
        <w:tc>
          <w:tcPr>
            <w:tcW w:w="1633" w:type="dxa"/>
            <w:tcBorders>
              <w:top w:val="nil"/>
              <w:left w:val="nil"/>
              <w:bottom w:val="single" w:color="auto" w:sz="4" w:space="0"/>
              <w:right w:val="single" w:color="auto" w:sz="4" w:space="0"/>
            </w:tcBorders>
            <w:vAlign w:val="center"/>
          </w:tcPr>
          <w:p w14:paraId="1E20AEF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66E58F9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0FC1E3A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100≤X＜200</w:t>
            </w:r>
          </w:p>
        </w:tc>
        <w:tc>
          <w:tcPr>
            <w:tcW w:w="1699" w:type="dxa"/>
            <w:tcBorders>
              <w:top w:val="nil"/>
              <w:left w:val="nil"/>
              <w:bottom w:val="single" w:color="auto" w:sz="4" w:space="0"/>
              <w:right w:val="single" w:color="auto" w:sz="4" w:space="0"/>
            </w:tcBorders>
            <w:vAlign w:val="center"/>
          </w:tcPr>
          <w:p w14:paraId="1C48458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20≤X＜100</w:t>
            </w:r>
          </w:p>
        </w:tc>
        <w:tc>
          <w:tcPr>
            <w:tcW w:w="1091" w:type="dxa"/>
            <w:tcBorders>
              <w:top w:val="nil"/>
              <w:left w:val="nil"/>
              <w:bottom w:val="single" w:color="auto" w:sz="4" w:space="0"/>
              <w:right w:val="single" w:color="auto" w:sz="4" w:space="0"/>
            </w:tcBorders>
            <w:vAlign w:val="center"/>
          </w:tcPr>
          <w:p w14:paraId="1BA12D0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X＜20</w:t>
            </w:r>
          </w:p>
        </w:tc>
      </w:tr>
      <w:tr w14:paraId="31BBD188">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624D554">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0E18D12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691BC21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68F2DEA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1000≤Y＜30000</w:t>
            </w:r>
          </w:p>
        </w:tc>
        <w:tc>
          <w:tcPr>
            <w:tcW w:w="1699" w:type="dxa"/>
            <w:tcBorders>
              <w:top w:val="nil"/>
              <w:left w:val="nil"/>
              <w:bottom w:val="single" w:color="auto" w:sz="4" w:space="0"/>
              <w:right w:val="single" w:color="auto" w:sz="4" w:space="0"/>
            </w:tcBorders>
            <w:vAlign w:val="center"/>
          </w:tcPr>
          <w:p w14:paraId="485479C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100≤Y＜1000</w:t>
            </w:r>
          </w:p>
        </w:tc>
        <w:tc>
          <w:tcPr>
            <w:tcW w:w="1091" w:type="dxa"/>
            <w:tcBorders>
              <w:top w:val="nil"/>
              <w:left w:val="nil"/>
              <w:bottom w:val="single" w:color="auto" w:sz="4" w:space="0"/>
              <w:right w:val="single" w:color="auto" w:sz="4" w:space="0"/>
            </w:tcBorders>
            <w:vAlign w:val="center"/>
          </w:tcPr>
          <w:p w14:paraId="6BD050E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7576297C">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D6229BF">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邮政业</w:t>
            </w:r>
          </w:p>
        </w:tc>
        <w:tc>
          <w:tcPr>
            <w:tcW w:w="1633" w:type="dxa"/>
            <w:tcBorders>
              <w:top w:val="nil"/>
              <w:left w:val="nil"/>
              <w:bottom w:val="single" w:color="auto" w:sz="4" w:space="0"/>
              <w:right w:val="single" w:color="auto" w:sz="4" w:space="0"/>
            </w:tcBorders>
            <w:vAlign w:val="center"/>
          </w:tcPr>
          <w:p w14:paraId="09E847F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2F1DEF2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2A6C80E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14:paraId="1F99568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20≤X＜300</w:t>
            </w:r>
          </w:p>
        </w:tc>
        <w:tc>
          <w:tcPr>
            <w:tcW w:w="1091" w:type="dxa"/>
            <w:tcBorders>
              <w:top w:val="nil"/>
              <w:left w:val="nil"/>
              <w:bottom w:val="single" w:color="auto" w:sz="4" w:space="0"/>
              <w:right w:val="single" w:color="auto" w:sz="4" w:space="0"/>
            </w:tcBorders>
            <w:vAlign w:val="center"/>
          </w:tcPr>
          <w:p w14:paraId="5898B57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X＜20</w:t>
            </w:r>
          </w:p>
        </w:tc>
      </w:tr>
      <w:tr w14:paraId="408E9F65">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1226E09">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30E4300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3D125CF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04848DC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2000≤Y＜30000</w:t>
            </w:r>
          </w:p>
        </w:tc>
        <w:tc>
          <w:tcPr>
            <w:tcW w:w="1699" w:type="dxa"/>
            <w:tcBorders>
              <w:top w:val="nil"/>
              <w:left w:val="nil"/>
              <w:bottom w:val="single" w:color="auto" w:sz="4" w:space="0"/>
              <w:right w:val="single" w:color="auto" w:sz="4" w:space="0"/>
            </w:tcBorders>
            <w:vAlign w:val="center"/>
          </w:tcPr>
          <w:p w14:paraId="6C40BBC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100≤Y＜2000</w:t>
            </w:r>
          </w:p>
        </w:tc>
        <w:tc>
          <w:tcPr>
            <w:tcW w:w="1091" w:type="dxa"/>
            <w:tcBorders>
              <w:top w:val="nil"/>
              <w:left w:val="nil"/>
              <w:bottom w:val="single" w:color="auto" w:sz="4" w:space="0"/>
              <w:right w:val="single" w:color="auto" w:sz="4" w:space="0"/>
            </w:tcBorders>
            <w:vAlign w:val="center"/>
          </w:tcPr>
          <w:p w14:paraId="0A71888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573E7140">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A85BA10">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住宿业</w:t>
            </w:r>
          </w:p>
        </w:tc>
        <w:tc>
          <w:tcPr>
            <w:tcW w:w="1633" w:type="dxa"/>
            <w:tcBorders>
              <w:top w:val="nil"/>
              <w:left w:val="nil"/>
              <w:bottom w:val="single" w:color="auto" w:sz="4" w:space="0"/>
              <w:right w:val="single" w:color="auto" w:sz="4" w:space="0"/>
            </w:tcBorders>
            <w:vAlign w:val="center"/>
          </w:tcPr>
          <w:p w14:paraId="373FBF8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23A324A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44C15A7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14:paraId="48B7FAC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551D11B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72152587">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18B8C2E">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318D71B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1A504B6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1568902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2000≤Y＜10000</w:t>
            </w:r>
          </w:p>
        </w:tc>
        <w:tc>
          <w:tcPr>
            <w:tcW w:w="1699" w:type="dxa"/>
            <w:tcBorders>
              <w:top w:val="nil"/>
              <w:left w:val="nil"/>
              <w:bottom w:val="single" w:color="auto" w:sz="4" w:space="0"/>
              <w:right w:val="single" w:color="auto" w:sz="4" w:space="0"/>
            </w:tcBorders>
            <w:vAlign w:val="center"/>
          </w:tcPr>
          <w:p w14:paraId="676FA9D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100≤Y＜2000</w:t>
            </w:r>
          </w:p>
        </w:tc>
        <w:tc>
          <w:tcPr>
            <w:tcW w:w="1091" w:type="dxa"/>
            <w:tcBorders>
              <w:top w:val="nil"/>
              <w:left w:val="nil"/>
              <w:bottom w:val="single" w:color="auto" w:sz="4" w:space="0"/>
              <w:right w:val="single" w:color="auto" w:sz="4" w:space="0"/>
            </w:tcBorders>
            <w:vAlign w:val="center"/>
          </w:tcPr>
          <w:p w14:paraId="41D3B6B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68C920DE">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04D9BD6">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餐饮业</w:t>
            </w:r>
          </w:p>
        </w:tc>
        <w:tc>
          <w:tcPr>
            <w:tcW w:w="1633" w:type="dxa"/>
            <w:tcBorders>
              <w:top w:val="nil"/>
              <w:left w:val="nil"/>
              <w:bottom w:val="single" w:color="auto" w:sz="4" w:space="0"/>
              <w:right w:val="single" w:color="auto" w:sz="4" w:space="0"/>
            </w:tcBorders>
            <w:vAlign w:val="center"/>
          </w:tcPr>
          <w:p w14:paraId="2C603AE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02BFB74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0FE7346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14:paraId="33D3095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421989D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7808121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6FECDDA">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782BD89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4520319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7F1BD59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2000≤Y＜10000</w:t>
            </w:r>
          </w:p>
        </w:tc>
        <w:tc>
          <w:tcPr>
            <w:tcW w:w="1699" w:type="dxa"/>
            <w:tcBorders>
              <w:top w:val="nil"/>
              <w:left w:val="nil"/>
              <w:bottom w:val="single" w:color="auto" w:sz="4" w:space="0"/>
              <w:right w:val="single" w:color="auto" w:sz="4" w:space="0"/>
            </w:tcBorders>
            <w:vAlign w:val="center"/>
          </w:tcPr>
          <w:p w14:paraId="69DE946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100≤Y＜2000</w:t>
            </w:r>
          </w:p>
        </w:tc>
        <w:tc>
          <w:tcPr>
            <w:tcW w:w="1091" w:type="dxa"/>
            <w:tcBorders>
              <w:top w:val="nil"/>
              <w:left w:val="nil"/>
              <w:bottom w:val="single" w:color="auto" w:sz="4" w:space="0"/>
              <w:right w:val="single" w:color="auto" w:sz="4" w:space="0"/>
            </w:tcBorders>
            <w:vAlign w:val="center"/>
          </w:tcPr>
          <w:p w14:paraId="1AEFAE8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7022D745">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8ABD9E5">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信息传输业</w:t>
            </w:r>
          </w:p>
        </w:tc>
        <w:tc>
          <w:tcPr>
            <w:tcW w:w="1633" w:type="dxa"/>
            <w:tcBorders>
              <w:top w:val="nil"/>
              <w:left w:val="nil"/>
              <w:bottom w:val="single" w:color="auto" w:sz="4" w:space="0"/>
              <w:right w:val="single" w:color="auto" w:sz="4" w:space="0"/>
            </w:tcBorders>
            <w:vAlign w:val="center"/>
          </w:tcPr>
          <w:p w14:paraId="23D30DA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72C02D0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518CC34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100≤X＜2000</w:t>
            </w:r>
          </w:p>
        </w:tc>
        <w:tc>
          <w:tcPr>
            <w:tcW w:w="1699" w:type="dxa"/>
            <w:tcBorders>
              <w:top w:val="nil"/>
              <w:left w:val="nil"/>
              <w:bottom w:val="single" w:color="auto" w:sz="4" w:space="0"/>
              <w:right w:val="single" w:color="auto" w:sz="4" w:space="0"/>
            </w:tcBorders>
            <w:vAlign w:val="center"/>
          </w:tcPr>
          <w:p w14:paraId="202B80B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3FF68A4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44630751">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3A97558">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17076D7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12FE2B9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3BDA374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1000≤Y＜100000</w:t>
            </w:r>
          </w:p>
        </w:tc>
        <w:tc>
          <w:tcPr>
            <w:tcW w:w="1699" w:type="dxa"/>
            <w:tcBorders>
              <w:top w:val="nil"/>
              <w:left w:val="nil"/>
              <w:bottom w:val="single" w:color="auto" w:sz="4" w:space="0"/>
              <w:right w:val="single" w:color="auto" w:sz="4" w:space="0"/>
            </w:tcBorders>
            <w:vAlign w:val="center"/>
          </w:tcPr>
          <w:p w14:paraId="3D86DA2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100≤Y＜1000</w:t>
            </w:r>
          </w:p>
        </w:tc>
        <w:tc>
          <w:tcPr>
            <w:tcW w:w="1091" w:type="dxa"/>
            <w:tcBorders>
              <w:top w:val="nil"/>
              <w:left w:val="nil"/>
              <w:bottom w:val="single" w:color="auto" w:sz="4" w:space="0"/>
              <w:right w:val="single" w:color="auto" w:sz="4" w:space="0"/>
            </w:tcBorders>
            <w:vAlign w:val="center"/>
          </w:tcPr>
          <w:p w14:paraId="796C220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22701A4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61C89EA">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软件和信息技术服务业</w:t>
            </w:r>
          </w:p>
        </w:tc>
        <w:tc>
          <w:tcPr>
            <w:tcW w:w="1633" w:type="dxa"/>
            <w:tcBorders>
              <w:top w:val="nil"/>
              <w:left w:val="nil"/>
              <w:bottom w:val="single" w:color="auto" w:sz="4" w:space="0"/>
              <w:right w:val="single" w:color="auto" w:sz="4" w:space="0"/>
            </w:tcBorders>
            <w:vAlign w:val="center"/>
          </w:tcPr>
          <w:p w14:paraId="2FE3A78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4B9ED7D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27CBE96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14:paraId="54C56C5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34D9CBE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593572F7">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1AD334B">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2C9596B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01C4D05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767960D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1000≤Y＜10000</w:t>
            </w:r>
          </w:p>
        </w:tc>
        <w:tc>
          <w:tcPr>
            <w:tcW w:w="1699" w:type="dxa"/>
            <w:tcBorders>
              <w:top w:val="nil"/>
              <w:left w:val="nil"/>
              <w:bottom w:val="single" w:color="auto" w:sz="4" w:space="0"/>
              <w:right w:val="single" w:color="auto" w:sz="4" w:space="0"/>
            </w:tcBorders>
            <w:vAlign w:val="center"/>
          </w:tcPr>
          <w:p w14:paraId="2985CE2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50≤Y＜1000</w:t>
            </w:r>
          </w:p>
        </w:tc>
        <w:tc>
          <w:tcPr>
            <w:tcW w:w="1091" w:type="dxa"/>
            <w:tcBorders>
              <w:top w:val="nil"/>
              <w:left w:val="nil"/>
              <w:bottom w:val="single" w:color="auto" w:sz="4" w:space="0"/>
              <w:right w:val="single" w:color="auto" w:sz="4" w:space="0"/>
            </w:tcBorders>
            <w:vAlign w:val="center"/>
          </w:tcPr>
          <w:p w14:paraId="0D42DD6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Y＜50</w:t>
            </w:r>
          </w:p>
        </w:tc>
      </w:tr>
      <w:tr w14:paraId="5D98094C">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72885BCC">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房地产开发经营</w:t>
            </w:r>
          </w:p>
        </w:tc>
        <w:tc>
          <w:tcPr>
            <w:tcW w:w="1633" w:type="dxa"/>
            <w:tcBorders>
              <w:top w:val="nil"/>
              <w:left w:val="nil"/>
              <w:bottom w:val="single" w:color="auto" w:sz="4" w:space="0"/>
              <w:right w:val="single" w:color="auto" w:sz="4" w:space="0"/>
            </w:tcBorders>
            <w:vAlign w:val="center"/>
          </w:tcPr>
          <w:p w14:paraId="74369AC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6DDD36F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5A93484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1000≤Y＜200000</w:t>
            </w:r>
          </w:p>
        </w:tc>
        <w:tc>
          <w:tcPr>
            <w:tcW w:w="1699" w:type="dxa"/>
            <w:tcBorders>
              <w:top w:val="nil"/>
              <w:left w:val="nil"/>
              <w:bottom w:val="single" w:color="auto" w:sz="4" w:space="0"/>
              <w:right w:val="single" w:color="auto" w:sz="4" w:space="0"/>
            </w:tcBorders>
            <w:vAlign w:val="center"/>
          </w:tcPr>
          <w:p w14:paraId="5F48807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100≤X＜1000</w:t>
            </w:r>
          </w:p>
        </w:tc>
        <w:tc>
          <w:tcPr>
            <w:tcW w:w="1091" w:type="dxa"/>
            <w:tcBorders>
              <w:top w:val="nil"/>
              <w:left w:val="nil"/>
              <w:bottom w:val="single" w:color="auto" w:sz="4" w:space="0"/>
              <w:right w:val="single" w:color="auto" w:sz="4" w:space="0"/>
            </w:tcBorders>
            <w:vAlign w:val="center"/>
          </w:tcPr>
          <w:p w14:paraId="7B7549A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X＜100</w:t>
            </w:r>
          </w:p>
        </w:tc>
      </w:tr>
      <w:tr w14:paraId="000EF5A4">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2CA9A345">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02E94EC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资产总额（Z）</w:t>
            </w:r>
          </w:p>
        </w:tc>
        <w:tc>
          <w:tcPr>
            <w:tcW w:w="1077" w:type="dxa"/>
            <w:tcBorders>
              <w:top w:val="nil"/>
              <w:left w:val="nil"/>
              <w:bottom w:val="single" w:color="auto" w:sz="4" w:space="0"/>
              <w:right w:val="single" w:color="auto" w:sz="4" w:space="0"/>
            </w:tcBorders>
            <w:vAlign w:val="center"/>
          </w:tcPr>
          <w:p w14:paraId="4B810C4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30C0D8A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5000≤Z＜10000</w:t>
            </w:r>
          </w:p>
        </w:tc>
        <w:tc>
          <w:tcPr>
            <w:tcW w:w="1699" w:type="dxa"/>
            <w:tcBorders>
              <w:top w:val="nil"/>
              <w:left w:val="nil"/>
              <w:bottom w:val="single" w:color="auto" w:sz="4" w:space="0"/>
              <w:right w:val="single" w:color="auto" w:sz="4" w:space="0"/>
            </w:tcBorders>
            <w:vAlign w:val="center"/>
          </w:tcPr>
          <w:p w14:paraId="7144A63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2000≤Y＜5000</w:t>
            </w:r>
          </w:p>
        </w:tc>
        <w:tc>
          <w:tcPr>
            <w:tcW w:w="1091" w:type="dxa"/>
            <w:tcBorders>
              <w:top w:val="nil"/>
              <w:left w:val="nil"/>
              <w:bottom w:val="single" w:color="auto" w:sz="4" w:space="0"/>
              <w:right w:val="single" w:color="auto" w:sz="4" w:space="0"/>
            </w:tcBorders>
            <w:vAlign w:val="center"/>
          </w:tcPr>
          <w:p w14:paraId="71A91EC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Y＜2000</w:t>
            </w:r>
          </w:p>
        </w:tc>
      </w:tr>
      <w:tr w14:paraId="6FFC6F42">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8F2485A">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物业管理</w:t>
            </w:r>
          </w:p>
        </w:tc>
        <w:tc>
          <w:tcPr>
            <w:tcW w:w="1633" w:type="dxa"/>
            <w:tcBorders>
              <w:top w:val="nil"/>
              <w:left w:val="nil"/>
              <w:bottom w:val="single" w:color="auto" w:sz="4" w:space="0"/>
              <w:right w:val="single" w:color="auto" w:sz="4" w:space="0"/>
            </w:tcBorders>
            <w:vAlign w:val="center"/>
          </w:tcPr>
          <w:p w14:paraId="61CE923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4CCD2B1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75F9FD2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300≤X＜1000</w:t>
            </w:r>
          </w:p>
        </w:tc>
        <w:tc>
          <w:tcPr>
            <w:tcW w:w="1699" w:type="dxa"/>
            <w:tcBorders>
              <w:top w:val="nil"/>
              <w:left w:val="nil"/>
              <w:bottom w:val="single" w:color="auto" w:sz="4" w:space="0"/>
              <w:right w:val="single" w:color="auto" w:sz="4" w:space="0"/>
            </w:tcBorders>
            <w:vAlign w:val="center"/>
          </w:tcPr>
          <w:p w14:paraId="127169B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091" w:type="dxa"/>
            <w:tcBorders>
              <w:top w:val="nil"/>
              <w:left w:val="nil"/>
              <w:bottom w:val="single" w:color="auto" w:sz="4" w:space="0"/>
              <w:right w:val="single" w:color="auto" w:sz="4" w:space="0"/>
            </w:tcBorders>
            <w:vAlign w:val="center"/>
          </w:tcPr>
          <w:p w14:paraId="23F1029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X＜100</w:t>
            </w:r>
          </w:p>
        </w:tc>
      </w:tr>
      <w:tr w14:paraId="3605CC8A">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245171C">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6F9468C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77" w:type="dxa"/>
            <w:tcBorders>
              <w:top w:val="nil"/>
              <w:left w:val="nil"/>
              <w:bottom w:val="single" w:color="auto" w:sz="4" w:space="0"/>
              <w:right w:val="single" w:color="auto" w:sz="4" w:space="0"/>
            </w:tcBorders>
            <w:vAlign w:val="center"/>
          </w:tcPr>
          <w:p w14:paraId="2B85ACA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423D929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1000≤Y＜5000</w:t>
            </w:r>
          </w:p>
        </w:tc>
        <w:tc>
          <w:tcPr>
            <w:tcW w:w="1699" w:type="dxa"/>
            <w:tcBorders>
              <w:top w:val="nil"/>
              <w:left w:val="nil"/>
              <w:bottom w:val="single" w:color="auto" w:sz="4" w:space="0"/>
              <w:right w:val="single" w:color="auto" w:sz="4" w:space="0"/>
            </w:tcBorders>
            <w:vAlign w:val="center"/>
          </w:tcPr>
          <w:p w14:paraId="4F2E1B8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500≤Y＜1000</w:t>
            </w:r>
          </w:p>
        </w:tc>
        <w:tc>
          <w:tcPr>
            <w:tcW w:w="1091" w:type="dxa"/>
            <w:tcBorders>
              <w:top w:val="nil"/>
              <w:left w:val="nil"/>
              <w:bottom w:val="single" w:color="auto" w:sz="4" w:space="0"/>
              <w:right w:val="single" w:color="auto" w:sz="4" w:space="0"/>
            </w:tcBorders>
            <w:vAlign w:val="center"/>
          </w:tcPr>
          <w:p w14:paraId="36E2CE0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Y＜500</w:t>
            </w:r>
          </w:p>
        </w:tc>
      </w:tr>
      <w:tr w14:paraId="30A1888A">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7848B40">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租赁和商务服务业</w:t>
            </w:r>
          </w:p>
        </w:tc>
        <w:tc>
          <w:tcPr>
            <w:tcW w:w="1633" w:type="dxa"/>
            <w:tcBorders>
              <w:top w:val="nil"/>
              <w:left w:val="nil"/>
              <w:bottom w:val="single" w:color="auto" w:sz="4" w:space="0"/>
              <w:right w:val="single" w:color="auto" w:sz="4" w:space="0"/>
            </w:tcBorders>
            <w:vAlign w:val="center"/>
          </w:tcPr>
          <w:p w14:paraId="52DEC3C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470AA07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7DBA948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14:paraId="79E1BC3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63FE5F7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5D465824">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FFFD8F8">
            <w:pPr>
              <w:widowControl/>
              <w:jc w:val="left"/>
              <w:rPr>
                <w:rFonts w:ascii="仿宋" w:hAnsi="仿宋" w:eastAsia="仿宋" w:cs="仿宋"/>
                <w:b/>
                <w:bCs/>
                <w:color w:val="auto"/>
                <w:kern w:val="0"/>
                <w:sz w:val="20"/>
                <w:szCs w:val="20"/>
                <w:highlight w:val="none"/>
              </w:rPr>
            </w:pPr>
          </w:p>
        </w:tc>
        <w:tc>
          <w:tcPr>
            <w:tcW w:w="1633" w:type="dxa"/>
            <w:tcBorders>
              <w:top w:val="nil"/>
              <w:left w:val="nil"/>
              <w:bottom w:val="single" w:color="auto" w:sz="4" w:space="0"/>
              <w:right w:val="single" w:color="auto" w:sz="4" w:space="0"/>
            </w:tcBorders>
            <w:vAlign w:val="center"/>
          </w:tcPr>
          <w:p w14:paraId="55337CD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资产总额（Z）</w:t>
            </w:r>
          </w:p>
        </w:tc>
        <w:tc>
          <w:tcPr>
            <w:tcW w:w="1077" w:type="dxa"/>
            <w:tcBorders>
              <w:top w:val="nil"/>
              <w:left w:val="nil"/>
              <w:bottom w:val="single" w:color="auto" w:sz="4" w:space="0"/>
              <w:right w:val="single" w:color="auto" w:sz="4" w:space="0"/>
            </w:tcBorders>
            <w:vAlign w:val="center"/>
          </w:tcPr>
          <w:p w14:paraId="3348CFF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911" w:type="dxa"/>
            <w:tcBorders>
              <w:top w:val="nil"/>
              <w:left w:val="nil"/>
              <w:bottom w:val="single" w:color="auto" w:sz="4" w:space="0"/>
              <w:right w:val="single" w:color="auto" w:sz="4" w:space="0"/>
            </w:tcBorders>
            <w:vAlign w:val="center"/>
          </w:tcPr>
          <w:p w14:paraId="0B5E453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8000≤Z＜120000</w:t>
            </w:r>
          </w:p>
        </w:tc>
        <w:tc>
          <w:tcPr>
            <w:tcW w:w="1699" w:type="dxa"/>
            <w:tcBorders>
              <w:top w:val="nil"/>
              <w:left w:val="nil"/>
              <w:bottom w:val="single" w:color="auto" w:sz="4" w:space="0"/>
              <w:right w:val="single" w:color="auto" w:sz="4" w:space="0"/>
            </w:tcBorders>
            <w:vAlign w:val="center"/>
          </w:tcPr>
          <w:p w14:paraId="3A9221B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100≤Z＜8000</w:t>
            </w:r>
          </w:p>
        </w:tc>
        <w:tc>
          <w:tcPr>
            <w:tcW w:w="1091" w:type="dxa"/>
            <w:tcBorders>
              <w:top w:val="nil"/>
              <w:left w:val="nil"/>
              <w:bottom w:val="single" w:color="auto" w:sz="4" w:space="0"/>
              <w:right w:val="single" w:color="auto" w:sz="4" w:space="0"/>
            </w:tcBorders>
            <w:vAlign w:val="center"/>
          </w:tcPr>
          <w:p w14:paraId="1323BE4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64FA6254">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14:paraId="6EB05470">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其他未列明行业</w:t>
            </w:r>
          </w:p>
        </w:tc>
        <w:tc>
          <w:tcPr>
            <w:tcW w:w="1633" w:type="dxa"/>
            <w:tcBorders>
              <w:top w:val="nil"/>
              <w:left w:val="nil"/>
              <w:bottom w:val="single" w:color="auto" w:sz="4" w:space="0"/>
              <w:right w:val="single" w:color="auto" w:sz="4" w:space="0"/>
            </w:tcBorders>
            <w:vAlign w:val="center"/>
          </w:tcPr>
          <w:p w14:paraId="7DA4341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77" w:type="dxa"/>
            <w:tcBorders>
              <w:top w:val="nil"/>
              <w:left w:val="nil"/>
              <w:bottom w:val="single" w:color="auto" w:sz="4" w:space="0"/>
              <w:right w:val="single" w:color="auto" w:sz="4" w:space="0"/>
            </w:tcBorders>
            <w:vAlign w:val="center"/>
          </w:tcPr>
          <w:p w14:paraId="1F6F234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911" w:type="dxa"/>
            <w:tcBorders>
              <w:top w:val="nil"/>
              <w:left w:val="nil"/>
              <w:bottom w:val="single" w:color="auto" w:sz="4" w:space="0"/>
              <w:right w:val="single" w:color="auto" w:sz="4" w:space="0"/>
            </w:tcBorders>
            <w:vAlign w:val="center"/>
          </w:tcPr>
          <w:p w14:paraId="05AA562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699" w:type="dxa"/>
            <w:tcBorders>
              <w:top w:val="nil"/>
              <w:left w:val="nil"/>
              <w:bottom w:val="single" w:color="auto" w:sz="4" w:space="0"/>
              <w:right w:val="single" w:color="auto" w:sz="4" w:space="0"/>
            </w:tcBorders>
            <w:vAlign w:val="center"/>
          </w:tcPr>
          <w:p w14:paraId="72B808C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91" w:type="dxa"/>
            <w:tcBorders>
              <w:top w:val="nil"/>
              <w:left w:val="nil"/>
              <w:bottom w:val="single" w:color="auto" w:sz="4" w:space="0"/>
              <w:right w:val="single" w:color="auto" w:sz="4" w:space="0"/>
            </w:tcBorders>
            <w:vAlign w:val="center"/>
          </w:tcPr>
          <w:p w14:paraId="1936C39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bl>
    <w:p w14:paraId="749B0E9F">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E33EB82">
      <w:pPr>
        <w:widowControl/>
        <w:jc w:val="left"/>
        <w:rPr>
          <w:rFonts w:ascii="仿宋" w:hAnsi="仿宋" w:eastAsia="仿宋" w:cs="仿宋"/>
          <w:color w:val="auto"/>
          <w:sz w:val="24"/>
          <w:highlight w:val="none"/>
        </w:rPr>
        <w:sectPr>
          <w:footerReference r:id="rId4" w:type="default"/>
          <w:pgSz w:w="11906" w:h="16838"/>
          <w:pgMar w:top="1417" w:right="1417" w:bottom="1417" w:left="1417" w:header="720" w:footer="720" w:gutter="0"/>
          <w:pgNumType w:start="1"/>
          <w:cols w:space="0" w:num="1"/>
          <w:docGrid w:type="lines" w:linePitch="333" w:charSpace="0"/>
        </w:sectPr>
      </w:pPr>
    </w:p>
    <w:p w14:paraId="08DEB6C4">
      <w:pPr>
        <w:pStyle w:val="3"/>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第三章  投标人须知</w:t>
      </w:r>
      <w:bookmarkEnd w:id="37"/>
    </w:p>
    <w:p w14:paraId="63163D31">
      <w:pPr>
        <w:spacing w:line="360" w:lineRule="auto"/>
        <w:jc w:val="center"/>
        <w:rPr>
          <w:rFonts w:ascii="仿宋" w:hAnsi="仿宋" w:eastAsia="仿宋" w:cs="仿宋"/>
          <w:color w:val="auto"/>
          <w:sz w:val="36"/>
          <w:szCs w:val="36"/>
          <w:highlight w:val="none"/>
        </w:rPr>
      </w:pPr>
      <w:bookmarkStart w:id="39" w:name="_Toc254970526"/>
      <w:bookmarkStart w:id="40" w:name="_Toc254970667"/>
      <w:r>
        <w:rPr>
          <w:rFonts w:hint="eastAsia" w:ascii="仿宋" w:hAnsi="仿宋" w:eastAsia="仿宋" w:cs="仿宋"/>
          <w:color w:val="auto"/>
          <w:sz w:val="36"/>
          <w:szCs w:val="36"/>
          <w:highlight w:val="none"/>
        </w:rPr>
        <w:t>投标人须知前附表</w:t>
      </w:r>
      <w:bookmarkEnd w:id="39"/>
      <w:bookmarkEnd w:id="40"/>
    </w:p>
    <w:p w14:paraId="67365F49">
      <w:pPr>
        <w:jc w:val="center"/>
        <w:rPr>
          <w:rFonts w:ascii="仿宋" w:hAnsi="仿宋" w:eastAsia="仿宋" w:cs="仿宋"/>
          <w:color w:val="auto"/>
          <w:sz w:val="36"/>
          <w:szCs w:val="36"/>
          <w:highlight w:val="none"/>
        </w:rPr>
      </w:pPr>
    </w:p>
    <w:tbl>
      <w:tblPr>
        <w:tblStyle w:val="4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02B48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BF24F3C">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09D670D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编列内容</w:t>
            </w:r>
          </w:p>
        </w:tc>
      </w:tr>
      <w:tr w14:paraId="0001C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3A0737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1D7A8309">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投标人的资格要求：详见招标公告。</w:t>
            </w:r>
          </w:p>
        </w:tc>
      </w:tr>
      <w:tr w14:paraId="6145B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E9C9263">
            <w:pPr>
              <w:spacing w:line="360" w:lineRule="auto"/>
              <w:jc w:val="center"/>
              <w:rPr>
                <w:rFonts w:ascii="仿宋" w:hAnsi="仿宋" w:eastAsia="仿宋" w:cs="仿宋"/>
                <w:color w:val="auto"/>
                <w:sz w:val="24"/>
                <w:highlight w:val="none"/>
              </w:rPr>
            </w:pPr>
            <w:bookmarkStart w:id="41" w:name="_5"/>
            <w:bookmarkEnd w:id="41"/>
            <w:bookmarkStart w:id="42" w:name="_9.2"/>
            <w:bookmarkEnd w:id="42"/>
            <w:bookmarkStart w:id="43" w:name="_8.1"/>
            <w:bookmarkEnd w:id="43"/>
            <w:r>
              <w:rPr>
                <w:rFonts w:hint="eastAsia" w:ascii="仿宋" w:hAnsi="仿宋" w:eastAsia="仿宋" w:cs="仿宋"/>
                <w:color w:val="auto"/>
                <w:sz w:val="24"/>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37A8C977">
            <w:pPr>
              <w:pStyle w:val="17"/>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本项目是否接受联合体投标：否。</w:t>
            </w:r>
          </w:p>
        </w:tc>
      </w:tr>
      <w:tr w14:paraId="6A5DA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BDC0D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14:paraId="6C9BCCC6">
            <w:pPr>
              <w:autoSpaceDE w:val="0"/>
              <w:autoSpaceDN w:val="0"/>
              <w:snapToGrid w:val="0"/>
              <w:spacing w:line="360" w:lineRule="auto"/>
              <w:textAlignment w:val="bottom"/>
              <w:rPr>
                <w:rFonts w:ascii="仿宋" w:hAnsi="仿宋" w:eastAsia="仿宋" w:cs="仿宋"/>
                <w:color w:val="auto"/>
                <w:sz w:val="24"/>
                <w:highlight w:val="none"/>
              </w:rPr>
            </w:pPr>
            <w:bookmarkStart w:id="44" w:name="_Hlk54105293"/>
            <w:r>
              <w:rPr>
                <w:rFonts w:hint="eastAsia" w:ascii="仿宋" w:hAnsi="仿宋" w:eastAsia="仿宋" w:cs="仿宋"/>
                <w:color w:val="auto"/>
                <w:sz w:val="24"/>
                <w:highlight w:val="none"/>
              </w:rPr>
              <w:t>如接受联合体投标，</w:t>
            </w:r>
            <w:bookmarkEnd w:id="44"/>
            <w:r>
              <w:rPr>
                <w:rFonts w:hint="eastAsia" w:ascii="仿宋" w:hAnsi="仿宋" w:eastAsia="仿宋" w:cs="仿宋"/>
                <w:color w:val="auto"/>
                <w:sz w:val="24"/>
                <w:highlight w:val="none"/>
              </w:rPr>
              <w:t>联合体投标要求如下：</w:t>
            </w:r>
          </w:p>
          <w:p w14:paraId="300BAB83">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两个以上供应商可以组成一个投标联合体，以一个投标人的身份共同参加投标，联合体投标人的名称应统一按“XXX 公司与 XXX 公司的联合体”的规则填写。</w:t>
            </w:r>
            <w:r>
              <w:rPr>
                <w:rFonts w:hint="eastAsia" w:ascii="仿宋" w:hAnsi="仿宋" w:eastAsia="仿宋" w:cs="仿宋"/>
                <w:color w:val="auto"/>
                <w:sz w:val="24"/>
                <w:highlight w:val="none"/>
              </w:rPr>
              <w:tab/>
            </w:r>
          </w:p>
          <w:p w14:paraId="4ABF8380">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3024A735">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仿宋" w:hAnsi="仿宋" w:eastAsia="仿宋" w:cs="仿宋"/>
                <w:color w:val="auto"/>
                <w:sz w:val="24"/>
                <w:highlight w:val="none"/>
              </w:rPr>
              <w:tab/>
            </w:r>
          </w:p>
          <w:p w14:paraId="092F70B4">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以联合体形式参加政府采购活动的，联合体各方不得再单独参加或者与其他投标人另外组成联合体参加同一合同项下的政府采购活动，否则与之相关的投标文件作废。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p>
          <w:p w14:paraId="7C0351B3">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联合体中有同类资质的投标人按照联合体分工承担相同工作的，应当按照资质等级较低的投标人确定资质等级。</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p>
          <w:p w14:paraId="26623597">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联合体投标业绩、履约能力按照联合体各方其中较高的一方认定并计算（招标文件另有规定的除外）。</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p>
          <w:p w14:paraId="20AEBB8C">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联合体各方均应按照招标文件的规定提交资格证明文件。</w:t>
            </w:r>
          </w:p>
        </w:tc>
      </w:tr>
      <w:tr w14:paraId="3ACB6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6D981D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015755AD">
            <w:pPr>
              <w:pStyle w:val="17"/>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本项目不允许分包。</w:t>
            </w:r>
          </w:p>
          <w:p w14:paraId="0E7E7A49">
            <w:pPr>
              <w:pStyle w:val="17"/>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本项目允许分包：</w:t>
            </w:r>
          </w:p>
          <w:p w14:paraId="2525EAFC">
            <w:pPr>
              <w:pStyle w:val="17"/>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分包内容：</w:t>
            </w:r>
            <w:r>
              <w:rPr>
                <w:rFonts w:hint="eastAsia" w:ascii="仿宋" w:hAnsi="仿宋" w:eastAsia="仿宋" w:cs="仿宋"/>
                <w:color w:val="auto"/>
                <w:sz w:val="24"/>
                <w:highlight w:val="none"/>
                <w:u w:val="single"/>
              </w:rPr>
              <w:t>/</w:t>
            </w:r>
          </w:p>
          <w:p w14:paraId="3AB487D2">
            <w:pPr>
              <w:pStyle w:val="17"/>
              <w:spacing w:line="360" w:lineRule="auto"/>
              <w:jc w:val="both"/>
              <w:rPr>
                <w:rFonts w:ascii="仿宋" w:hAnsi="仿宋" w:eastAsia="仿宋" w:cs="仿宋"/>
                <w:color w:val="auto"/>
                <w:sz w:val="24"/>
                <w:highlight w:val="none"/>
                <w:u w:val="single"/>
              </w:rPr>
            </w:pPr>
            <w:r>
              <w:rPr>
                <w:rFonts w:hint="eastAsia" w:ascii="仿宋" w:hAnsi="仿宋" w:eastAsia="仿宋" w:cs="仿宋"/>
                <w:color w:val="auto"/>
                <w:sz w:val="24"/>
                <w:highlight w:val="none"/>
              </w:rPr>
              <w:t>分包金额或者比例：</w:t>
            </w:r>
            <w:r>
              <w:rPr>
                <w:rFonts w:hint="eastAsia" w:ascii="仿宋" w:hAnsi="仿宋" w:eastAsia="仿宋" w:cs="仿宋"/>
                <w:color w:val="auto"/>
                <w:sz w:val="24"/>
                <w:highlight w:val="none"/>
                <w:u w:val="single"/>
              </w:rPr>
              <w:t>/</w:t>
            </w:r>
          </w:p>
        </w:tc>
      </w:tr>
      <w:tr w14:paraId="23EF2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7ADB20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14:paraId="4D9398B3">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3255E2EB">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采用综合评分法的采购项目，提供相同品牌产品（非单一产品采购项目的，指核心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14:paraId="75F39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29B8640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21E1FEA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本项目是否组织现场考察：</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否</w:t>
            </w:r>
            <w:r>
              <w:rPr>
                <w:rFonts w:hint="eastAsia" w:ascii="仿宋" w:hAnsi="仿宋" w:eastAsia="仿宋" w:cs="仿宋"/>
                <w:b/>
                <w:color w:val="auto"/>
                <w:sz w:val="24"/>
                <w:highlight w:val="none"/>
              </w:rPr>
              <w:t xml:space="preserve"> </w:t>
            </w:r>
          </w:p>
        </w:tc>
      </w:tr>
      <w:tr w14:paraId="08E9A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1D7512F7">
            <w:pPr>
              <w:spacing w:line="360" w:lineRule="auto"/>
              <w:jc w:val="center"/>
              <w:rPr>
                <w:rFonts w:ascii="仿宋" w:hAnsi="仿宋" w:eastAsia="仿宋" w:cs="仿宋"/>
                <w:color w:val="auto"/>
                <w:sz w:val="24"/>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2F653DE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本项目不组织召开开标前答疑会。</w:t>
            </w:r>
          </w:p>
          <w:p w14:paraId="5A04E59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本项目组织召开开标前答疑会：详见商务条款。</w:t>
            </w:r>
          </w:p>
        </w:tc>
      </w:tr>
      <w:tr w14:paraId="4B015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07AA20B8">
            <w:pPr>
              <w:spacing w:line="360" w:lineRule="auto"/>
              <w:jc w:val="center"/>
              <w:rPr>
                <w:rFonts w:ascii="仿宋" w:hAnsi="仿宋" w:eastAsia="仿宋" w:cs="仿宋"/>
                <w:color w:val="auto"/>
                <w:sz w:val="24"/>
                <w:highlight w:val="none"/>
              </w:rPr>
            </w:pPr>
            <w:bookmarkStart w:id="45" w:name="_13.1"/>
            <w:bookmarkEnd w:id="45"/>
            <w:r>
              <w:rPr>
                <w:rFonts w:hint="eastAsia" w:ascii="仿宋" w:hAnsi="仿宋" w:eastAsia="仿宋" w:cs="仿宋"/>
                <w:color w:val="auto"/>
                <w:sz w:val="24"/>
                <w:highlight w:val="none"/>
              </w:rPr>
              <w:t>13.</w:t>
            </w:r>
            <w:bookmarkStart w:id="46" w:name="_Hlt19632543"/>
            <w:r>
              <w:rPr>
                <w:rFonts w:hint="eastAsia" w:ascii="仿宋" w:hAnsi="仿宋" w:eastAsia="仿宋" w:cs="仿宋"/>
                <w:color w:val="auto"/>
                <w:sz w:val="24"/>
                <w:highlight w:val="none"/>
              </w:rPr>
              <w:t>1</w:t>
            </w:r>
            <w:bookmarkEnd w:id="46"/>
          </w:p>
        </w:tc>
        <w:tc>
          <w:tcPr>
            <w:tcW w:w="8708" w:type="dxa"/>
            <w:tcBorders>
              <w:top w:val="single" w:color="auto" w:sz="4" w:space="0"/>
              <w:left w:val="single" w:color="auto" w:sz="4" w:space="0"/>
              <w:bottom w:val="single" w:color="auto" w:sz="4" w:space="0"/>
              <w:right w:val="single" w:color="auto" w:sz="4" w:space="0"/>
            </w:tcBorders>
            <w:vAlign w:val="center"/>
          </w:tcPr>
          <w:p w14:paraId="24B5D9BC">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报价文件：</w:t>
            </w:r>
          </w:p>
          <w:p w14:paraId="6F6EBF2F">
            <w:pPr>
              <w:autoSpaceDE w:val="0"/>
              <w:autoSpaceDN w:val="0"/>
              <w:snapToGrid w:val="0"/>
              <w:spacing w:line="360" w:lineRule="auto"/>
              <w:textAlignment w:val="bottom"/>
              <w:rPr>
                <w:rFonts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投标函（格式后附）；</w:t>
            </w:r>
            <w:r>
              <w:rPr>
                <w:rFonts w:hint="eastAsia" w:ascii="仿宋" w:hAnsi="仿宋" w:eastAsia="仿宋" w:cs="仿宋"/>
                <w:b/>
                <w:bCs/>
                <w:color w:val="auto"/>
                <w:sz w:val="24"/>
                <w:highlight w:val="none"/>
              </w:rPr>
              <w:t>（必须提供，否则投标文件按无效投标处理）</w:t>
            </w:r>
          </w:p>
          <w:p w14:paraId="06A96FA1">
            <w:pPr>
              <w:autoSpaceDE w:val="0"/>
              <w:autoSpaceDN w:val="0"/>
              <w:snapToGrid w:val="0"/>
              <w:spacing w:line="360" w:lineRule="auto"/>
              <w:textAlignment w:val="bottom"/>
              <w:rPr>
                <w:rFonts w:ascii="仿宋" w:hAnsi="仿宋" w:eastAsia="仿宋" w:cs="仿宋"/>
                <w:b/>
                <w:bCs/>
                <w:color w:val="auto"/>
                <w:sz w:val="24"/>
                <w:highlight w:val="none"/>
              </w:rPr>
            </w:pPr>
            <w:bookmarkStart w:id="47" w:name="_Hlk71299233"/>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开标一览表</w:t>
            </w:r>
            <w:bookmarkEnd w:id="47"/>
            <w:r>
              <w:rPr>
                <w:rFonts w:hint="eastAsia" w:ascii="仿宋" w:hAnsi="仿宋" w:eastAsia="仿宋" w:cs="仿宋"/>
                <w:color w:val="auto"/>
                <w:sz w:val="24"/>
                <w:highlight w:val="none"/>
              </w:rPr>
              <w:t>（格式后附）；</w:t>
            </w:r>
            <w:r>
              <w:rPr>
                <w:rFonts w:hint="eastAsia" w:ascii="仿宋" w:hAnsi="仿宋" w:eastAsia="仿宋" w:cs="仿宋"/>
                <w:b/>
                <w:bCs/>
                <w:color w:val="auto"/>
                <w:sz w:val="24"/>
                <w:highlight w:val="none"/>
              </w:rPr>
              <w:t xml:space="preserve"> （必须提供，否则投标文件按无效投标处理）</w:t>
            </w:r>
          </w:p>
          <w:p w14:paraId="2D2C2937">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中小企业声明函（或残疾人福利性单位声明函或监狱企业声明函，残疾人福利性单位或监狱企业视同小微企业）（格式后附）；</w:t>
            </w:r>
          </w:p>
          <w:p w14:paraId="1235DF87">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投标人针对报价需要说明的其他文件和说明（格式自拟）。</w:t>
            </w:r>
          </w:p>
          <w:p w14:paraId="37CCE887">
            <w:pPr>
              <w:autoSpaceDE w:val="0"/>
              <w:autoSpaceDN w:val="0"/>
              <w:snapToGrid w:val="0"/>
              <w:spacing w:line="360" w:lineRule="auto"/>
              <w:textAlignment w:val="bottom"/>
              <w:rPr>
                <w:rFonts w:ascii="仿宋" w:hAnsi="仿宋" w:eastAsia="仿宋" w:cs="仿宋"/>
                <w:color w:val="auto"/>
                <w:highlight w:val="none"/>
              </w:rPr>
            </w:pPr>
            <w:r>
              <w:rPr>
                <w:rFonts w:hint="eastAsia" w:ascii="仿宋" w:hAnsi="仿宋" w:eastAsia="仿宋" w:cs="仿宋"/>
                <w:color w:val="auto"/>
                <w:sz w:val="24"/>
                <w:highlight w:val="none"/>
              </w:rPr>
              <w:t>注：投标函、开标一览表必须由法定代表人或者委托代理人在规定签章处逐一签字并加盖投标人公章，否则按无效投标处理。</w:t>
            </w:r>
          </w:p>
        </w:tc>
      </w:tr>
      <w:tr w14:paraId="390FE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0E46BC6C">
            <w:pPr>
              <w:spacing w:line="360" w:lineRule="auto"/>
              <w:rPr>
                <w:rFonts w:ascii="仿宋" w:hAnsi="仿宋" w:eastAsia="仿宋" w:cs="仿宋"/>
                <w:color w:val="auto"/>
                <w:sz w:val="24"/>
                <w:highlight w:val="none"/>
              </w:rPr>
            </w:pPr>
            <w:bookmarkStart w:id="48" w:name="_13.2"/>
            <w:bookmarkEnd w:id="48"/>
          </w:p>
        </w:tc>
        <w:tc>
          <w:tcPr>
            <w:tcW w:w="8708" w:type="dxa"/>
            <w:tcBorders>
              <w:top w:val="single" w:color="auto" w:sz="4" w:space="0"/>
              <w:left w:val="single" w:color="auto" w:sz="4" w:space="0"/>
              <w:bottom w:val="single" w:color="auto" w:sz="4" w:space="0"/>
              <w:right w:val="single" w:color="auto" w:sz="4" w:space="0"/>
            </w:tcBorders>
            <w:vAlign w:val="center"/>
          </w:tcPr>
          <w:p w14:paraId="4AB742DE">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资格证明文件：</w:t>
            </w:r>
          </w:p>
          <w:p w14:paraId="738D0AFF">
            <w:pPr>
              <w:autoSpaceDE w:val="0"/>
              <w:autoSpaceDN w:val="0"/>
              <w:snapToGrid w:val="0"/>
              <w:spacing w:line="360" w:lineRule="auto"/>
              <w:textAlignment w:val="bottom"/>
              <w:rPr>
                <w:rFonts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投标人为法人或者其他组织的，证明文件为其营业执照复印件（如营业执照或者事业单位法人证书或者执业许可证等）；投标人为自然人的，证明文件为其身份证复印件；</w:t>
            </w:r>
            <w:r>
              <w:rPr>
                <w:rFonts w:hint="eastAsia" w:ascii="仿宋" w:hAnsi="仿宋" w:eastAsia="仿宋" w:cs="仿宋"/>
                <w:b/>
                <w:color w:val="auto"/>
                <w:sz w:val="24"/>
                <w:highlight w:val="none"/>
              </w:rPr>
              <w:t>（必须提供，否则投标文件按无效投标处理）</w:t>
            </w:r>
          </w:p>
          <w:p w14:paraId="04EBDC5D">
            <w:pPr>
              <w:autoSpaceDE w:val="0"/>
              <w:autoSpaceDN w:val="0"/>
              <w:snapToGrid w:val="0"/>
              <w:spacing w:line="360" w:lineRule="auto"/>
              <w:textAlignment w:val="bottom"/>
              <w:rPr>
                <w:rFonts w:ascii="仿宋" w:hAnsi="仿宋" w:eastAsia="仿宋" w:cs="仿宋"/>
                <w:b/>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依法缴纳税收的相关材料（截至投标截止之日半年内连续三个月依法缴纳税收的凭据复印件；依法免税的供应商，必须提供相应文件证明其依法免税。从取得营业执照时间起到投标文件提交截止之日不足要求月数的，只需提供从取得营业执照时间起的依法缴纳税收相应证明文件）；</w:t>
            </w:r>
            <w:r>
              <w:rPr>
                <w:rFonts w:hint="eastAsia" w:ascii="仿宋" w:hAnsi="仿宋" w:eastAsia="仿宋" w:cs="仿宋"/>
                <w:b/>
                <w:color w:val="auto"/>
                <w:sz w:val="24"/>
                <w:highlight w:val="none"/>
              </w:rPr>
              <w:t>（必须提供，否则投标文件按无效投标处理）</w:t>
            </w:r>
          </w:p>
          <w:p w14:paraId="67719BB2">
            <w:pPr>
              <w:autoSpaceDE w:val="0"/>
              <w:autoSpaceDN w:val="0"/>
              <w:snapToGrid w:val="0"/>
              <w:spacing w:line="360" w:lineRule="auto"/>
              <w:textAlignment w:val="bottom"/>
              <w:rPr>
                <w:rFonts w:ascii="仿宋" w:hAnsi="仿宋" w:eastAsia="仿宋" w:cs="仿宋"/>
                <w:b/>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依法缴纳社会保障资金的相关材料[截至投标截止之日半年内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日不足要求月数的只需提供从取得营业执照时间起的依法缴纳社会保障资金的相应证明文件]；</w:t>
            </w:r>
            <w:r>
              <w:rPr>
                <w:rFonts w:hint="eastAsia" w:ascii="仿宋" w:hAnsi="仿宋" w:eastAsia="仿宋" w:cs="仿宋"/>
                <w:b/>
                <w:color w:val="auto"/>
                <w:sz w:val="24"/>
                <w:highlight w:val="none"/>
              </w:rPr>
              <w:t>（必须提供，否则投标文件按无效投标处理）</w:t>
            </w:r>
          </w:p>
          <w:p w14:paraId="0C6EF98C">
            <w:pPr>
              <w:autoSpaceDE w:val="0"/>
              <w:autoSpaceDN w:val="0"/>
              <w:snapToGrid w:val="0"/>
              <w:spacing w:line="360" w:lineRule="auto"/>
              <w:textAlignment w:val="bottom"/>
              <w:rPr>
                <w:rFonts w:ascii="仿宋" w:hAnsi="仿宋" w:eastAsia="仿宋" w:cs="仿宋"/>
                <w:b/>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财务状况报告（提供2023年或2024年财务状况报告复印件，或者银行出具的资信证明（资信证明应在有效期内，未注明有效期的，银行出具时间至投标截止之日不超过一年）；供应商成立不满一年的应按投标文件提交截止之日上一个月的财务状况报告复印件）；</w:t>
            </w:r>
            <w:r>
              <w:rPr>
                <w:rFonts w:hint="eastAsia" w:ascii="仿宋" w:hAnsi="仿宋" w:eastAsia="仿宋" w:cs="仿宋"/>
                <w:b/>
                <w:color w:val="auto"/>
                <w:sz w:val="24"/>
                <w:highlight w:val="none"/>
              </w:rPr>
              <w:t>（必须提供，否则投标文件按无效投标处理）</w:t>
            </w:r>
          </w:p>
          <w:p w14:paraId="18682955">
            <w:pPr>
              <w:autoSpaceDE w:val="0"/>
              <w:autoSpaceDN w:val="0"/>
              <w:snapToGrid w:val="0"/>
              <w:spacing w:line="360" w:lineRule="auto"/>
              <w:textAlignment w:val="bottom"/>
              <w:rPr>
                <w:rFonts w:ascii="仿宋" w:hAnsi="仿宋" w:eastAsia="仿宋" w:cs="仿宋"/>
                <w:b/>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投标人直接控股、管理关系信息表（格式后附）；</w:t>
            </w:r>
            <w:r>
              <w:rPr>
                <w:rFonts w:hint="eastAsia" w:ascii="仿宋" w:hAnsi="仿宋" w:eastAsia="仿宋" w:cs="仿宋"/>
                <w:b/>
                <w:color w:val="auto"/>
                <w:sz w:val="24"/>
                <w:highlight w:val="none"/>
              </w:rPr>
              <w:t>（必须提供，否则投标文件按无效投标处理）</w:t>
            </w:r>
          </w:p>
          <w:p w14:paraId="6F066191">
            <w:pPr>
              <w:autoSpaceDE w:val="0"/>
              <w:autoSpaceDN w:val="0"/>
              <w:snapToGrid w:val="0"/>
              <w:spacing w:line="360" w:lineRule="auto"/>
              <w:textAlignment w:val="bottom"/>
              <w:rPr>
                <w:rFonts w:ascii="仿宋" w:hAnsi="仿宋" w:eastAsia="仿宋" w:cs="仿宋"/>
                <w:b/>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投标声明（格式后附）；</w:t>
            </w:r>
            <w:r>
              <w:rPr>
                <w:rFonts w:hint="eastAsia" w:ascii="仿宋" w:hAnsi="仿宋" w:eastAsia="仿宋" w:cs="仿宋"/>
                <w:b/>
                <w:color w:val="auto"/>
                <w:sz w:val="24"/>
                <w:highlight w:val="none"/>
              </w:rPr>
              <w:t>（必须提供，否则投标文件按无效投标处理）</w:t>
            </w:r>
          </w:p>
          <w:p w14:paraId="62D9E0A6">
            <w:pPr>
              <w:autoSpaceDE w:val="0"/>
              <w:autoSpaceDN w:val="0"/>
              <w:snapToGrid w:val="0"/>
              <w:spacing w:line="360" w:lineRule="auto"/>
              <w:textAlignment w:val="bottom"/>
              <w:rPr>
                <w:rFonts w:ascii="仿宋" w:hAnsi="仿宋" w:eastAsia="仿宋" w:cs="仿宋"/>
                <w:b/>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联合体协议书（格式后附）；</w:t>
            </w:r>
            <w:r>
              <w:rPr>
                <w:rFonts w:hint="eastAsia" w:ascii="仿宋" w:hAnsi="仿宋" w:eastAsia="仿宋" w:cs="仿宋"/>
                <w:b/>
                <w:color w:val="auto"/>
                <w:sz w:val="24"/>
                <w:highlight w:val="none"/>
              </w:rPr>
              <w:t>（联合体投标时必须提供，否则投标文件按无效投标处理）</w:t>
            </w:r>
          </w:p>
          <w:p w14:paraId="5B8C2C93">
            <w:pPr>
              <w:autoSpaceDE w:val="0"/>
              <w:autoSpaceDN w:val="0"/>
              <w:snapToGrid w:val="0"/>
              <w:spacing w:line="360" w:lineRule="auto"/>
              <w:textAlignment w:val="bottom"/>
              <w:rPr>
                <w:rFonts w:ascii="仿宋" w:hAnsi="仿宋" w:eastAsia="仿宋" w:cs="仿宋"/>
                <w:b/>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公告中的特定资格要求及特定条件的资格证明材料；</w:t>
            </w:r>
            <w:r>
              <w:rPr>
                <w:rFonts w:hint="eastAsia" w:ascii="仿宋" w:hAnsi="仿宋" w:eastAsia="仿宋" w:cs="仿宋"/>
                <w:b/>
                <w:color w:val="auto"/>
                <w:sz w:val="24"/>
                <w:highlight w:val="none"/>
              </w:rPr>
              <w:t>（公告中如有则必须提供，否则投标文件按无效投标处理）</w:t>
            </w:r>
          </w:p>
          <w:p w14:paraId="2B96EF4D">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除招标文件规定必须提供以外，投标人认为需要提供的其他证明材料。</w:t>
            </w:r>
          </w:p>
          <w:p w14:paraId="58672607">
            <w:pPr>
              <w:snapToGrid w:val="0"/>
              <w:spacing w:line="360" w:lineRule="auto"/>
              <w:jc w:val="left"/>
              <w:rPr>
                <w:rFonts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以上标明“必须提供”的材料属于复印件的，必须加盖投标人公章，否则按无效投标处理。</w:t>
            </w:r>
          </w:p>
          <w:p w14:paraId="082AB835">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投标声明必须由法定代表人在规定签章处签字并加盖投标人公章，否则按无效投标处理。</w:t>
            </w:r>
          </w:p>
          <w:p w14:paraId="69E97EAD">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投标人直接控股、管理关系信息表必须由法定代表人或者委托代理人在规定签章处签字并加盖投标人公章，否则按无效投标处理。</w:t>
            </w:r>
          </w:p>
          <w:p w14:paraId="3DADA03E">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联合体投标时，以上第1-5项资格证明文件联合体各方均必须分别提供，联合体各方分别盖章，否则按无效投标处理。</w:t>
            </w:r>
          </w:p>
          <w:p w14:paraId="48E94BDB">
            <w:pPr>
              <w:snapToGrid w:val="0"/>
              <w:spacing w:line="360" w:lineRule="auto"/>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分公司参加投标的，应当取得总公司授权，否则按无效投标处理。</w:t>
            </w:r>
          </w:p>
        </w:tc>
      </w:tr>
      <w:tr w14:paraId="4CD38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2583FF6">
            <w:pPr>
              <w:spacing w:line="360" w:lineRule="auto"/>
              <w:rPr>
                <w:rFonts w:ascii="仿宋" w:hAnsi="仿宋" w:eastAsia="仿宋" w:cs="仿宋"/>
                <w:color w:val="auto"/>
                <w:sz w:val="24"/>
                <w:highlight w:val="none"/>
              </w:rPr>
            </w:pPr>
            <w:bookmarkStart w:id="49" w:name="_13.3"/>
            <w:bookmarkEnd w:id="49"/>
          </w:p>
        </w:tc>
        <w:tc>
          <w:tcPr>
            <w:tcW w:w="8708" w:type="dxa"/>
            <w:tcBorders>
              <w:top w:val="single" w:color="auto" w:sz="4" w:space="0"/>
              <w:left w:val="single" w:color="auto" w:sz="4" w:space="0"/>
              <w:bottom w:val="single" w:color="auto" w:sz="4" w:space="0"/>
              <w:right w:val="single" w:color="auto" w:sz="4" w:space="0"/>
            </w:tcBorders>
            <w:vAlign w:val="center"/>
          </w:tcPr>
          <w:p w14:paraId="7E9A8DB1">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商务文件：</w:t>
            </w:r>
          </w:p>
          <w:p w14:paraId="0A3AAA87">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投标人参加本项目无围标串标行为的承诺函（格式后附）；（</w:t>
            </w:r>
            <w:r>
              <w:rPr>
                <w:rFonts w:hint="eastAsia" w:ascii="仿宋" w:hAnsi="仿宋" w:eastAsia="仿宋" w:cs="仿宋"/>
                <w:b/>
                <w:color w:val="auto"/>
                <w:sz w:val="24"/>
                <w:highlight w:val="none"/>
              </w:rPr>
              <w:t>必须提供，否则投标文件按无效投标处理</w:t>
            </w:r>
            <w:r>
              <w:rPr>
                <w:rFonts w:hint="eastAsia" w:ascii="仿宋" w:hAnsi="仿宋" w:eastAsia="仿宋" w:cs="仿宋"/>
                <w:color w:val="auto"/>
                <w:sz w:val="24"/>
                <w:highlight w:val="none"/>
              </w:rPr>
              <w:t>）</w:t>
            </w:r>
          </w:p>
          <w:p w14:paraId="07ACADD3">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投标保证金提交凭证；（</w:t>
            </w:r>
            <w:r>
              <w:rPr>
                <w:rFonts w:hint="eastAsia" w:ascii="仿宋" w:hAnsi="仿宋" w:eastAsia="仿宋" w:cs="仿宋"/>
                <w:b/>
                <w:color w:val="auto"/>
                <w:sz w:val="24"/>
                <w:highlight w:val="none"/>
              </w:rPr>
              <w:t>必须提供，否则投标文件按无效投标处理</w:t>
            </w:r>
            <w:r>
              <w:rPr>
                <w:rFonts w:hint="eastAsia" w:ascii="仿宋" w:hAnsi="仿宋" w:eastAsia="仿宋" w:cs="仿宋"/>
                <w:color w:val="auto"/>
                <w:sz w:val="24"/>
                <w:highlight w:val="none"/>
              </w:rPr>
              <w:t>）</w:t>
            </w:r>
          </w:p>
          <w:p w14:paraId="069534A6">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法定代表人身份证明及法定代表人有效身份证正反面复印件（格式后附）；（</w:t>
            </w:r>
            <w:r>
              <w:rPr>
                <w:rFonts w:hint="eastAsia" w:ascii="仿宋" w:hAnsi="仿宋" w:eastAsia="仿宋" w:cs="仿宋"/>
                <w:b/>
                <w:bCs/>
                <w:color w:val="auto"/>
                <w:sz w:val="24"/>
                <w:highlight w:val="none"/>
              </w:rPr>
              <w:t>除自然人投标外</w:t>
            </w:r>
            <w:r>
              <w:rPr>
                <w:rFonts w:hint="eastAsia" w:ascii="仿宋" w:hAnsi="仿宋" w:eastAsia="仿宋" w:cs="仿宋"/>
                <w:b/>
                <w:color w:val="auto"/>
                <w:sz w:val="24"/>
                <w:highlight w:val="none"/>
              </w:rPr>
              <w:t>必须提供，否则投标文件按无效投标处理</w:t>
            </w:r>
            <w:r>
              <w:rPr>
                <w:rFonts w:hint="eastAsia" w:ascii="仿宋" w:hAnsi="仿宋" w:eastAsia="仿宋" w:cs="仿宋"/>
                <w:color w:val="auto"/>
                <w:sz w:val="24"/>
                <w:highlight w:val="none"/>
              </w:rPr>
              <w:t>）</w:t>
            </w:r>
          </w:p>
          <w:p w14:paraId="2511723D">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授权委托书及委托代理人有效身份证正反面复印件（格式后附）；（</w:t>
            </w:r>
            <w:r>
              <w:rPr>
                <w:rFonts w:hint="eastAsia" w:ascii="仿宋" w:hAnsi="仿宋" w:eastAsia="仿宋" w:cs="仿宋"/>
                <w:b/>
                <w:color w:val="auto"/>
                <w:sz w:val="24"/>
                <w:highlight w:val="none"/>
              </w:rPr>
              <w:t>委托时必须提供，否则投标文件按无效投标处理</w:t>
            </w:r>
            <w:r>
              <w:rPr>
                <w:rFonts w:hint="eastAsia" w:ascii="仿宋" w:hAnsi="仿宋" w:eastAsia="仿宋" w:cs="仿宋"/>
                <w:color w:val="auto"/>
                <w:sz w:val="24"/>
                <w:highlight w:val="none"/>
              </w:rPr>
              <w:t>）</w:t>
            </w:r>
          </w:p>
          <w:p w14:paraId="29584EE6">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商务要求偏离表（格式后附）；（</w:t>
            </w:r>
            <w:r>
              <w:rPr>
                <w:rFonts w:hint="eastAsia" w:ascii="仿宋" w:hAnsi="仿宋" w:eastAsia="仿宋" w:cs="仿宋"/>
                <w:b/>
                <w:color w:val="auto"/>
                <w:sz w:val="24"/>
                <w:highlight w:val="none"/>
              </w:rPr>
              <w:t>必须提供，否则投标文件按无效投标处理</w:t>
            </w:r>
            <w:r>
              <w:rPr>
                <w:rFonts w:hint="eastAsia" w:ascii="仿宋" w:hAnsi="仿宋" w:eastAsia="仿宋" w:cs="仿宋"/>
                <w:color w:val="auto"/>
                <w:sz w:val="24"/>
                <w:highlight w:val="none"/>
              </w:rPr>
              <w:t>）</w:t>
            </w:r>
          </w:p>
          <w:p w14:paraId="3BD7A4FF">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售后服务承诺（格式自拟）；（</w:t>
            </w:r>
            <w:r>
              <w:rPr>
                <w:rFonts w:hint="eastAsia" w:ascii="仿宋" w:hAnsi="仿宋" w:eastAsia="仿宋" w:cs="仿宋"/>
                <w:b/>
                <w:color w:val="auto"/>
                <w:sz w:val="24"/>
                <w:highlight w:val="none"/>
              </w:rPr>
              <w:t>必须提供，否则投标文件按无效投标处理</w:t>
            </w:r>
            <w:r>
              <w:rPr>
                <w:rFonts w:hint="eastAsia" w:ascii="仿宋" w:hAnsi="仿宋" w:eastAsia="仿宋" w:cs="仿宋"/>
                <w:color w:val="auto"/>
                <w:sz w:val="24"/>
                <w:highlight w:val="none"/>
              </w:rPr>
              <w:t>）</w:t>
            </w:r>
          </w:p>
          <w:p w14:paraId="5AE1A380">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投标人情况介绍（格式自拟）；</w:t>
            </w:r>
          </w:p>
          <w:p w14:paraId="1D4A4FAD">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联合体协议书（格式后附）；（</w:t>
            </w:r>
            <w:r>
              <w:rPr>
                <w:rFonts w:hint="eastAsia" w:ascii="仿宋" w:hAnsi="仿宋" w:eastAsia="仿宋" w:cs="仿宋"/>
                <w:b/>
                <w:color w:val="auto"/>
                <w:sz w:val="24"/>
                <w:highlight w:val="none"/>
              </w:rPr>
              <w:t>联合体投标时必须提供，否则投标文件按无效投标处理</w:t>
            </w:r>
            <w:r>
              <w:rPr>
                <w:rFonts w:hint="eastAsia" w:ascii="仿宋" w:hAnsi="仿宋" w:eastAsia="仿宋" w:cs="仿宋"/>
                <w:color w:val="auto"/>
                <w:sz w:val="24"/>
                <w:highlight w:val="none"/>
              </w:rPr>
              <w:t>）</w:t>
            </w:r>
          </w:p>
          <w:p w14:paraId="46DF6216">
            <w:pPr>
              <w:snapToGrid w:val="0"/>
              <w:spacing w:line="360" w:lineRule="auto"/>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除招标文件规定必须提供以外，投标人认为需要提供的其他证明材料（格式自拟）。（投标人根据“第二章 采购需求”及“第四章 评标方法及评标标准”提供有关证明材料）</w:t>
            </w:r>
          </w:p>
          <w:p w14:paraId="02C2AF5A">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01CDBC82">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法定代表人授权委托书必须由法定代表人及委托代理人签字，并加盖投标人公章，否则做无效投标处理。</w:t>
            </w:r>
          </w:p>
          <w:p w14:paraId="4CC56C2B">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以上标明“必须提供”的材料属于复印件的，必须加盖投标人公章，否则按无效投标处理。</w:t>
            </w:r>
          </w:p>
        </w:tc>
      </w:tr>
      <w:tr w14:paraId="07F41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2" w:hRule="atLeast"/>
          <w:jc w:val="center"/>
        </w:trPr>
        <w:tc>
          <w:tcPr>
            <w:tcW w:w="895" w:type="dxa"/>
            <w:vMerge w:val="continue"/>
            <w:tcBorders>
              <w:left w:val="single" w:color="auto" w:sz="4" w:space="0"/>
              <w:bottom w:val="single" w:color="auto" w:sz="4" w:space="0"/>
              <w:right w:val="single" w:color="auto" w:sz="4" w:space="0"/>
            </w:tcBorders>
            <w:vAlign w:val="center"/>
          </w:tcPr>
          <w:p w14:paraId="6ADAD3B4">
            <w:pPr>
              <w:spacing w:line="360" w:lineRule="auto"/>
              <w:rPr>
                <w:rFonts w:ascii="仿宋" w:hAnsi="仿宋" w:eastAsia="仿宋" w:cs="仿宋"/>
                <w:color w:val="auto"/>
                <w:sz w:val="24"/>
                <w:highlight w:val="none"/>
              </w:rPr>
            </w:pPr>
            <w:bookmarkStart w:id="50" w:name="_13.4"/>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67F8859E">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技术文件：</w:t>
            </w:r>
          </w:p>
          <w:p w14:paraId="442AE786">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设备性能配置清单（格式后附）；（</w:t>
            </w:r>
            <w:r>
              <w:rPr>
                <w:rFonts w:hint="eastAsia" w:ascii="仿宋" w:hAnsi="仿宋" w:eastAsia="仿宋" w:cs="仿宋"/>
                <w:b/>
                <w:color w:val="auto"/>
                <w:sz w:val="24"/>
                <w:highlight w:val="none"/>
              </w:rPr>
              <w:t>必须提供，否则投标文件按无效投标处理</w:t>
            </w:r>
            <w:r>
              <w:rPr>
                <w:rFonts w:hint="eastAsia" w:ascii="仿宋" w:hAnsi="仿宋" w:eastAsia="仿宋" w:cs="仿宋"/>
                <w:color w:val="auto"/>
                <w:sz w:val="24"/>
                <w:highlight w:val="none"/>
              </w:rPr>
              <w:t>）</w:t>
            </w:r>
          </w:p>
          <w:p w14:paraId="3D00D373">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技术要求偏离表（格式后附）；（</w:t>
            </w:r>
            <w:r>
              <w:rPr>
                <w:rFonts w:hint="eastAsia" w:ascii="仿宋" w:hAnsi="仿宋" w:eastAsia="仿宋" w:cs="仿宋"/>
                <w:b/>
                <w:color w:val="auto"/>
                <w:sz w:val="24"/>
                <w:highlight w:val="none"/>
              </w:rPr>
              <w:t>必须提供，否则投标文件按无效投标处理</w:t>
            </w:r>
            <w:r>
              <w:rPr>
                <w:rFonts w:hint="eastAsia" w:ascii="仿宋" w:hAnsi="仿宋" w:eastAsia="仿宋" w:cs="仿宋"/>
                <w:color w:val="auto"/>
                <w:sz w:val="24"/>
                <w:highlight w:val="none"/>
              </w:rPr>
              <w:t>）</w:t>
            </w:r>
          </w:p>
          <w:p w14:paraId="63BCBF76">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项目实施方案（格式自拟）[项目前期准备、项目实施计划（项目实施人员一览表（格式后附）技术服务、技术培训的内容和措施）]；</w:t>
            </w:r>
          </w:p>
          <w:p w14:paraId="5B0A0628">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对本项目系统总体要求的理解。包括：功能说明、性能指标及设备选型说明（质量、性能、价格、外观、体积等方面进行比较和选择的理由及过程，格式自拟）；</w:t>
            </w:r>
          </w:p>
          <w:p w14:paraId="2A9B02C6">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产品出厂标准、质量检测报告[其中有精度要求的仪器设备类政府采购项目，应当要求投标人提供精度数据（国家认可的有资质的第三方检测机构出具的检测报告复印件或者由采购人在投标前组织的实测获得）]；</w:t>
            </w:r>
          </w:p>
          <w:p w14:paraId="17C64265">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优惠条件：投标人承诺给予招标人的各种优惠条件，包括售后服务、备品备件、专用耗材等方面的优惠；投标人不得给予赠品或者与采购无关的其他商品、服务；</w:t>
            </w:r>
          </w:p>
          <w:p w14:paraId="2BEDD5B7">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投标人对本项目的合理化建议和改进措施（格式自拟）；</w:t>
            </w:r>
          </w:p>
          <w:p w14:paraId="5E2C89B9">
            <w:pPr>
              <w:snapToGrid w:val="0"/>
              <w:spacing w:line="360" w:lineRule="auto"/>
              <w:jc w:val="left"/>
              <w:rPr>
                <w:rFonts w:ascii="仿宋" w:hAnsi="仿宋" w:eastAsia="仿宋" w:cs="仿宋"/>
                <w:bCs/>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除招标文件规定必须提供以外，投标人需要说明的其他文件和说明（格式自拟）。</w:t>
            </w:r>
          </w:p>
          <w:p w14:paraId="6DAC598B">
            <w:pPr>
              <w:snapToGrid w:val="0"/>
              <w:spacing w:line="360" w:lineRule="auto"/>
              <w:jc w:val="left"/>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：以上标明“必须提供”的材料属于复印件的，必须加盖投标人公章，否则按无效投标</w:t>
            </w:r>
            <w:r>
              <w:rPr>
                <w:rFonts w:hint="eastAsia" w:ascii="仿宋" w:hAnsi="仿宋" w:eastAsia="仿宋" w:cs="仿宋"/>
                <w:color w:val="auto"/>
                <w:sz w:val="24"/>
                <w:highlight w:val="none"/>
              </w:rPr>
              <w:t>处理</w:t>
            </w:r>
            <w:r>
              <w:rPr>
                <w:rFonts w:hint="eastAsia" w:ascii="仿宋" w:hAnsi="仿宋" w:eastAsia="仿宋" w:cs="仿宋"/>
                <w:bCs/>
                <w:color w:val="auto"/>
                <w:sz w:val="24"/>
                <w:highlight w:val="none"/>
              </w:rPr>
              <w:t>。</w:t>
            </w:r>
          </w:p>
        </w:tc>
      </w:tr>
      <w:tr w14:paraId="2D85D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99AD01C">
            <w:pPr>
              <w:spacing w:line="360" w:lineRule="auto"/>
              <w:jc w:val="center"/>
              <w:rPr>
                <w:rFonts w:ascii="仿宋" w:hAnsi="仿宋" w:eastAsia="仿宋" w:cs="仿宋"/>
                <w:color w:val="auto"/>
                <w:sz w:val="24"/>
                <w:highlight w:val="none"/>
              </w:rPr>
            </w:pPr>
            <w:bookmarkStart w:id="51" w:name="_16.2"/>
            <w:bookmarkEnd w:id="51"/>
            <w:bookmarkStart w:id="52" w:name="_13.5"/>
            <w:bookmarkEnd w:id="52"/>
            <w:r>
              <w:rPr>
                <w:rFonts w:hint="eastAsia" w:ascii="仿宋" w:hAnsi="仿宋" w:eastAsia="仿宋" w:cs="仿宋"/>
                <w:color w:val="auto"/>
                <w:sz w:val="24"/>
                <w:highlight w:val="none"/>
              </w:rPr>
              <w:t>16</w:t>
            </w:r>
            <w:bookmarkStart w:id="53" w:name="_Hlt19194067"/>
            <w:bookmarkStart w:id="54" w:name="_Hlt19693758"/>
            <w:bookmarkStart w:id="55" w:name="_Hlt19693759"/>
            <w:bookmarkStart w:id="56" w:name="_Hlt19194066"/>
            <w:r>
              <w:rPr>
                <w:rFonts w:hint="eastAsia" w:ascii="仿宋" w:hAnsi="仿宋" w:eastAsia="仿宋" w:cs="仿宋"/>
                <w:color w:val="auto"/>
                <w:sz w:val="24"/>
                <w:highlight w:val="none"/>
              </w:rPr>
              <w:t>.</w:t>
            </w:r>
            <w:bookmarkEnd w:id="53"/>
            <w:bookmarkEnd w:id="54"/>
            <w:bookmarkEnd w:id="55"/>
            <w:bookmarkEnd w:id="56"/>
            <w:r>
              <w:rPr>
                <w:rFonts w:hint="eastAsia" w:ascii="仿宋" w:hAnsi="仿宋" w:eastAsia="仿宋" w:cs="仿宋"/>
                <w:color w:val="auto"/>
                <w:sz w:val="24"/>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032E97E5">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投标报价是履行合同的最终价格，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采购需求另有约定的，按其约定）</w:t>
            </w:r>
          </w:p>
        </w:tc>
      </w:tr>
      <w:tr w14:paraId="5AEB1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2B78240">
            <w:pPr>
              <w:spacing w:line="360" w:lineRule="auto"/>
              <w:jc w:val="center"/>
              <w:rPr>
                <w:rFonts w:ascii="仿宋" w:hAnsi="仿宋" w:eastAsia="仿宋" w:cs="仿宋"/>
                <w:color w:val="auto"/>
                <w:sz w:val="24"/>
                <w:highlight w:val="none"/>
              </w:rPr>
            </w:pPr>
            <w:bookmarkStart w:id="57" w:name="_17.1"/>
            <w:bookmarkEnd w:id="57"/>
            <w:r>
              <w:rPr>
                <w:rFonts w:hint="eastAsia" w:ascii="仿宋" w:hAnsi="仿宋" w:eastAsia="仿宋" w:cs="仿宋"/>
                <w:color w:val="auto"/>
                <w:sz w:val="24"/>
                <w:highlight w:val="none"/>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550C7B8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投标有效期：投标截止之日起60天内。</w:t>
            </w:r>
          </w:p>
        </w:tc>
      </w:tr>
      <w:tr w14:paraId="64CD2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7974B5E">
            <w:pPr>
              <w:spacing w:line="360" w:lineRule="auto"/>
              <w:jc w:val="center"/>
              <w:rPr>
                <w:rFonts w:ascii="仿宋" w:hAnsi="仿宋" w:eastAsia="仿宋" w:cs="仿宋"/>
                <w:color w:val="auto"/>
                <w:sz w:val="24"/>
                <w:highlight w:val="none"/>
              </w:rPr>
            </w:pPr>
            <w:bookmarkStart w:id="58" w:name="_18"/>
            <w:bookmarkEnd w:id="58"/>
            <w:r>
              <w:rPr>
                <w:rFonts w:hint="eastAsia" w:ascii="仿宋" w:hAnsi="仿宋" w:eastAsia="仿宋" w:cs="仿宋"/>
                <w:color w:val="auto"/>
                <w:sz w:val="24"/>
                <w:highlight w:val="none"/>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52331297">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本项目不收取投标保证金。</w:t>
            </w:r>
          </w:p>
          <w:p w14:paraId="0C5D029A">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本项目收取投标保证金。</w:t>
            </w:r>
          </w:p>
          <w:p w14:paraId="673975F4">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1.投标保证金：1分标¥26000.00；2分标¥25000.00；3分标¥30000.00。</w:t>
            </w:r>
          </w:p>
          <w:p w14:paraId="226F11B2">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2.保证金专用银行账号：</w:t>
            </w:r>
          </w:p>
          <w:p w14:paraId="1A069D67">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开户名称：广西科文招标有限公司</w:t>
            </w:r>
          </w:p>
          <w:p w14:paraId="0AD133B1">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开户银行：广西北部湾银行南宁分行</w:t>
            </w:r>
          </w:p>
          <w:p w14:paraId="16B8B46B">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银行账号：0101012090615689</w:t>
            </w:r>
          </w:p>
          <w:p w14:paraId="46EE194E">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3.投标保证金的交纳方式：银行转账、支票、汇票、本票或者金融、担保机构出具的保函，禁止采用现钞方式。采用银行转账方式的，在投标截止时间前交至指定账户并且到账。采用支票、汇票、本票或者保函等方式的，在投标截止时间前，投标人必须递交支票、汇票、本票或者保函原件到采购代理机构。否则视为无效投标保证金。</w:t>
            </w:r>
          </w:p>
          <w:p w14:paraId="374D942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4.相关要求：</w:t>
            </w:r>
          </w:p>
          <w:p w14:paraId="3639C608">
            <w:pPr>
              <w:pStyle w:val="17"/>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（1）投标保证金采用银行转账交纳方式的，在投标截止时间前交至指定账户并且到账，投标人应将银行转账底单的复印件作为投标保证金提交凭证，放置于商务文件中，否则投标无效。</w:t>
            </w:r>
          </w:p>
          <w:p w14:paraId="616EF247">
            <w:pPr>
              <w:pStyle w:val="17"/>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785171A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（3）投标人为联合体的，可以由联合体中的一方或者多方共同交纳投标保证金，其交纳的保证金对联合体各方均具有约束力。</w:t>
            </w:r>
          </w:p>
          <w:p w14:paraId="6782B231">
            <w:pPr>
              <w:snapToGrid w:val="0"/>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【备注】</w:t>
            </w:r>
            <w:r>
              <w:rPr>
                <w:rFonts w:hint="eastAsia" w:ascii="仿宋" w:hAnsi="仿宋" w:eastAsia="仿宋" w:cs="仿宋"/>
                <w:bCs/>
                <w:color w:val="auto"/>
                <w:sz w:val="24"/>
                <w:highlight w:val="none"/>
              </w:rPr>
              <w:t xml:space="preserve"> </w:t>
            </w:r>
          </w:p>
          <w:p w14:paraId="1BFAF26C">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1.投标保证金在投标截止时间后提交的，或者不按规定交纳方式交纳的，或者未足额交纳的（包含保函额度不足的），视为无效投标保证金。</w:t>
            </w:r>
          </w:p>
          <w:p w14:paraId="0532CCF0">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2.投标人采用现钞方式或者从个人账户（自然人投标除外）转出的投标保证金，视为无效投标保证金。</w:t>
            </w:r>
          </w:p>
          <w:p w14:paraId="08ECD368">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3.支票、汇票或者本票出现无效或者背书情形的，视为无效投标保证金。</w:t>
            </w:r>
          </w:p>
          <w:p w14:paraId="0076E373">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4.保函有效期低于投标有效期的，视为无效投标保证金。</w:t>
            </w:r>
          </w:p>
          <w:p w14:paraId="6C005BC3">
            <w:pPr>
              <w:snapToGrid w:val="0"/>
              <w:spacing w:line="360" w:lineRule="auto"/>
              <w:rPr>
                <w:rFonts w:ascii="仿宋" w:hAnsi="仿宋" w:eastAsia="仿宋" w:cs="仿宋"/>
                <w:color w:val="auto"/>
                <w:highlight w:val="none"/>
              </w:rPr>
            </w:pPr>
            <w:r>
              <w:rPr>
                <w:rFonts w:hint="eastAsia" w:ascii="仿宋" w:hAnsi="仿宋" w:eastAsia="仿宋" w:cs="仿宋"/>
                <w:bCs/>
                <w:color w:val="auto"/>
                <w:sz w:val="24"/>
                <w:highlight w:val="none"/>
              </w:rPr>
              <w:t>5.采用银行、保险机构出具保函的，必须为无条件保函，否则视为无效投标保证金。</w:t>
            </w:r>
          </w:p>
        </w:tc>
      </w:tr>
      <w:tr w14:paraId="2CD1D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E9FF5C2">
            <w:pPr>
              <w:spacing w:line="360" w:lineRule="auto"/>
              <w:jc w:val="center"/>
              <w:rPr>
                <w:rFonts w:ascii="仿宋" w:hAnsi="仿宋" w:eastAsia="仿宋" w:cs="仿宋"/>
                <w:color w:val="auto"/>
                <w:sz w:val="24"/>
                <w:highlight w:val="none"/>
              </w:rPr>
            </w:pPr>
            <w:bookmarkStart w:id="59" w:name="_19.2"/>
            <w:bookmarkEnd w:id="59"/>
            <w:r>
              <w:rPr>
                <w:rFonts w:hint="eastAsia" w:ascii="仿宋" w:hAnsi="仿宋" w:eastAsia="仿宋" w:cs="仿宋"/>
                <w:color w:val="auto"/>
                <w:sz w:val="24"/>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49A3D291">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投标文件应按报价文件、资格证明文件、商务文件、技术文件分别编制，</w:t>
            </w:r>
            <w:r>
              <w:rPr>
                <w:rFonts w:hint="eastAsia" w:ascii="仿宋" w:hAnsi="仿宋" w:eastAsia="仿宋" w:cs="仿宋"/>
                <w:color w:val="auto"/>
                <w:sz w:val="24"/>
                <w:highlight w:val="none"/>
                <w:lang w:bidi="ar"/>
              </w:rPr>
              <w:t>并按广西政府采购云平台的要求编制、加密、上传。（注：按照本招标文件“第六章 投标文件格式”编写，第六章未附格式的，由投标人自行拟定。）</w:t>
            </w:r>
          </w:p>
        </w:tc>
      </w:tr>
      <w:tr w14:paraId="5FF84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9FC038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241F4DCC">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电子投标文件制作完成后，投标人应按广西政府采购云平台的要求进行加密，并在规定时间内解密，否则，由此产生的后果由投标人自行负责。</w:t>
            </w:r>
          </w:p>
        </w:tc>
      </w:tr>
      <w:tr w14:paraId="6F427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3D8D76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20.2</w:t>
            </w:r>
          </w:p>
        </w:tc>
        <w:tc>
          <w:tcPr>
            <w:tcW w:w="8708" w:type="dxa"/>
            <w:tcBorders>
              <w:top w:val="single" w:color="auto" w:sz="4" w:space="0"/>
              <w:left w:val="single" w:color="auto" w:sz="4" w:space="0"/>
              <w:bottom w:val="single" w:color="auto" w:sz="4" w:space="0"/>
              <w:right w:val="single" w:color="auto" w:sz="4" w:space="0"/>
            </w:tcBorders>
            <w:vAlign w:val="center"/>
          </w:tcPr>
          <w:p w14:paraId="40CC0E0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本项目不接受电子备份投标文件。</w:t>
            </w:r>
          </w:p>
        </w:tc>
      </w:tr>
      <w:tr w14:paraId="574A6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4FBE68A">
            <w:pPr>
              <w:spacing w:line="360" w:lineRule="auto"/>
              <w:jc w:val="center"/>
              <w:rPr>
                <w:rFonts w:ascii="仿宋" w:hAnsi="仿宋" w:eastAsia="仿宋" w:cs="仿宋"/>
                <w:color w:val="auto"/>
                <w:sz w:val="24"/>
                <w:highlight w:val="none"/>
              </w:rPr>
            </w:pPr>
            <w:bookmarkStart w:id="60" w:name="_21.1"/>
            <w:bookmarkEnd w:id="60"/>
            <w:r>
              <w:rPr>
                <w:rFonts w:hint="eastAsia" w:ascii="仿宋" w:hAnsi="仿宋" w:eastAsia="仿宋" w:cs="仿宋"/>
                <w:color w:val="auto"/>
                <w:sz w:val="24"/>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2EC82782">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投标截止时间：详见招标公告。</w:t>
            </w:r>
          </w:p>
          <w:p w14:paraId="4FA064D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投标地点：详见招标公告。</w:t>
            </w:r>
          </w:p>
        </w:tc>
      </w:tr>
      <w:tr w14:paraId="268C2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D3C80E9">
            <w:pPr>
              <w:spacing w:line="360" w:lineRule="auto"/>
              <w:jc w:val="center"/>
              <w:rPr>
                <w:rFonts w:ascii="仿宋" w:hAnsi="仿宋" w:eastAsia="仿宋" w:cs="仿宋"/>
                <w:color w:val="auto"/>
                <w:sz w:val="24"/>
                <w:highlight w:val="none"/>
              </w:rPr>
            </w:pPr>
            <w:bookmarkStart w:id="61" w:name="_23"/>
            <w:bookmarkEnd w:id="61"/>
            <w:r>
              <w:rPr>
                <w:rFonts w:hint="eastAsia" w:ascii="仿宋" w:hAnsi="仿宋" w:eastAsia="仿宋" w:cs="仿宋"/>
                <w:color w:val="auto"/>
                <w:sz w:val="24"/>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752A4A5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开标时间：详见招标公告。</w:t>
            </w:r>
          </w:p>
          <w:p w14:paraId="727250A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开标地点：详见招标公告。</w:t>
            </w:r>
          </w:p>
        </w:tc>
      </w:tr>
      <w:tr w14:paraId="657F3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8F5E1E9">
            <w:pPr>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3BE89A96">
            <w:pPr>
              <w:autoSpaceDE w:val="0"/>
              <w:autoSpaceDN w:val="0"/>
              <w:adjustRightIn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cs="仿宋"/>
                <w:b/>
                <w:bCs/>
                <w:color w:val="auto"/>
                <w:sz w:val="24"/>
                <w:highlight w:val="none"/>
              </w:rPr>
              <w:t>投标人的法定代表人或其委托代理人须携带加密时所用的CA锁准时登录到广西政府采购云平台电子开标大厅签到</w:t>
            </w:r>
            <w:r>
              <w:rPr>
                <w:rFonts w:hint="eastAsia" w:ascii="仿宋" w:hAnsi="仿宋" w:eastAsia="仿宋" w:cs="仿宋"/>
                <w:b/>
                <w:color w:val="auto"/>
                <w:sz w:val="24"/>
                <w:highlight w:val="none"/>
              </w:rPr>
              <w:t>并在发起解密</w:t>
            </w:r>
            <w:r>
              <w:rPr>
                <w:rFonts w:hint="eastAsia" w:ascii="仿宋" w:hAnsi="仿宋" w:eastAsia="仿宋" w:cs="仿宋"/>
                <w:b/>
                <w:bCs/>
                <w:color w:val="auto"/>
                <w:sz w:val="24"/>
                <w:highlight w:val="none"/>
              </w:rPr>
              <w:t>通知</w:t>
            </w:r>
            <w:r>
              <w:rPr>
                <w:rFonts w:hint="eastAsia" w:ascii="仿宋" w:hAnsi="仿宋" w:eastAsia="仿宋" w:cs="仿宋"/>
                <w:b/>
                <w:color w:val="auto"/>
                <w:sz w:val="24"/>
                <w:highlight w:val="none"/>
              </w:rPr>
              <w:t>之时起30分钟内完成</w:t>
            </w:r>
            <w:r>
              <w:rPr>
                <w:rFonts w:hint="eastAsia" w:ascii="仿宋" w:hAnsi="仿宋" w:eastAsia="仿宋" w:cs="仿宋"/>
                <w:b/>
                <w:bCs/>
                <w:color w:val="auto"/>
                <w:sz w:val="24"/>
                <w:highlight w:val="none"/>
              </w:rPr>
              <w:t>对电子投标文件解密。投标文件未按时解密的，视为无效投标。</w:t>
            </w:r>
          </w:p>
        </w:tc>
      </w:tr>
      <w:tr w14:paraId="1A46D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A3549B">
            <w:pPr>
              <w:spacing w:line="360" w:lineRule="auto"/>
              <w:jc w:val="center"/>
              <w:rPr>
                <w:rFonts w:ascii="仿宋" w:hAnsi="仿宋" w:eastAsia="仿宋" w:cs="仿宋"/>
                <w:color w:val="auto"/>
                <w:sz w:val="24"/>
                <w:highlight w:val="none"/>
              </w:rPr>
            </w:pPr>
            <w:bookmarkStart w:id="62" w:name="_25.3"/>
            <w:bookmarkEnd w:id="62"/>
            <w:r>
              <w:rPr>
                <w:rFonts w:hint="eastAsia" w:ascii="仿宋" w:hAnsi="仿宋" w:eastAsia="仿宋" w:cs="仿宋"/>
                <w:color w:val="auto"/>
                <w:sz w:val="24"/>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00F196F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采购人或者采购代理机构在资格审查结束前，对投标人进行信用查询。</w:t>
            </w:r>
          </w:p>
          <w:p w14:paraId="4F38BD8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55"/>
                <w:rFonts w:hint="eastAsia" w:ascii="仿宋" w:hAnsi="仿宋" w:eastAsia="仿宋" w:cs="仿宋"/>
                <w:color w:val="auto"/>
                <w:sz w:val="24"/>
                <w:highlight w:val="none"/>
              </w:rPr>
              <w:t>www.ccgp.gov.cn</w:t>
            </w:r>
            <w:r>
              <w:rPr>
                <w:rStyle w:val="55"/>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4ECC727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信用查询截止时点：资格审查结束前。</w:t>
            </w:r>
          </w:p>
          <w:p w14:paraId="144FEC9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查询记录和证据留存方式：将查询网站中的查询记录截图并作为评审资料保存。</w:t>
            </w:r>
          </w:p>
          <w:p w14:paraId="59332607">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信用信息使用规则：根据财政部《关于在政府采购活动中查询及使用信用记录有关问题的通知》（财库〔2016〕125号）的规定，</w:t>
            </w:r>
            <w:r>
              <w:rPr>
                <w:rFonts w:hint="eastAsia" w:ascii="仿宋" w:hAnsi="仿宋" w:eastAsia="仿宋" w:cs="仿宋"/>
                <w:color w:val="auto"/>
                <w:sz w:val="24"/>
                <w:highlight w:val="none"/>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CE12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A17B083">
            <w:pPr>
              <w:spacing w:line="360" w:lineRule="auto"/>
              <w:jc w:val="center"/>
              <w:rPr>
                <w:rFonts w:ascii="仿宋" w:hAnsi="仿宋" w:eastAsia="仿宋" w:cs="仿宋"/>
                <w:color w:val="auto"/>
                <w:sz w:val="24"/>
                <w:highlight w:val="none"/>
              </w:rPr>
            </w:pPr>
            <w:bookmarkStart w:id="63" w:name="_26"/>
            <w:bookmarkEnd w:id="63"/>
            <w:r>
              <w:rPr>
                <w:rFonts w:hint="eastAsia" w:ascii="仿宋" w:hAnsi="仿宋" w:eastAsia="仿宋" w:cs="仿宋"/>
                <w:color w:val="auto"/>
                <w:sz w:val="24"/>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69DB4B35">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评标委员会的人数：5人或以上单数。（采购项目符合下列情形之一的，评标委员会成员人数应当为7人以上单数：1.采购预算金额在1000万元以上；2.技术复杂；3.社会影响较大。）</w:t>
            </w:r>
          </w:p>
        </w:tc>
      </w:tr>
      <w:tr w14:paraId="04D80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4383F43">
            <w:pPr>
              <w:spacing w:line="360" w:lineRule="auto"/>
              <w:jc w:val="center"/>
              <w:rPr>
                <w:rFonts w:ascii="仿宋" w:hAnsi="仿宋" w:eastAsia="仿宋" w:cs="仿宋"/>
                <w:color w:val="auto"/>
                <w:sz w:val="24"/>
                <w:highlight w:val="none"/>
              </w:rPr>
            </w:pPr>
            <w:bookmarkStart w:id="64" w:name="_28.3"/>
            <w:bookmarkEnd w:id="64"/>
            <w:r>
              <w:rPr>
                <w:rFonts w:hint="eastAsia" w:ascii="仿宋" w:hAnsi="仿宋" w:eastAsia="仿宋" w:cs="仿宋"/>
                <w:color w:val="auto"/>
                <w:sz w:val="24"/>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7CDF8D8E">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评标方法：</w:t>
            </w:r>
          </w:p>
          <w:p w14:paraId="274684D6">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综合评分法</w:t>
            </w:r>
          </w:p>
          <w:p w14:paraId="5762D025">
            <w:pPr>
              <w:autoSpaceDE w:val="0"/>
              <w:autoSpaceDN w:val="0"/>
              <w:snapToGrid w:val="0"/>
              <w:spacing w:line="360" w:lineRule="auto"/>
              <w:textAlignment w:val="bottom"/>
              <w:rPr>
                <w:rFonts w:ascii="仿宋" w:hAnsi="仿宋" w:eastAsia="仿宋" w:cs="仿宋"/>
                <w:color w:val="auto"/>
                <w:highlight w:val="none"/>
              </w:rPr>
            </w:pPr>
            <w:r>
              <w:rPr>
                <w:rFonts w:hint="eastAsia" w:ascii="仿宋" w:hAnsi="仿宋" w:eastAsia="仿宋" w:cs="仿宋"/>
                <w:color w:val="auto"/>
                <w:sz w:val="24"/>
                <w:highlight w:val="none"/>
              </w:rPr>
              <w:t>□最低评标价法</w:t>
            </w:r>
          </w:p>
        </w:tc>
      </w:tr>
      <w:tr w14:paraId="6A128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6E08E462">
            <w:pPr>
              <w:spacing w:line="360" w:lineRule="auto"/>
              <w:jc w:val="center"/>
              <w:rPr>
                <w:rFonts w:ascii="仿宋" w:hAnsi="仿宋" w:eastAsia="仿宋" w:cs="仿宋"/>
                <w:color w:val="auto"/>
                <w:sz w:val="24"/>
                <w:highlight w:val="none"/>
              </w:rPr>
            </w:pPr>
            <w:bookmarkStart w:id="65" w:name="_29.2.2（2）"/>
            <w:bookmarkEnd w:id="65"/>
            <w:r>
              <w:rPr>
                <w:rFonts w:hint="eastAsia" w:ascii="仿宋" w:hAnsi="仿宋" w:eastAsia="仿宋" w:cs="仿宋"/>
                <w:color w:val="auto"/>
                <w:sz w:val="24"/>
                <w:highlight w:val="none"/>
              </w:rPr>
              <w:t>29.2</w:t>
            </w:r>
          </w:p>
        </w:tc>
        <w:tc>
          <w:tcPr>
            <w:tcW w:w="8708" w:type="dxa"/>
            <w:tcBorders>
              <w:top w:val="single" w:color="auto" w:sz="4" w:space="0"/>
              <w:left w:val="single" w:color="auto" w:sz="4" w:space="0"/>
              <w:right w:val="single" w:color="auto" w:sz="4" w:space="0"/>
            </w:tcBorders>
            <w:vAlign w:val="center"/>
          </w:tcPr>
          <w:p w14:paraId="662E77B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每个分标商务要求评审中允许负偏离的条款数为</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项。</w:t>
            </w:r>
          </w:p>
          <w:p w14:paraId="1FB47C5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每个分标技术要求评审中允许负偏离的非实质性条款数为</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项。</w:t>
            </w:r>
          </w:p>
        </w:tc>
      </w:tr>
      <w:tr w14:paraId="7AEB2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63DA4DFA">
            <w:pPr>
              <w:spacing w:line="360" w:lineRule="auto"/>
              <w:jc w:val="center"/>
              <w:rPr>
                <w:rFonts w:ascii="仿宋" w:hAnsi="仿宋" w:eastAsia="仿宋" w:cs="仿宋"/>
                <w:color w:val="auto"/>
                <w:sz w:val="24"/>
                <w:highlight w:val="none"/>
              </w:rPr>
            </w:pPr>
          </w:p>
        </w:tc>
        <w:tc>
          <w:tcPr>
            <w:tcW w:w="8708" w:type="dxa"/>
            <w:tcBorders>
              <w:top w:val="single" w:color="auto" w:sz="4" w:space="0"/>
              <w:left w:val="single" w:color="auto" w:sz="4" w:space="0"/>
              <w:right w:val="single" w:color="auto" w:sz="4" w:space="0"/>
            </w:tcBorders>
            <w:vAlign w:val="center"/>
          </w:tcPr>
          <w:p w14:paraId="48EE5978">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中标候选人推荐数量：3家</w:t>
            </w:r>
          </w:p>
        </w:tc>
      </w:tr>
      <w:tr w14:paraId="21A2E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B6E6E7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4691CEAF">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1.采用综合评分法的采购项目，采购人确定中标人时，出现中标候选人并列的情形，采购人按以下的方式确定中标人：</w:t>
            </w:r>
          </w:p>
          <w:p w14:paraId="62B2F387">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依次按投标报价低的优先、政策分得分高的优先、技术评分高的优先、商务评分高的优先、质量保证期长优先、交货期短优先、故障响应时间短优先的顺序确定。</w:t>
            </w:r>
          </w:p>
          <w:p w14:paraId="063567B9">
            <w:pPr>
              <w:spacing w:line="500" w:lineRule="exact"/>
              <w:contextualSpacing/>
              <w:rPr>
                <w:rFonts w:ascii="仿宋" w:hAnsi="仿宋" w:eastAsia="仿宋" w:cs="仿宋"/>
                <w:color w:val="auto"/>
                <w:sz w:val="24"/>
                <w:highlight w:val="none"/>
              </w:rPr>
            </w:pPr>
            <w:r>
              <w:rPr>
                <w:rFonts w:hint="eastAsia" w:ascii="仿宋" w:hAnsi="仿宋" w:eastAsia="仿宋" w:cs="仿宋"/>
                <w:iCs/>
                <w:color w:val="auto"/>
                <w:sz w:val="24"/>
                <w:highlight w:val="none"/>
              </w:rPr>
              <w:t>2.采用最低评标价法的采购项目，</w:t>
            </w:r>
            <w:r>
              <w:rPr>
                <w:rFonts w:hint="eastAsia" w:ascii="仿宋" w:hAnsi="仿宋" w:eastAsia="仿宋" w:cs="仿宋"/>
                <w:color w:val="auto"/>
                <w:sz w:val="24"/>
                <w:highlight w:val="none"/>
              </w:rPr>
              <w:t>评标价相同时，按以下原则确定中标候选人的顺序：</w:t>
            </w:r>
          </w:p>
          <w:p w14:paraId="49D8EA57">
            <w:pPr>
              <w:autoSpaceDE w:val="0"/>
              <w:autoSpaceDN w:val="0"/>
              <w:snapToGrid w:val="0"/>
              <w:spacing w:line="360" w:lineRule="auto"/>
              <w:textAlignment w:val="bottom"/>
              <w:rPr>
                <w:rFonts w:ascii="仿宋" w:hAnsi="仿宋" w:eastAsia="仿宋" w:cs="仿宋"/>
                <w:color w:val="auto"/>
                <w:highlight w:val="none"/>
              </w:rPr>
            </w:pPr>
            <w:r>
              <w:rPr>
                <w:rFonts w:hint="eastAsia" w:ascii="仿宋" w:hAnsi="仿宋" w:eastAsia="仿宋" w:cs="仿宋"/>
                <w:color w:val="auto"/>
                <w:sz w:val="24"/>
                <w:highlight w:val="none"/>
              </w:rPr>
              <w:t>依次按带“▲”的实质性要求正偏离项数多的优先、均无正偏离或者正偏离项数一致时负偏离项数少的优先、质量保证期长优先、交货期短优先、故障响应时间短优先、节能环保产品累计金额多的优先的顺序排列。</w:t>
            </w:r>
          </w:p>
        </w:tc>
      </w:tr>
      <w:tr w14:paraId="45AB7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160170E">
            <w:pPr>
              <w:spacing w:line="360" w:lineRule="auto"/>
              <w:jc w:val="center"/>
              <w:rPr>
                <w:rFonts w:ascii="仿宋" w:hAnsi="仿宋" w:eastAsia="仿宋" w:cs="仿宋"/>
                <w:color w:val="auto"/>
                <w:sz w:val="24"/>
                <w:highlight w:val="none"/>
              </w:rPr>
            </w:pPr>
            <w:bookmarkStart w:id="66" w:name="_39.1"/>
            <w:bookmarkEnd w:id="66"/>
            <w:r>
              <w:rPr>
                <w:rFonts w:hint="eastAsia" w:ascii="仿宋" w:hAnsi="仿宋" w:eastAsia="仿宋" w:cs="仿宋"/>
                <w:color w:val="auto"/>
                <w:sz w:val="24"/>
                <w:highlight w:val="none"/>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5E612C81">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本项目不收取履约保证金。</w:t>
            </w:r>
          </w:p>
          <w:p w14:paraId="50F54873">
            <w:pPr>
              <w:pStyle w:val="17"/>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本项目收取履约保证金：详见商务条款。</w:t>
            </w:r>
          </w:p>
          <w:p w14:paraId="6CE9452F">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履约保证金递交方式：详见商务条款。</w:t>
            </w:r>
          </w:p>
          <w:p w14:paraId="4C0FFB02">
            <w:pPr>
              <w:autoSpaceDE w:val="0"/>
              <w:autoSpaceDN w:val="0"/>
              <w:snapToGrid w:val="0"/>
              <w:spacing w:line="360" w:lineRule="auto"/>
              <w:textAlignment w:val="bottom"/>
              <w:rPr>
                <w:rFonts w:ascii="仿宋" w:hAnsi="仿宋" w:eastAsia="仿宋" w:cs="仿宋"/>
                <w:color w:val="auto"/>
                <w:sz w:val="24"/>
                <w:highlight w:val="none"/>
                <w:u w:val="single"/>
              </w:rPr>
            </w:pPr>
            <w:r>
              <w:rPr>
                <w:rFonts w:hint="eastAsia" w:ascii="仿宋" w:hAnsi="仿宋" w:eastAsia="仿宋" w:cs="仿宋"/>
                <w:color w:val="auto"/>
                <w:sz w:val="24"/>
                <w:highlight w:val="none"/>
              </w:rPr>
              <w:t>履约保证金退付方式、时间及条件详见商务条款。</w:t>
            </w:r>
          </w:p>
          <w:p w14:paraId="1C1D5AF7">
            <w:pPr>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w:t>
            </w:r>
          </w:p>
          <w:p w14:paraId="2D37640A">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1.根据《广西壮族自治区财政厅关于持续优化政府采购营商环境推动高质量发展的通知》（桂财采〔2024〕55号），采购文件要求中标人提交履约保证金的，履约保证金数额不得超过政府采购合同金额的5%，对中小企业收取的履约保证金数额不得超过政府采购合同金额的2%。</w:t>
            </w:r>
          </w:p>
          <w:p w14:paraId="410590D9">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2.履约保证金必须足额缴纳，或出具的保函额度必须足额且保函有效期不能低于合同履行期限（即签订采购合同之日起至履行完合同约定的权利及义务之日止），否则视为无效履约保证金。</w:t>
            </w:r>
          </w:p>
          <w:p w14:paraId="0D92BE09">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3.采用保函的，必须为无条件保函，否则视为无效履约保证金。</w:t>
            </w:r>
          </w:p>
          <w:p w14:paraId="519113A5">
            <w:pPr>
              <w:spacing w:line="360" w:lineRule="auto"/>
              <w:jc w:val="left"/>
              <w:rPr>
                <w:rFonts w:ascii="仿宋" w:hAnsi="仿宋" w:eastAsia="仿宋" w:cs="仿宋"/>
                <w:color w:val="auto"/>
                <w:kern w:val="0"/>
                <w:sz w:val="24"/>
                <w:highlight w:val="none"/>
              </w:rPr>
            </w:pPr>
            <w:r>
              <w:rPr>
                <w:rFonts w:hint="eastAsia" w:ascii="仿宋" w:hAnsi="仿宋" w:eastAsia="仿宋" w:cs="仿宋"/>
                <w:b/>
                <w:color w:val="auto"/>
                <w:sz w:val="24"/>
                <w:highlight w:val="none"/>
              </w:rPr>
              <w:t>4.投标人为联合体的，由联合体其中一方按规定提交的履约保证金，视为有效履约保证金</w:t>
            </w:r>
            <w:r>
              <w:rPr>
                <w:rFonts w:hint="eastAsia" w:ascii="仿宋" w:hAnsi="仿宋" w:eastAsia="仿宋" w:cs="仿宋"/>
                <w:color w:val="auto"/>
                <w:sz w:val="24"/>
                <w:highlight w:val="none"/>
              </w:rPr>
              <w:t>。</w:t>
            </w:r>
          </w:p>
        </w:tc>
      </w:tr>
      <w:tr w14:paraId="386D0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E613E86">
            <w:pPr>
              <w:spacing w:line="360" w:lineRule="auto"/>
              <w:jc w:val="center"/>
              <w:rPr>
                <w:rFonts w:ascii="仿宋" w:hAnsi="仿宋" w:eastAsia="仿宋" w:cs="仿宋"/>
                <w:color w:val="auto"/>
                <w:sz w:val="24"/>
                <w:highlight w:val="none"/>
              </w:rPr>
            </w:pPr>
            <w:bookmarkStart w:id="67" w:name="_40.1"/>
            <w:bookmarkEnd w:id="67"/>
            <w:r>
              <w:rPr>
                <w:rFonts w:hint="eastAsia" w:ascii="仿宋" w:hAnsi="仿宋" w:eastAsia="仿宋" w:cs="仿宋"/>
                <w:color w:val="auto"/>
                <w:sz w:val="24"/>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53A893C3">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 xml:space="preserve">签订合同携带的证明材料： </w:t>
            </w:r>
          </w:p>
          <w:p w14:paraId="05398E10">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委托代理人负责签订合同的，须携带授权委托书及委托代理人身份证原件等其他资格证件。</w:t>
            </w:r>
          </w:p>
          <w:p w14:paraId="0C0BB6B6">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法定代表人负责签订合同的，须携带法定代表人身份证明原件及身份证原件等其他证明材料。</w:t>
            </w:r>
          </w:p>
        </w:tc>
      </w:tr>
      <w:tr w14:paraId="2FF15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DBC32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6BDA7C1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接收质疑函方式：以纸质书面形式。</w:t>
            </w:r>
          </w:p>
          <w:p w14:paraId="37D879A5">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质疑联系部门及联系方式：广西科文招标有限公司</w:t>
            </w:r>
          </w:p>
          <w:p w14:paraId="06BF7441">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质疑联系人：梁伟贞   联系电话：0771-2023650</w:t>
            </w:r>
          </w:p>
          <w:p w14:paraId="79DB95C3">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通讯地址：广西南宁市民族大道141号中鼎万象东方D区五层。</w:t>
            </w:r>
          </w:p>
          <w:p w14:paraId="780D43DC">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现场提交质疑办理业务时间：工作日，上午8：00-12：00；下午15：00-18：00（北京时间）</w:t>
            </w:r>
          </w:p>
        </w:tc>
      </w:tr>
      <w:tr w14:paraId="4B5DC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797CED2">
            <w:pPr>
              <w:spacing w:line="360" w:lineRule="auto"/>
              <w:jc w:val="center"/>
              <w:rPr>
                <w:rFonts w:ascii="仿宋" w:hAnsi="仿宋" w:eastAsia="仿宋" w:cs="仿宋"/>
                <w:color w:val="auto"/>
                <w:sz w:val="24"/>
                <w:highlight w:val="none"/>
              </w:rPr>
            </w:pPr>
            <w:bookmarkStart w:id="68" w:name="_42"/>
            <w:bookmarkEnd w:id="68"/>
            <w:bookmarkStart w:id="69" w:name="_41"/>
            <w:bookmarkEnd w:id="69"/>
            <w:bookmarkStart w:id="70" w:name="_Hlt17709148"/>
            <w:r>
              <w:rPr>
                <w:rFonts w:hint="eastAsia" w:ascii="仿宋" w:hAnsi="仿宋" w:eastAsia="仿宋" w:cs="仿宋"/>
                <w:color w:val="auto"/>
                <w:sz w:val="24"/>
                <w:highlight w:val="none"/>
              </w:rPr>
              <w:t>3</w:t>
            </w:r>
            <w:bookmarkEnd w:id="70"/>
            <w:r>
              <w:rPr>
                <w:rFonts w:hint="eastAsia" w:ascii="仿宋" w:hAnsi="仿宋" w:eastAsia="仿宋" w:cs="仿宋"/>
                <w:color w:val="auto"/>
                <w:sz w:val="24"/>
                <w:highlight w:val="none"/>
              </w:rPr>
              <w:t>9</w:t>
            </w:r>
          </w:p>
        </w:tc>
        <w:tc>
          <w:tcPr>
            <w:tcW w:w="8708" w:type="dxa"/>
            <w:tcBorders>
              <w:top w:val="single" w:color="auto" w:sz="4" w:space="0"/>
              <w:left w:val="single" w:color="auto" w:sz="4" w:space="0"/>
              <w:bottom w:val="single" w:color="auto" w:sz="4" w:space="0"/>
              <w:right w:val="single" w:color="auto" w:sz="4" w:space="0"/>
            </w:tcBorders>
            <w:vAlign w:val="center"/>
          </w:tcPr>
          <w:p w14:paraId="75E6238E">
            <w:pPr>
              <w:pStyle w:val="25"/>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采购代理服务费支付方式：本项目的招标代理服务费按以下收费标准由代理机构向中标人收取。</w:t>
            </w:r>
          </w:p>
          <w:p w14:paraId="18EEF38D">
            <w:pPr>
              <w:pStyle w:val="25"/>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采购代理服务费收取标准：</w:t>
            </w:r>
          </w:p>
          <w:p w14:paraId="22023088">
            <w:pPr>
              <w:pStyle w:val="25"/>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以中标金额为计费额，按本招标文件之投标人须知正文第39.2条规定的收费计算标准（货物招标）采用差额定率累进法计算出收费基准价格，采购代理服务费收费以收费基准价格收取。</w:t>
            </w:r>
          </w:p>
          <w:p w14:paraId="490C8F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3.代理服务费收费专用银行账户信息：</w:t>
            </w:r>
          </w:p>
          <w:p w14:paraId="01F3710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开户名称：广西科文招标有限公司南宁咨询一分公司</w:t>
            </w:r>
          </w:p>
          <w:p w14:paraId="7343B67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开户银行：广西北部湾银行股份有限公司南宁市云景支行</w:t>
            </w:r>
          </w:p>
          <w:p w14:paraId="07BBD16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银行账号：805030137000001</w:t>
            </w:r>
          </w:p>
        </w:tc>
      </w:tr>
      <w:tr w14:paraId="505DF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8834FF6">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109F752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6B664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F1B7586">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1B78743E">
            <w:pPr>
              <w:pStyle w:val="25"/>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1.本招标文件中描述投标人的“公章”是指根据我国对公章的管理规定，用投标人法定主体名称制作的印章</w:t>
            </w:r>
            <w:r>
              <w:rPr>
                <w:rFonts w:hint="eastAsia" w:ascii="仿宋" w:hAnsi="仿宋" w:eastAsia="仿宋" w:cs="仿宋"/>
                <w:color w:val="auto"/>
                <w:sz w:val="24"/>
                <w:szCs w:val="24"/>
                <w:highlight w:val="none"/>
              </w:rPr>
              <w:t>或投标人通过指定电子化政府采购平台办理数字证书（CA认证）获得的以法定主体名称制作的电子印章。</w:t>
            </w:r>
            <w:r>
              <w:rPr>
                <w:rFonts w:hint="eastAsia" w:ascii="仿宋" w:hAnsi="仿宋" w:eastAsia="仿宋" w:cs="仿宋"/>
                <w:bCs/>
                <w:color w:val="auto"/>
                <w:sz w:val="24"/>
                <w:szCs w:val="24"/>
                <w:highlight w:val="none"/>
              </w:rPr>
              <w:t>除本招标文件有特殊规定外，投标人的财务章、部门章、分公司章、工会章、合同章、投标专用章、业务专用章及银行的转账章、现金收讫章、现金付讫章等其他形式印章均不能代替公章。</w:t>
            </w:r>
          </w:p>
          <w:p w14:paraId="77102AD6">
            <w:pPr>
              <w:pStyle w:val="25"/>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42485C69">
            <w:pPr>
              <w:pStyle w:val="25"/>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3.本招标文件中描述投标人的“签字”是指投标人的法定代表人或者委托代理人</w:t>
            </w:r>
            <w:r>
              <w:rPr>
                <w:rFonts w:hint="eastAsia" w:ascii="仿宋" w:hAnsi="仿宋" w:eastAsia="仿宋" w:cs="仿宋"/>
                <w:color w:val="auto"/>
                <w:sz w:val="24"/>
                <w:szCs w:val="24"/>
                <w:highlight w:val="none"/>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ascii="仿宋" w:hAnsi="仿宋" w:eastAsia="仿宋" w:cs="仿宋"/>
                <w:bCs/>
                <w:color w:val="auto"/>
                <w:sz w:val="24"/>
                <w:szCs w:val="24"/>
                <w:highlight w:val="none"/>
              </w:rPr>
              <w:t>。</w:t>
            </w:r>
          </w:p>
          <w:p w14:paraId="6D0E0DF8">
            <w:pPr>
              <w:pStyle w:val="25"/>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F3ADD87">
            <w:pPr>
              <w:pStyle w:val="25"/>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5.自然人投标的，招标文件规定盖公章处由自然人摁手指指印。</w:t>
            </w:r>
          </w:p>
          <w:p w14:paraId="2051563E">
            <w:pPr>
              <w:spacing w:line="360" w:lineRule="auto"/>
              <w:jc w:val="left"/>
              <w:rPr>
                <w:rFonts w:ascii="仿宋" w:hAnsi="仿宋" w:eastAsia="仿宋" w:cs="仿宋"/>
                <w:color w:val="auto"/>
                <w:sz w:val="24"/>
                <w:highlight w:val="none"/>
              </w:rPr>
            </w:pPr>
            <w:r>
              <w:rPr>
                <w:rFonts w:hint="eastAsia" w:ascii="仿宋" w:hAnsi="仿宋" w:eastAsia="仿宋" w:cs="仿宋"/>
                <w:bCs/>
                <w:color w:val="auto"/>
                <w:sz w:val="24"/>
                <w:highlight w:val="none"/>
              </w:rPr>
              <w:t>6.本招标文件所称的“以上”“以下”“以内”“届满”，包括本数；所称的“不满”“超过”“以外”，不包括本数。</w:t>
            </w:r>
          </w:p>
        </w:tc>
      </w:tr>
    </w:tbl>
    <w:p w14:paraId="4D96EC79">
      <w:pPr>
        <w:snapToGrid w:val="0"/>
        <w:rPr>
          <w:rFonts w:ascii="仿宋" w:hAnsi="仿宋" w:eastAsia="仿宋" w:cs="仿宋"/>
          <w:color w:val="auto"/>
          <w:sz w:val="24"/>
          <w:szCs w:val="20"/>
          <w:highlight w:val="none"/>
        </w:rPr>
      </w:pPr>
    </w:p>
    <w:p w14:paraId="31FAAC68">
      <w:pPr>
        <w:rPr>
          <w:rFonts w:ascii="仿宋" w:hAnsi="仿宋" w:eastAsia="仿宋" w:cs="仿宋"/>
          <w:color w:val="auto"/>
          <w:highlight w:val="none"/>
        </w:rPr>
      </w:pPr>
      <w:r>
        <w:rPr>
          <w:rFonts w:hint="eastAsia" w:ascii="仿宋" w:hAnsi="仿宋" w:eastAsia="仿宋" w:cs="仿宋"/>
          <w:color w:val="auto"/>
          <w:highlight w:val="none"/>
        </w:rPr>
        <w:br w:type="page"/>
      </w:r>
    </w:p>
    <w:p w14:paraId="78B4F270">
      <w:pPr>
        <w:pStyle w:val="5"/>
        <w:keepNext w:val="0"/>
        <w:keepLines w:val="0"/>
        <w:jc w:val="center"/>
        <w:rPr>
          <w:rFonts w:ascii="仿宋" w:hAnsi="仿宋" w:eastAsia="仿宋" w:cs="仿宋"/>
          <w:color w:val="auto"/>
          <w:highlight w:val="none"/>
        </w:rPr>
      </w:pPr>
      <w:r>
        <w:rPr>
          <w:rFonts w:hint="eastAsia" w:ascii="仿宋" w:hAnsi="仿宋" w:eastAsia="仿宋" w:cs="仿宋"/>
          <w:color w:val="auto"/>
          <w:highlight w:val="none"/>
        </w:rPr>
        <w:t>投标人须知正文</w:t>
      </w:r>
    </w:p>
    <w:p w14:paraId="50C598AA">
      <w:pPr>
        <w:pStyle w:val="5"/>
        <w:keepNext w:val="0"/>
        <w:keepLines w:val="0"/>
        <w:jc w:val="center"/>
        <w:rPr>
          <w:rFonts w:ascii="仿宋" w:hAnsi="仿宋" w:eastAsia="仿宋" w:cs="仿宋"/>
          <w:color w:val="auto"/>
          <w:highlight w:val="none"/>
        </w:rPr>
      </w:pPr>
      <w:r>
        <w:rPr>
          <w:rFonts w:hint="eastAsia" w:ascii="仿宋" w:hAnsi="仿宋" w:eastAsia="仿宋" w:cs="仿宋"/>
          <w:color w:val="auto"/>
          <w:highlight w:val="none"/>
        </w:rPr>
        <w:t>一、总  则</w:t>
      </w:r>
    </w:p>
    <w:p w14:paraId="477E93D7">
      <w:pPr>
        <w:pStyle w:val="7"/>
        <w:keepNext w:val="0"/>
        <w:keepLines w:val="0"/>
        <w:spacing w:before="0" w:after="0" w:line="360" w:lineRule="auto"/>
        <w:ind w:left="420" w:leftChars="200"/>
        <w:rPr>
          <w:rFonts w:ascii="仿宋" w:hAnsi="仿宋" w:eastAsia="仿宋" w:cs="仿宋"/>
          <w:color w:val="auto"/>
          <w:sz w:val="24"/>
          <w:highlight w:val="none"/>
        </w:rPr>
      </w:pPr>
      <w:bookmarkStart w:id="71" w:name="_Toc254970668"/>
      <w:bookmarkStart w:id="72" w:name="_Toc254970527"/>
      <w:r>
        <w:rPr>
          <w:rFonts w:hint="eastAsia" w:ascii="仿宋" w:hAnsi="仿宋" w:eastAsia="仿宋" w:cs="仿宋"/>
          <w:color w:val="auto"/>
          <w:sz w:val="24"/>
          <w:highlight w:val="none"/>
        </w:rPr>
        <w:t>1.适用范围</w:t>
      </w:r>
      <w:bookmarkEnd w:id="71"/>
      <w:bookmarkEnd w:id="72"/>
    </w:p>
    <w:p w14:paraId="5DFA700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BA89CF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1.2本招标文件</w:t>
      </w:r>
      <w:r>
        <w:rPr>
          <w:rFonts w:hint="eastAsia" w:ascii="仿宋" w:hAnsi="仿宋" w:eastAsia="仿宋" w:cs="仿宋"/>
          <w:color w:val="auto"/>
          <w:spacing w:val="-6"/>
          <w:sz w:val="24"/>
          <w:highlight w:val="none"/>
        </w:rPr>
        <w:t>适用于本项目的所有采购程序和环节（法律、法规另有规定的，从其规定）。</w:t>
      </w:r>
    </w:p>
    <w:p w14:paraId="3E9AF3E5">
      <w:pPr>
        <w:pStyle w:val="7"/>
        <w:keepNext w:val="0"/>
        <w:keepLines w:val="0"/>
        <w:numPr>
          <w:ilvl w:val="0"/>
          <w:numId w:val="0"/>
        </w:numPr>
        <w:spacing w:before="0" w:after="0" w:line="360" w:lineRule="auto"/>
        <w:ind w:left="420" w:leftChars="200"/>
        <w:rPr>
          <w:rFonts w:ascii="仿宋" w:hAnsi="仿宋" w:eastAsia="仿宋" w:cs="仿宋"/>
          <w:color w:val="auto"/>
          <w:sz w:val="24"/>
          <w:highlight w:val="none"/>
        </w:rPr>
      </w:pPr>
      <w:bookmarkStart w:id="73" w:name="_Toc254970528"/>
      <w:bookmarkStart w:id="74" w:name="_Toc254970669"/>
      <w:r>
        <w:rPr>
          <w:rFonts w:hint="eastAsia" w:ascii="仿宋" w:hAnsi="仿宋" w:eastAsia="仿宋" w:cs="仿宋"/>
          <w:color w:val="auto"/>
          <w:sz w:val="24"/>
          <w:highlight w:val="none"/>
        </w:rPr>
        <w:t>2.定义</w:t>
      </w:r>
      <w:bookmarkEnd w:id="73"/>
      <w:bookmarkEnd w:id="74"/>
    </w:p>
    <w:p w14:paraId="598B6032">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2.1“采购人”是指依法进行政府采购的国家机关、事业单位、团体组织。</w:t>
      </w:r>
    </w:p>
    <w:p w14:paraId="52F64D5B">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2.2“采购代理机构”是指政府采购集中采购机构和集中采购机构以外的采购代理机构。2.3“供应商”是指向采购人提供货物、工程或者服务的法人、其他组织或者自然人。</w:t>
      </w:r>
    </w:p>
    <w:p w14:paraId="4E028B2D">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2.4“投标人”是指响应招标、参加投标竞争的法人、其他组织或者自然人。</w:t>
      </w:r>
    </w:p>
    <w:p w14:paraId="52A2257F">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2.5“货物”是指各种形态和种类的物品，包括原材料、燃料、设备、产品等。</w:t>
      </w:r>
    </w:p>
    <w:p w14:paraId="31856569">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2.6“售后服务” 是指商品出售以后所提供的各种服务，包含但不限于投标人须承担的备品备件、包装、运输、装卸、保险、货到就位以及安装、调试、培训、保修以及其他各种服务。</w:t>
      </w:r>
    </w:p>
    <w:p w14:paraId="659032AD">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2.7“书面形式”是指合同书、信件和数据电文（包括电报、电传、传真、电子数据交换和电子邮件）等可以有形地表现所载内容的形式。</w:t>
      </w:r>
    </w:p>
    <w:p w14:paraId="67F50644">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2.8“实质性要求”是指招标文件中已经指明不满足则投标无效的条款，或者不容许负偏离的条款，或者采购需求中带“▲”的条款。</w:t>
      </w:r>
    </w:p>
    <w:p w14:paraId="3DFE3C5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2.9 “正偏离”，是指投标文件对招标文件“采购需求”中有关条款作出的响应优于条款要求并有利于采购人的情形。</w:t>
      </w:r>
    </w:p>
    <w:p w14:paraId="5D5E979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2.10“负偏离”，是指投标文件对招标文件“采购需求”中有关条款作出的响应不满足条款要求，导致采购人要求不能得到满足的情形。</w:t>
      </w:r>
    </w:p>
    <w:p w14:paraId="10E9A97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2.11“允许负偏离的条款”是指采购需求中的不属于“实质性要求”的条款。</w:t>
      </w:r>
      <w:bookmarkStart w:id="75" w:name="_Toc254970529"/>
      <w:bookmarkStart w:id="76" w:name="_Toc254970670"/>
    </w:p>
    <w:p w14:paraId="6F15E8A7">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w:t>
      </w:r>
      <w:bookmarkEnd w:id="75"/>
      <w:bookmarkEnd w:id="76"/>
      <w:r>
        <w:rPr>
          <w:rFonts w:hint="eastAsia" w:ascii="仿宋" w:hAnsi="仿宋" w:eastAsia="仿宋" w:cs="仿宋"/>
          <w:color w:val="auto"/>
          <w:sz w:val="24"/>
          <w:highlight w:val="none"/>
        </w:rPr>
        <w:t>投标人的资格要求</w:t>
      </w:r>
    </w:p>
    <w:p w14:paraId="368B4CFF">
      <w:pPr>
        <w:snapToGrid w:val="0"/>
        <w:spacing w:line="360" w:lineRule="auto"/>
        <w:ind w:firstLine="420" w:firstLineChars="175"/>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投标人的资格要求详见“投标人须知前附表”。</w:t>
      </w:r>
    </w:p>
    <w:p w14:paraId="1915B5EB">
      <w:pPr>
        <w:pStyle w:val="7"/>
        <w:keepNext w:val="0"/>
        <w:keepLines w:val="0"/>
        <w:spacing w:before="0" w:after="0" w:line="360" w:lineRule="auto"/>
        <w:ind w:left="420" w:leftChars="200"/>
        <w:rPr>
          <w:rFonts w:ascii="仿宋" w:hAnsi="仿宋" w:eastAsia="仿宋" w:cs="仿宋"/>
          <w:color w:val="auto"/>
          <w:sz w:val="24"/>
          <w:highlight w:val="none"/>
        </w:rPr>
      </w:pPr>
      <w:bookmarkStart w:id="77" w:name="_Toc254970671"/>
      <w:bookmarkStart w:id="78" w:name="_Toc254970530"/>
      <w:r>
        <w:rPr>
          <w:rFonts w:hint="eastAsia" w:ascii="仿宋" w:hAnsi="仿宋" w:eastAsia="仿宋" w:cs="仿宋"/>
          <w:color w:val="auto"/>
          <w:sz w:val="24"/>
          <w:highlight w:val="none"/>
        </w:rPr>
        <w:t>4.投标委托</w:t>
      </w:r>
      <w:bookmarkEnd w:id="77"/>
      <w:bookmarkEnd w:id="78"/>
    </w:p>
    <w:p w14:paraId="70F0C5B2">
      <w:pPr>
        <w:snapToGrid w:val="0"/>
        <w:spacing w:line="360" w:lineRule="auto"/>
        <w:ind w:firstLine="420" w:firstLineChars="175"/>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投标人代表参加投标活动过程中必须提供个人有效身份证件。如投标人代表不是法定代表人，须持有授权委托书（按第六章要求格式填写）。</w:t>
      </w:r>
    </w:p>
    <w:p w14:paraId="5FDD28E3">
      <w:pPr>
        <w:pStyle w:val="7"/>
        <w:keepNext w:val="0"/>
        <w:keepLines w:val="0"/>
        <w:spacing w:before="0" w:after="0" w:line="360" w:lineRule="auto"/>
        <w:ind w:left="420" w:leftChars="200"/>
        <w:rPr>
          <w:rFonts w:ascii="仿宋" w:hAnsi="仿宋" w:eastAsia="仿宋" w:cs="仿宋"/>
          <w:color w:val="auto"/>
          <w:sz w:val="24"/>
          <w:highlight w:val="none"/>
        </w:rPr>
      </w:pPr>
      <w:bookmarkStart w:id="79" w:name="_5.投标费用"/>
      <w:bookmarkEnd w:id="79"/>
      <w:bookmarkStart w:id="80" w:name="_Toc254970672"/>
      <w:bookmarkStart w:id="81" w:name="_Toc254970531"/>
      <w:r>
        <w:rPr>
          <w:rFonts w:hint="eastAsia" w:ascii="仿宋" w:hAnsi="仿宋" w:eastAsia="仿宋" w:cs="仿宋"/>
          <w:color w:val="auto"/>
          <w:sz w:val="24"/>
          <w:highlight w:val="none"/>
        </w:rPr>
        <w:t>5.投标费用</w:t>
      </w:r>
      <w:bookmarkEnd w:id="80"/>
      <w:bookmarkEnd w:id="81"/>
    </w:p>
    <w:p w14:paraId="4276639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投标费用：投标人应承担参与本次采购活动有关的所有费用，包括但不限于获取招标文件、勘查现场、编制和提交投标文件、参加澄清说明、签订合同等，不论投标结果如何，均应自行承担。</w:t>
      </w:r>
    </w:p>
    <w:p w14:paraId="52D814AA">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6.联合体投标</w:t>
      </w:r>
    </w:p>
    <w:p w14:paraId="469D920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6.1本项目是否接受联合体投标，详见“投标人须知前附表”。</w:t>
      </w:r>
    </w:p>
    <w:p w14:paraId="25F8E3D3">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6.2如接受联合体投标，联合体投标要求详见“投标人须知前附表”。</w:t>
      </w:r>
    </w:p>
    <w:p w14:paraId="5848ED18">
      <w:pPr>
        <w:pStyle w:val="7"/>
        <w:keepNext w:val="0"/>
        <w:keepLines w:val="0"/>
        <w:spacing w:before="0" w:after="0" w:line="360" w:lineRule="auto"/>
        <w:ind w:firstLine="484" w:firstLineChars="202"/>
        <w:rPr>
          <w:rFonts w:ascii="仿宋" w:hAnsi="仿宋" w:eastAsia="仿宋" w:cs="仿宋"/>
          <w:color w:val="auto"/>
          <w:sz w:val="24"/>
          <w:highlight w:val="none"/>
        </w:rPr>
      </w:pPr>
      <w:r>
        <w:rPr>
          <w:rFonts w:hint="eastAsia" w:ascii="仿宋" w:hAnsi="仿宋" w:eastAsia="仿宋" w:cs="仿宋"/>
          <w:b w:val="0"/>
          <w:bCs/>
          <w:color w:val="auto"/>
          <w:sz w:val="24"/>
          <w:highlight w:val="none"/>
        </w:rPr>
        <w:t xml:space="preserve">6.3 </w:t>
      </w:r>
      <w:bookmarkStart w:id="82" w:name="_Hlk65857072"/>
      <w:r>
        <w:rPr>
          <w:rFonts w:hint="eastAsia" w:ascii="仿宋" w:hAnsi="仿宋" w:eastAsia="仿宋" w:cs="仿宋"/>
          <w:b w:val="0"/>
          <w:bCs/>
          <w:color w:val="auto"/>
          <w:sz w:val="24"/>
          <w:highlight w:val="none"/>
        </w:rPr>
        <w:t>根据《政府采购促进中小企业发展管理办法》（财库〔2020〕46号）及《广西壮族自治区财政厅关于持续优化政府采购营商环境推动高质量发展的通知》（桂财采〔2024〕55号）的规定，大中型企业与小微企业组成联合体或者大中型企业向小微企业分包的，评审优惠6%。政府采购工程的价格评审优惠按照财库〔2020〕46号文件的规定执行，用扣除后的价格参加评审。</w:t>
      </w:r>
      <w:bookmarkEnd w:id="82"/>
    </w:p>
    <w:p w14:paraId="00BC8A97">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7.转包与分包             </w:t>
      </w:r>
    </w:p>
    <w:p w14:paraId="5C1D604D">
      <w:pPr>
        <w:pStyle w:val="7"/>
        <w:keepNext w:val="0"/>
        <w:keepLines w:val="0"/>
        <w:numPr>
          <w:ilvl w:val="0"/>
          <w:numId w:val="0"/>
        </w:numPr>
        <w:spacing w:before="0" w:after="0" w:line="360" w:lineRule="auto"/>
        <w:ind w:firstLine="420" w:firstLineChars="175"/>
        <w:rPr>
          <w:rFonts w:ascii="仿宋" w:hAnsi="仿宋" w:eastAsia="仿宋" w:cs="仿宋"/>
          <w:b w:val="0"/>
          <w:color w:val="auto"/>
          <w:sz w:val="24"/>
          <w:highlight w:val="none"/>
        </w:rPr>
      </w:pPr>
      <w:r>
        <w:rPr>
          <w:rFonts w:hint="eastAsia" w:ascii="仿宋" w:hAnsi="仿宋" w:eastAsia="仿宋" w:cs="仿宋"/>
          <w:b w:val="0"/>
          <w:color w:val="auto"/>
          <w:sz w:val="24"/>
          <w:highlight w:val="none"/>
        </w:rPr>
        <w:t>7.1本项目不允许转包。</w:t>
      </w:r>
    </w:p>
    <w:p w14:paraId="6E045292">
      <w:pPr>
        <w:pStyle w:val="7"/>
        <w:keepNext w:val="0"/>
        <w:keepLines w:val="0"/>
        <w:spacing w:before="0" w:after="0" w:line="360" w:lineRule="auto"/>
        <w:ind w:firstLine="420" w:firstLineChars="175"/>
        <w:rPr>
          <w:rFonts w:ascii="仿宋" w:hAnsi="仿宋" w:eastAsia="仿宋" w:cs="仿宋"/>
          <w:b w:val="0"/>
          <w:color w:val="auto"/>
          <w:sz w:val="24"/>
          <w:highlight w:val="none"/>
        </w:rPr>
      </w:pPr>
      <w:r>
        <w:rPr>
          <w:rFonts w:hint="eastAsia" w:ascii="仿宋" w:hAnsi="仿宋" w:eastAsia="仿宋" w:cs="仿宋"/>
          <w:b w:val="0"/>
          <w:color w:val="auto"/>
          <w:sz w:val="24"/>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6E0A639">
      <w:pPr>
        <w:pStyle w:val="7"/>
        <w:keepNext w:val="0"/>
        <w:keepLines w:val="0"/>
        <w:spacing w:before="0" w:after="0" w:line="360" w:lineRule="auto"/>
        <w:ind w:firstLine="420" w:firstLineChars="175"/>
        <w:rPr>
          <w:rFonts w:ascii="仿宋" w:hAnsi="仿宋" w:eastAsia="仿宋" w:cs="仿宋"/>
          <w:b w:val="0"/>
          <w:color w:val="auto"/>
          <w:sz w:val="24"/>
          <w:highlight w:val="none"/>
        </w:rPr>
      </w:pPr>
      <w:r>
        <w:rPr>
          <w:rFonts w:hint="eastAsia" w:ascii="仿宋" w:hAnsi="仿宋" w:eastAsia="仿宋" w:cs="仿宋"/>
          <w:b w:val="0"/>
          <w:color w:val="auto"/>
          <w:sz w:val="24"/>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6355A3DC">
      <w:pPr>
        <w:pStyle w:val="7"/>
        <w:keepNext w:val="0"/>
        <w:keepLines w:val="0"/>
        <w:spacing w:before="0" w:after="0" w:line="360" w:lineRule="auto"/>
        <w:ind w:left="420" w:leftChars="200"/>
        <w:rPr>
          <w:rFonts w:ascii="仿宋" w:hAnsi="仿宋" w:eastAsia="仿宋" w:cs="仿宋"/>
          <w:color w:val="auto"/>
          <w:sz w:val="24"/>
          <w:highlight w:val="none"/>
        </w:rPr>
      </w:pPr>
      <w:bookmarkStart w:id="83" w:name="_Toc254970673"/>
      <w:bookmarkStart w:id="84" w:name="_Toc254970532"/>
      <w:r>
        <w:rPr>
          <w:rFonts w:hint="eastAsia" w:ascii="仿宋" w:hAnsi="仿宋" w:eastAsia="仿宋" w:cs="仿宋"/>
          <w:color w:val="auto"/>
          <w:sz w:val="24"/>
          <w:highlight w:val="none"/>
        </w:rPr>
        <w:t>8.特别说明</w:t>
      </w:r>
      <w:bookmarkEnd w:id="83"/>
      <w:bookmarkEnd w:id="84"/>
    </w:p>
    <w:p w14:paraId="677C0FE1">
      <w:pPr>
        <w:pStyle w:val="7"/>
        <w:keepNext w:val="0"/>
        <w:keepLines w:val="0"/>
        <w:spacing w:before="0" w:after="0" w:line="360" w:lineRule="auto"/>
        <w:ind w:firstLine="480" w:firstLineChars="200"/>
        <w:rPr>
          <w:rFonts w:ascii="仿宋" w:hAnsi="仿宋" w:eastAsia="仿宋" w:cs="仿宋"/>
          <w:b w:val="0"/>
          <w:color w:val="auto"/>
          <w:sz w:val="24"/>
          <w:highlight w:val="none"/>
        </w:rPr>
      </w:pPr>
      <w:bookmarkStart w:id="85" w:name="_8.1提供相同品牌产品且通过资格审查、符合性审查的不同投标人参加同一合"/>
      <w:bookmarkEnd w:id="85"/>
      <w:r>
        <w:rPr>
          <w:rFonts w:hint="eastAsia" w:ascii="仿宋" w:hAnsi="仿宋" w:eastAsia="仿宋" w:cs="仿宋"/>
          <w:b w:val="0"/>
          <w:color w:val="auto"/>
          <w:sz w:val="24"/>
          <w:highlight w:val="none"/>
        </w:rPr>
        <w:fldChar w:fldCharType="begin"/>
      </w:r>
      <w:r>
        <w:rPr>
          <w:rFonts w:hint="eastAsia" w:ascii="仿宋" w:hAnsi="仿宋" w:eastAsia="仿宋" w:cs="仿宋"/>
          <w:b w:val="0"/>
          <w:color w:val="auto"/>
          <w:sz w:val="24"/>
          <w:highlight w:val="none"/>
        </w:rPr>
        <w:instrText xml:space="preserve"> HYPERLINK  \l "_8.1" </w:instrText>
      </w:r>
      <w:r>
        <w:rPr>
          <w:rFonts w:hint="eastAsia" w:ascii="仿宋" w:hAnsi="仿宋" w:eastAsia="仿宋" w:cs="仿宋"/>
          <w:b w:val="0"/>
          <w:color w:val="auto"/>
          <w:sz w:val="24"/>
          <w:highlight w:val="none"/>
        </w:rPr>
        <w:fldChar w:fldCharType="separate"/>
      </w:r>
      <w:r>
        <w:rPr>
          <w:rFonts w:hint="eastAsia" w:ascii="仿宋" w:hAnsi="仿宋" w:eastAsia="仿宋" w:cs="仿宋"/>
          <w:b w:val="0"/>
          <w:color w:val="auto"/>
          <w:sz w:val="24"/>
          <w:highlight w:val="none"/>
        </w:rPr>
        <w:t>8.1</w:t>
      </w:r>
      <w:r>
        <w:rPr>
          <w:rFonts w:hint="eastAsia" w:ascii="仿宋" w:hAnsi="仿宋" w:eastAsia="仿宋" w:cs="仿宋"/>
          <w:b w:val="0"/>
          <w:color w:val="auto"/>
          <w:sz w:val="24"/>
          <w:highlight w:val="none"/>
        </w:rPr>
        <w:fldChar w:fldCharType="end"/>
      </w:r>
      <w:r>
        <w:rPr>
          <w:rFonts w:hint="eastAsia" w:ascii="仿宋" w:hAnsi="仿宋" w:eastAsia="仿宋" w:cs="仿宋"/>
          <w:b w:val="0"/>
          <w:color w:val="auto"/>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仿宋" w:hAnsi="仿宋" w:eastAsia="仿宋" w:cs="仿宋"/>
          <w:color w:val="auto"/>
          <w:sz w:val="24"/>
          <w:highlight w:val="none"/>
        </w:rPr>
        <w:t>其他投标无效。</w:t>
      </w:r>
    </w:p>
    <w:p w14:paraId="1D7A063A">
      <w:pPr>
        <w:pStyle w:val="7"/>
        <w:keepNext w:val="0"/>
        <w:keepLines w:val="0"/>
        <w:spacing w:before="0" w:after="0" w:line="360" w:lineRule="auto"/>
        <w:ind w:firstLine="482"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6D4DB097">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非单一产品采购项目，多家投标人提供的核心产品品牌相同的，</w:t>
      </w:r>
      <w:r>
        <w:rPr>
          <w:rFonts w:hint="eastAsia" w:ascii="仿宋" w:hAnsi="仿宋" w:eastAsia="仿宋" w:cs="仿宋"/>
          <w:color w:val="auto"/>
          <w:sz w:val="24"/>
          <w:szCs w:val="24"/>
          <w:highlight w:val="none"/>
        </w:rPr>
        <w:t>按前两款规定处理</w:t>
      </w:r>
      <w:r>
        <w:rPr>
          <w:rFonts w:hint="eastAsia" w:ascii="仿宋" w:hAnsi="仿宋" w:eastAsia="仿宋" w:cs="仿宋"/>
          <w:color w:val="auto"/>
          <w:kern w:val="2"/>
          <w:sz w:val="24"/>
          <w:szCs w:val="24"/>
          <w:highlight w:val="none"/>
        </w:rPr>
        <w:t>。</w:t>
      </w:r>
    </w:p>
    <w:p w14:paraId="587C82AC">
      <w:pPr>
        <w:pStyle w:val="7"/>
        <w:keepNext w:val="0"/>
        <w:keepLines w:val="0"/>
        <w:spacing w:before="0" w:after="0" w:line="360" w:lineRule="auto"/>
        <w:ind w:firstLine="420" w:firstLineChars="175"/>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8.2如果本招标文件要求提供投标人或制造商的资格、信誉、荣誉、业绩与企业认证等材料的，资格、信誉、荣誉、业绩与企业认证等必须为投标人或者制造商所拥有或自身获得 。</w:t>
      </w:r>
    </w:p>
    <w:p w14:paraId="3BADD707">
      <w:pPr>
        <w:pStyle w:val="7"/>
        <w:keepNext w:val="0"/>
        <w:keepLines w:val="0"/>
        <w:spacing w:before="0" w:after="0" w:line="360" w:lineRule="auto"/>
        <w:ind w:firstLine="420" w:firstLineChars="175"/>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8.3投标人应仔细阅读招标文件的所有内容，按照招标文件的要求提交投标文件，并对所提供的全部资料的真实性承担法律责任。</w:t>
      </w:r>
    </w:p>
    <w:p w14:paraId="171EF984">
      <w:pPr>
        <w:pStyle w:val="7"/>
        <w:keepNext w:val="0"/>
        <w:keepLines w:val="0"/>
        <w:spacing w:before="0" w:after="0" w:line="360" w:lineRule="auto"/>
        <w:ind w:firstLine="420" w:firstLineChars="175"/>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8.4投标人在投标活动中提供任何虚假材料，将报监管部门查处；中标后发现的，中标人须依法赔偿采购人，且民事赔偿并不免除违法投标人的行政与刑事责任。</w:t>
      </w:r>
    </w:p>
    <w:p w14:paraId="1A570BDB">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9.回避与串通投标</w:t>
      </w:r>
    </w:p>
    <w:p w14:paraId="186E8E4D">
      <w:pPr>
        <w:pStyle w:val="7"/>
        <w:keepNext w:val="0"/>
        <w:keepLines w:val="0"/>
        <w:spacing w:before="0" w:after="0" w:line="360" w:lineRule="auto"/>
        <w:ind w:firstLine="420" w:firstLineChars="175"/>
        <w:rPr>
          <w:rFonts w:ascii="仿宋" w:hAnsi="仿宋" w:eastAsia="仿宋" w:cs="仿宋"/>
          <w:b w:val="0"/>
          <w:color w:val="auto"/>
          <w:sz w:val="24"/>
          <w:highlight w:val="none"/>
        </w:rPr>
      </w:pPr>
      <w:r>
        <w:rPr>
          <w:rFonts w:hint="eastAsia" w:ascii="仿宋" w:hAnsi="仿宋" w:eastAsia="仿宋" w:cs="仿宋"/>
          <w:b w:val="0"/>
          <w:color w:val="auto"/>
          <w:sz w:val="24"/>
          <w:highlight w:val="none"/>
        </w:rPr>
        <w:t>9.1在政府采购活动中，采购人员及相关人员与供应商有下列利害关系之一的，应当回避：</w:t>
      </w:r>
    </w:p>
    <w:p w14:paraId="6455ED39">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（1）参加采购活动前3年内与供应商存在劳动关系；</w:t>
      </w:r>
    </w:p>
    <w:p w14:paraId="4F7A87F6">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（2）参加采购活动前3年内担任供应商的董事、监事；</w:t>
      </w:r>
    </w:p>
    <w:p w14:paraId="2ABEC38E">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（3）参加采购活动前3年内是供应商的控股股东或者实际控制人；</w:t>
      </w:r>
    </w:p>
    <w:p w14:paraId="7360FA98">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（4）与供应商的法定代表人或者负责人有夫妻、直系血亲、三代以内旁系血亲或者近姻亲关系；</w:t>
      </w:r>
    </w:p>
    <w:p w14:paraId="6A7A9B84">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（5）与供应商有其他可能影响政府采购活动公平、公正进行的关系。</w:t>
      </w:r>
    </w:p>
    <w:p w14:paraId="7CAD125B">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6A6337C">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9.2有下列情形之一的视为投标人相互串通投标，投标文件将被视为无效：</w:t>
      </w:r>
    </w:p>
    <w:p w14:paraId="0111CA48">
      <w:pPr>
        <w:pStyle w:val="25"/>
        <w:snapToGrid w:val="0"/>
        <w:spacing w:line="360" w:lineRule="auto"/>
        <w:ind w:left="2" w:leftChars="1"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 xml:space="preserve">（1）不同投标人的投标文件由同一单位或者个人编制； </w:t>
      </w:r>
    </w:p>
    <w:p w14:paraId="2289E268">
      <w:pPr>
        <w:pStyle w:val="25"/>
        <w:snapToGrid w:val="0"/>
        <w:spacing w:line="360" w:lineRule="auto"/>
        <w:ind w:left="2" w:leftChars="1"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（2）不同投标人委托同一单位或者个人办理投标事宜；</w:t>
      </w:r>
    </w:p>
    <w:p w14:paraId="1EBF76BE">
      <w:pPr>
        <w:pStyle w:val="25"/>
        <w:snapToGrid w:val="0"/>
        <w:spacing w:line="360" w:lineRule="auto"/>
        <w:ind w:left="2" w:leftChars="1"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（3）不同的投标人的投标文件载明的项目管理员为同一个人；</w:t>
      </w:r>
    </w:p>
    <w:p w14:paraId="323B1687">
      <w:pPr>
        <w:pStyle w:val="25"/>
        <w:snapToGrid w:val="0"/>
        <w:spacing w:line="360" w:lineRule="auto"/>
        <w:ind w:left="2" w:leftChars="1"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（4）不同投标人的投标文件异常一致或者投标报价呈规律性差异；</w:t>
      </w:r>
    </w:p>
    <w:p w14:paraId="1FDBFD6B">
      <w:pPr>
        <w:pStyle w:val="25"/>
        <w:snapToGrid w:val="0"/>
        <w:spacing w:line="360" w:lineRule="auto"/>
        <w:ind w:left="2" w:leftChars="1"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（5）不同投标人的投标文件相互混装；</w:t>
      </w:r>
    </w:p>
    <w:p w14:paraId="5595AED3">
      <w:pPr>
        <w:pStyle w:val="25"/>
        <w:snapToGrid w:val="0"/>
        <w:spacing w:line="360" w:lineRule="auto"/>
        <w:ind w:left="2" w:leftChars="1"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（6）不同投标人的投标保证金从同一单位或者个人账户转出。</w:t>
      </w:r>
    </w:p>
    <w:p w14:paraId="6A60B8A4">
      <w:pPr>
        <w:pStyle w:val="25"/>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kern w:val="2"/>
          <w:sz w:val="24"/>
          <w:szCs w:val="24"/>
          <w:highlight w:val="none"/>
        </w:rPr>
        <w:t>（7）投标人之间协商投标报价等投标文件的实质性内容；</w:t>
      </w:r>
    </w:p>
    <w:p w14:paraId="1B9867F6">
      <w:pPr>
        <w:pStyle w:val="25"/>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kern w:val="2"/>
          <w:sz w:val="24"/>
          <w:szCs w:val="24"/>
          <w:highlight w:val="none"/>
        </w:rPr>
        <w:t>（8）投标人之间约定中标人；</w:t>
      </w:r>
    </w:p>
    <w:p w14:paraId="40D90FED">
      <w:pPr>
        <w:pStyle w:val="25"/>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kern w:val="2"/>
          <w:sz w:val="24"/>
          <w:szCs w:val="24"/>
          <w:highlight w:val="none"/>
        </w:rPr>
        <w:t>（9）投标人之间约定部分投标人放弃投标或者中标；</w:t>
      </w:r>
    </w:p>
    <w:p w14:paraId="6244BC7B">
      <w:pPr>
        <w:pStyle w:val="25"/>
        <w:snapToGrid w:val="0"/>
        <w:spacing w:line="360" w:lineRule="auto"/>
        <w:ind w:left="2" w:leftChars="1" w:firstLine="482" w:firstLineChars="200"/>
        <w:rPr>
          <w:rFonts w:ascii="仿宋" w:hAnsi="仿宋" w:eastAsia="仿宋" w:cs="仿宋"/>
          <w:color w:val="auto"/>
          <w:sz w:val="24"/>
          <w:highlight w:val="none"/>
        </w:rPr>
      </w:pPr>
      <w:r>
        <w:rPr>
          <w:rFonts w:hint="eastAsia" w:ascii="仿宋" w:hAnsi="仿宋" w:eastAsia="仿宋" w:cs="仿宋"/>
          <w:b/>
          <w:color w:val="auto"/>
          <w:kern w:val="2"/>
          <w:sz w:val="24"/>
          <w:szCs w:val="24"/>
          <w:highlight w:val="none"/>
        </w:rPr>
        <w:t>（10）属于同一集团、协会、商会等组织成员的投标人按照该组织要求协同投标；</w:t>
      </w:r>
    </w:p>
    <w:p w14:paraId="01FF9C2B">
      <w:pPr>
        <w:pStyle w:val="25"/>
        <w:snapToGrid w:val="0"/>
        <w:spacing w:line="360" w:lineRule="auto"/>
        <w:ind w:left="2" w:leftChars="1"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（11）投标人之间为谋取中标或者排斥特定投标人而采取的其他联合行动。</w:t>
      </w:r>
    </w:p>
    <w:p w14:paraId="4616DD29">
      <w:pPr>
        <w:pStyle w:val="7"/>
        <w:keepNext w:val="0"/>
        <w:keepLines w:val="0"/>
        <w:spacing w:before="0" w:after="0" w:line="360" w:lineRule="auto"/>
        <w:ind w:left="420" w:left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9.3供应商有下列情形之一的，属于恶意串通行为，将报同级监督管理部门：</w:t>
      </w:r>
    </w:p>
    <w:p w14:paraId="762F48EF">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（1）供应商直接或者间接从采购人或者采购代理机构处获得其他供应商的相关信息并修改其投标文件或者响应文件；</w:t>
      </w:r>
    </w:p>
    <w:p w14:paraId="0F0DDDE8">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（2）供应商按照采购人或者采购代理机构的授意撤换、修改投标文件或者响应文件；</w:t>
      </w:r>
    </w:p>
    <w:p w14:paraId="2206C21C">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（3）供应商之间协商报价、技术方案等投标文件或者响应文件的实质性内容；</w:t>
      </w:r>
    </w:p>
    <w:p w14:paraId="785161D1">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（4）属于同一集团、协会、商会等组织成员的供应商按照该组织要求协同参加政府采购活动；</w:t>
      </w:r>
    </w:p>
    <w:p w14:paraId="65229139">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14:paraId="7A2A331C">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（6）供应商之间商定部分供应商放弃参加政府采购活动或者放弃中标；</w:t>
      </w:r>
    </w:p>
    <w:p w14:paraId="3FF7BF98">
      <w:pPr>
        <w:pStyle w:val="25"/>
        <w:snapToGrid w:val="0"/>
        <w:spacing w:line="360" w:lineRule="auto"/>
        <w:ind w:left="2" w:leftChars="1"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（7）供应商与采购人或者采购代理机构之间、供应商相互之间，为谋求特定供应商中标或者排斥其他供应商的其他串通行为。</w:t>
      </w:r>
    </w:p>
    <w:p w14:paraId="1E7DFED1">
      <w:pPr>
        <w:pStyle w:val="25"/>
        <w:snapToGrid w:val="0"/>
        <w:spacing w:line="360" w:lineRule="auto"/>
        <w:ind w:left="2" w:leftChars="1" w:firstLine="422" w:firstLineChars="200"/>
        <w:rPr>
          <w:rFonts w:ascii="仿宋" w:hAnsi="仿宋" w:eastAsia="仿宋" w:cs="仿宋"/>
          <w:b/>
          <w:color w:val="auto"/>
          <w:kern w:val="2"/>
          <w:sz w:val="21"/>
          <w:highlight w:val="none"/>
        </w:rPr>
      </w:pPr>
    </w:p>
    <w:p w14:paraId="62A54E2C">
      <w:pPr>
        <w:pStyle w:val="5"/>
        <w:keepNext w:val="0"/>
        <w:keepLines w:val="0"/>
        <w:jc w:val="center"/>
        <w:rPr>
          <w:rFonts w:ascii="仿宋" w:hAnsi="仿宋" w:eastAsia="仿宋" w:cs="仿宋"/>
          <w:color w:val="auto"/>
          <w:highlight w:val="none"/>
        </w:rPr>
      </w:pPr>
      <w:bookmarkStart w:id="86" w:name="_Toc254970534"/>
      <w:bookmarkStart w:id="87" w:name="_Toc254970675"/>
      <w:r>
        <w:rPr>
          <w:rFonts w:hint="eastAsia" w:ascii="仿宋" w:hAnsi="仿宋" w:eastAsia="仿宋" w:cs="仿宋"/>
          <w:color w:val="auto"/>
          <w:highlight w:val="none"/>
        </w:rPr>
        <w:t>二、招标文件</w:t>
      </w:r>
      <w:bookmarkEnd w:id="86"/>
      <w:bookmarkEnd w:id="87"/>
    </w:p>
    <w:p w14:paraId="7AB4DB4D">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10.招标文件的组成</w:t>
      </w:r>
    </w:p>
    <w:p w14:paraId="074E19B4">
      <w:pPr>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（1）招标公告；</w:t>
      </w:r>
    </w:p>
    <w:p w14:paraId="5A3CC41D">
      <w:pPr>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（2）采购需求； </w:t>
      </w:r>
    </w:p>
    <w:p w14:paraId="683C6F70">
      <w:pPr>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（3）投标人须知；</w:t>
      </w:r>
    </w:p>
    <w:p w14:paraId="718C12E5">
      <w:pPr>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（4）评标方法及评标标准；</w:t>
      </w:r>
    </w:p>
    <w:p w14:paraId="25BDDB05">
      <w:pPr>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（5）拟签订的合同文本；</w:t>
      </w:r>
    </w:p>
    <w:p w14:paraId="7F882402">
      <w:pPr>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（6）投标文件格式。</w:t>
      </w:r>
    </w:p>
    <w:p w14:paraId="24DA4EB9">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11.招标文件的澄清、修改 、现场考察和答疑会</w:t>
      </w:r>
    </w:p>
    <w:p w14:paraId="660ADB8F">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4995DA4F">
      <w:pPr>
        <w:pStyle w:val="7"/>
        <w:keepNext w:val="0"/>
        <w:keepLines w:val="0"/>
        <w:numPr>
          <w:ilvl w:val="0"/>
          <w:numId w:val="0"/>
        </w:numPr>
        <w:spacing w:before="0" w:after="0" w:line="360" w:lineRule="auto"/>
        <w:ind w:firstLine="480" w:firstLineChars="200"/>
        <w:rPr>
          <w:rFonts w:ascii="仿宋" w:hAnsi="仿宋" w:eastAsia="仿宋" w:cs="仿宋"/>
          <w:color w:val="auto"/>
          <w:sz w:val="24"/>
          <w:highlight w:val="none"/>
        </w:rPr>
      </w:pPr>
      <w:r>
        <w:rPr>
          <w:rFonts w:hint="eastAsia" w:ascii="仿宋" w:hAnsi="仿宋" w:eastAsia="仿宋" w:cs="仿宋"/>
          <w:b w:val="0"/>
          <w:color w:val="auto"/>
          <w:sz w:val="24"/>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14E4EEF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11.3采购人和采购代理机构可以视采购具体情况，变更投标截止时间和开标时间，并在原公告发布媒体上发布更正公告。</w:t>
      </w:r>
    </w:p>
    <w:p w14:paraId="2DB0C45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11.4招标文件澄清、答复、修改、补充的内容为招标文件的组成部分。</w:t>
      </w:r>
      <w:r>
        <w:rPr>
          <w:rFonts w:hint="eastAsia" w:ascii="仿宋" w:hAnsi="仿宋" w:eastAsia="仿宋" w:cs="仿宋"/>
          <w:b/>
          <w:color w:val="auto"/>
          <w:sz w:val="24"/>
          <w:highlight w:val="none"/>
        </w:rPr>
        <w:t>当招标文件与招标文件的澄清、答复、修改、补充通知就同一内容的表述不一致时，以最后发出的文件为准。</w:t>
      </w:r>
    </w:p>
    <w:p w14:paraId="7168F713">
      <w:pPr>
        <w:pStyle w:val="25"/>
        <w:snapToGrid w:val="0"/>
        <w:spacing w:line="360" w:lineRule="auto"/>
        <w:ind w:firstLine="480" w:firstLineChars="200"/>
        <w:rPr>
          <w:rFonts w:ascii="仿宋" w:hAnsi="仿宋" w:eastAsia="仿宋" w:cs="仿宋"/>
          <w:color w:val="auto"/>
          <w:sz w:val="21"/>
          <w:highlight w:val="none"/>
        </w:rPr>
      </w:pPr>
      <w:r>
        <w:rPr>
          <w:rFonts w:hint="eastAsia" w:ascii="仿宋" w:hAnsi="仿宋" w:eastAsia="仿宋" w:cs="仿宋"/>
          <w:color w:val="auto"/>
          <w:sz w:val="24"/>
          <w:szCs w:val="24"/>
          <w:highlight w:val="none"/>
        </w:rPr>
        <w:t>11.</w:t>
      </w:r>
      <w:bookmarkStart w:id="88" w:name="_Hlk53134511"/>
      <w:r>
        <w:rPr>
          <w:rFonts w:hint="eastAsia" w:ascii="仿宋" w:hAnsi="仿宋" w:eastAsia="仿宋" w:cs="仿宋"/>
          <w:color w:val="auto"/>
          <w:sz w:val="24"/>
          <w:szCs w:val="24"/>
          <w:highlight w:val="none"/>
        </w:rPr>
        <w:t>5采购人或者采购代理机构可以在招标文件提供期限截止后，组织已获取招标文件的潜在投标人现场考察或者召开开标前答疑会，具体详见“投标人须知前附表”。</w:t>
      </w:r>
    </w:p>
    <w:bookmarkEnd w:id="88"/>
    <w:p w14:paraId="62DB79F4">
      <w:pPr>
        <w:pStyle w:val="25"/>
        <w:snapToGrid w:val="0"/>
        <w:spacing w:line="360" w:lineRule="auto"/>
        <w:ind w:firstLine="420" w:firstLineChars="200"/>
        <w:rPr>
          <w:rFonts w:ascii="仿宋" w:hAnsi="仿宋" w:eastAsia="仿宋" w:cs="仿宋"/>
          <w:color w:val="auto"/>
          <w:sz w:val="21"/>
          <w:highlight w:val="none"/>
        </w:rPr>
      </w:pPr>
    </w:p>
    <w:p w14:paraId="18E26E9E">
      <w:pPr>
        <w:pStyle w:val="5"/>
        <w:keepNext w:val="0"/>
        <w:keepLines w:val="0"/>
        <w:jc w:val="center"/>
        <w:rPr>
          <w:rFonts w:ascii="仿宋" w:hAnsi="仿宋" w:eastAsia="仿宋" w:cs="仿宋"/>
          <w:color w:val="auto"/>
          <w:highlight w:val="none"/>
        </w:rPr>
      </w:pPr>
      <w:bookmarkStart w:id="89" w:name="_Toc254970676"/>
      <w:bookmarkStart w:id="90" w:name="_Toc254970535"/>
      <w:r>
        <w:rPr>
          <w:rFonts w:hint="eastAsia" w:ascii="仿宋" w:hAnsi="仿宋" w:eastAsia="仿宋" w:cs="仿宋"/>
          <w:color w:val="auto"/>
          <w:highlight w:val="none"/>
        </w:rPr>
        <w:t>三、投标文件的编制</w:t>
      </w:r>
      <w:bookmarkEnd w:id="89"/>
      <w:bookmarkEnd w:id="90"/>
    </w:p>
    <w:p w14:paraId="41BA693B">
      <w:pPr>
        <w:pStyle w:val="7"/>
        <w:keepNext w:val="0"/>
        <w:keepLines w:val="0"/>
        <w:spacing w:before="0" w:after="0" w:line="360" w:lineRule="auto"/>
        <w:ind w:left="420" w:leftChars="200"/>
        <w:rPr>
          <w:rFonts w:ascii="仿宋" w:hAnsi="仿宋" w:eastAsia="仿宋" w:cs="仿宋"/>
          <w:color w:val="auto"/>
          <w:sz w:val="24"/>
          <w:highlight w:val="none"/>
        </w:rPr>
      </w:pPr>
      <w:bookmarkStart w:id="91" w:name="_Toc254970677"/>
      <w:bookmarkStart w:id="92" w:name="_Toc254970536"/>
      <w:r>
        <w:rPr>
          <w:rFonts w:hint="eastAsia" w:ascii="仿宋" w:hAnsi="仿宋" w:eastAsia="仿宋" w:cs="仿宋"/>
          <w:color w:val="auto"/>
          <w:sz w:val="24"/>
          <w:highlight w:val="none"/>
        </w:rPr>
        <w:t>12.投标文件的编制原则</w:t>
      </w:r>
    </w:p>
    <w:p w14:paraId="2763E15D">
      <w:pPr>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投标人必须按照招标文件的要求编制投标文件。投标文件必须对招标文件提出的要求和条件作出明确响应。</w:t>
      </w:r>
    </w:p>
    <w:p w14:paraId="3DC979F6">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13.投标文件的组成</w:t>
      </w:r>
      <w:bookmarkEnd w:id="91"/>
      <w:bookmarkEnd w:id="92"/>
    </w:p>
    <w:p w14:paraId="7558AFA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13.1投标文件由报价文件、资格证明文件、商务文件、技术文件四部分组成。</w:t>
      </w:r>
    </w:p>
    <w:p w14:paraId="665778FA">
      <w:pPr>
        <w:pStyle w:val="7"/>
        <w:keepNext w:val="0"/>
        <w:keepLines w:val="0"/>
        <w:spacing w:before="0" w:after="0" w:line="360" w:lineRule="auto"/>
        <w:ind w:left="420" w:leftChars="200"/>
        <w:rPr>
          <w:rFonts w:ascii="仿宋" w:hAnsi="仿宋" w:eastAsia="仿宋" w:cs="仿宋"/>
          <w:b w:val="0"/>
          <w:color w:val="auto"/>
          <w:sz w:val="24"/>
          <w:highlight w:val="none"/>
        </w:rPr>
      </w:pPr>
      <w:bookmarkStart w:id="93" w:name="_13.1报价文件:_具体材料见“投标人须知前附表”。"/>
      <w:bookmarkEnd w:id="93"/>
      <w:r>
        <w:rPr>
          <w:rFonts w:hint="eastAsia" w:ascii="仿宋" w:hAnsi="仿宋" w:eastAsia="仿宋" w:cs="仿宋"/>
          <w:b w:val="0"/>
          <w:color w:val="auto"/>
          <w:sz w:val="24"/>
          <w:highlight w:val="none"/>
        </w:rPr>
        <w:t>（1）报价文件： 具体材料见“投标人须知前附表”。</w:t>
      </w:r>
    </w:p>
    <w:p w14:paraId="44C8EA75">
      <w:pPr>
        <w:pStyle w:val="7"/>
        <w:keepNext w:val="0"/>
        <w:keepLines w:val="0"/>
        <w:spacing w:before="0" w:after="0" w:line="360" w:lineRule="auto"/>
        <w:ind w:left="420" w:leftChars="200"/>
        <w:rPr>
          <w:rFonts w:ascii="仿宋" w:hAnsi="仿宋" w:eastAsia="仿宋" w:cs="仿宋"/>
          <w:b w:val="0"/>
          <w:color w:val="auto"/>
          <w:sz w:val="24"/>
          <w:highlight w:val="none"/>
        </w:rPr>
      </w:pPr>
      <w:bookmarkStart w:id="94" w:name="_13.2资格证明文件：具体材料见“投标人须知前附表”。"/>
      <w:bookmarkEnd w:id="94"/>
      <w:r>
        <w:rPr>
          <w:rFonts w:hint="eastAsia" w:ascii="仿宋" w:hAnsi="仿宋" w:eastAsia="仿宋" w:cs="仿宋"/>
          <w:b w:val="0"/>
          <w:color w:val="auto"/>
          <w:sz w:val="24"/>
          <w:highlight w:val="none"/>
        </w:rPr>
        <w:t>（2）资格证明文件：具体材料见“投标人须知前附表”。</w:t>
      </w:r>
    </w:p>
    <w:p w14:paraId="6AD769F6">
      <w:pPr>
        <w:pStyle w:val="7"/>
        <w:keepNext w:val="0"/>
        <w:keepLines w:val="0"/>
        <w:spacing w:before="0" w:after="0" w:line="360" w:lineRule="auto"/>
        <w:ind w:left="420" w:leftChars="200"/>
        <w:rPr>
          <w:rFonts w:ascii="仿宋" w:hAnsi="仿宋" w:eastAsia="仿宋" w:cs="仿宋"/>
          <w:b w:val="0"/>
          <w:color w:val="auto"/>
          <w:sz w:val="24"/>
          <w:highlight w:val="none"/>
        </w:rPr>
      </w:pPr>
      <w:bookmarkStart w:id="95" w:name="_13.3商务文件:_具体材料见“投标人须知前附表”。"/>
      <w:bookmarkEnd w:id="95"/>
      <w:r>
        <w:rPr>
          <w:rFonts w:hint="eastAsia" w:ascii="仿宋" w:hAnsi="仿宋" w:eastAsia="仿宋" w:cs="仿宋"/>
          <w:b w:val="0"/>
          <w:color w:val="auto"/>
          <w:sz w:val="24"/>
          <w:highlight w:val="none"/>
        </w:rPr>
        <w:t>（3）商务文件：具体材料见“投标人须知前附表”。</w:t>
      </w:r>
    </w:p>
    <w:p w14:paraId="6508EBF0">
      <w:pPr>
        <w:pStyle w:val="7"/>
        <w:keepNext w:val="0"/>
        <w:keepLines w:val="0"/>
        <w:spacing w:before="0" w:after="0" w:line="360" w:lineRule="auto"/>
        <w:ind w:left="420" w:leftChars="200"/>
        <w:rPr>
          <w:rFonts w:ascii="仿宋" w:hAnsi="仿宋" w:eastAsia="仿宋" w:cs="仿宋"/>
          <w:b w:val="0"/>
          <w:color w:val="auto"/>
          <w:sz w:val="24"/>
          <w:highlight w:val="none"/>
        </w:rPr>
      </w:pPr>
      <w:bookmarkStart w:id="96" w:name="_13.4技术文件：具体材料见“投标人须知前附表”。"/>
      <w:bookmarkEnd w:id="96"/>
      <w:r>
        <w:rPr>
          <w:rFonts w:hint="eastAsia" w:ascii="仿宋" w:hAnsi="仿宋" w:eastAsia="仿宋" w:cs="仿宋"/>
          <w:b w:val="0"/>
          <w:color w:val="auto"/>
          <w:sz w:val="24"/>
          <w:highlight w:val="none"/>
        </w:rPr>
        <w:t>（4）技术文件：具体材料见“投标人须知前附表”。</w:t>
      </w:r>
      <w:bookmarkStart w:id="97" w:name="_13.5投标文件电子版：具体材料见“投标人须知前附表”。"/>
      <w:bookmarkEnd w:id="97"/>
    </w:p>
    <w:p w14:paraId="225053D8">
      <w:pPr>
        <w:pStyle w:val="7"/>
        <w:keepNext w:val="0"/>
        <w:keepLines w:val="0"/>
        <w:spacing w:before="0" w:after="0" w:line="360" w:lineRule="auto"/>
        <w:ind w:left="420" w:leftChars="200"/>
        <w:rPr>
          <w:rFonts w:ascii="仿宋" w:hAnsi="仿宋" w:eastAsia="仿宋" w:cs="仿宋"/>
          <w:color w:val="auto"/>
          <w:sz w:val="24"/>
          <w:highlight w:val="none"/>
        </w:rPr>
      </w:pPr>
      <w:bookmarkStart w:id="98" w:name="_Toc254970678"/>
      <w:bookmarkStart w:id="99" w:name="_Toc254970537"/>
      <w:r>
        <w:rPr>
          <w:rFonts w:hint="eastAsia" w:ascii="仿宋" w:hAnsi="仿宋" w:eastAsia="仿宋" w:cs="仿宋"/>
          <w:color w:val="auto"/>
          <w:sz w:val="24"/>
          <w:highlight w:val="none"/>
        </w:rPr>
        <w:t>14.投标文件的语言及计量</w:t>
      </w:r>
      <w:bookmarkEnd w:id="98"/>
      <w:bookmarkEnd w:id="99"/>
    </w:p>
    <w:p w14:paraId="7EAD5065">
      <w:pPr>
        <w:pStyle w:val="7"/>
        <w:keepNext w:val="0"/>
        <w:keepLines w:val="0"/>
        <w:spacing w:before="0" w:after="0" w:line="360" w:lineRule="auto"/>
        <w:ind w:left="420" w:left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14.1语言文字</w:t>
      </w:r>
    </w:p>
    <w:p w14:paraId="59F2251B">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98664BC">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14.2投标计量单位</w:t>
      </w:r>
    </w:p>
    <w:p w14:paraId="73D357A9">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招标文件已有明确规定的，使用招标文件规定的计量单位；招标文件没有规定的，应采用中华人民共和国法定计量单位，货币种类为人民币，否则视同未响应。</w:t>
      </w:r>
    </w:p>
    <w:p w14:paraId="0DD6E6A8">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15.投标的风险</w:t>
      </w:r>
    </w:p>
    <w:p w14:paraId="085B830B">
      <w:pPr>
        <w:pStyle w:val="25"/>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投标人没有按照招标文件要求提供全部资料，或者投标人没有对招标文件作出实质性响应是投标人的风险，并可能导致其投标被拒绝。</w:t>
      </w:r>
    </w:p>
    <w:p w14:paraId="39BEDF77">
      <w:pPr>
        <w:pStyle w:val="7"/>
        <w:keepNext w:val="0"/>
        <w:keepLines w:val="0"/>
        <w:spacing w:before="0" w:after="0" w:line="360" w:lineRule="auto"/>
        <w:ind w:left="420" w:leftChars="200"/>
        <w:rPr>
          <w:rFonts w:ascii="仿宋" w:hAnsi="仿宋" w:eastAsia="仿宋" w:cs="仿宋"/>
          <w:color w:val="auto"/>
          <w:sz w:val="24"/>
          <w:highlight w:val="none"/>
        </w:rPr>
      </w:pPr>
      <w:bookmarkStart w:id="100" w:name="_Toc254970538"/>
      <w:bookmarkStart w:id="101" w:name="_Toc254970679"/>
      <w:r>
        <w:rPr>
          <w:rFonts w:hint="eastAsia" w:ascii="仿宋" w:hAnsi="仿宋" w:eastAsia="仿宋" w:cs="仿宋"/>
          <w:color w:val="auto"/>
          <w:sz w:val="24"/>
          <w:highlight w:val="none"/>
        </w:rPr>
        <w:t>16.投标报价</w:t>
      </w:r>
      <w:bookmarkEnd w:id="100"/>
      <w:bookmarkEnd w:id="101"/>
    </w:p>
    <w:p w14:paraId="6A8FA0FC">
      <w:pPr>
        <w:pStyle w:val="7"/>
        <w:keepNext w:val="0"/>
        <w:keepLines w:val="0"/>
        <w:spacing w:before="0" w:after="0" w:line="360" w:lineRule="auto"/>
        <w:ind w:left="420" w:left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16.1投标报价应按“第六章　投标文件格式”中“开标一览表”格式填写。</w:t>
      </w:r>
    </w:p>
    <w:p w14:paraId="231FCBB3">
      <w:pPr>
        <w:pStyle w:val="7"/>
        <w:keepNext w:val="0"/>
        <w:keepLines w:val="0"/>
        <w:spacing w:before="0" w:after="0" w:line="360" w:lineRule="auto"/>
        <w:ind w:left="420" w:leftChars="200"/>
        <w:rPr>
          <w:rFonts w:ascii="仿宋" w:hAnsi="仿宋" w:eastAsia="仿宋" w:cs="仿宋"/>
          <w:b w:val="0"/>
          <w:color w:val="auto"/>
          <w:sz w:val="24"/>
          <w:highlight w:val="none"/>
        </w:rPr>
      </w:pPr>
      <w:bookmarkStart w:id="102" w:name="_16.2投标报价具体定义见投标人须知前附表。"/>
      <w:bookmarkEnd w:id="102"/>
      <w:r>
        <w:rPr>
          <w:rFonts w:hint="eastAsia" w:ascii="仿宋" w:hAnsi="仿宋" w:eastAsia="仿宋" w:cs="仿宋"/>
          <w:b w:val="0"/>
          <w:color w:val="auto"/>
          <w:sz w:val="24"/>
          <w:highlight w:val="none"/>
        </w:rPr>
        <w:t>16.2投标报价具体包括内容详见“投标人须知前附表”。</w:t>
      </w:r>
    </w:p>
    <w:p w14:paraId="15D657F0">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16.3投标人必须就所投每个分标的全部内容分别作完整唯一总价报价，不得存在漏项报价；投标人必须就所投分标的单项内容作唯一报价。</w:t>
      </w:r>
    </w:p>
    <w:p w14:paraId="5AF857B8">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17.投标有效期</w:t>
      </w:r>
    </w:p>
    <w:p w14:paraId="044A1D44">
      <w:pPr>
        <w:pStyle w:val="7"/>
        <w:keepNext w:val="0"/>
        <w:keepLines w:val="0"/>
        <w:spacing w:before="0" w:after="0" w:line="360" w:lineRule="auto"/>
        <w:ind w:firstLine="480" w:firstLineChars="200"/>
        <w:rPr>
          <w:rFonts w:ascii="仿宋" w:hAnsi="仿宋" w:eastAsia="仿宋" w:cs="仿宋"/>
          <w:b w:val="0"/>
          <w:color w:val="auto"/>
          <w:sz w:val="24"/>
          <w:highlight w:val="none"/>
        </w:rPr>
      </w:pPr>
      <w:bookmarkStart w:id="103" w:name="_17.1投标有效期应按“投标人须知中的前附表”规定的期限。"/>
      <w:bookmarkEnd w:id="103"/>
      <w:r>
        <w:rPr>
          <w:rFonts w:hint="eastAsia" w:ascii="仿宋" w:hAnsi="仿宋" w:eastAsia="仿宋" w:cs="仿宋"/>
          <w:b w:val="0"/>
          <w:color w:val="auto"/>
          <w:sz w:val="24"/>
          <w:highlight w:val="none"/>
        </w:rPr>
        <w:t>17.1投标有效期是指为保证采购人有足够的时间在开标后完成评标、定标、合同签订等工作而要求投标人提交的投标文件在一定时间内保持有效的期限。</w:t>
      </w:r>
    </w:p>
    <w:p w14:paraId="2A517100">
      <w:pPr>
        <w:pStyle w:val="7"/>
        <w:keepNext w:val="0"/>
        <w:keepLines w:val="0"/>
        <w:spacing w:before="0" w:after="0" w:line="360" w:lineRule="auto"/>
        <w:ind w:left="420" w:left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17.2</w:t>
      </w:r>
      <w:bookmarkStart w:id="104" w:name="_Toc254970681"/>
      <w:bookmarkStart w:id="105" w:name="_Toc254970540"/>
      <w:r>
        <w:rPr>
          <w:rFonts w:hint="eastAsia" w:ascii="仿宋" w:hAnsi="仿宋" w:eastAsia="仿宋" w:cs="仿宋"/>
          <w:b w:val="0"/>
          <w:color w:val="auto"/>
          <w:sz w:val="24"/>
          <w:highlight w:val="none"/>
        </w:rPr>
        <w:t xml:space="preserve"> 投标有效期应按规定的期限作出承诺，具体详见“投标人须知前附表”。</w:t>
      </w:r>
    </w:p>
    <w:p w14:paraId="1168E8CA">
      <w:pPr>
        <w:pStyle w:val="7"/>
        <w:keepNext w:val="0"/>
        <w:keepLines w:val="0"/>
        <w:spacing w:before="0" w:after="0" w:line="360" w:lineRule="auto"/>
        <w:ind w:left="420" w:left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17.3投标人的投标文件在投标有效期内均保持有效。</w:t>
      </w:r>
      <w:bookmarkEnd w:id="104"/>
      <w:bookmarkEnd w:id="105"/>
    </w:p>
    <w:p w14:paraId="00B7546B">
      <w:pPr>
        <w:pStyle w:val="7"/>
        <w:keepNext w:val="0"/>
        <w:keepLines w:val="0"/>
        <w:spacing w:before="0" w:after="0" w:line="360" w:lineRule="auto"/>
        <w:ind w:left="420" w:leftChars="200"/>
        <w:rPr>
          <w:rFonts w:ascii="仿宋" w:hAnsi="仿宋" w:eastAsia="仿宋" w:cs="仿宋"/>
          <w:color w:val="auto"/>
          <w:sz w:val="24"/>
          <w:highlight w:val="none"/>
        </w:rPr>
      </w:pPr>
      <w:bookmarkStart w:id="106" w:name="_18.投标保证金"/>
      <w:bookmarkEnd w:id="106"/>
      <w:bookmarkStart w:id="107" w:name="_Toc254970682"/>
      <w:bookmarkStart w:id="108" w:name="_Toc254970541"/>
      <w:r>
        <w:rPr>
          <w:rFonts w:hint="eastAsia" w:ascii="仿宋" w:hAnsi="仿宋" w:eastAsia="仿宋" w:cs="仿宋"/>
          <w:color w:val="auto"/>
          <w:sz w:val="24"/>
          <w:highlight w:val="none"/>
        </w:rPr>
        <w:t>18.投标保证金</w:t>
      </w:r>
      <w:bookmarkEnd w:id="107"/>
      <w:bookmarkEnd w:id="108"/>
    </w:p>
    <w:p w14:paraId="142E47D8">
      <w:pPr>
        <w:pStyle w:val="7"/>
        <w:keepNext w:val="0"/>
        <w:keepLines w:val="0"/>
        <w:spacing w:before="0" w:after="0" w:line="360" w:lineRule="auto"/>
        <w:ind w:left="420" w:left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18.1投标人须按“投标人须知前附表” 的规定提交投标保证金。</w:t>
      </w:r>
    </w:p>
    <w:p w14:paraId="4E86DB12">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18.2投标保证金的退还</w:t>
      </w:r>
    </w:p>
    <w:p w14:paraId="268F3053">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未中标人的投标保证金自中标通知书发出之日起5个工作日内退还；中标人的投标保证金自政府采购合同签订之日起5个工作日内退还。 </w:t>
      </w:r>
    </w:p>
    <w:p w14:paraId="5E3D95CD">
      <w:pPr>
        <w:pStyle w:val="7"/>
        <w:keepNext w:val="0"/>
        <w:keepLines w:val="0"/>
        <w:spacing w:before="0" w:after="0" w:line="360" w:lineRule="auto"/>
        <w:ind w:left="420" w:left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18.3除逾期退还投标保证金和终止招标的情形以外，投标保证金不计息。</w:t>
      </w:r>
    </w:p>
    <w:p w14:paraId="7BA8B568">
      <w:pPr>
        <w:pStyle w:val="7"/>
        <w:keepNext w:val="0"/>
        <w:keepLines w:val="0"/>
        <w:spacing w:before="0" w:after="0" w:line="360" w:lineRule="auto"/>
        <w:ind w:left="420" w:left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18.4投标人有下列情形之一的，投标保证金将不予退还： </w:t>
      </w:r>
    </w:p>
    <w:p w14:paraId="1244521E">
      <w:pPr>
        <w:snapToGrid w:val="0"/>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（1）投标人在投标截止时间后至有效期内撤回投标文件的；</w:t>
      </w:r>
    </w:p>
    <w:p w14:paraId="620EFBA0">
      <w:pPr>
        <w:snapToGrid w:val="0"/>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（2）中标后未按规定提交履约保证金的；</w:t>
      </w:r>
    </w:p>
    <w:p w14:paraId="73D801D6">
      <w:pPr>
        <w:snapToGrid w:val="0"/>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（3）投标人在投标过程中弄虚作假，提供虚假材料的；</w:t>
      </w:r>
    </w:p>
    <w:p w14:paraId="40CB7158">
      <w:pPr>
        <w:snapToGrid w:val="0"/>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（4）中标人无正当理由不与采购人签订合同的；</w:t>
      </w:r>
    </w:p>
    <w:p w14:paraId="57C8078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（5）投标人出现本章第9.2、9.3、30.4情形的；</w:t>
      </w:r>
    </w:p>
    <w:p w14:paraId="2FD56F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（6）法律法规规定的其他情形。</w:t>
      </w:r>
    </w:p>
    <w:p w14:paraId="2A19E6B5">
      <w:pPr>
        <w:pStyle w:val="7"/>
        <w:keepNext w:val="0"/>
        <w:keepLines w:val="0"/>
        <w:spacing w:before="0" w:after="0" w:line="360" w:lineRule="auto"/>
        <w:ind w:left="420" w:leftChars="200"/>
        <w:rPr>
          <w:rFonts w:ascii="仿宋" w:hAnsi="仿宋" w:eastAsia="仿宋" w:cs="仿宋"/>
          <w:color w:val="auto"/>
          <w:sz w:val="24"/>
          <w:highlight w:val="none"/>
        </w:rPr>
      </w:pPr>
      <w:bookmarkStart w:id="109" w:name="_Toc254970542"/>
      <w:bookmarkStart w:id="110" w:name="_Toc254970683"/>
      <w:r>
        <w:rPr>
          <w:rFonts w:hint="eastAsia" w:ascii="仿宋" w:hAnsi="仿宋" w:eastAsia="仿宋" w:cs="仿宋"/>
          <w:color w:val="auto"/>
          <w:sz w:val="24"/>
          <w:highlight w:val="none"/>
        </w:rPr>
        <w:t>19.投标文件的</w:t>
      </w:r>
      <w:bookmarkEnd w:id="109"/>
      <w:bookmarkEnd w:id="110"/>
      <w:r>
        <w:rPr>
          <w:rFonts w:hint="eastAsia" w:ascii="仿宋" w:hAnsi="仿宋" w:eastAsia="仿宋" w:cs="仿宋"/>
          <w:color w:val="auto"/>
          <w:sz w:val="24"/>
          <w:highlight w:val="none"/>
        </w:rPr>
        <w:t>编制</w:t>
      </w:r>
    </w:p>
    <w:p w14:paraId="3EB47C47">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2D10976C">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bookmarkStart w:id="111" w:name="_19.2投标文件应按报价文件、资格证明文件、商务文件、技术文件分别编制"/>
      <w:bookmarkEnd w:id="111"/>
      <w:r>
        <w:rPr>
          <w:rFonts w:hint="eastAsia" w:ascii="仿宋" w:hAnsi="仿宋" w:eastAsia="仿宋" w:cs="仿宋"/>
          <w:b w:val="0"/>
          <w:color w:val="auto"/>
          <w:sz w:val="24"/>
          <w:highlight w:val="none"/>
        </w:rPr>
        <w:t>19.2投标文件应按报价文件、资格证明文件、商务文件、技术文件分别编制电子文件，并按广西政府采购云平台的要求编制、加密、上传。</w:t>
      </w:r>
    </w:p>
    <w:p w14:paraId="708DC5BA">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19.</w:t>
      </w:r>
      <w:bookmarkStart w:id="112" w:name="_Hlk65832616"/>
      <w:r>
        <w:rPr>
          <w:rFonts w:hint="eastAsia" w:ascii="仿宋" w:hAnsi="仿宋" w:eastAsia="仿宋" w:cs="仿宋"/>
          <w:b w:val="0"/>
          <w:color w:val="auto"/>
          <w:sz w:val="24"/>
          <w:highlight w:val="none"/>
        </w:rPr>
        <w:t>3投标文件须由投标人在规定位置盖公章并签字</w:t>
      </w:r>
      <w:bookmarkStart w:id="113" w:name="_Hlk65832569"/>
      <w:r>
        <w:rPr>
          <w:rFonts w:hint="eastAsia" w:ascii="仿宋" w:hAnsi="仿宋" w:eastAsia="仿宋" w:cs="仿宋"/>
          <w:b w:val="0"/>
          <w:color w:val="auto"/>
          <w:sz w:val="24"/>
          <w:highlight w:val="none"/>
        </w:rPr>
        <w:t>（具体以投标人须知前附表或投标文件格式规定为准）</w:t>
      </w:r>
      <w:bookmarkEnd w:id="112"/>
      <w:bookmarkEnd w:id="113"/>
      <w:r>
        <w:rPr>
          <w:rFonts w:hint="eastAsia" w:ascii="仿宋" w:hAnsi="仿宋" w:eastAsia="仿宋" w:cs="仿宋"/>
          <w:b w:val="0"/>
          <w:color w:val="auto"/>
          <w:sz w:val="24"/>
          <w:highlight w:val="none"/>
        </w:rPr>
        <w:t>，</w:t>
      </w:r>
      <w:r>
        <w:rPr>
          <w:rFonts w:hint="eastAsia" w:ascii="仿宋" w:hAnsi="仿宋" w:eastAsia="仿宋" w:cs="仿宋"/>
          <w:bCs/>
          <w:color w:val="auto"/>
          <w:sz w:val="24"/>
          <w:highlight w:val="none"/>
        </w:rPr>
        <w:t>否则按无效投标处理</w:t>
      </w:r>
      <w:r>
        <w:rPr>
          <w:rFonts w:hint="eastAsia" w:ascii="仿宋" w:hAnsi="仿宋" w:eastAsia="仿宋" w:cs="仿宋"/>
          <w:b w:val="0"/>
          <w:color w:val="auto"/>
          <w:sz w:val="24"/>
          <w:highlight w:val="none"/>
        </w:rPr>
        <w:t>。</w:t>
      </w:r>
    </w:p>
    <w:p w14:paraId="09E752F4">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19.4投标文件中标注的投标人名称应与主体资格证明（如营业执照、事业单位法人证书、执业许可证、自然人身份证等）及公章一致，</w:t>
      </w:r>
      <w:r>
        <w:rPr>
          <w:rFonts w:hint="eastAsia" w:ascii="仿宋" w:hAnsi="仿宋" w:eastAsia="仿宋" w:cs="仿宋"/>
          <w:color w:val="auto"/>
          <w:sz w:val="24"/>
          <w:highlight w:val="none"/>
        </w:rPr>
        <w:t>否则按无效投标处理</w:t>
      </w:r>
      <w:r>
        <w:rPr>
          <w:rFonts w:hint="eastAsia" w:ascii="仿宋" w:hAnsi="仿宋" w:eastAsia="仿宋" w:cs="仿宋"/>
          <w:b w:val="0"/>
          <w:color w:val="auto"/>
          <w:sz w:val="24"/>
          <w:highlight w:val="none"/>
        </w:rPr>
        <w:t>。</w:t>
      </w:r>
    </w:p>
    <w:p w14:paraId="0A662127">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0B1285BA">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20.投标文件的加密、解密</w:t>
      </w:r>
    </w:p>
    <w:p w14:paraId="60A0D8A8">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20.1电子投标文件编制完成后，投标人应按广西政府采购云平台的要求进行加密，并在规定时间内解密，否则，由此产生的后果由投标人自行负责。</w:t>
      </w:r>
    </w:p>
    <w:p w14:paraId="15A485B1">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b w:val="0"/>
          <w:bCs/>
          <w:color w:val="auto"/>
          <w:sz w:val="24"/>
          <w:highlight w:val="none"/>
        </w:rPr>
        <w:t>20.2本项目不接受电子备份投标文件。</w:t>
      </w:r>
    </w:p>
    <w:p w14:paraId="63A996EA">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21.投标文件的提交</w:t>
      </w:r>
    </w:p>
    <w:p w14:paraId="7C0F7103">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bookmarkStart w:id="114" w:name="_21.1投标人必须在“投标人须知中的前附表”规定的投标文件接收时间和投"/>
      <w:bookmarkEnd w:id="114"/>
      <w:r>
        <w:rPr>
          <w:rFonts w:hint="eastAsia" w:ascii="仿宋" w:hAnsi="仿宋" w:eastAsia="仿宋" w:cs="仿宋"/>
          <w:b w:val="0"/>
          <w:color w:val="auto"/>
          <w:sz w:val="24"/>
          <w:highlight w:val="none"/>
        </w:rPr>
        <w:t>21.1投标人必须在“投标人须知前附表”规定的投标文件接收时间和投标地点提交投标文件。</w:t>
      </w:r>
    </w:p>
    <w:p w14:paraId="776F7068">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09382A6A">
      <w:pPr>
        <w:pStyle w:val="7"/>
        <w:keepNext w:val="0"/>
        <w:keepLines w:val="0"/>
        <w:numPr>
          <w:ilvl w:val="0"/>
          <w:numId w:val="0"/>
        </w:numPr>
        <w:spacing w:before="0" w:after="0" w:line="360" w:lineRule="auto"/>
        <w:ind w:firstLine="480" w:firstLineChars="200"/>
        <w:jc w:val="left"/>
        <w:rPr>
          <w:rFonts w:ascii="仿宋" w:hAnsi="仿宋" w:eastAsia="仿宋" w:cs="仿宋"/>
          <w:b w:val="0"/>
          <w:color w:val="auto"/>
          <w:sz w:val="24"/>
          <w:highlight w:val="none"/>
        </w:rPr>
      </w:pPr>
      <w:r>
        <w:rPr>
          <w:rFonts w:hint="eastAsia" w:ascii="仿宋" w:hAnsi="仿宋" w:eastAsia="仿宋" w:cs="仿宋"/>
          <w:b w:val="0"/>
          <w:color w:val="auto"/>
          <w:sz w:val="24"/>
          <w:highlight w:val="none"/>
        </w:rPr>
        <w:t>21.3未在规定时间内上传或者未按广西政府采购云平台的要求编制、加密的电子投标文件，广西政府采购云平台将拒收。</w:t>
      </w:r>
    </w:p>
    <w:p w14:paraId="4ABFD5E3">
      <w:pPr>
        <w:pStyle w:val="8"/>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21.4电子投标文件提交方式见“招标公告”中“四、提交投标文件截止时间、开标时间和地点”</w:t>
      </w:r>
    </w:p>
    <w:p w14:paraId="3C7D33D7">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22.投标文件的补充、修改、撤回与退回</w:t>
      </w:r>
    </w:p>
    <w:p w14:paraId="2A3A98CC">
      <w:pPr>
        <w:snapToGrid w:val="0"/>
        <w:spacing w:line="360" w:lineRule="auto"/>
        <w:ind w:firstLine="420"/>
        <w:jc w:val="left"/>
        <w:rPr>
          <w:rFonts w:ascii="仿宋" w:hAnsi="仿宋" w:eastAsia="仿宋" w:cs="仿宋"/>
          <w:color w:val="auto"/>
          <w:sz w:val="24"/>
          <w:highlight w:val="none"/>
        </w:rPr>
      </w:pPr>
      <w:bookmarkStart w:id="115" w:name="_Toc254970543"/>
      <w:bookmarkStart w:id="116" w:name="_Toc254970684"/>
      <w:r>
        <w:rPr>
          <w:rFonts w:hint="eastAsia" w:ascii="仿宋" w:hAnsi="仿宋" w:eastAsia="仿宋" w:cs="仿宋"/>
          <w:color w:val="auto"/>
          <w:sz w:val="24"/>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15"/>
      <w:bookmarkEnd w:id="116"/>
      <w:r>
        <w:rPr>
          <w:rFonts w:hint="eastAsia" w:ascii="仿宋" w:hAnsi="仿宋" w:eastAsia="仿宋" w:cs="仿宋"/>
          <w:color w:val="auto"/>
          <w:sz w:val="24"/>
          <w:highlight w:val="none"/>
        </w:rPr>
        <w:t>（补充、修改或者撤回方式可登陆广西政府采购云平台，依次进入“服务中心”中查看 “电子投标文件制作与投送教程”）。</w:t>
      </w:r>
    </w:p>
    <w:p w14:paraId="25048DD9">
      <w:pPr>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3AC279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 投标人在投标截止时间后书面通知采购人、采购代理机构撤回投标文件的，将根据本须知正文18.4的规定不予退还其投标保证金。</w:t>
      </w:r>
    </w:p>
    <w:p w14:paraId="51ACA7EC">
      <w:pPr>
        <w:pStyle w:val="20"/>
        <w:snapToGrid w:val="0"/>
        <w:spacing w:line="360" w:lineRule="auto"/>
        <w:ind w:firstLine="845"/>
        <w:rPr>
          <w:rFonts w:ascii="仿宋" w:hAnsi="仿宋" w:eastAsia="仿宋" w:cs="仿宋"/>
          <w:snapToGrid w:val="0"/>
          <w:color w:val="auto"/>
          <w:sz w:val="24"/>
          <w:szCs w:val="24"/>
          <w:highlight w:val="none"/>
        </w:rPr>
      </w:pPr>
    </w:p>
    <w:p w14:paraId="67B2DB87">
      <w:pPr>
        <w:pStyle w:val="5"/>
        <w:keepNext w:val="0"/>
        <w:keepLines w:val="0"/>
        <w:jc w:val="center"/>
        <w:rPr>
          <w:rFonts w:ascii="仿宋" w:hAnsi="仿宋" w:eastAsia="仿宋" w:cs="仿宋"/>
          <w:color w:val="auto"/>
          <w:highlight w:val="none"/>
        </w:rPr>
      </w:pPr>
      <w:bookmarkStart w:id="117" w:name="_Toc254970544"/>
      <w:bookmarkStart w:id="118" w:name="_Toc254970685"/>
      <w:r>
        <w:rPr>
          <w:rFonts w:hint="eastAsia" w:ascii="仿宋" w:hAnsi="仿宋" w:eastAsia="仿宋" w:cs="仿宋"/>
          <w:color w:val="auto"/>
          <w:highlight w:val="none"/>
        </w:rPr>
        <w:t>四、开    标</w:t>
      </w:r>
      <w:bookmarkEnd w:id="117"/>
      <w:bookmarkEnd w:id="118"/>
    </w:p>
    <w:p w14:paraId="539CBF3B">
      <w:pPr>
        <w:pStyle w:val="7"/>
        <w:keepNext w:val="0"/>
        <w:keepLines w:val="0"/>
        <w:spacing w:before="0" w:after="0" w:line="360" w:lineRule="auto"/>
        <w:ind w:left="420" w:leftChars="200"/>
        <w:rPr>
          <w:rFonts w:ascii="仿宋" w:hAnsi="仿宋" w:eastAsia="仿宋" w:cs="仿宋"/>
          <w:color w:val="auto"/>
          <w:sz w:val="24"/>
          <w:highlight w:val="none"/>
        </w:rPr>
      </w:pPr>
      <w:bookmarkStart w:id="119" w:name="_23.开标时间和地点"/>
      <w:bookmarkEnd w:id="119"/>
      <w:r>
        <w:rPr>
          <w:rFonts w:hint="eastAsia" w:ascii="仿宋" w:hAnsi="仿宋" w:eastAsia="仿宋" w:cs="仿宋"/>
          <w:color w:val="auto"/>
          <w:sz w:val="24"/>
          <w:highlight w:val="none"/>
        </w:rPr>
        <w:t>23.开标时间和地点</w:t>
      </w:r>
    </w:p>
    <w:p w14:paraId="3F611792">
      <w:pPr>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23.1开标时间及地点详见“投标人须知前附表”</w:t>
      </w:r>
    </w:p>
    <w:p w14:paraId="0AD20D6A">
      <w:pPr>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23.2如投标人成功解密投标文件，但未在“广西政府采购云平台”电子开标大厅参加开标的，视同认可开标过程和结果，由此产生的后果由投标人自行负责。成功解密投标文件的投标人不足3家的，不得开标。</w:t>
      </w:r>
    </w:p>
    <w:p w14:paraId="37595906">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24.开标程序</w:t>
      </w:r>
    </w:p>
    <w:p w14:paraId="79B919E3">
      <w:pPr>
        <w:autoSpaceDE w:val="0"/>
        <w:autoSpaceDN w:val="0"/>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bCs/>
          <w:color w:val="auto"/>
          <w:sz w:val="24"/>
          <w:highlight w:val="none"/>
        </w:rPr>
        <w:t xml:space="preserve">24.1 </w:t>
      </w:r>
      <w:r>
        <w:rPr>
          <w:rFonts w:hint="eastAsia" w:ascii="仿宋" w:hAnsi="仿宋" w:eastAsia="仿宋" w:cs="仿宋"/>
          <w:color w:val="auto"/>
          <w:kern w:val="0"/>
          <w:sz w:val="24"/>
          <w:highlight w:val="none"/>
        </w:rPr>
        <w:t>开标形式：</w:t>
      </w:r>
    </w:p>
    <w:p w14:paraId="4D230A15">
      <w:pPr>
        <w:autoSpaceDE w:val="0"/>
        <w:autoSpaceDN w:val="0"/>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446A1C4">
      <w:pPr>
        <w:autoSpaceDE w:val="0"/>
        <w:autoSpaceDN w:val="0"/>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24.2 开标程序：</w:t>
      </w:r>
    </w:p>
    <w:p w14:paraId="34B8C9C0">
      <w:pPr>
        <w:autoSpaceDE w:val="0"/>
        <w:autoSpaceDN w:val="0"/>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cs="仿宋"/>
          <w:b/>
          <w:bCs/>
          <w:color w:val="auto"/>
          <w:sz w:val="24"/>
          <w:highlight w:val="none"/>
        </w:rPr>
        <w:t>投标人的法定代表人或其委托代理人须携带加密时所用的CA锁准时登录到广西政府采购云平台电子开标大厅签到</w:t>
      </w:r>
      <w:r>
        <w:rPr>
          <w:rFonts w:hint="eastAsia" w:ascii="仿宋" w:hAnsi="仿宋" w:eastAsia="仿宋" w:cs="仿宋"/>
          <w:b/>
          <w:color w:val="auto"/>
          <w:sz w:val="24"/>
          <w:highlight w:val="none"/>
        </w:rPr>
        <w:t>并在发起解密</w:t>
      </w:r>
      <w:r>
        <w:rPr>
          <w:rFonts w:hint="eastAsia" w:ascii="仿宋" w:hAnsi="仿宋" w:eastAsia="仿宋" w:cs="仿宋"/>
          <w:b/>
          <w:bCs/>
          <w:color w:val="auto"/>
          <w:sz w:val="24"/>
          <w:highlight w:val="none"/>
        </w:rPr>
        <w:t>通知</w:t>
      </w:r>
      <w:r>
        <w:rPr>
          <w:rFonts w:hint="eastAsia" w:ascii="仿宋" w:hAnsi="仿宋" w:eastAsia="仿宋" w:cs="仿宋"/>
          <w:b/>
          <w:color w:val="auto"/>
          <w:sz w:val="24"/>
          <w:highlight w:val="none"/>
        </w:rPr>
        <w:t>之时起30分钟内完成</w:t>
      </w:r>
      <w:r>
        <w:rPr>
          <w:rFonts w:hint="eastAsia" w:ascii="仿宋" w:hAnsi="仿宋" w:eastAsia="仿宋" w:cs="仿宋"/>
          <w:b/>
          <w:bCs/>
          <w:color w:val="auto"/>
          <w:sz w:val="24"/>
          <w:highlight w:val="none"/>
        </w:rPr>
        <w:t>对电子投标文件解密。投标文件未按时解密的，视为无效投标。</w:t>
      </w:r>
      <w:r>
        <w:rPr>
          <w:rFonts w:hint="eastAsia" w:ascii="仿宋" w:hAnsi="仿宋" w:eastAsia="仿宋" w:cs="仿宋"/>
          <w:bCs/>
          <w:color w:val="auto"/>
          <w:sz w:val="24"/>
          <w:highlight w:val="none"/>
        </w:rPr>
        <w:t>（解密异常情况处理：详见本章29.5电子交易活动的中止。</w:t>
      </w:r>
    </w:p>
    <w:p w14:paraId="302093A8">
      <w:pPr>
        <w:autoSpaceDE w:val="0"/>
        <w:autoSpaceDN w:val="0"/>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（2）电子唱标。投标文件解密结束，各投标供应商报价均在“广西政府采购云平台”平台远程不见面开标大厅展示；</w:t>
      </w:r>
    </w:p>
    <w:p w14:paraId="6CCD63C1">
      <w:pPr>
        <w:autoSpaceDE w:val="0"/>
        <w:autoSpaceDN w:val="0"/>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（3）签署电子《政府采购活动现场确认声明书》。通过邮件形式在远程不见面开标大厅发送各投标人签署电子《政府采购活动现场确认声明书》。</w:t>
      </w:r>
    </w:p>
    <w:p w14:paraId="1E78C725">
      <w:pPr>
        <w:autoSpaceDE w:val="0"/>
        <w:autoSpaceDN w:val="0"/>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1A7C9CCD">
      <w:pPr>
        <w:autoSpaceDE w:val="0"/>
        <w:autoSpaceDN w:val="0"/>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9982D74">
      <w:pPr>
        <w:autoSpaceDE w:val="0"/>
        <w:autoSpaceDN w:val="0"/>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（6）开标结束。</w:t>
      </w:r>
    </w:p>
    <w:p w14:paraId="1E1491D6">
      <w:pPr>
        <w:autoSpaceDE w:val="0"/>
        <w:autoSpaceDN w:val="0"/>
        <w:adjustRightIn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特别说明：如遇广西政府采购云平台电子化开标或评审程序调整的，按调整后执行。</w:t>
      </w:r>
    </w:p>
    <w:p w14:paraId="162B784A">
      <w:pPr>
        <w:pStyle w:val="25"/>
        <w:snapToGrid w:val="0"/>
        <w:spacing w:line="360" w:lineRule="auto"/>
        <w:ind w:left="689" w:leftChars="228" w:hanging="210" w:hangingChars="100"/>
        <w:rPr>
          <w:rFonts w:ascii="仿宋" w:hAnsi="仿宋" w:eastAsia="仿宋" w:cs="仿宋"/>
          <w:color w:val="auto"/>
          <w:sz w:val="21"/>
          <w:highlight w:val="none"/>
        </w:rPr>
      </w:pPr>
    </w:p>
    <w:p w14:paraId="1CB2758B">
      <w:pPr>
        <w:pStyle w:val="5"/>
        <w:keepNext w:val="0"/>
        <w:keepLines w:val="0"/>
        <w:jc w:val="center"/>
        <w:rPr>
          <w:rFonts w:ascii="仿宋" w:hAnsi="仿宋" w:eastAsia="仿宋" w:cs="仿宋"/>
          <w:color w:val="auto"/>
          <w:highlight w:val="none"/>
        </w:rPr>
      </w:pPr>
      <w:r>
        <w:rPr>
          <w:rFonts w:hint="eastAsia" w:ascii="仿宋" w:hAnsi="仿宋" w:eastAsia="仿宋" w:cs="仿宋"/>
          <w:color w:val="auto"/>
          <w:highlight w:val="none"/>
        </w:rPr>
        <w:t>五、资格审查</w:t>
      </w:r>
    </w:p>
    <w:p w14:paraId="055413FD">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25.资格审查</w:t>
      </w:r>
    </w:p>
    <w:p w14:paraId="058F971F">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25.1开标结束后，采购人或者采购代理机构依法对投标人的资格进行审查。</w:t>
      </w:r>
    </w:p>
    <w:p w14:paraId="70A53B4D">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25.2资格审查标准为本招标文件中载明对投标人资格要求的条件。本项目资格审查采用合格制，凡符合招标文件规定的投标人资格要求的投标人均通过资格审查。</w:t>
      </w:r>
    </w:p>
    <w:p w14:paraId="0DE0FE46">
      <w:pPr>
        <w:pStyle w:val="7"/>
        <w:keepNext w:val="0"/>
        <w:keepLines w:val="0"/>
        <w:numPr>
          <w:ilvl w:val="0"/>
          <w:numId w:val="0"/>
        </w:numPr>
        <w:spacing w:before="0" w:after="0" w:line="360" w:lineRule="auto"/>
        <w:ind w:firstLine="482" w:firstLineChars="200"/>
        <w:rPr>
          <w:rFonts w:ascii="仿宋" w:hAnsi="仿宋" w:eastAsia="仿宋" w:cs="仿宋"/>
          <w:color w:val="auto"/>
          <w:sz w:val="24"/>
          <w:highlight w:val="none"/>
        </w:rPr>
      </w:pPr>
      <w:bookmarkStart w:id="120" w:name="_25.3_投标人有下列情形之一的，资格审查不通过而导致其投标无效："/>
      <w:bookmarkEnd w:id="120"/>
      <w:r>
        <w:rPr>
          <w:rFonts w:hint="eastAsia" w:ascii="仿宋" w:hAnsi="仿宋" w:eastAsia="仿宋" w:cs="仿宋"/>
          <w:color w:val="auto"/>
          <w:sz w:val="24"/>
          <w:highlight w:val="none"/>
        </w:rPr>
        <w:t>25.3 投标人有下列情形之一的，资格审查不通过，作无效投标处理：</w:t>
      </w:r>
    </w:p>
    <w:p w14:paraId="0B877C4E">
      <w:pPr>
        <w:pStyle w:val="25"/>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（1）未按招标文件规定的方式获取本招标文件的投标人；</w:t>
      </w:r>
    </w:p>
    <w:p w14:paraId="67B86AA4">
      <w:pPr>
        <w:pStyle w:val="25"/>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（2）不具备招标文件中规定的资格要求的；</w:t>
      </w:r>
    </w:p>
    <w:p w14:paraId="28DFF929">
      <w:pPr>
        <w:pStyle w:val="25"/>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 </w:t>
      </w:r>
    </w:p>
    <w:p w14:paraId="33665CBB">
      <w:pPr>
        <w:pStyle w:val="25"/>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79004CAB">
      <w:pPr>
        <w:pStyle w:val="25"/>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（5）投标文件中的资格证明文件缺少任一项“投标人须知前附表”资格证明文件规定“必须提供”的文件资料的；</w:t>
      </w:r>
    </w:p>
    <w:p w14:paraId="1B8A3B0D">
      <w:pPr>
        <w:pStyle w:val="25"/>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（6）投标文件中的资格证明文件出现任一项不符合“投标人须知前附表”资格证明文件规定“必须提供”的文件资料要求或者无效的。</w:t>
      </w:r>
    </w:p>
    <w:p w14:paraId="21083006">
      <w:pPr>
        <w:pStyle w:val="7"/>
        <w:keepNext w:val="0"/>
        <w:keepLines w:val="0"/>
        <w:spacing w:before="0" w:after="0" w:line="360" w:lineRule="auto"/>
        <w:ind w:left="420" w:leftChars="200"/>
        <w:rPr>
          <w:rFonts w:ascii="仿宋" w:hAnsi="仿宋" w:eastAsia="仿宋" w:cs="仿宋"/>
          <w:b w:val="0"/>
          <w:color w:val="auto"/>
          <w:sz w:val="24"/>
          <w:highlight w:val="none"/>
        </w:rPr>
      </w:pPr>
      <w:r>
        <w:rPr>
          <w:rFonts w:hint="eastAsia" w:ascii="仿宋" w:hAnsi="仿宋" w:eastAsia="仿宋" w:cs="仿宋"/>
          <w:color w:val="auto"/>
          <w:sz w:val="24"/>
          <w:highlight w:val="none"/>
        </w:rPr>
        <w:t>25.4合格投标人不足3家的，不得评标。</w:t>
      </w:r>
    </w:p>
    <w:p w14:paraId="522728E6">
      <w:pPr>
        <w:pStyle w:val="25"/>
        <w:snapToGrid w:val="0"/>
        <w:spacing w:line="360" w:lineRule="auto"/>
        <w:ind w:left="719" w:leftChars="228" w:hanging="240" w:hangingChars="100"/>
        <w:rPr>
          <w:rFonts w:ascii="仿宋" w:hAnsi="仿宋" w:eastAsia="仿宋" w:cs="仿宋"/>
          <w:color w:val="auto"/>
          <w:sz w:val="24"/>
          <w:szCs w:val="24"/>
          <w:highlight w:val="none"/>
        </w:rPr>
      </w:pPr>
    </w:p>
    <w:p w14:paraId="4358EDC6">
      <w:pPr>
        <w:pStyle w:val="5"/>
        <w:keepNext w:val="0"/>
        <w:keepLines w:val="0"/>
        <w:jc w:val="center"/>
        <w:rPr>
          <w:rFonts w:ascii="仿宋" w:hAnsi="仿宋" w:eastAsia="仿宋" w:cs="仿宋"/>
          <w:color w:val="auto"/>
          <w:highlight w:val="none"/>
        </w:rPr>
      </w:pPr>
      <w:r>
        <w:rPr>
          <w:rFonts w:hint="eastAsia" w:ascii="仿宋" w:hAnsi="仿宋" w:eastAsia="仿宋" w:cs="仿宋"/>
          <w:color w:val="auto"/>
          <w:highlight w:val="none"/>
        </w:rPr>
        <w:t>六、评   标</w:t>
      </w:r>
    </w:p>
    <w:p w14:paraId="45A6A630">
      <w:pPr>
        <w:pStyle w:val="7"/>
        <w:keepNext w:val="0"/>
        <w:keepLines w:val="0"/>
        <w:spacing w:before="0" w:after="0" w:line="360" w:lineRule="auto"/>
        <w:ind w:left="420" w:leftChars="200"/>
        <w:rPr>
          <w:rFonts w:ascii="仿宋" w:hAnsi="仿宋" w:eastAsia="仿宋" w:cs="仿宋"/>
          <w:color w:val="auto"/>
          <w:sz w:val="24"/>
          <w:highlight w:val="none"/>
        </w:rPr>
      </w:pPr>
      <w:bookmarkStart w:id="121" w:name="_26.组建评标委员会"/>
      <w:bookmarkEnd w:id="121"/>
      <w:r>
        <w:rPr>
          <w:rFonts w:hint="eastAsia" w:ascii="仿宋" w:hAnsi="仿宋" w:eastAsia="仿宋" w:cs="仿宋"/>
          <w:color w:val="auto"/>
          <w:sz w:val="24"/>
          <w:highlight w:val="none"/>
        </w:rPr>
        <w:t>26.组建评标委员会</w:t>
      </w:r>
    </w:p>
    <w:p w14:paraId="25425070">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26.1评标委员会由采购人代表和评审专家组成，具体人数详见“投标人须知前附表”，其中评审专家不得少于成员总数的三分之二。</w:t>
      </w:r>
    </w:p>
    <w:p w14:paraId="7C1499B9">
      <w:pPr>
        <w:pStyle w:val="25"/>
        <w:snapToGrid w:val="0"/>
        <w:spacing w:line="360" w:lineRule="auto"/>
        <w:ind w:left="2" w:leftChars="1"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26.2参加过采购项目前期咨询论证的专家，不得参加该采购项目的评审活动。</w:t>
      </w:r>
    </w:p>
    <w:p w14:paraId="3D5A4186">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27.评标的依据</w:t>
      </w:r>
    </w:p>
    <w:p w14:paraId="4A907A23">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评标委员会以“第四章 评标方法和评标标准”为依据对投标文件进行评审，没有规定的方法、评审因素和标准，不作为评标依据。</w:t>
      </w:r>
    </w:p>
    <w:p w14:paraId="23AA5CFE">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28.评标原则</w:t>
      </w:r>
    </w:p>
    <w:p w14:paraId="59BE52AA">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5762E27">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28.2</w:t>
      </w:r>
      <w:bookmarkStart w:id="122" w:name="_28.3评标方法。本项目将按须知前附表规定的评标办法进行评标，具体评标"/>
      <w:bookmarkEnd w:id="122"/>
      <w:r>
        <w:rPr>
          <w:rFonts w:hint="eastAsia" w:ascii="仿宋" w:hAnsi="仿宋" w:eastAsia="仿宋" w:cs="仿宋"/>
          <w:color w:val="auto"/>
          <w:sz w:val="24"/>
          <w:szCs w:val="24"/>
          <w:highlight w:val="none"/>
        </w:rPr>
        <w:t>评委表决。评标委员会成员对需要共同认定的事项存在争议的，应当按照少数服从多数的原则作出结论。</w:t>
      </w:r>
    </w:p>
    <w:p w14:paraId="51D58BAC">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85C28EB">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28.4评标过程的监控。本项目评标过程实行网上留痕、全程录音、录像监控，</w:t>
      </w:r>
      <w:r>
        <w:rPr>
          <w:rFonts w:hint="eastAsia" w:ascii="仿宋" w:hAnsi="仿宋" w:eastAsia="仿宋" w:cs="仿宋"/>
          <w:b/>
          <w:bCs/>
          <w:color w:val="auto"/>
          <w:sz w:val="24"/>
          <w:szCs w:val="24"/>
          <w:highlight w:val="none"/>
        </w:rPr>
        <w:t>投标人在评标过程中所进行的试图影响评标结果的不公正活动，可能导致其投标无效</w:t>
      </w:r>
      <w:r>
        <w:rPr>
          <w:rFonts w:hint="eastAsia" w:ascii="仿宋" w:hAnsi="仿宋" w:eastAsia="仿宋" w:cs="仿宋"/>
          <w:color w:val="auto"/>
          <w:sz w:val="24"/>
          <w:szCs w:val="24"/>
          <w:highlight w:val="none"/>
        </w:rPr>
        <w:t>。</w:t>
      </w:r>
    </w:p>
    <w:p w14:paraId="529A7445">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29.评标方法及中标候选人推荐</w:t>
      </w:r>
    </w:p>
    <w:p w14:paraId="0A6B5E0D">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29.1本项目的评标方法详见“投标人须知前附表”。</w:t>
      </w:r>
    </w:p>
    <w:p w14:paraId="5403CA2D">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29.2 采购需求允许负偏离的条款数量及中标候选人推荐数量详见“投标人须知前附表”。</w:t>
      </w:r>
    </w:p>
    <w:p w14:paraId="306FF5B1">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29.3中标候选人推荐数量详见“投标人须知前附表”。</w:t>
      </w:r>
    </w:p>
    <w:p w14:paraId="52315CDE">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29.4评标委员会将按照“第四章 评标方法和评标标准”规定的方法、评审因素、标准和程序对投标文件进行评审。</w:t>
      </w:r>
    </w:p>
    <w:p w14:paraId="4AC49B1F">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29.5电子交易活动的中止。采购过程中出现以下情形，导致电子交易平台无法正常运行，或者无法保证电子交易的公平、公正和安全时，采购代理机构可中止电子交易活动：</w:t>
      </w:r>
    </w:p>
    <w:p w14:paraId="737FD25E">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（1）电子交易平台发生故障而无法登录访问的； </w:t>
      </w:r>
    </w:p>
    <w:p w14:paraId="09B665C0">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356A2522">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441F4D89">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（4）病毒发作导致不能进行正常操作的； </w:t>
      </w:r>
    </w:p>
    <w:p w14:paraId="7FEE65D8">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77C610F1">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29.6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0484E8F6">
      <w:pPr>
        <w:pStyle w:val="25"/>
        <w:snapToGrid w:val="0"/>
        <w:spacing w:line="360" w:lineRule="auto"/>
        <w:rPr>
          <w:rFonts w:ascii="仿宋" w:hAnsi="仿宋" w:eastAsia="仿宋" w:cs="仿宋"/>
          <w:color w:val="auto"/>
          <w:sz w:val="24"/>
          <w:szCs w:val="24"/>
          <w:highlight w:val="none"/>
        </w:rPr>
      </w:pPr>
    </w:p>
    <w:p w14:paraId="79E9DF22">
      <w:pPr>
        <w:pStyle w:val="5"/>
        <w:keepNext w:val="0"/>
        <w:keepLines w:val="0"/>
        <w:jc w:val="center"/>
        <w:rPr>
          <w:rFonts w:ascii="仿宋" w:hAnsi="仿宋" w:eastAsia="仿宋" w:cs="仿宋"/>
          <w:color w:val="auto"/>
          <w:highlight w:val="none"/>
        </w:rPr>
      </w:pPr>
      <w:bookmarkStart w:id="123" w:name="_Toc254970687"/>
      <w:bookmarkStart w:id="124" w:name="_Toc254970546"/>
      <w:r>
        <w:rPr>
          <w:rFonts w:hint="eastAsia" w:ascii="仿宋" w:hAnsi="仿宋" w:eastAsia="仿宋" w:cs="仿宋"/>
          <w:color w:val="auto"/>
          <w:highlight w:val="none"/>
        </w:rPr>
        <w:t>七、</w:t>
      </w:r>
      <w:bookmarkEnd w:id="123"/>
      <w:bookmarkEnd w:id="124"/>
      <w:r>
        <w:rPr>
          <w:rFonts w:hint="eastAsia" w:ascii="仿宋" w:hAnsi="仿宋" w:eastAsia="仿宋" w:cs="仿宋"/>
          <w:color w:val="auto"/>
          <w:highlight w:val="none"/>
        </w:rPr>
        <w:t>中标和合同</w:t>
      </w:r>
    </w:p>
    <w:p w14:paraId="1C221D48">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30.确定中标人</w:t>
      </w:r>
    </w:p>
    <w:p w14:paraId="63CA0548">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583988D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30.2采购人在收到评标报告5个工作日内未按评标报告推荐的中标候选人顺序确定中标人，又不能说明合法理由的，视同按评标报告推荐的顺序确定排名第一的中标候选人为中标人。</w:t>
      </w:r>
    </w:p>
    <w:p w14:paraId="3243EA0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30.3出现下列情形之一的，应予废标：</w:t>
      </w:r>
    </w:p>
    <w:p w14:paraId="7276491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（1）符合专业条件的供应商或者对招标文件作实质响应的供应商不足三家的；</w:t>
      </w:r>
    </w:p>
    <w:p w14:paraId="3EDFC25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292E5CB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（3）投标人的报价均超过了采购预算，采购人不能支付的；</w:t>
      </w:r>
    </w:p>
    <w:p w14:paraId="72A8AB2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（4）因重大变故，采购任务取消的。</w:t>
      </w:r>
    </w:p>
    <w:p w14:paraId="4BBAF7F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废标后，采购人应当将废标理由通知所有投标人。</w:t>
      </w:r>
    </w:p>
    <w:p w14:paraId="5EC7C83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31591876">
      <w:pPr>
        <w:pStyle w:val="17"/>
        <w:spacing w:after="120" w:line="360" w:lineRule="auto"/>
        <w:ind w:firstLine="482" w:firstLineChars="200"/>
        <w:rPr>
          <w:rFonts w:ascii="仿宋" w:hAnsi="仿宋" w:eastAsia="仿宋" w:cs="仿宋"/>
          <w:b/>
          <w:color w:val="auto"/>
          <w:highlight w:val="none"/>
        </w:rPr>
      </w:pPr>
      <w:r>
        <w:rPr>
          <w:rFonts w:hint="eastAsia" w:ascii="仿宋" w:hAnsi="仿宋" w:eastAsia="仿宋" w:cs="仿宋"/>
          <w:b/>
          <w:color w:val="auto"/>
          <w:sz w:val="24"/>
          <w:highlight w:val="none"/>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14:paraId="420C33F8">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31.结果公告</w:t>
      </w:r>
    </w:p>
    <w:p w14:paraId="69328769">
      <w:pPr>
        <w:pStyle w:val="7"/>
        <w:keepNext w:val="0"/>
        <w:keepLines w:val="0"/>
        <w:spacing w:before="0" w:after="0" w:line="360" w:lineRule="auto"/>
        <w:ind w:firstLine="482"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5281AA93">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31.2中标供应商享受《政府采购促进中小企业发展管理办法》（财库〔2020〕46号）规定的中小企业扶持政策的，采购人、采购代理机构应当随中标结果公开中标供应商的《中小企业声明函》。</w:t>
      </w:r>
    </w:p>
    <w:p w14:paraId="5379A4AA">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32.发出中标通知书</w:t>
      </w:r>
    </w:p>
    <w:p w14:paraId="7CAEF0BC">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5E565A79">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33.无义务解释未中标原因</w:t>
      </w:r>
    </w:p>
    <w:p w14:paraId="31D9CFAA">
      <w:pPr>
        <w:pStyle w:val="7"/>
        <w:keepNext w:val="0"/>
        <w:keepLines w:val="0"/>
        <w:spacing w:before="0" w:after="0" w:line="360" w:lineRule="auto"/>
        <w:ind w:left="420" w:left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采购代理机构无义务向未中标的投标人解释未中标原因和退还投标文件。</w:t>
      </w:r>
    </w:p>
    <w:p w14:paraId="0C008254">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34.合同授予标准</w:t>
      </w:r>
    </w:p>
    <w:p w14:paraId="0A9494A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合同将授予被确定实质上响应招标文件要求，具备履行合同能力的中标人。</w:t>
      </w:r>
    </w:p>
    <w:p w14:paraId="01169C3D">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35.履约保证金</w:t>
      </w:r>
    </w:p>
    <w:p w14:paraId="5B748908">
      <w:pPr>
        <w:pStyle w:val="7"/>
        <w:keepNext w:val="0"/>
        <w:keepLines w:val="0"/>
        <w:spacing w:before="0" w:after="0" w:line="360" w:lineRule="auto"/>
        <w:ind w:firstLine="360" w:firstLineChars="150"/>
        <w:rPr>
          <w:rFonts w:ascii="仿宋" w:hAnsi="仿宋" w:eastAsia="仿宋" w:cs="仿宋"/>
          <w:b w:val="0"/>
          <w:color w:val="auto"/>
          <w:sz w:val="24"/>
          <w:highlight w:val="none"/>
        </w:rPr>
      </w:pPr>
      <w:bookmarkStart w:id="125" w:name="_39.1中标人须于签订合同前按本须知前附表规定的金额转账或电汇到指定账"/>
      <w:bookmarkEnd w:id="125"/>
      <w:r>
        <w:rPr>
          <w:rFonts w:hint="eastAsia" w:ascii="仿宋" w:hAnsi="仿宋" w:eastAsia="仿宋" w:cs="仿宋"/>
          <w:b w:val="0"/>
          <w:color w:val="auto"/>
          <w:sz w:val="24"/>
          <w:highlight w:val="none"/>
        </w:rPr>
        <w:t xml:space="preserve"> 35.1 履约保证金的金额、提交方式、退付的时间和条件详见 “投标人须知前附表”。</w:t>
      </w:r>
    </w:p>
    <w:p w14:paraId="20B9CC94">
      <w:pPr>
        <w:pStyle w:val="7"/>
        <w:keepNext w:val="0"/>
        <w:keepLines w:val="0"/>
        <w:spacing w:before="0" w:after="0" w:line="360" w:lineRule="auto"/>
        <w:ind w:firstLine="361" w:firstLineChars="150"/>
        <w:rPr>
          <w:rFonts w:ascii="仿宋" w:hAnsi="仿宋" w:eastAsia="仿宋" w:cs="仿宋"/>
          <w:b w:val="0"/>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val="0"/>
          <w:bCs/>
          <w:color w:val="auto"/>
          <w:sz w:val="24"/>
          <w:highlight w:val="none"/>
        </w:rPr>
        <w:t>35.2在履约保证金退还日期前，若中标人的开户名称、开户银行、帐号有变动的，请以书面形式通知履约保证金收取单位，否则由此产生的后果由中标人自行承担。</w:t>
      </w:r>
    </w:p>
    <w:p w14:paraId="12EA1273">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36.签订合同</w:t>
      </w:r>
    </w:p>
    <w:p w14:paraId="38D28099">
      <w:pPr>
        <w:pStyle w:val="7"/>
        <w:keepNext w:val="0"/>
        <w:keepLines w:val="0"/>
        <w:spacing w:before="0" w:after="0" w:line="360" w:lineRule="auto"/>
        <w:ind w:firstLine="360" w:firstLineChars="150"/>
        <w:rPr>
          <w:rFonts w:ascii="仿宋" w:hAnsi="仿宋" w:eastAsia="仿宋" w:cs="仿宋"/>
          <w:b w:val="0"/>
          <w:bCs/>
          <w:color w:val="auto"/>
          <w:sz w:val="24"/>
          <w:highlight w:val="none"/>
        </w:rPr>
      </w:pPr>
      <w:bookmarkStart w:id="126" w:name="_40.1投标人接到中标通知书后，按须知前附表规定向采购人出示相关资格证"/>
      <w:bookmarkEnd w:id="126"/>
      <w:r>
        <w:rPr>
          <w:rFonts w:hint="eastAsia" w:ascii="仿宋" w:hAnsi="仿宋" w:eastAsia="仿宋" w:cs="仿宋"/>
          <w:b w:val="0"/>
          <w:color w:val="auto"/>
          <w:sz w:val="24"/>
          <w:highlight w:val="none"/>
        </w:rPr>
        <w:t xml:space="preserve"> 36.1中标人在中标通知书发出之日起，按“投标人须知前附表”规定向采购人出示相关证明材料，经采购人核验合格后方可签订采购合同（书面或电子）。</w:t>
      </w:r>
      <w:r>
        <w:rPr>
          <w:rFonts w:hint="eastAsia" w:ascii="仿宋" w:hAnsi="仿宋" w:eastAsia="仿宋" w:cs="仿宋"/>
          <w:b w:val="0"/>
          <w:bCs/>
          <w:color w:val="auto"/>
          <w:sz w:val="24"/>
          <w:highlight w:val="none"/>
        </w:rPr>
        <w:t>如中标人为联合体的，联合体各方应当共同与采购人签订采购合同，就采购合同约定的事项对采购人承担连带责任。</w:t>
      </w:r>
    </w:p>
    <w:p w14:paraId="7E9C379C">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36.2签订合同时间：按中标通知书规定的时间与采购人签订合同（最长不能超过25日）。</w:t>
      </w:r>
    </w:p>
    <w:p w14:paraId="4A0E4732">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36.3中标人拒绝与采购人签订合同的，按照本文件之《投标人须知正文》第30.4条的规定执行。</w:t>
      </w:r>
    </w:p>
    <w:p w14:paraId="20CE15D1">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D27C5CD">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36.5 采购人或中标人不得单方面向合同另一方提出任何招标文件没有约定的条件或不合理的要求，作为签订合同的条件；也不得协商另行订立背离招标文件和合同实质性内容的协议。</w:t>
      </w:r>
    </w:p>
    <w:p w14:paraId="19DBF8E8">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36.6 如签订合同并生效后，供应商无故拒绝或延期，除按照合同条款处理外，将承担相应的法律责任。</w:t>
      </w:r>
    </w:p>
    <w:p w14:paraId="26E88EEF">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36.7 政府采购合同履行中，采购人需追加与合同标的相同的货物、工程或者服务的，在不改变合同其他条款的前提下，可以与供应商签订补充合同，但所有补充合同的采购金额不得超过原合同采购金额的10%。</w:t>
      </w:r>
    </w:p>
    <w:p w14:paraId="42C03892">
      <w:pPr>
        <w:pStyle w:val="7"/>
        <w:keepNext w:val="0"/>
        <w:keepLines w:val="0"/>
        <w:spacing w:before="0" w:after="0" w:line="360" w:lineRule="auto"/>
        <w:ind w:left="420" w:leftChars="200"/>
        <w:rPr>
          <w:rFonts w:ascii="仿宋" w:hAnsi="仿宋" w:eastAsia="仿宋" w:cs="仿宋"/>
          <w:color w:val="auto"/>
          <w:sz w:val="24"/>
          <w:highlight w:val="none"/>
        </w:rPr>
      </w:pPr>
      <w:bookmarkStart w:id="127" w:name="_41.政府采购合同公告"/>
      <w:bookmarkEnd w:id="127"/>
      <w:r>
        <w:rPr>
          <w:rFonts w:hint="eastAsia" w:ascii="仿宋" w:hAnsi="仿宋" w:eastAsia="仿宋" w:cs="仿宋"/>
          <w:color w:val="auto"/>
          <w:sz w:val="24"/>
          <w:highlight w:val="none"/>
        </w:rPr>
        <w:t>37.政府采购合同公告</w:t>
      </w:r>
    </w:p>
    <w:p w14:paraId="63471965">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39A62829">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38.询问、质疑和投诉</w:t>
      </w:r>
    </w:p>
    <w:p w14:paraId="365F7906">
      <w:pPr>
        <w:pStyle w:val="8"/>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38.1供应商对政府采购活动事项有疑问的，可以向采购人提出询问，采购人或者采购代理机构应当在3个工作日内对供应商依法提出的询问作出答复，但答复的内容不得涉及商业秘密。</w:t>
      </w:r>
    </w:p>
    <w:p w14:paraId="07B2A3A4">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6B3C707D">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（1）对可以质疑的招标文件提出质疑的，为收到招标文件之日或者招标文件公告期限届满之日；</w:t>
      </w:r>
    </w:p>
    <w:p w14:paraId="08B4682B">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（2）对采购过程提出质疑的，为各采购程序环节结束之日；</w:t>
      </w:r>
    </w:p>
    <w:p w14:paraId="0C0CFDBC">
      <w:pPr>
        <w:pStyle w:val="25"/>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（3）对中标结果提出质疑的，为中标结果公告期限届满之日。</w:t>
      </w:r>
    </w:p>
    <w:p w14:paraId="696ECD0B">
      <w:pPr>
        <w:pStyle w:val="7"/>
        <w:keepNext w:val="0"/>
        <w:keepLines w:val="0"/>
        <w:spacing w:before="0" w:after="0" w:line="360" w:lineRule="auto"/>
        <w:ind w:firstLine="360" w:firstLineChars="150"/>
        <w:rPr>
          <w:rFonts w:ascii="仿宋" w:hAnsi="仿宋" w:eastAsia="仿宋" w:cs="仿宋"/>
          <w:bCs/>
          <w:color w:val="auto"/>
          <w:sz w:val="24"/>
          <w:highlight w:val="none"/>
        </w:rPr>
      </w:pPr>
      <w:r>
        <w:rPr>
          <w:rFonts w:hint="eastAsia" w:ascii="仿宋" w:hAnsi="仿宋" w:eastAsia="仿宋" w:cs="仿宋"/>
          <w:b w:val="0"/>
          <w:color w:val="auto"/>
          <w:sz w:val="24"/>
          <w:highlight w:val="none"/>
        </w:rPr>
        <w:t xml:space="preserve">38.3 </w:t>
      </w:r>
      <w:r>
        <w:rPr>
          <w:rFonts w:hint="eastAsia" w:ascii="仿宋" w:hAnsi="仿宋" w:eastAsia="仿宋" w:cs="仿宋"/>
          <w:bCs/>
          <w:color w:val="auto"/>
          <w:sz w:val="24"/>
          <w:highlight w:val="none"/>
        </w:rPr>
        <w:t>供应商提出质疑应当提交质疑函和必要的证明材料，针对同一采购程序环节的质疑必须在法定质疑期内一次性提出。</w:t>
      </w:r>
    </w:p>
    <w:p w14:paraId="5ABCFE3B">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38.3.1 质疑供应商提起质疑应当符合下列条件：</w:t>
      </w:r>
    </w:p>
    <w:p w14:paraId="1F71F21B">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（1）质疑供应商是参与所质疑项目采购活动的供应商（潜在供应商已依法获取可质疑的采购文件的，可以对该采购文件质疑）；</w:t>
      </w:r>
    </w:p>
    <w:p w14:paraId="7161B306">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（2）质疑函内容符合本章第38.3.2项的规定；</w:t>
      </w:r>
    </w:p>
    <w:p w14:paraId="4C1DD661">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（3）在质疑有效期限内提起质疑；</w:t>
      </w:r>
    </w:p>
    <w:p w14:paraId="2FB621FA">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（4）属于所质疑的采购人或采购人委托的采购代理机构组织的采购活动； </w:t>
      </w:r>
    </w:p>
    <w:p w14:paraId="79424C62">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（5）供应商对同一采购程序环节的质疑应当在质疑有效期内一次性提出；</w:t>
      </w:r>
    </w:p>
    <w:p w14:paraId="7F794043">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（6）供应商提交质疑应当提交必要的证明材料，证明材料应以合法手段取得；</w:t>
      </w:r>
    </w:p>
    <w:p w14:paraId="69A3437F">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（7）财政部门规定的其他条件。</w:t>
      </w:r>
    </w:p>
    <w:p w14:paraId="37615466">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kern w:val="0"/>
          <w:sz w:val="24"/>
          <w:highlight w:val="none"/>
        </w:rPr>
        <w:t>38.3.2</w:t>
      </w:r>
      <w:r>
        <w:rPr>
          <w:rFonts w:hint="eastAsia" w:ascii="仿宋" w:hAnsi="仿宋" w:eastAsia="仿宋" w:cs="仿宋"/>
          <w:color w:val="auto"/>
          <w:kern w:val="0"/>
          <w:sz w:val="24"/>
          <w:highlight w:val="none"/>
        </w:rPr>
        <w:t>质</w:t>
      </w:r>
      <w:r>
        <w:rPr>
          <w:rFonts w:hint="eastAsia" w:ascii="仿宋" w:hAnsi="仿宋" w:eastAsia="仿宋" w:cs="仿宋"/>
          <w:bCs/>
          <w:color w:val="auto"/>
          <w:sz w:val="24"/>
          <w:highlight w:val="none"/>
        </w:rPr>
        <w:t>疑函应当包括下列内容（质疑函格式后附）：</w:t>
      </w:r>
    </w:p>
    <w:p w14:paraId="2BEFB129">
      <w:pPr>
        <w:pStyle w:val="25"/>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（1）供应商的姓名或者名称、地址、邮编、联系人及联系电话；</w:t>
      </w:r>
    </w:p>
    <w:p w14:paraId="256C3F26">
      <w:pPr>
        <w:pStyle w:val="25"/>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（2）质疑项目的名称、编号；</w:t>
      </w:r>
    </w:p>
    <w:p w14:paraId="44BF52B2">
      <w:pPr>
        <w:pStyle w:val="25"/>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（3）具体、明确的质疑事项和与质疑事项相关的请求；</w:t>
      </w:r>
    </w:p>
    <w:p w14:paraId="7AD451D9">
      <w:pPr>
        <w:pStyle w:val="25"/>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（4）事实依据；</w:t>
      </w:r>
    </w:p>
    <w:p w14:paraId="3E54F435">
      <w:pPr>
        <w:pStyle w:val="25"/>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（5）必要的法律依据；</w:t>
      </w:r>
    </w:p>
    <w:p w14:paraId="5C297131">
      <w:pPr>
        <w:pStyle w:val="25"/>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（6）提出质疑的日期。</w:t>
      </w:r>
    </w:p>
    <w:p w14:paraId="3CE839C5">
      <w:pPr>
        <w:pStyle w:val="25"/>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供应商为自然人的，应当由本人签字；供应商为法人或者其他组织的，应当由法定代表人、主要负责人，或者其委托代理人签字或者盖章，并加盖公章。</w:t>
      </w:r>
    </w:p>
    <w:p w14:paraId="33FD13A8">
      <w:pPr>
        <w:pStyle w:val="7"/>
        <w:keepNext w:val="0"/>
        <w:keepLines w:val="0"/>
        <w:snapToGrid w:val="0"/>
        <w:spacing w:before="0" w:after="0"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color w:val="auto"/>
          <w:sz w:val="24"/>
          <w:highlight w:val="none"/>
        </w:rPr>
        <w:t>3</w:t>
      </w:r>
      <w:r>
        <w:rPr>
          <w:rFonts w:hint="eastAsia" w:ascii="仿宋" w:hAnsi="仿宋" w:eastAsia="仿宋" w:cs="仿宋"/>
          <w:b w:val="0"/>
          <w:bCs/>
          <w:color w:val="auto"/>
          <w:sz w:val="24"/>
          <w:highlight w:val="none"/>
        </w:rPr>
        <w:t>8.4采购人、采购代理机构认为供应商质疑不成立，或者成立但未对中标结果构成影响的，继续开展采购活动；认为供应商质疑成立且影响或者可能影响中标结果的，按照下列情况处理：</w:t>
      </w:r>
    </w:p>
    <w:p w14:paraId="0EE7ECC0">
      <w:pPr>
        <w:pStyle w:val="25"/>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（1）对招标文件提出的质疑，依法通过澄清或者修改可以继续开展采购活动的，澄清或者修改招标文件后继续开展采购活动；否则应当修改招标文件后重新开展采购活动。</w:t>
      </w:r>
    </w:p>
    <w:p w14:paraId="7272379F">
      <w:pPr>
        <w:pStyle w:val="25"/>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（2）对采购过程、中标结果提出的质疑，合格供应商符合法定数量时，可以从合格的中标候选人中另行确定中标供应商的，应当依法另行确定中标供应商；否则应当重新开展采购活动。</w:t>
      </w:r>
    </w:p>
    <w:p w14:paraId="22CCBF9B">
      <w:pPr>
        <w:pStyle w:val="25"/>
        <w:snapToGrid w:val="0"/>
        <w:spacing w:line="360" w:lineRule="auto"/>
        <w:ind w:firstLine="42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质疑答复导致中标结果改变的，采购人或者采购代理机构应当将有关情况书面报告本级财政部门。</w:t>
      </w:r>
    </w:p>
    <w:p w14:paraId="23DF65EB">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28" w:name="_八、其他事项"/>
      <w:bookmarkEnd w:id="128"/>
    </w:p>
    <w:p w14:paraId="4C559C39">
      <w:pPr>
        <w:pStyle w:val="25"/>
        <w:snapToGrid w:val="0"/>
        <w:spacing w:line="360" w:lineRule="auto"/>
        <w:ind w:firstLine="480" w:firstLineChars="200"/>
        <w:rPr>
          <w:rFonts w:ascii="仿宋" w:hAnsi="仿宋" w:eastAsia="仿宋" w:cs="仿宋"/>
          <w:color w:val="auto"/>
          <w:sz w:val="24"/>
          <w:szCs w:val="24"/>
          <w:highlight w:val="none"/>
        </w:rPr>
      </w:pPr>
    </w:p>
    <w:p w14:paraId="0B5704DC">
      <w:pPr>
        <w:pStyle w:val="5"/>
        <w:keepNext w:val="0"/>
        <w:keepLines w:val="0"/>
        <w:jc w:val="center"/>
        <w:rPr>
          <w:rFonts w:ascii="仿宋" w:hAnsi="仿宋" w:eastAsia="仿宋" w:cs="仿宋"/>
          <w:color w:val="auto"/>
          <w:highlight w:val="none"/>
        </w:rPr>
      </w:pPr>
      <w:r>
        <w:rPr>
          <w:rFonts w:hint="eastAsia" w:ascii="仿宋" w:hAnsi="仿宋" w:eastAsia="仿宋" w:cs="仿宋"/>
          <w:color w:val="auto"/>
          <w:highlight w:val="none"/>
        </w:rPr>
        <w:t>八、其他事项</w:t>
      </w:r>
    </w:p>
    <w:p w14:paraId="246230B5">
      <w:pPr>
        <w:pStyle w:val="7"/>
        <w:keepNext w:val="0"/>
        <w:keepLines w:val="0"/>
        <w:spacing w:before="0" w:after="0" w:line="360" w:lineRule="auto"/>
        <w:ind w:left="420" w:leftChars="200"/>
        <w:rPr>
          <w:rFonts w:ascii="仿宋" w:hAnsi="仿宋" w:eastAsia="仿宋" w:cs="仿宋"/>
          <w:color w:val="auto"/>
          <w:sz w:val="24"/>
          <w:highlight w:val="none"/>
        </w:rPr>
      </w:pPr>
      <w:bookmarkStart w:id="129" w:name="_42.代理服务费"/>
      <w:bookmarkEnd w:id="129"/>
      <w:r>
        <w:rPr>
          <w:rFonts w:hint="eastAsia" w:ascii="仿宋" w:hAnsi="仿宋" w:eastAsia="仿宋" w:cs="仿宋"/>
          <w:color w:val="auto"/>
          <w:sz w:val="24"/>
          <w:highlight w:val="none"/>
        </w:rPr>
        <w:t>39.代理服务费</w:t>
      </w:r>
    </w:p>
    <w:p w14:paraId="65F35FDA">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39.1代理服务收取标准及缴费账户详见“投标人须知前附表”，投标人为联合体的，可以由联合体中的一方或者多方共同交纳代理服务费。</w:t>
      </w:r>
    </w:p>
    <w:p w14:paraId="44B10EB4">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39.2代理服务收费标准：</w:t>
      </w:r>
    </w:p>
    <w:tbl>
      <w:tblPr>
        <w:tblStyle w:val="49"/>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8CE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78DE7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费率</w:t>
            </w:r>
          </w:p>
          <w:p w14:paraId="79F451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中标金额（人民币）</w:t>
            </w:r>
          </w:p>
        </w:tc>
        <w:tc>
          <w:tcPr>
            <w:tcW w:w="1659" w:type="dxa"/>
            <w:vAlign w:val="center"/>
          </w:tcPr>
          <w:p w14:paraId="2CDC4DD3">
            <w:pPr>
              <w:spacing w:line="360" w:lineRule="auto"/>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货物招标</w:t>
            </w:r>
          </w:p>
        </w:tc>
        <w:tc>
          <w:tcPr>
            <w:tcW w:w="1687" w:type="dxa"/>
            <w:vAlign w:val="center"/>
          </w:tcPr>
          <w:p w14:paraId="1AA25CF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服务招标</w:t>
            </w:r>
          </w:p>
        </w:tc>
        <w:tc>
          <w:tcPr>
            <w:tcW w:w="1659" w:type="dxa"/>
            <w:vAlign w:val="center"/>
          </w:tcPr>
          <w:p w14:paraId="61D523E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工程招标</w:t>
            </w:r>
          </w:p>
        </w:tc>
      </w:tr>
      <w:tr w14:paraId="4082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F300B81">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100万元以下</w:t>
            </w:r>
          </w:p>
        </w:tc>
        <w:tc>
          <w:tcPr>
            <w:tcW w:w="1659" w:type="dxa"/>
            <w:vAlign w:val="center"/>
          </w:tcPr>
          <w:p w14:paraId="61362575">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687" w:type="dxa"/>
            <w:vAlign w:val="center"/>
          </w:tcPr>
          <w:p w14:paraId="7547F249">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659" w:type="dxa"/>
            <w:vAlign w:val="center"/>
          </w:tcPr>
          <w:p w14:paraId="6426D33A">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r>
      <w:tr w14:paraId="47BC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1595FEE">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100～500万元</w:t>
            </w:r>
          </w:p>
        </w:tc>
        <w:tc>
          <w:tcPr>
            <w:tcW w:w="1659" w:type="dxa"/>
            <w:vAlign w:val="center"/>
          </w:tcPr>
          <w:p w14:paraId="3CC21ED4">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87" w:type="dxa"/>
            <w:vAlign w:val="center"/>
          </w:tcPr>
          <w:p w14:paraId="7E257E08">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0.8%</w:t>
            </w:r>
          </w:p>
        </w:tc>
        <w:tc>
          <w:tcPr>
            <w:tcW w:w="1659" w:type="dxa"/>
            <w:vAlign w:val="center"/>
          </w:tcPr>
          <w:p w14:paraId="7F6102FF">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0.7%</w:t>
            </w:r>
          </w:p>
        </w:tc>
      </w:tr>
      <w:tr w14:paraId="67F8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517495F">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500～1000万元</w:t>
            </w:r>
          </w:p>
        </w:tc>
        <w:tc>
          <w:tcPr>
            <w:tcW w:w="1659" w:type="dxa"/>
            <w:vAlign w:val="center"/>
          </w:tcPr>
          <w:p w14:paraId="59669DAC">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0.8%</w:t>
            </w:r>
          </w:p>
        </w:tc>
        <w:tc>
          <w:tcPr>
            <w:tcW w:w="1687" w:type="dxa"/>
            <w:vAlign w:val="center"/>
          </w:tcPr>
          <w:p w14:paraId="50BBB95B">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0.45%</w:t>
            </w:r>
          </w:p>
        </w:tc>
        <w:tc>
          <w:tcPr>
            <w:tcW w:w="1659" w:type="dxa"/>
            <w:vAlign w:val="center"/>
          </w:tcPr>
          <w:p w14:paraId="4CC2CB26">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0.55%</w:t>
            </w:r>
          </w:p>
        </w:tc>
      </w:tr>
      <w:tr w14:paraId="1630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B546D9D">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1000～5000万元</w:t>
            </w:r>
          </w:p>
        </w:tc>
        <w:tc>
          <w:tcPr>
            <w:tcW w:w="1659" w:type="dxa"/>
            <w:vAlign w:val="center"/>
          </w:tcPr>
          <w:p w14:paraId="30FDF96D">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0.5%</w:t>
            </w:r>
          </w:p>
        </w:tc>
        <w:tc>
          <w:tcPr>
            <w:tcW w:w="1687" w:type="dxa"/>
            <w:vAlign w:val="center"/>
          </w:tcPr>
          <w:p w14:paraId="1A5698D3">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0.25%</w:t>
            </w:r>
          </w:p>
        </w:tc>
        <w:tc>
          <w:tcPr>
            <w:tcW w:w="1659" w:type="dxa"/>
            <w:vAlign w:val="center"/>
          </w:tcPr>
          <w:p w14:paraId="0731A269">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0.35%</w:t>
            </w:r>
          </w:p>
        </w:tc>
      </w:tr>
      <w:tr w14:paraId="754C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5371625C">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5000万元～1亿元</w:t>
            </w:r>
          </w:p>
        </w:tc>
        <w:tc>
          <w:tcPr>
            <w:tcW w:w="1659" w:type="dxa"/>
            <w:vAlign w:val="center"/>
          </w:tcPr>
          <w:p w14:paraId="3FD737F1">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0.25%</w:t>
            </w:r>
          </w:p>
        </w:tc>
        <w:tc>
          <w:tcPr>
            <w:tcW w:w="1687" w:type="dxa"/>
            <w:vAlign w:val="center"/>
          </w:tcPr>
          <w:p w14:paraId="3E89EE32">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0.1%</w:t>
            </w:r>
          </w:p>
        </w:tc>
        <w:tc>
          <w:tcPr>
            <w:tcW w:w="1659" w:type="dxa"/>
            <w:vAlign w:val="center"/>
          </w:tcPr>
          <w:p w14:paraId="4C83BF3E">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0.2%</w:t>
            </w:r>
          </w:p>
        </w:tc>
      </w:tr>
      <w:tr w14:paraId="57A0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3F78C34">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1～5亿元</w:t>
            </w:r>
          </w:p>
        </w:tc>
        <w:tc>
          <w:tcPr>
            <w:tcW w:w="1659" w:type="dxa"/>
            <w:vAlign w:val="center"/>
          </w:tcPr>
          <w:p w14:paraId="1ACA51AD">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0.05%</w:t>
            </w:r>
          </w:p>
        </w:tc>
        <w:tc>
          <w:tcPr>
            <w:tcW w:w="1687" w:type="dxa"/>
            <w:vAlign w:val="center"/>
          </w:tcPr>
          <w:p w14:paraId="5EAC28D2">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0.05%</w:t>
            </w:r>
          </w:p>
        </w:tc>
        <w:tc>
          <w:tcPr>
            <w:tcW w:w="1659" w:type="dxa"/>
            <w:vAlign w:val="center"/>
          </w:tcPr>
          <w:p w14:paraId="0DA6EB5D">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0.05%</w:t>
            </w:r>
          </w:p>
        </w:tc>
      </w:tr>
      <w:tr w14:paraId="4622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3C250A3">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5～10亿元</w:t>
            </w:r>
          </w:p>
        </w:tc>
        <w:tc>
          <w:tcPr>
            <w:tcW w:w="1659" w:type="dxa"/>
            <w:vAlign w:val="center"/>
          </w:tcPr>
          <w:p w14:paraId="409C54E2">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0.035%</w:t>
            </w:r>
          </w:p>
        </w:tc>
        <w:tc>
          <w:tcPr>
            <w:tcW w:w="1687" w:type="dxa"/>
            <w:vAlign w:val="center"/>
          </w:tcPr>
          <w:p w14:paraId="48712982">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0.035%</w:t>
            </w:r>
          </w:p>
        </w:tc>
        <w:tc>
          <w:tcPr>
            <w:tcW w:w="1659" w:type="dxa"/>
            <w:vAlign w:val="center"/>
          </w:tcPr>
          <w:p w14:paraId="38523E0A">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0.035%</w:t>
            </w:r>
          </w:p>
        </w:tc>
      </w:tr>
      <w:tr w14:paraId="2D29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F859D6D">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10～50亿元</w:t>
            </w:r>
          </w:p>
        </w:tc>
        <w:tc>
          <w:tcPr>
            <w:tcW w:w="1659" w:type="dxa"/>
            <w:vAlign w:val="center"/>
          </w:tcPr>
          <w:p w14:paraId="03F540AF">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0.008%</w:t>
            </w:r>
          </w:p>
        </w:tc>
        <w:tc>
          <w:tcPr>
            <w:tcW w:w="1687" w:type="dxa"/>
            <w:vAlign w:val="center"/>
          </w:tcPr>
          <w:p w14:paraId="72BF2421">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0.008%</w:t>
            </w:r>
          </w:p>
        </w:tc>
        <w:tc>
          <w:tcPr>
            <w:tcW w:w="1659" w:type="dxa"/>
            <w:vAlign w:val="center"/>
          </w:tcPr>
          <w:p w14:paraId="29DA0CC9">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0.008%</w:t>
            </w:r>
          </w:p>
        </w:tc>
      </w:tr>
      <w:tr w14:paraId="4222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45BDC99">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50～100亿元</w:t>
            </w:r>
          </w:p>
        </w:tc>
        <w:tc>
          <w:tcPr>
            <w:tcW w:w="1659" w:type="dxa"/>
            <w:vAlign w:val="center"/>
          </w:tcPr>
          <w:p w14:paraId="732A9E4A">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0.006%</w:t>
            </w:r>
          </w:p>
        </w:tc>
        <w:tc>
          <w:tcPr>
            <w:tcW w:w="1687" w:type="dxa"/>
            <w:vAlign w:val="center"/>
          </w:tcPr>
          <w:p w14:paraId="45076C60">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0.006%</w:t>
            </w:r>
          </w:p>
        </w:tc>
        <w:tc>
          <w:tcPr>
            <w:tcW w:w="1659" w:type="dxa"/>
            <w:vAlign w:val="center"/>
          </w:tcPr>
          <w:p w14:paraId="48D58381">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0.006%</w:t>
            </w:r>
          </w:p>
        </w:tc>
      </w:tr>
      <w:tr w14:paraId="0182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AB3FFD0">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100亿元以上</w:t>
            </w:r>
          </w:p>
        </w:tc>
        <w:tc>
          <w:tcPr>
            <w:tcW w:w="1659" w:type="dxa"/>
            <w:vAlign w:val="center"/>
          </w:tcPr>
          <w:p w14:paraId="7669AC5F">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0.004%</w:t>
            </w:r>
          </w:p>
        </w:tc>
        <w:tc>
          <w:tcPr>
            <w:tcW w:w="1687" w:type="dxa"/>
            <w:vAlign w:val="center"/>
          </w:tcPr>
          <w:p w14:paraId="4F06A23C">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0.004%</w:t>
            </w:r>
          </w:p>
        </w:tc>
        <w:tc>
          <w:tcPr>
            <w:tcW w:w="1659" w:type="dxa"/>
            <w:vAlign w:val="center"/>
          </w:tcPr>
          <w:p w14:paraId="4C8ABD06">
            <w:pPr>
              <w:spacing w:line="46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0.004%</w:t>
            </w:r>
          </w:p>
        </w:tc>
      </w:tr>
    </w:tbl>
    <w:p w14:paraId="054B3C3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注： </w:t>
      </w:r>
    </w:p>
    <w:p w14:paraId="3252AA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（1）按本表费率计算的收费为采购代理的收费基准价格；</w:t>
      </w:r>
    </w:p>
    <w:p w14:paraId="2867D5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（2）采购代理收费按差额定率累进法计算。</w:t>
      </w:r>
    </w:p>
    <w:p w14:paraId="327112D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例如：某货物采购代理业务中标金额或者暂定价为200万元，计算采购代理收费额如下：</w:t>
      </w:r>
    </w:p>
    <w:p w14:paraId="36EC66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100 万元×l.5 ％＝ 1.5 万元</w:t>
      </w:r>
    </w:p>
    <w:p w14:paraId="2632D0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200 － 100 ）万元 ×1.1％＝1.1万元</w:t>
      </w:r>
    </w:p>
    <w:p w14:paraId="066A986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合计收费＝ 1.5+1.1＝ 2.6 （万元）</w:t>
      </w:r>
    </w:p>
    <w:p w14:paraId="4264CF9A">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40.需要补充的其他内容</w:t>
      </w:r>
    </w:p>
    <w:p w14:paraId="307D2548">
      <w:pPr>
        <w:pStyle w:val="25"/>
        <w:spacing w:before="120" w:after="120"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40.1本招标文件解释规则详见“投标人须知前附表”。</w:t>
      </w:r>
    </w:p>
    <w:p w14:paraId="4C0C08EE">
      <w:pPr>
        <w:pStyle w:val="25"/>
        <w:spacing w:before="120" w:after="120"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40.2 其他事项详见“投标人须知前附表”。</w:t>
      </w:r>
    </w:p>
    <w:p w14:paraId="04BF8122">
      <w:pPr>
        <w:pStyle w:val="25"/>
        <w:spacing w:before="120" w:after="120"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40.3</w:t>
      </w:r>
      <w:bookmarkStart w:id="130" w:name="_Hlk65857140"/>
      <w:r>
        <w:rPr>
          <w:rFonts w:hint="eastAsia" w:ascii="仿宋" w:hAnsi="仿宋" w:eastAsia="仿宋" w:cs="仿宋"/>
          <w:color w:val="auto"/>
          <w:sz w:val="24"/>
          <w:szCs w:val="24"/>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1C9B3B1">
      <w:pPr>
        <w:pStyle w:val="25"/>
        <w:spacing w:before="120" w:after="120"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（1）在货物采购项目中，货物由中小企业制造，即货物由中小企业生产且使用该中小企业商号或者注册商标，不对其中涉及的工程承建商和服务的承接商作出要求；</w:t>
      </w:r>
    </w:p>
    <w:p w14:paraId="71FF6BEF">
      <w:pPr>
        <w:pStyle w:val="25"/>
        <w:spacing w:before="120" w:after="120"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（2）在工程采购项目中，工程由中小企业承建，即工程施工单位为中小企业，不对其中涉及的货物的制造商和服务的承接商作出要求；</w:t>
      </w:r>
    </w:p>
    <w:p w14:paraId="6EDC9978">
      <w:pPr>
        <w:pStyle w:val="25"/>
        <w:spacing w:before="120" w:after="120"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FF89525">
      <w:pPr>
        <w:pStyle w:val="25"/>
        <w:spacing w:before="120" w:after="120"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E7E6C5C">
      <w:pPr>
        <w:pStyle w:val="25"/>
        <w:spacing w:before="120" w:after="120"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依据本招标文件规定享受扶持政策获得政府采购合同的，小微企业不得将合同分包给大中型企业，中型企业不得将合同分包给大型企业。</w:t>
      </w:r>
      <w:bookmarkEnd w:id="130"/>
    </w:p>
    <w:p w14:paraId="730FB692">
      <w:pPr>
        <w:pStyle w:val="19"/>
        <w:spacing w:line="360" w:lineRule="auto"/>
        <w:ind w:left="479" w:leftChars="114" w:hanging="240" w:hangingChars="100"/>
        <w:rPr>
          <w:rFonts w:ascii="仿宋" w:hAnsi="仿宋" w:eastAsia="仿宋" w:cs="仿宋"/>
          <w:color w:val="auto"/>
          <w:highlight w:val="none"/>
        </w:rPr>
      </w:pPr>
      <w:r>
        <w:rPr>
          <w:rFonts w:hint="eastAsia" w:ascii="仿宋" w:hAnsi="仿宋" w:eastAsia="仿宋" w:cs="仿宋"/>
          <w:color w:val="auto"/>
          <w:highlight w:val="none"/>
        </w:rPr>
        <w:br w:type="page"/>
      </w:r>
    </w:p>
    <w:p w14:paraId="3CDC053C">
      <w:pPr>
        <w:pStyle w:val="3"/>
        <w:jc w:val="center"/>
        <w:rPr>
          <w:rFonts w:ascii="仿宋" w:hAnsi="仿宋" w:eastAsia="仿宋" w:cs="仿宋"/>
          <w:color w:val="auto"/>
          <w:highlight w:val="none"/>
        </w:rPr>
      </w:pPr>
      <w:bookmarkStart w:id="131" w:name="_Toc74320803"/>
      <w:bookmarkStart w:id="132" w:name="_Toc254970689"/>
      <w:bookmarkStart w:id="133" w:name="_Toc254970548"/>
      <w:bookmarkStart w:id="134" w:name="_Toc330456896"/>
      <w:r>
        <w:rPr>
          <w:rFonts w:hint="eastAsia" w:ascii="仿宋" w:hAnsi="仿宋" w:eastAsia="仿宋" w:cs="仿宋"/>
          <w:color w:val="auto"/>
          <w:highlight w:val="none"/>
        </w:rPr>
        <w:t>第四章  评标方法及评标标准</w:t>
      </w:r>
      <w:bookmarkEnd w:id="131"/>
      <w:bookmarkEnd w:id="132"/>
      <w:bookmarkEnd w:id="133"/>
      <w:bookmarkEnd w:id="134"/>
    </w:p>
    <w:p w14:paraId="5FC1B4EC">
      <w:pPr>
        <w:pStyle w:val="5"/>
        <w:keepNext w:val="0"/>
        <w:keepLines w:val="0"/>
        <w:jc w:val="center"/>
        <w:rPr>
          <w:rFonts w:ascii="仿宋" w:hAnsi="仿宋" w:eastAsia="仿宋" w:cs="仿宋"/>
          <w:color w:val="auto"/>
          <w:sz w:val="30"/>
          <w:szCs w:val="30"/>
          <w:highlight w:val="none"/>
        </w:rPr>
      </w:pPr>
      <w:bookmarkStart w:id="135" w:name="_Toc254970690"/>
      <w:bookmarkEnd w:id="135"/>
      <w:bookmarkStart w:id="136" w:name="_Toc254970549"/>
      <w:bookmarkEnd w:id="136"/>
      <w:r>
        <w:rPr>
          <w:rFonts w:hint="eastAsia" w:ascii="仿宋" w:hAnsi="仿宋" w:eastAsia="仿宋" w:cs="仿宋"/>
          <w:color w:val="auto"/>
          <w:sz w:val="30"/>
          <w:szCs w:val="30"/>
          <w:highlight w:val="none"/>
        </w:rPr>
        <w:t>一、评标方法</w:t>
      </w:r>
    </w:p>
    <w:p w14:paraId="2546B1AE">
      <w:pPr>
        <w:pStyle w:val="25"/>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w:t>
      </w:r>
    </w:p>
    <w:p w14:paraId="241B21ED">
      <w:pPr>
        <w:pStyle w:val="5"/>
        <w:keepNext w:val="0"/>
        <w:keepLines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二、评标程序</w:t>
      </w:r>
    </w:p>
    <w:p w14:paraId="3FF1400A">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1.符合性审查</w:t>
      </w:r>
    </w:p>
    <w:p w14:paraId="2532894A">
      <w:pPr>
        <w:pStyle w:val="25"/>
        <w:snapToGrid w:val="0"/>
        <w:spacing w:line="360" w:lineRule="auto"/>
        <w:ind w:left="1" w:firstLine="42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评标委员会应当对符合资格的投标人的投标文件进行投标报价、商务、技术等实质性内容符合性审查，以确定其是否满足招标文件的实质性要求。</w:t>
      </w:r>
    </w:p>
    <w:p w14:paraId="1EC9A491">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2.符合性审查不通过而导致投标无效的情形</w:t>
      </w:r>
    </w:p>
    <w:p w14:paraId="38BB097F">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投标人的投标文件中存在对招标文件的任何实质性要求和条件的负偏离，将被视为投标无效。</w:t>
      </w:r>
    </w:p>
    <w:p w14:paraId="7A68172A">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2.1在报价评审时，如发现下列情形之一的，将被视为投标无效：</w:t>
      </w:r>
    </w:p>
    <w:p w14:paraId="064D91C9">
      <w:pPr>
        <w:pStyle w:val="8"/>
        <w:numPr>
          <w:ilvl w:val="0"/>
          <w:numId w:val="3"/>
        </w:numPr>
        <w:spacing w:line="360" w:lineRule="auto"/>
        <w:ind w:firstLine="422"/>
        <w:rPr>
          <w:rFonts w:ascii="仿宋" w:hAnsi="仿宋" w:eastAsia="仿宋" w:cs="仿宋"/>
          <w:b/>
          <w:color w:val="auto"/>
          <w:sz w:val="24"/>
          <w:szCs w:val="24"/>
          <w:highlight w:val="none"/>
        </w:rPr>
      </w:pPr>
      <w:r>
        <w:rPr>
          <w:rFonts w:hint="eastAsia" w:ascii="仿宋" w:hAnsi="仿宋" w:eastAsia="仿宋" w:cs="仿宋"/>
          <w:b/>
          <w:color w:val="auto"/>
          <w:spacing w:val="-6"/>
          <w:sz w:val="24"/>
          <w:szCs w:val="24"/>
          <w:highlight w:val="none"/>
        </w:rPr>
        <w:t>报价文件</w:t>
      </w:r>
      <w:r>
        <w:rPr>
          <w:rFonts w:hint="eastAsia" w:ascii="仿宋" w:hAnsi="仿宋" w:eastAsia="仿宋" w:cs="仿宋"/>
          <w:b/>
          <w:color w:val="auto"/>
          <w:sz w:val="24"/>
          <w:szCs w:val="24"/>
          <w:highlight w:val="none"/>
        </w:rPr>
        <w:t>未提供“投标人须知前附表”第13.1条规定中“必须提供”的文件资料的；</w:t>
      </w:r>
    </w:p>
    <w:p w14:paraId="68DE724E">
      <w:pPr>
        <w:pStyle w:val="8"/>
        <w:numPr>
          <w:ilvl w:val="0"/>
          <w:numId w:val="3"/>
        </w:numPr>
        <w:spacing w:line="360" w:lineRule="auto"/>
        <w:ind w:firstLine="42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未采用人民币报价的或者未按照招标文件标明的币种报价的；</w:t>
      </w:r>
    </w:p>
    <w:p w14:paraId="38D41392">
      <w:pPr>
        <w:pStyle w:val="8"/>
        <w:numPr>
          <w:ilvl w:val="0"/>
          <w:numId w:val="3"/>
        </w:numPr>
        <w:spacing w:line="360" w:lineRule="auto"/>
        <w:ind w:firstLine="42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各分标报价超出招标文件相应分标规定最高限价，或者超出相应分标采购预算金额的；</w:t>
      </w:r>
    </w:p>
    <w:p w14:paraId="3AFF9DD5">
      <w:pPr>
        <w:pStyle w:val="8"/>
        <w:numPr>
          <w:ilvl w:val="0"/>
          <w:numId w:val="3"/>
        </w:numPr>
        <w:spacing w:line="360" w:lineRule="auto"/>
        <w:ind w:firstLine="42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7B56CD64">
      <w:pPr>
        <w:pStyle w:val="8"/>
        <w:numPr>
          <w:ilvl w:val="0"/>
          <w:numId w:val="3"/>
        </w:numPr>
        <w:spacing w:line="360" w:lineRule="auto"/>
        <w:ind w:firstLine="42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修正后的报价，投标人不确认的；</w:t>
      </w:r>
    </w:p>
    <w:p w14:paraId="4C126D70">
      <w:pPr>
        <w:pStyle w:val="8"/>
        <w:numPr>
          <w:ilvl w:val="0"/>
          <w:numId w:val="3"/>
        </w:numPr>
        <w:spacing w:line="360" w:lineRule="auto"/>
        <w:ind w:firstLine="42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投标人属于本章第5.1条（2）或者第5.2条（2）项情形的；</w:t>
      </w:r>
    </w:p>
    <w:p w14:paraId="79FD421E">
      <w:pPr>
        <w:pStyle w:val="8"/>
        <w:numPr>
          <w:ilvl w:val="0"/>
          <w:numId w:val="3"/>
        </w:numPr>
        <w:spacing w:line="360" w:lineRule="auto"/>
        <w:ind w:firstLine="422"/>
        <w:rPr>
          <w:rFonts w:ascii="仿宋" w:hAnsi="仿宋" w:eastAsia="仿宋" w:cs="仿宋"/>
          <w:b/>
          <w:color w:val="auto"/>
          <w:sz w:val="24"/>
          <w:szCs w:val="24"/>
          <w:highlight w:val="none"/>
        </w:rPr>
      </w:pPr>
      <w:r>
        <w:rPr>
          <w:rFonts w:hint="eastAsia" w:ascii="仿宋" w:hAnsi="仿宋" w:eastAsia="仿宋" w:cs="仿宋"/>
          <w:b/>
          <w:color w:val="auto"/>
          <w:spacing w:val="-6"/>
          <w:sz w:val="24"/>
          <w:szCs w:val="24"/>
          <w:highlight w:val="none"/>
        </w:rPr>
        <w:t>报价文件</w:t>
      </w:r>
      <w:r>
        <w:rPr>
          <w:rFonts w:hint="eastAsia" w:ascii="仿宋" w:hAnsi="仿宋" w:eastAsia="仿宋" w:cs="仿宋"/>
          <w:b/>
          <w:color w:val="auto"/>
          <w:sz w:val="24"/>
          <w:szCs w:val="24"/>
          <w:highlight w:val="none"/>
        </w:rPr>
        <w:t>响应的标的数量及单位与招标文件要求实质性不一致的。</w:t>
      </w:r>
    </w:p>
    <w:p w14:paraId="03DE7057">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2.2在商务评审时，如发现下列情形之一的，将被视为投标无效：</w:t>
      </w:r>
    </w:p>
    <w:p w14:paraId="07885B41">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投标文件未按招标文件要求签署、盖章的；</w:t>
      </w:r>
    </w:p>
    <w:p w14:paraId="15216F15">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委托代理人未能出具有效身份证或者出具的身份证与授权委托书中的信息不符的；</w:t>
      </w:r>
    </w:p>
    <w:p w14:paraId="3EAF4162">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为无效投标保证金的或者未按照招标文件的规定提交投标保证金的；</w:t>
      </w:r>
    </w:p>
    <w:p w14:paraId="646C34C0">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投标文件未提供“投标人须知前附表”第13.1条规定中“必须提供”或者“委托时必须提供”的文件资料的；</w:t>
      </w:r>
    </w:p>
    <w:p w14:paraId="26309606">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商务要求评审允许负偏离的条款数超过“投标人须知前附表”规定项数的；</w:t>
      </w:r>
    </w:p>
    <w:p w14:paraId="30F829B7">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投标文件的实质性内容未使用中文表述、使用计量单位不符合招标文件要求的；</w:t>
      </w:r>
    </w:p>
    <w:p w14:paraId="3B651A89">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投标文件中的文件资料因填写不齐全或者内容虚假或者出现其他情形而导致被评标委员会认定无效的；</w:t>
      </w:r>
    </w:p>
    <w:p w14:paraId="30B7D76E">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w:t>
      </w:r>
    </w:p>
    <w:p w14:paraId="17D072C0">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属于投标人须知正文第9.2条情形的；</w:t>
      </w:r>
    </w:p>
    <w:p w14:paraId="32CEF6C8">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投标文件标注的项目名称或者项目编号与招标文件标注的项目名称或者项目编号不一致的；</w:t>
      </w:r>
    </w:p>
    <w:p w14:paraId="48DE37FD">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招标文件明确不允许分包，投标文件拟分包的；</w:t>
      </w:r>
    </w:p>
    <w:p w14:paraId="1016BCE1">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未响应招标文件实质性要求的；</w:t>
      </w:r>
    </w:p>
    <w:p w14:paraId="5358C0A7">
      <w:pPr>
        <w:numPr>
          <w:ilvl w:val="0"/>
          <w:numId w:val="4"/>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法律、法规和招标文件规定的其他无效情形。</w:t>
      </w:r>
    </w:p>
    <w:p w14:paraId="0EE3BA5C">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2.3在技术评审时，如发现下列情形之一的，将被视为投标无效：</w:t>
      </w:r>
    </w:p>
    <w:p w14:paraId="51712048">
      <w:pPr>
        <w:pStyle w:val="20"/>
        <w:snapToGrid w:val="0"/>
        <w:spacing w:line="360" w:lineRule="auto"/>
        <w:ind w:firstLine="472" w:firstLineChars="196"/>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（1）技术要求评审允许负偏离的条款数超过“投标人须知前附表”规定项数的；</w:t>
      </w:r>
    </w:p>
    <w:p w14:paraId="7BF04138">
      <w:pPr>
        <w:pStyle w:val="20"/>
        <w:snapToGrid w:val="0"/>
        <w:spacing w:line="360" w:lineRule="auto"/>
        <w:ind w:firstLine="472" w:firstLineChars="196"/>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（2）投标文件未提供“投标人须知前附表”第13.1条规定中“必须提供”的文件资料的；</w:t>
      </w:r>
    </w:p>
    <w:p w14:paraId="4B030418">
      <w:pPr>
        <w:pStyle w:val="20"/>
        <w:snapToGrid w:val="0"/>
        <w:spacing w:line="360" w:lineRule="auto"/>
        <w:ind w:firstLine="472" w:firstLineChars="196"/>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（3）虚假投标，或者出现其他情形而导致被评标委员会认定无效的；</w:t>
      </w:r>
    </w:p>
    <w:p w14:paraId="4DC0E535">
      <w:pPr>
        <w:pStyle w:val="20"/>
        <w:snapToGrid w:val="0"/>
        <w:spacing w:line="360" w:lineRule="auto"/>
        <w:ind w:firstLine="472" w:firstLineChars="196"/>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（4）</w:t>
      </w:r>
      <w:bookmarkStart w:id="137" w:name="_Hlk71706244"/>
      <w:r>
        <w:rPr>
          <w:rFonts w:hint="eastAsia" w:ascii="仿宋" w:hAnsi="仿宋" w:eastAsia="仿宋" w:cs="仿宋"/>
          <w:b/>
          <w:color w:val="auto"/>
          <w:kern w:val="2"/>
          <w:sz w:val="24"/>
          <w:szCs w:val="24"/>
          <w:highlight w:val="none"/>
        </w:rPr>
        <w:t>招标文件未载明允许提供备选（替代）投标方案或明确不允许提供备选（替代）投标方案时，投标人提供了备选（替代）投标方案的；</w:t>
      </w:r>
      <w:bookmarkEnd w:id="137"/>
    </w:p>
    <w:p w14:paraId="7C260FF2">
      <w:pPr>
        <w:pStyle w:val="20"/>
        <w:snapToGrid w:val="0"/>
        <w:spacing w:line="360" w:lineRule="auto"/>
        <w:ind w:firstLine="472" w:firstLineChars="196"/>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（5）未响应招标文件实质性要求的。</w:t>
      </w:r>
    </w:p>
    <w:p w14:paraId="5B3EB41E">
      <w:pPr>
        <w:pStyle w:val="20"/>
        <w:snapToGrid w:val="0"/>
        <w:spacing w:line="360" w:lineRule="auto"/>
        <w:ind w:firstLine="472" w:firstLineChars="196"/>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2.4通过符合性审查的投标人不足3家，评标委员会不得继续评标，并出具评标报告。</w:t>
      </w:r>
    </w:p>
    <w:p w14:paraId="0F90D0D2">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3.澄清补正</w:t>
      </w:r>
    </w:p>
    <w:p w14:paraId="41A7CDA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5D8A20F7">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4.投标文件修正</w:t>
      </w:r>
    </w:p>
    <w:p w14:paraId="171F89A3">
      <w:pPr>
        <w:pStyle w:val="7"/>
        <w:keepNext w:val="0"/>
        <w:keepLines w:val="0"/>
        <w:spacing w:before="0" w:after="0" w:line="360" w:lineRule="auto"/>
        <w:ind w:left="420" w:left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4.1投标文件报价出现前后不一致的，按照下列规定修正： </w:t>
      </w:r>
    </w:p>
    <w:p w14:paraId="2FEFE6E4">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217986E8">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4E393019">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14:paraId="02F7034E">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5946811B">
      <w:pPr>
        <w:pStyle w:val="2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同时出现两种以上不一致的，按照以上（1）-（4）规定的顺序修正。修正后的报价经投标人确认后产生约束力，投标人不确认的，</w:t>
      </w:r>
      <w:r>
        <w:rPr>
          <w:rFonts w:hint="eastAsia" w:ascii="仿宋" w:hAnsi="仿宋" w:eastAsia="仿宋" w:cs="仿宋"/>
          <w:b/>
          <w:color w:val="auto"/>
          <w:kern w:val="2"/>
          <w:sz w:val="24"/>
          <w:szCs w:val="24"/>
          <w:highlight w:val="none"/>
        </w:rPr>
        <w:t>其投标无效</w:t>
      </w:r>
      <w:r>
        <w:rPr>
          <w:rFonts w:hint="eastAsia" w:ascii="仿宋" w:hAnsi="仿宋" w:eastAsia="仿宋" w:cs="仿宋"/>
          <w:color w:val="auto"/>
          <w:sz w:val="24"/>
          <w:szCs w:val="24"/>
          <w:highlight w:val="none"/>
        </w:rPr>
        <w:t>。</w:t>
      </w:r>
    </w:p>
    <w:p w14:paraId="00D3C461">
      <w:pPr>
        <w:pStyle w:val="7"/>
        <w:keepNext w:val="0"/>
        <w:keepLines w:val="0"/>
        <w:spacing w:before="0" w:after="0" w:line="360" w:lineRule="auto"/>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4.2经投标人确认修正后的报价若超过采购预算金额或者最高限价，</w:t>
      </w:r>
      <w:r>
        <w:rPr>
          <w:rFonts w:hint="eastAsia" w:ascii="仿宋" w:hAnsi="仿宋" w:eastAsia="仿宋" w:cs="仿宋"/>
          <w:color w:val="auto"/>
          <w:sz w:val="24"/>
          <w:highlight w:val="none"/>
        </w:rPr>
        <w:t>投标人的投标文件作无效投标处理</w:t>
      </w:r>
      <w:r>
        <w:rPr>
          <w:rFonts w:hint="eastAsia" w:ascii="仿宋" w:hAnsi="仿宋" w:eastAsia="仿宋" w:cs="仿宋"/>
          <w:b w:val="0"/>
          <w:color w:val="auto"/>
          <w:sz w:val="24"/>
          <w:highlight w:val="none"/>
        </w:rPr>
        <w:t>。</w:t>
      </w:r>
    </w:p>
    <w:p w14:paraId="5721600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4.3经投标人确认修正后的报价作为签订合同的依据，并以此报价计算价格分。</w:t>
      </w:r>
    </w:p>
    <w:p w14:paraId="366CEAFE">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5.比较与评价</w:t>
      </w:r>
    </w:p>
    <w:p w14:paraId="0B7FF56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5.1采用综合评分法的</w:t>
      </w:r>
    </w:p>
    <w:p w14:paraId="46F6562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（1）评标委员会按照招标文件中规定的评标方法及评标标准，对符合性审查合格的投标文件进行商务和技术评估，综合比较与评价。</w:t>
      </w:r>
    </w:p>
    <w:p w14:paraId="7354A31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（2）评标委员会独立对每个投标人的投标文件进行评价，并汇总每个投标人的得分。</w:t>
      </w:r>
    </w:p>
    <w:p w14:paraId="1101595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color w:val="auto"/>
          <w:sz w:val="24"/>
          <w:highlight w:val="none"/>
        </w:rPr>
        <w:t>投标人不能证明其报价合理性的，评标委员会将其作为无效投标处理</w:t>
      </w:r>
      <w:r>
        <w:rPr>
          <w:rFonts w:hint="eastAsia" w:ascii="仿宋" w:hAnsi="仿宋" w:eastAsia="仿宋" w:cs="仿宋"/>
          <w:color w:val="auto"/>
          <w:sz w:val="24"/>
          <w:highlight w:val="none"/>
        </w:rPr>
        <w:t>。</w:t>
      </w:r>
    </w:p>
    <w:p w14:paraId="7BCC0F2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（3）评标委员会按照招标文件中规定的评标方法和标准计算各投标人的报价得分。在计算过程中，不得去掉最高报价或者最低报价。</w:t>
      </w:r>
    </w:p>
    <w:p w14:paraId="5E6D404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（4）各投标人的得分为所有评委的有效评分的算术平均数。</w:t>
      </w:r>
    </w:p>
    <w:p w14:paraId="2046BA3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（5）评标委员会按照招标文件中的规定推荐中标候选人。</w:t>
      </w:r>
    </w:p>
    <w:p w14:paraId="5463414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ECB099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5.2采用</w:t>
      </w:r>
      <w:r>
        <w:rPr>
          <w:rFonts w:hint="eastAsia" w:ascii="仿宋" w:hAnsi="仿宋" w:eastAsia="仿宋" w:cs="仿宋"/>
          <w:color w:val="auto"/>
          <w:sz w:val="24"/>
          <w:szCs w:val="32"/>
          <w:highlight w:val="none"/>
        </w:rPr>
        <w:t>最低评标价法</w:t>
      </w:r>
      <w:r>
        <w:rPr>
          <w:rFonts w:hint="eastAsia" w:ascii="仿宋" w:hAnsi="仿宋" w:eastAsia="仿宋" w:cs="仿宋"/>
          <w:color w:val="auto"/>
          <w:sz w:val="24"/>
          <w:highlight w:val="none"/>
        </w:rPr>
        <w:t>的</w:t>
      </w:r>
    </w:p>
    <w:p w14:paraId="4E3BE1C9">
      <w:pPr>
        <w:snapToGrid w:val="0"/>
        <w:spacing w:line="360" w:lineRule="auto"/>
        <w:ind w:firstLine="484" w:firstLineChars="202"/>
        <w:jc w:val="left"/>
        <w:rPr>
          <w:rFonts w:ascii="仿宋" w:hAnsi="仿宋" w:eastAsia="仿宋" w:cs="仿宋"/>
          <w:color w:val="auto"/>
          <w:sz w:val="24"/>
          <w:highlight w:val="none"/>
        </w:rPr>
      </w:pPr>
      <w:r>
        <w:rPr>
          <w:rFonts w:hint="eastAsia" w:ascii="仿宋" w:hAnsi="仿宋" w:eastAsia="仿宋" w:cs="仿宋"/>
          <w:color w:val="auto"/>
          <w:sz w:val="24"/>
          <w:highlight w:val="none"/>
        </w:rPr>
        <w:t>（1）评标委员会按照招标文件中规定的评标方法及评标标准，对符合性审查合格的投标文件报价进行比较。</w:t>
      </w:r>
    </w:p>
    <w:p w14:paraId="6A51C67E">
      <w:pPr>
        <w:snapToGrid w:val="0"/>
        <w:spacing w:line="360" w:lineRule="auto"/>
        <w:ind w:firstLine="460" w:firstLineChars="202"/>
        <w:jc w:val="left"/>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color w:val="auto"/>
          <w:spacing w:val="-6"/>
          <w:sz w:val="24"/>
          <w:highlight w:val="none"/>
        </w:rPr>
        <w:t>投标人不能证明其报价合理性的，评标委员会将其作为无效投标处理</w:t>
      </w:r>
      <w:r>
        <w:rPr>
          <w:rFonts w:hint="eastAsia" w:ascii="仿宋" w:hAnsi="仿宋" w:eastAsia="仿宋" w:cs="仿宋"/>
          <w:color w:val="auto"/>
          <w:spacing w:val="-6"/>
          <w:sz w:val="24"/>
          <w:highlight w:val="none"/>
        </w:rPr>
        <w:t>。</w:t>
      </w:r>
    </w:p>
    <w:p w14:paraId="5E38ADE2">
      <w:pPr>
        <w:snapToGrid w:val="0"/>
        <w:spacing w:line="360" w:lineRule="auto"/>
        <w:ind w:firstLine="484" w:firstLineChars="202"/>
        <w:jc w:val="left"/>
        <w:rPr>
          <w:rFonts w:ascii="仿宋" w:hAnsi="仿宋" w:eastAsia="仿宋" w:cs="仿宋"/>
          <w:color w:val="auto"/>
          <w:sz w:val="24"/>
          <w:highlight w:val="none"/>
        </w:rPr>
      </w:pPr>
      <w:r>
        <w:rPr>
          <w:rFonts w:hint="eastAsia" w:ascii="仿宋" w:hAnsi="仿宋" w:eastAsia="仿宋" w:cs="仿宋"/>
          <w:color w:val="auto"/>
          <w:sz w:val="24"/>
          <w:highlight w:val="none"/>
        </w:rPr>
        <w:t>（3）评标委员会按照招标文件中的规定推荐中标候选人。</w:t>
      </w:r>
    </w:p>
    <w:p w14:paraId="3F739656">
      <w:pPr>
        <w:snapToGrid w:val="0"/>
        <w:spacing w:line="360" w:lineRule="auto"/>
        <w:ind w:firstLine="484" w:firstLineChars="202"/>
        <w:jc w:val="left"/>
        <w:rPr>
          <w:rFonts w:ascii="仿宋" w:hAnsi="仿宋" w:eastAsia="仿宋" w:cs="仿宋"/>
          <w:color w:val="auto"/>
          <w:sz w:val="24"/>
          <w:highlight w:val="none"/>
        </w:rPr>
      </w:pPr>
      <w:r>
        <w:rPr>
          <w:rFonts w:hint="eastAsia" w:ascii="仿宋" w:hAnsi="仿宋" w:eastAsia="仿宋" w:cs="仿宋"/>
          <w:color w:val="auto"/>
          <w:sz w:val="24"/>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05B35E9">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2"/>
          <w:szCs w:val="32"/>
          <w:highlight w:val="none"/>
        </w:rPr>
        <w:t>三、评标标准</w:t>
      </w:r>
    </w:p>
    <w:p w14:paraId="56300F39">
      <w:pPr>
        <w:pStyle w:val="5"/>
        <w:keepNext w:val="0"/>
        <w:keepLines w:val="0"/>
        <w:jc w:val="center"/>
        <w:rPr>
          <w:rFonts w:ascii="仿宋" w:hAnsi="仿宋" w:eastAsia="仿宋" w:cs="仿宋"/>
          <w:color w:val="auto"/>
          <w:highlight w:val="none"/>
        </w:rPr>
      </w:pPr>
      <w:r>
        <w:rPr>
          <w:rFonts w:hint="eastAsia" w:ascii="仿宋" w:hAnsi="仿宋" w:eastAsia="仿宋" w:cs="仿宋"/>
          <w:color w:val="auto"/>
          <w:highlight w:val="none"/>
        </w:rPr>
        <w:t>综合评分法</w:t>
      </w:r>
    </w:p>
    <w:p w14:paraId="0CC4E6E9">
      <w:pPr>
        <w:pStyle w:val="25"/>
        <w:spacing w:line="360" w:lineRule="auto"/>
        <w:ind w:firstLine="42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注：1.计分方法按四舍五入取至百分位；</w:t>
      </w:r>
    </w:p>
    <w:p w14:paraId="78DB2D04">
      <w:pPr>
        <w:rPr>
          <w:rFonts w:ascii="仿宋" w:hAnsi="仿宋" w:eastAsia="仿宋" w:cs="仿宋"/>
          <w:bCs/>
          <w:color w:val="auto"/>
          <w:kern w:val="0"/>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bCs/>
          <w:color w:val="auto"/>
          <w:kern w:val="0"/>
          <w:sz w:val="24"/>
          <w:highlight w:val="none"/>
        </w:rPr>
        <w:t>2.因落实政府采购政策进行价格调整的，以调整后的价格计算评标基准价和投标报价。</w:t>
      </w:r>
    </w:p>
    <w:tbl>
      <w:tblPr>
        <w:tblStyle w:val="49"/>
        <w:tblW w:w="50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04"/>
        <w:gridCol w:w="6657"/>
        <w:gridCol w:w="670"/>
      </w:tblGrid>
      <w:tr w14:paraId="3AEB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blHeader/>
        </w:trPr>
        <w:tc>
          <w:tcPr>
            <w:tcW w:w="5000" w:type="pct"/>
            <w:gridSpan w:val="4"/>
            <w:shd w:val="clear" w:color="auto" w:fill="auto"/>
            <w:vAlign w:val="center"/>
          </w:tcPr>
          <w:p w14:paraId="0B5AF163">
            <w:pPr>
              <w:widowControl/>
              <w:wordWrap w:val="0"/>
              <w:spacing w:line="460" w:lineRule="exact"/>
              <w:jc w:val="center"/>
              <w:textAlignment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3个分标适用</w:t>
            </w:r>
          </w:p>
        </w:tc>
      </w:tr>
      <w:tr w14:paraId="7587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108" w:type="pct"/>
            <w:gridSpan w:val="2"/>
            <w:shd w:val="clear" w:color="auto" w:fill="auto"/>
            <w:vAlign w:val="center"/>
          </w:tcPr>
          <w:p w14:paraId="660E12A3">
            <w:pPr>
              <w:widowControl/>
              <w:wordWrap w:val="0"/>
              <w:spacing w:line="460" w:lineRule="exact"/>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评审因素</w:t>
            </w:r>
          </w:p>
        </w:tc>
        <w:tc>
          <w:tcPr>
            <w:tcW w:w="3891" w:type="pct"/>
            <w:gridSpan w:val="2"/>
            <w:shd w:val="clear" w:color="auto" w:fill="auto"/>
            <w:vAlign w:val="center"/>
          </w:tcPr>
          <w:p w14:paraId="44EDE56F">
            <w:pPr>
              <w:widowControl/>
              <w:wordWrap w:val="0"/>
              <w:spacing w:line="460" w:lineRule="exact"/>
              <w:jc w:val="center"/>
              <w:textAlignment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评审标准</w:t>
            </w:r>
          </w:p>
        </w:tc>
      </w:tr>
      <w:tr w14:paraId="0569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68" w:type="pct"/>
            <w:shd w:val="clear" w:color="auto" w:fill="auto"/>
            <w:vAlign w:val="center"/>
          </w:tcPr>
          <w:p w14:paraId="72278920">
            <w:pPr>
              <w:widowControl/>
              <w:wordWrap w:val="0"/>
              <w:spacing w:line="460" w:lineRule="exact"/>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1.价格分</w:t>
            </w:r>
          </w:p>
          <w:p w14:paraId="71C47819">
            <w:pPr>
              <w:widowControl/>
              <w:wordWrap w:val="0"/>
              <w:spacing w:line="460" w:lineRule="exact"/>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（满分</w:t>
            </w:r>
          </w:p>
          <w:p w14:paraId="19405171">
            <w:pPr>
              <w:widowControl/>
              <w:wordWrap w:val="0"/>
              <w:spacing w:line="46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30分）</w:t>
            </w:r>
          </w:p>
        </w:tc>
        <w:tc>
          <w:tcPr>
            <w:tcW w:w="639" w:type="pct"/>
            <w:shd w:val="clear" w:color="auto" w:fill="auto"/>
            <w:vAlign w:val="center"/>
          </w:tcPr>
          <w:p w14:paraId="5381275A">
            <w:pPr>
              <w:widowControl/>
              <w:wordWrap w:val="0"/>
              <w:spacing w:line="460" w:lineRule="exact"/>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投标报价得分（满分</w:t>
            </w:r>
          </w:p>
          <w:p w14:paraId="1CCF9697">
            <w:pPr>
              <w:widowControl/>
              <w:wordWrap w:val="0"/>
              <w:spacing w:line="46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30分）</w:t>
            </w:r>
          </w:p>
        </w:tc>
        <w:tc>
          <w:tcPr>
            <w:tcW w:w="3536" w:type="pct"/>
            <w:shd w:val="clear" w:color="auto" w:fill="auto"/>
            <w:vAlign w:val="center"/>
          </w:tcPr>
          <w:p w14:paraId="62D0F219">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1.评标报价为投标人的投标报价进行政策性扣除后的价格，评标报价只作为评标时使用。最终中标人的中标金额等于投标报价。</w:t>
            </w:r>
          </w:p>
          <w:p w14:paraId="04E4A1B8">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 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在其投标文件中提供《中小企业声明函》，且投标的全部货物由小微企业制造，对投标报价给予10%的扣除，用扣除后的价格参加评审，即评审价=投标报价×（1-10%）。</w:t>
            </w:r>
          </w:p>
          <w:p w14:paraId="521CD441">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707953C">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8F4ED8C">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5.除上述政策价格扣除外，评审价=投标报价。</w:t>
            </w:r>
          </w:p>
          <w:p w14:paraId="2749EA07">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6.即满足招标文件要求且投标价格最低的投标报价为评标基准价，其价格分为满分。</w:t>
            </w:r>
          </w:p>
          <w:p w14:paraId="59A3E409">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7.其他投标人的价格分统一按照下列公式计算：</w:t>
            </w:r>
          </w:p>
          <w:p w14:paraId="7F7010C5">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投标报价得分=（评标基准价/投标报价）× 30分</w:t>
            </w:r>
          </w:p>
        </w:tc>
        <w:tc>
          <w:tcPr>
            <w:tcW w:w="355" w:type="pct"/>
            <w:shd w:val="clear" w:color="auto" w:fill="auto"/>
            <w:vAlign w:val="center"/>
          </w:tcPr>
          <w:p w14:paraId="09405E2A">
            <w:pPr>
              <w:widowControl/>
              <w:wordWrap w:val="0"/>
              <w:spacing w:line="460" w:lineRule="exact"/>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客观分</w:t>
            </w:r>
          </w:p>
        </w:tc>
      </w:tr>
      <w:tr w14:paraId="0E32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Merge w:val="restart"/>
            <w:shd w:val="clear" w:color="auto" w:fill="auto"/>
            <w:vAlign w:val="center"/>
          </w:tcPr>
          <w:p w14:paraId="2E76892D">
            <w:pPr>
              <w:wordWrap w:val="0"/>
              <w:adjustRightInd w:val="0"/>
              <w:snapToGrid w:val="0"/>
              <w:spacing w:line="460" w:lineRule="exact"/>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2.商务分（满分22分）</w:t>
            </w:r>
          </w:p>
        </w:tc>
        <w:tc>
          <w:tcPr>
            <w:tcW w:w="639" w:type="pct"/>
            <w:shd w:val="clear" w:color="auto" w:fill="auto"/>
            <w:vAlign w:val="center"/>
          </w:tcPr>
          <w:p w14:paraId="1479510D">
            <w:pPr>
              <w:widowControl/>
              <w:wordWrap w:val="0"/>
              <w:spacing w:line="460" w:lineRule="exact"/>
              <w:jc w:val="center"/>
              <w:textAlignment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2.1投标人业绩</w:t>
            </w:r>
          </w:p>
          <w:p w14:paraId="0D272110">
            <w:pPr>
              <w:widowControl/>
              <w:wordWrap w:val="0"/>
              <w:spacing w:line="460" w:lineRule="exact"/>
              <w:jc w:val="center"/>
              <w:textAlignment w:val="center"/>
              <w:rPr>
                <w:rFonts w:ascii="仿宋" w:hAnsi="仿宋" w:eastAsia="仿宋" w:cs="仿宋"/>
                <w:bCs/>
                <w:color w:val="auto"/>
                <w:sz w:val="24"/>
                <w:highlight w:val="none"/>
                <w:lang w:val="en-GB"/>
              </w:rPr>
            </w:pPr>
            <w:r>
              <w:rPr>
                <w:rFonts w:hint="eastAsia" w:ascii="仿宋" w:hAnsi="仿宋" w:eastAsia="仿宋" w:cs="仿宋"/>
                <w:bCs/>
                <w:color w:val="auto"/>
                <w:sz w:val="24"/>
                <w:highlight w:val="none"/>
                <w:lang w:val="en-GB"/>
              </w:rPr>
              <w:t>（满分</w:t>
            </w:r>
          </w:p>
          <w:p w14:paraId="312C2546">
            <w:pPr>
              <w:widowControl/>
              <w:wordWrap w:val="0"/>
              <w:spacing w:line="460" w:lineRule="exact"/>
              <w:jc w:val="center"/>
              <w:textAlignment w:val="center"/>
              <w:rPr>
                <w:rFonts w:ascii="仿宋" w:hAnsi="仿宋" w:eastAsia="仿宋" w:cs="仿宋"/>
                <w:color w:val="auto"/>
                <w:sz w:val="24"/>
                <w:highlight w:val="none"/>
                <w:lang w:val="en-GB"/>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GB"/>
              </w:rPr>
              <w:t>分）</w:t>
            </w:r>
          </w:p>
        </w:tc>
        <w:tc>
          <w:tcPr>
            <w:tcW w:w="3536" w:type="pct"/>
            <w:shd w:val="clear" w:color="auto" w:fill="auto"/>
          </w:tcPr>
          <w:p w14:paraId="059ECCB2">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投标人自2022年1月1日以来，有本投标产品供货业绩的，每项业绩得4分，满分4分。</w:t>
            </w:r>
          </w:p>
          <w:p w14:paraId="381F691C">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【注：“本投标产品”包含产品升级前的同系列产品，投标文件中提供甲乙双方盖章的采购合同为依据，合同有明确的产品名称、品牌及型号】</w:t>
            </w:r>
          </w:p>
        </w:tc>
        <w:tc>
          <w:tcPr>
            <w:tcW w:w="355" w:type="pct"/>
            <w:shd w:val="clear" w:color="auto" w:fill="auto"/>
            <w:vAlign w:val="center"/>
          </w:tcPr>
          <w:p w14:paraId="2810239A">
            <w:pPr>
              <w:widowControl/>
              <w:wordWrap w:val="0"/>
              <w:spacing w:line="460" w:lineRule="exact"/>
              <w:jc w:val="center"/>
              <w:textAlignment w:val="top"/>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22EE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Merge w:val="continue"/>
            <w:shd w:val="clear" w:color="auto" w:fill="auto"/>
            <w:vAlign w:val="center"/>
          </w:tcPr>
          <w:p w14:paraId="43BB34CD">
            <w:pPr>
              <w:wordWrap w:val="0"/>
              <w:adjustRightInd w:val="0"/>
              <w:snapToGrid w:val="0"/>
              <w:spacing w:line="460" w:lineRule="exact"/>
              <w:jc w:val="center"/>
              <w:textAlignment w:val="baseline"/>
              <w:rPr>
                <w:rFonts w:ascii="仿宋" w:hAnsi="仿宋" w:eastAsia="仿宋" w:cs="仿宋"/>
                <w:color w:val="auto"/>
                <w:sz w:val="24"/>
                <w:highlight w:val="none"/>
              </w:rPr>
            </w:pPr>
          </w:p>
        </w:tc>
        <w:tc>
          <w:tcPr>
            <w:tcW w:w="639" w:type="pct"/>
            <w:shd w:val="clear" w:color="auto" w:fill="auto"/>
            <w:vAlign w:val="center"/>
          </w:tcPr>
          <w:p w14:paraId="7FE5745C">
            <w:pPr>
              <w:wordWrap w:val="0"/>
              <w:spacing w:line="460" w:lineRule="exact"/>
              <w:jc w:val="center"/>
              <w:rPr>
                <w:rFonts w:ascii="仿宋" w:hAnsi="仿宋" w:eastAsia="仿宋" w:cs="仿宋"/>
                <w:bCs/>
                <w:color w:val="auto"/>
                <w:sz w:val="24"/>
                <w:highlight w:val="none"/>
                <w:lang w:val="en-GB"/>
              </w:rPr>
            </w:pPr>
            <w:r>
              <w:rPr>
                <w:rFonts w:hint="eastAsia" w:ascii="仿宋" w:hAnsi="仿宋" w:eastAsia="仿宋" w:cs="仿宋"/>
                <w:bCs/>
                <w:color w:val="auto"/>
                <w:sz w:val="24"/>
                <w:highlight w:val="none"/>
              </w:rPr>
              <w:t>2.2投标产品</w:t>
            </w:r>
            <w:r>
              <w:rPr>
                <w:rFonts w:hint="eastAsia" w:ascii="仿宋" w:hAnsi="仿宋" w:eastAsia="仿宋" w:cs="仿宋"/>
                <w:bCs/>
                <w:color w:val="auto"/>
                <w:sz w:val="24"/>
                <w:highlight w:val="none"/>
                <w:lang w:val="en-GB"/>
              </w:rPr>
              <w:t>业绩分（满分</w:t>
            </w:r>
          </w:p>
          <w:p w14:paraId="20ADF019">
            <w:pPr>
              <w:wordWrap w:val="0"/>
              <w:spacing w:line="46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9分</w:t>
            </w:r>
            <w:r>
              <w:rPr>
                <w:rFonts w:hint="eastAsia" w:ascii="仿宋" w:hAnsi="仿宋" w:eastAsia="仿宋" w:cs="仿宋"/>
                <w:bCs/>
                <w:color w:val="auto"/>
                <w:sz w:val="24"/>
                <w:highlight w:val="none"/>
                <w:lang w:val="en-GB"/>
              </w:rPr>
              <w:t>）</w:t>
            </w:r>
          </w:p>
        </w:tc>
        <w:tc>
          <w:tcPr>
            <w:tcW w:w="3536" w:type="pct"/>
            <w:shd w:val="clear" w:color="auto" w:fill="auto"/>
            <w:vAlign w:val="center"/>
          </w:tcPr>
          <w:p w14:paraId="4BE0C087">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自2022年1月1日以来，本投标产品有使用案例的，每项成功使用案例得3分，满分9分。【注：“本投标产品”包含产品升级前的同系列产品，提供投标产品生产厂家出具且盖章的证明材料，证明材料须有明确的产品名称、品牌、型号及使用单位名称和联系电话】</w:t>
            </w:r>
          </w:p>
        </w:tc>
        <w:tc>
          <w:tcPr>
            <w:tcW w:w="355" w:type="pct"/>
            <w:shd w:val="clear" w:color="auto" w:fill="auto"/>
            <w:vAlign w:val="center"/>
          </w:tcPr>
          <w:p w14:paraId="0846E5E5">
            <w:pPr>
              <w:wordWrap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7FAE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Merge w:val="continue"/>
            <w:shd w:val="clear" w:color="auto" w:fill="auto"/>
            <w:vAlign w:val="center"/>
          </w:tcPr>
          <w:p w14:paraId="27AA7180">
            <w:pPr>
              <w:wordWrap w:val="0"/>
              <w:adjustRightInd w:val="0"/>
              <w:snapToGrid w:val="0"/>
              <w:spacing w:line="460" w:lineRule="exact"/>
              <w:jc w:val="center"/>
              <w:textAlignment w:val="baseline"/>
              <w:rPr>
                <w:rFonts w:ascii="仿宋" w:hAnsi="仿宋" w:eastAsia="仿宋" w:cs="仿宋"/>
                <w:color w:val="auto"/>
                <w:sz w:val="24"/>
                <w:highlight w:val="none"/>
              </w:rPr>
            </w:pPr>
          </w:p>
        </w:tc>
        <w:tc>
          <w:tcPr>
            <w:tcW w:w="4531" w:type="pct"/>
            <w:gridSpan w:val="3"/>
            <w:shd w:val="clear" w:color="auto" w:fill="auto"/>
            <w:vAlign w:val="center"/>
          </w:tcPr>
          <w:p w14:paraId="50D1120B">
            <w:pPr>
              <w:wordWrap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同一项业绩2.1与2.2不予重复计分。</w:t>
            </w:r>
          </w:p>
        </w:tc>
      </w:tr>
      <w:tr w14:paraId="3838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Merge w:val="continue"/>
            <w:shd w:val="clear" w:color="auto" w:fill="auto"/>
            <w:vAlign w:val="center"/>
          </w:tcPr>
          <w:p w14:paraId="518E55FE">
            <w:pPr>
              <w:wordWrap w:val="0"/>
              <w:adjustRightInd w:val="0"/>
              <w:snapToGrid w:val="0"/>
              <w:spacing w:line="460" w:lineRule="exact"/>
              <w:jc w:val="center"/>
              <w:textAlignment w:val="baseline"/>
              <w:rPr>
                <w:rFonts w:ascii="仿宋" w:hAnsi="仿宋" w:eastAsia="仿宋" w:cs="仿宋"/>
                <w:color w:val="auto"/>
                <w:sz w:val="24"/>
                <w:highlight w:val="none"/>
              </w:rPr>
            </w:pPr>
          </w:p>
        </w:tc>
        <w:tc>
          <w:tcPr>
            <w:tcW w:w="639" w:type="pct"/>
            <w:shd w:val="clear" w:color="auto" w:fill="auto"/>
            <w:vAlign w:val="center"/>
          </w:tcPr>
          <w:p w14:paraId="5C85D573">
            <w:pPr>
              <w:wordWrap w:val="0"/>
              <w:spacing w:line="460" w:lineRule="exact"/>
              <w:jc w:val="center"/>
              <w:rPr>
                <w:rFonts w:ascii="仿宋" w:hAnsi="仿宋" w:eastAsia="仿宋" w:cs="仿宋"/>
                <w:bCs/>
                <w:color w:val="auto"/>
                <w:sz w:val="24"/>
                <w:highlight w:val="none"/>
                <w:lang w:val="en-GB"/>
              </w:rPr>
            </w:pPr>
            <w:r>
              <w:rPr>
                <w:rFonts w:hint="eastAsia" w:ascii="仿宋" w:hAnsi="仿宋" w:eastAsia="仿宋" w:cs="仿宋"/>
                <w:bCs/>
                <w:color w:val="auto"/>
                <w:sz w:val="24"/>
                <w:highlight w:val="none"/>
              </w:rPr>
              <w:t>2.3投标产品</w:t>
            </w:r>
            <w:r>
              <w:rPr>
                <w:rFonts w:hint="eastAsia" w:ascii="仿宋" w:hAnsi="仿宋" w:eastAsia="仿宋" w:cs="仿宋"/>
                <w:bCs/>
                <w:color w:val="auto"/>
                <w:sz w:val="24"/>
                <w:highlight w:val="none"/>
                <w:lang w:val="en-GB"/>
              </w:rPr>
              <w:t>信誉</w:t>
            </w:r>
          </w:p>
          <w:p w14:paraId="155A975D">
            <w:pPr>
              <w:wordWrap w:val="0"/>
              <w:spacing w:line="460" w:lineRule="exact"/>
              <w:jc w:val="center"/>
              <w:rPr>
                <w:rFonts w:ascii="仿宋" w:hAnsi="仿宋" w:eastAsia="仿宋" w:cs="仿宋"/>
                <w:bCs/>
                <w:color w:val="auto"/>
                <w:sz w:val="24"/>
                <w:highlight w:val="none"/>
                <w:lang w:val="en-GB"/>
              </w:rPr>
            </w:pPr>
            <w:r>
              <w:rPr>
                <w:rFonts w:hint="eastAsia" w:ascii="仿宋" w:hAnsi="仿宋" w:eastAsia="仿宋" w:cs="仿宋"/>
                <w:bCs/>
                <w:color w:val="auto"/>
                <w:sz w:val="24"/>
                <w:highlight w:val="none"/>
                <w:lang w:val="en-GB"/>
              </w:rPr>
              <w:t>（满分</w:t>
            </w:r>
          </w:p>
          <w:p w14:paraId="4F6D848E">
            <w:pPr>
              <w:wordWrap w:val="0"/>
              <w:spacing w:line="460" w:lineRule="exact"/>
              <w:jc w:val="center"/>
              <w:rPr>
                <w:rFonts w:ascii="仿宋" w:hAnsi="仿宋" w:eastAsia="仿宋" w:cs="仿宋"/>
                <w:bCs/>
                <w:color w:val="auto"/>
                <w:sz w:val="24"/>
                <w:highlight w:val="none"/>
                <w:lang w:val="en-GB"/>
              </w:rPr>
            </w:pPr>
            <w:r>
              <w:rPr>
                <w:rFonts w:hint="eastAsia" w:ascii="仿宋" w:hAnsi="仿宋" w:eastAsia="仿宋" w:cs="仿宋"/>
                <w:bCs/>
                <w:color w:val="auto"/>
                <w:sz w:val="24"/>
                <w:highlight w:val="none"/>
              </w:rPr>
              <w:t>9</w:t>
            </w:r>
            <w:r>
              <w:rPr>
                <w:rFonts w:hint="eastAsia" w:ascii="仿宋" w:hAnsi="仿宋" w:eastAsia="仿宋" w:cs="仿宋"/>
                <w:bCs/>
                <w:color w:val="auto"/>
                <w:sz w:val="24"/>
                <w:highlight w:val="none"/>
                <w:lang w:val="en-GB"/>
              </w:rPr>
              <w:t>分）</w:t>
            </w:r>
          </w:p>
        </w:tc>
        <w:tc>
          <w:tcPr>
            <w:tcW w:w="3536" w:type="pct"/>
            <w:shd w:val="clear" w:color="auto" w:fill="auto"/>
            <w:vAlign w:val="center"/>
          </w:tcPr>
          <w:p w14:paraId="37831726">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自2022年1月1日以来，本投标产品在国内外研究成果中作为研究仪器（设备）的，每项成果案例得3分，满分9分。【注：“本投标产品”包含产品升级前的同系列产品，提供真实有效证明材料及网络查询链接。本项目采购设备主要用于采购人科研实验目的】</w:t>
            </w:r>
          </w:p>
        </w:tc>
        <w:tc>
          <w:tcPr>
            <w:tcW w:w="355" w:type="pct"/>
            <w:shd w:val="clear" w:color="auto" w:fill="auto"/>
            <w:vAlign w:val="center"/>
          </w:tcPr>
          <w:p w14:paraId="3B1BE54C">
            <w:pPr>
              <w:wordWrap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1906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Merge w:val="restart"/>
            <w:shd w:val="clear" w:color="auto" w:fill="auto"/>
            <w:vAlign w:val="center"/>
          </w:tcPr>
          <w:p w14:paraId="652C0364">
            <w:pPr>
              <w:widowControl/>
              <w:wordWrap w:val="0"/>
              <w:spacing w:line="46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3.技术分（满分48分）</w:t>
            </w:r>
          </w:p>
        </w:tc>
        <w:tc>
          <w:tcPr>
            <w:tcW w:w="639" w:type="pct"/>
            <w:shd w:val="clear" w:color="auto" w:fill="auto"/>
            <w:vAlign w:val="center"/>
          </w:tcPr>
          <w:p w14:paraId="648B012C">
            <w:pPr>
              <w:widowControl/>
              <w:wordWrap w:val="0"/>
              <w:spacing w:line="46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3.1技术性能分（满分</w:t>
            </w:r>
          </w:p>
          <w:p w14:paraId="43B8D9C3">
            <w:pPr>
              <w:widowControl/>
              <w:wordWrap w:val="0"/>
              <w:spacing w:line="46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12分）</w:t>
            </w:r>
          </w:p>
        </w:tc>
        <w:tc>
          <w:tcPr>
            <w:tcW w:w="3536" w:type="pct"/>
            <w:shd w:val="clear" w:color="auto" w:fill="auto"/>
          </w:tcPr>
          <w:p w14:paraId="2586F372">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1.投标文件中的技术要求偏离表完全响应采购需求技术参数要求的得6分，未标注▲的非实质性条款负偏离1项得3分，负偏离2项不得分。</w:t>
            </w:r>
          </w:p>
          <w:p w14:paraId="45361B94">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2.正偏离加分：每正偏离一项加3分，满分6分。提供生产厂家编制产品彩页、官网截图及链接或第三方出具的检测报告等技术证明材料并加盖生产厂家公章（进口产品提供生产厂家授权书）。</w:t>
            </w:r>
          </w:p>
        </w:tc>
        <w:tc>
          <w:tcPr>
            <w:tcW w:w="355" w:type="pct"/>
            <w:shd w:val="clear" w:color="auto" w:fill="auto"/>
            <w:vAlign w:val="center"/>
          </w:tcPr>
          <w:p w14:paraId="47CCDB53">
            <w:pPr>
              <w:widowControl/>
              <w:wordWrap w:val="0"/>
              <w:spacing w:line="460" w:lineRule="exact"/>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客观分</w:t>
            </w:r>
          </w:p>
        </w:tc>
      </w:tr>
      <w:tr w14:paraId="634C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Merge w:val="continue"/>
            <w:shd w:val="clear" w:color="auto" w:fill="auto"/>
            <w:vAlign w:val="center"/>
          </w:tcPr>
          <w:p w14:paraId="38128AB0">
            <w:pPr>
              <w:widowControl/>
              <w:wordWrap w:val="0"/>
              <w:spacing w:line="460" w:lineRule="exact"/>
              <w:jc w:val="center"/>
              <w:textAlignment w:val="center"/>
              <w:rPr>
                <w:rFonts w:ascii="仿宋" w:hAnsi="仿宋" w:eastAsia="仿宋" w:cs="仿宋"/>
                <w:color w:val="auto"/>
                <w:kern w:val="0"/>
                <w:sz w:val="24"/>
                <w:highlight w:val="none"/>
                <w:lang w:bidi="ar"/>
              </w:rPr>
            </w:pPr>
          </w:p>
        </w:tc>
        <w:tc>
          <w:tcPr>
            <w:tcW w:w="639" w:type="pct"/>
            <w:shd w:val="clear" w:color="auto" w:fill="auto"/>
            <w:vAlign w:val="center"/>
          </w:tcPr>
          <w:p w14:paraId="3A5F4167">
            <w:pPr>
              <w:wordWrap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3.2项目供货方案（满分</w:t>
            </w:r>
          </w:p>
          <w:p w14:paraId="735CE07C">
            <w:pPr>
              <w:wordWrap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21分）</w:t>
            </w:r>
          </w:p>
        </w:tc>
        <w:tc>
          <w:tcPr>
            <w:tcW w:w="3536" w:type="pct"/>
            <w:shd w:val="clear" w:color="auto" w:fill="auto"/>
            <w:vAlign w:val="center"/>
          </w:tcPr>
          <w:p w14:paraId="4D1CED9B">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未满足以下要求或未提供方案的不得分。</w:t>
            </w:r>
          </w:p>
          <w:p w14:paraId="69D43730">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一档（5分）：供货方案能够列明投标产品的供货计划和进度安排，含设备采购（或生产）、关键部位包装、运输、安装、调试等各项的工作计划和时间节点等，要求方案与所供设备匹配、正确。</w:t>
            </w:r>
          </w:p>
          <w:p w14:paraId="0D560B26">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二档（10分）：供货方案优于上一档，供货各个阶段有具体工作方案和质量保障措施，明确负责人和职责。结合投标产品分析供货流程各环节可能出现的问题并提出解决措施。</w:t>
            </w:r>
          </w:p>
          <w:p w14:paraId="38F67B0F">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三档（15分）：供货方案优于上一档，且提供实验室现场安装调试、验收、校准检测方案等，分析安装调试过程中常见的技术问题，提供解决方案。</w:t>
            </w:r>
          </w:p>
          <w:p w14:paraId="62DBC883">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四档（21分）：供货方案优于上一档，投标人汇总供货全过程的难点工作编制保障措施；编制有供货风险识别及防范措施，无法正常供货的应对措施。若为进口产品投标的，还需要编制进口产品专项方案，针对产品进口各项报关清关流程、手续、办理免税等针对性方案。</w:t>
            </w:r>
          </w:p>
        </w:tc>
        <w:tc>
          <w:tcPr>
            <w:tcW w:w="355" w:type="pct"/>
            <w:shd w:val="clear" w:color="auto" w:fill="auto"/>
            <w:vAlign w:val="center"/>
          </w:tcPr>
          <w:p w14:paraId="24A8302B">
            <w:pPr>
              <w:widowControl/>
              <w:wordWrap w:val="0"/>
              <w:spacing w:line="460" w:lineRule="exact"/>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主观分</w:t>
            </w:r>
          </w:p>
        </w:tc>
      </w:tr>
      <w:tr w14:paraId="7B0A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Merge w:val="continue"/>
            <w:shd w:val="clear" w:color="auto" w:fill="auto"/>
            <w:vAlign w:val="center"/>
          </w:tcPr>
          <w:p w14:paraId="0FD4E5A8">
            <w:pPr>
              <w:widowControl/>
              <w:wordWrap w:val="0"/>
              <w:spacing w:line="460" w:lineRule="exact"/>
              <w:jc w:val="center"/>
              <w:textAlignment w:val="center"/>
              <w:rPr>
                <w:rFonts w:ascii="仿宋" w:hAnsi="仿宋" w:eastAsia="仿宋" w:cs="仿宋"/>
                <w:color w:val="auto"/>
                <w:kern w:val="0"/>
                <w:sz w:val="24"/>
                <w:highlight w:val="none"/>
                <w:lang w:bidi="ar"/>
              </w:rPr>
            </w:pPr>
          </w:p>
        </w:tc>
        <w:tc>
          <w:tcPr>
            <w:tcW w:w="639" w:type="pct"/>
            <w:shd w:val="clear" w:color="auto" w:fill="auto"/>
            <w:vAlign w:val="center"/>
          </w:tcPr>
          <w:p w14:paraId="757B1F37">
            <w:pPr>
              <w:wordWrap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3.3售后服务方案（满分</w:t>
            </w:r>
          </w:p>
          <w:p w14:paraId="0F69823C">
            <w:pPr>
              <w:wordWrap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15分）</w:t>
            </w:r>
          </w:p>
        </w:tc>
        <w:tc>
          <w:tcPr>
            <w:tcW w:w="3536" w:type="pct"/>
            <w:shd w:val="clear" w:color="auto" w:fill="auto"/>
            <w:vAlign w:val="center"/>
          </w:tcPr>
          <w:p w14:paraId="5DB5F802">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未满足以下要求或未提供方案的不得分。</w:t>
            </w:r>
          </w:p>
          <w:p w14:paraId="28F8581E">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一档（5分）：投标文件中提供有满足商务条款要求的售后服务的具体工作措施和具体的售后服务人员、售后服务电话，且对质保、维护等售后服务工作出具承诺函。</w:t>
            </w:r>
          </w:p>
          <w:p w14:paraId="5A59463F">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二档（10分）：投标人提供有质保期内售后服务承诺，有健全的售后服务管理制度和售后人员（至少2名技术员，注明姓名、联系方式等），制定有定期巡检、故障处理、用户回访、用户培训等计划和措施。售后服务编制有终身的技术服务计划，提供经投标人法定代表人签字认可的售后服务承诺函。</w:t>
            </w:r>
          </w:p>
          <w:p w14:paraId="2DE8C670">
            <w:pPr>
              <w:widowControl/>
              <w:wordWrap w:val="0"/>
              <w:spacing w:line="460" w:lineRule="exact"/>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三档（15分）：售后服务方案优于上一档，并且提供产品生产厂家线上远程支持和软件升级，售后服务技术员（至少2人，注明姓名、联系方式等）为生产厂家人员（提供生产厂家为技术人员出具的授权书）。编制有采购人国内（或国外）学术交流及学术培训计划。产品质保期优于商务条款要求且至少延长一年，提供产品生产厂家出具且盖章的售后服务承诺函。</w:t>
            </w:r>
          </w:p>
        </w:tc>
        <w:tc>
          <w:tcPr>
            <w:tcW w:w="355" w:type="pct"/>
            <w:shd w:val="clear" w:color="auto" w:fill="auto"/>
            <w:vAlign w:val="center"/>
          </w:tcPr>
          <w:p w14:paraId="56119193">
            <w:pPr>
              <w:widowControl/>
              <w:wordWrap w:val="0"/>
              <w:spacing w:line="460" w:lineRule="exact"/>
              <w:jc w:val="center"/>
              <w:textAlignment w:val="top"/>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bl>
    <w:p w14:paraId="60E57C56">
      <w:pPr>
        <w:spacing w:line="360" w:lineRule="auto"/>
        <w:jc w:val="center"/>
        <w:rPr>
          <w:rFonts w:ascii="仿宋" w:hAnsi="仿宋" w:eastAsia="仿宋" w:cs="仿宋"/>
          <w:color w:val="auto"/>
          <w:sz w:val="30"/>
          <w:szCs w:val="30"/>
          <w:highlight w:val="none"/>
        </w:rPr>
      </w:pPr>
    </w:p>
    <w:p w14:paraId="5EDFE926">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br w:type="page"/>
      </w:r>
    </w:p>
    <w:p w14:paraId="4F0044F3">
      <w:pPr>
        <w:rPr>
          <w:rFonts w:ascii="仿宋" w:hAnsi="仿宋" w:eastAsia="仿宋" w:cs="仿宋"/>
          <w:color w:val="auto"/>
          <w:sz w:val="30"/>
          <w:szCs w:val="30"/>
          <w:highlight w:val="none"/>
        </w:rPr>
      </w:pPr>
    </w:p>
    <w:p w14:paraId="5861F891">
      <w:pPr>
        <w:rPr>
          <w:rFonts w:ascii="仿宋" w:hAnsi="仿宋" w:eastAsia="仿宋" w:cs="仿宋"/>
          <w:color w:val="auto"/>
          <w:sz w:val="30"/>
          <w:szCs w:val="30"/>
          <w:highlight w:val="none"/>
        </w:rPr>
      </w:pPr>
    </w:p>
    <w:p w14:paraId="4189A7CB">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四、中标候选人推荐原则</w:t>
      </w:r>
    </w:p>
    <w:p w14:paraId="58F6FDC5">
      <w:pPr>
        <w:spacing w:line="360" w:lineRule="auto"/>
        <w:contextualSpacing/>
        <w:rPr>
          <w:rFonts w:ascii="仿宋" w:hAnsi="仿宋" w:eastAsia="仿宋" w:cs="仿宋"/>
          <w:b/>
          <w:color w:val="auto"/>
          <w:sz w:val="24"/>
          <w:highlight w:val="none"/>
        </w:rPr>
      </w:pPr>
    </w:p>
    <w:p w14:paraId="16726568">
      <w:pPr>
        <w:spacing w:line="360" w:lineRule="auto"/>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（一）综合评分法</w:t>
      </w:r>
    </w:p>
    <w:p w14:paraId="3DA8FD6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1.评标委员会将根据总得分由高到低排列次序并推荐中标候选人。得分相同的，按投标报价由低到高顺序排列。得分且投标报价相同的并列，依次按政策分得分高的优先、技术评分高的优先、商务评分高的优先、</w:t>
      </w:r>
      <w:r>
        <w:rPr>
          <w:rFonts w:hint="eastAsia" w:ascii="仿宋" w:hAnsi="仿宋" w:eastAsia="仿宋" w:cs="仿宋"/>
          <w:color w:val="auto"/>
          <w:kern w:val="0"/>
          <w:sz w:val="24"/>
          <w:szCs w:val="21"/>
          <w:highlight w:val="none"/>
        </w:rPr>
        <w:t>质量保证期</w:t>
      </w:r>
      <w:r>
        <w:rPr>
          <w:rFonts w:hint="eastAsia" w:ascii="仿宋" w:hAnsi="仿宋" w:eastAsia="仿宋" w:cs="仿宋"/>
          <w:color w:val="auto"/>
          <w:sz w:val="24"/>
          <w:highlight w:val="none"/>
        </w:rPr>
        <w:t>长优先、交货期短优先、故障响应时间短优先的顺序确定中标候选人。</w:t>
      </w:r>
    </w:p>
    <w:p w14:paraId="170E4238">
      <w:pPr>
        <w:pStyle w:val="6"/>
        <w:ind w:firstLine="480" w:firstLineChars="200"/>
        <w:jc w:val="left"/>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8.1 规定推荐，确定后其他同品牌投标人不作为中标候选人。</w:t>
      </w:r>
    </w:p>
    <w:p w14:paraId="190F241B">
      <w:pPr>
        <w:pStyle w:val="25"/>
        <w:spacing w:line="360" w:lineRule="auto"/>
        <w:contextualSpacing/>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（二）最低评标价法</w:t>
      </w:r>
    </w:p>
    <w:p w14:paraId="74E8D76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应当从质量和服务均能满足采购文件实质性响应要求的供应商中，按照评标价由低到高的顺序排列次序并推荐中标候选人。评标价相同时，由评标委员会按“供应商须知前附表”第30.1条规定的顺序确定中标候选人。</w:t>
      </w:r>
    </w:p>
    <w:p w14:paraId="239C8215">
      <w:pPr>
        <w:pStyle w:val="25"/>
        <w:spacing w:line="360" w:lineRule="auto"/>
        <w:ind w:firstLine="480" w:firstLineChars="200"/>
        <w:contextualSpacing/>
        <w:rPr>
          <w:rFonts w:ascii="仿宋" w:hAnsi="仿宋" w:eastAsia="仿宋" w:cs="仿宋"/>
          <w:color w:val="auto"/>
          <w:sz w:val="24"/>
          <w:szCs w:val="24"/>
          <w:highlight w:val="none"/>
        </w:rPr>
      </w:pPr>
    </w:p>
    <w:p w14:paraId="46371640">
      <w:pPr>
        <w:rPr>
          <w:rFonts w:ascii="仿宋" w:hAnsi="仿宋" w:eastAsia="仿宋" w:cs="仿宋"/>
          <w:color w:val="auto"/>
          <w:highlight w:val="none"/>
        </w:rPr>
      </w:pPr>
      <w:bookmarkStart w:id="138" w:name="_Toc74320804"/>
    </w:p>
    <w:p w14:paraId="4A5D7F0C">
      <w:pPr>
        <w:pStyle w:val="2"/>
        <w:rPr>
          <w:rFonts w:ascii="仿宋" w:hAnsi="仿宋" w:eastAsia="仿宋" w:cs="仿宋"/>
          <w:color w:val="auto"/>
          <w:highlight w:val="none"/>
        </w:rPr>
      </w:pPr>
    </w:p>
    <w:p w14:paraId="7FDFDB7A">
      <w:pPr>
        <w:jc w:val="center"/>
        <w:rPr>
          <w:rFonts w:ascii="仿宋" w:hAnsi="仿宋" w:eastAsia="仿宋" w:cs="仿宋"/>
          <w:color w:val="auto"/>
          <w:highlight w:val="none"/>
        </w:rPr>
      </w:pPr>
      <w:r>
        <w:rPr>
          <w:rFonts w:hint="eastAsia" w:ascii="仿宋" w:hAnsi="仿宋" w:eastAsia="仿宋" w:cs="仿宋"/>
          <w:color w:val="auto"/>
          <w:highlight w:val="none"/>
        </w:rPr>
        <w:br w:type="page"/>
      </w:r>
    </w:p>
    <w:p w14:paraId="49F3DBA5">
      <w:pPr>
        <w:pStyle w:val="3"/>
        <w:jc w:val="center"/>
        <w:rPr>
          <w:rFonts w:ascii="仿宋" w:hAnsi="仿宋" w:eastAsia="仿宋" w:cs="仿宋"/>
          <w:color w:val="auto"/>
          <w:highlight w:val="none"/>
        </w:rPr>
      </w:pPr>
      <w:r>
        <w:rPr>
          <w:rFonts w:hint="eastAsia" w:ascii="仿宋" w:hAnsi="仿宋" w:eastAsia="仿宋" w:cs="仿宋"/>
          <w:color w:val="auto"/>
          <w:highlight w:val="none"/>
        </w:rPr>
        <w:t>第五章  拟签订的合同文本</w:t>
      </w:r>
      <w:bookmarkEnd w:id="138"/>
    </w:p>
    <w:p w14:paraId="2B3E1A3D">
      <w:pP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一般货物类： </w:t>
      </w:r>
    </w:p>
    <w:p w14:paraId="08817313">
      <w:pPr>
        <w:snapToGrid w:val="0"/>
        <w:spacing w:line="360" w:lineRule="auto"/>
        <w:jc w:val="center"/>
        <w:rPr>
          <w:rFonts w:ascii="仿宋" w:hAnsi="仿宋" w:eastAsia="仿宋" w:cs="仿宋"/>
          <w:b/>
          <w:bCs/>
          <w:color w:val="auto"/>
          <w:sz w:val="32"/>
          <w:szCs w:val="32"/>
          <w:highlight w:val="none"/>
        </w:rPr>
      </w:pPr>
    </w:p>
    <w:p w14:paraId="69285C5E">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《广西壮族自治区政府采购合同》</w:t>
      </w:r>
    </w:p>
    <w:p w14:paraId="4C6C7264">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X射线衍射仪等三台设备采购</w:t>
      </w:r>
    </w:p>
    <w:p w14:paraId="776D43E9">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eastAsia="zh-CN"/>
        </w:rPr>
        <w:t>GXZC2025-G1-001466-KWZB</w:t>
      </w:r>
    </w:p>
    <w:p w14:paraId="35D33CD4">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采购人（甲方）：</w:t>
      </w:r>
      <w:r>
        <w:rPr>
          <w:rFonts w:hint="eastAsia" w:ascii="仿宋" w:hAnsi="仿宋" w:eastAsia="仿宋" w:cs="仿宋"/>
          <w:color w:val="auto"/>
          <w:sz w:val="24"/>
          <w:highlight w:val="none"/>
          <w:u w:val="single"/>
        </w:rPr>
        <w:t>广西大学</w:t>
      </w:r>
      <w:r>
        <w:rPr>
          <w:rFonts w:hint="eastAsia" w:ascii="仿宋" w:hAnsi="仿宋" w:eastAsia="仿宋" w:cs="仿宋"/>
          <w:color w:val="auto"/>
          <w:sz w:val="24"/>
          <w:highlight w:val="none"/>
        </w:rPr>
        <w:t xml:space="preserve">                      </w:t>
      </w:r>
    </w:p>
    <w:p w14:paraId="03D15C2C">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供应商（乙方）：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1C9BE95">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GXZC2025-G1-001466-KWZB</w:t>
      </w:r>
    </w:p>
    <w:p w14:paraId="03A10F42">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u w:val="single"/>
        </w:rPr>
        <w:t>广西壮族自治区南宁市西乡塘区</w:t>
      </w:r>
    </w:p>
    <w:p w14:paraId="54D30222">
      <w:pPr>
        <w:snapToGrid w:val="0"/>
        <w:spacing w:line="360" w:lineRule="auto"/>
        <w:ind w:firstLine="480" w:firstLineChars="200"/>
        <w:rPr>
          <w:rFonts w:ascii="仿宋" w:hAnsi="仿宋" w:eastAsia="仿宋" w:cs="仿宋"/>
          <w:color w:val="auto"/>
          <w:sz w:val="24"/>
          <w:highlight w:val="none"/>
        </w:rPr>
      </w:pPr>
    </w:p>
    <w:p w14:paraId="3E05C42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根据《中华人民共和国政府采购法》《中华人民共和国民法典》等法律、法规规定，按照招标文件规定条款和中标（成交）供应商承诺，甲乙双方签订本合同。</w:t>
      </w:r>
    </w:p>
    <w:p w14:paraId="7E437C16">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第一条　合同标的</w:t>
      </w:r>
    </w:p>
    <w:p w14:paraId="7DFC495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1.供货一览表</w:t>
      </w:r>
    </w:p>
    <w:tbl>
      <w:tblPr>
        <w:tblStyle w:val="49"/>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02"/>
        <w:gridCol w:w="989"/>
        <w:gridCol w:w="1113"/>
        <w:gridCol w:w="989"/>
        <w:gridCol w:w="865"/>
        <w:gridCol w:w="618"/>
        <w:gridCol w:w="724"/>
        <w:gridCol w:w="1502"/>
        <w:gridCol w:w="1113"/>
      </w:tblGrid>
      <w:tr w14:paraId="2F16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18" w:type="dxa"/>
            <w:vAlign w:val="center"/>
          </w:tcPr>
          <w:p w14:paraId="52972184">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02" w:type="dxa"/>
            <w:vAlign w:val="center"/>
          </w:tcPr>
          <w:p w14:paraId="0AEDAFB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标的名称</w:t>
            </w:r>
          </w:p>
        </w:tc>
        <w:tc>
          <w:tcPr>
            <w:tcW w:w="989" w:type="dxa"/>
            <w:vAlign w:val="center"/>
          </w:tcPr>
          <w:p w14:paraId="5B7B4630">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商标品牌</w:t>
            </w:r>
          </w:p>
        </w:tc>
        <w:tc>
          <w:tcPr>
            <w:tcW w:w="1113" w:type="dxa"/>
            <w:vAlign w:val="center"/>
          </w:tcPr>
          <w:p w14:paraId="2340948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89" w:type="dxa"/>
            <w:vAlign w:val="center"/>
          </w:tcPr>
          <w:p w14:paraId="7F8FBB63">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生产厂家</w:t>
            </w:r>
          </w:p>
        </w:tc>
        <w:tc>
          <w:tcPr>
            <w:tcW w:w="865" w:type="dxa"/>
            <w:vAlign w:val="center"/>
          </w:tcPr>
          <w:p w14:paraId="4814C0D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产地</w:t>
            </w:r>
          </w:p>
        </w:tc>
        <w:tc>
          <w:tcPr>
            <w:tcW w:w="618" w:type="dxa"/>
            <w:vAlign w:val="center"/>
          </w:tcPr>
          <w:p w14:paraId="5F361BD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  量</w:t>
            </w:r>
          </w:p>
        </w:tc>
        <w:tc>
          <w:tcPr>
            <w:tcW w:w="724" w:type="dxa"/>
            <w:vAlign w:val="center"/>
          </w:tcPr>
          <w:p w14:paraId="39D7FCD9">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1502" w:type="dxa"/>
            <w:vAlign w:val="center"/>
          </w:tcPr>
          <w:p w14:paraId="2E0BEB9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  价</w:t>
            </w:r>
          </w:p>
          <w:p w14:paraId="1A59189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（元/人民币）</w:t>
            </w:r>
          </w:p>
        </w:tc>
        <w:tc>
          <w:tcPr>
            <w:tcW w:w="1113" w:type="dxa"/>
            <w:vAlign w:val="center"/>
          </w:tcPr>
          <w:p w14:paraId="6711C09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单项合计（元/人民币）</w:t>
            </w:r>
          </w:p>
        </w:tc>
      </w:tr>
      <w:tr w14:paraId="7D99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618" w:type="dxa"/>
            <w:vAlign w:val="center"/>
          </w:tcPr>
          <w:p w14:paraId="1E84318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02" w:type="dxa"/>
            <w:vAlign w:val="center"/>
          </w:tcPr>
          <w:p w14:paraId="506DA91E">
            <w:pPr>
              <w:snapToGrid w:val="0"/>
              <w:spacing w:line="360" w:lineRule="auto"/>
              <w:jc w:val="center"/>
              <w:rPr>
                <w:rFonts w:ascii="仿宋" w:hAnsi="仿宋" w:eastAsia="仿宋" w:cs="仿宋"/>
                <w:color w:val="auto"/>
                <w:sz w:val="24"/>
                <w:highlight w:val="none"/>
              </w:rPr>
            </w:pPr>
          </w:p>
        </w:tc>
        <w:tc>
          <w:tcPr>
            <w:tcW w:w="989" w:type="dxa"/>
            <w:vAlign w:val="center"/>
          </w:tcPr>
          <w:p w14:paraId="19FDB4E6">
            <w:pPr>
              <w:snapToGrid w:val="0"/>
              <w:spacing w:line="360" w:lineRule="auto"/>
              <w:jc w:val="center"/>
              <w:rPr>
                <w:rFonts w:ascii="仿宋" w:hAnsi="仿宋" w:eastAsia="仿宋" w:cs="仿宋"/>
                <w:color w:val="auto"/>
                <w:sz w:val="24"/>
                <w:highlight w:val="none"/>
              </w:rPr>
            </w:pPr>
          </w:p>
        </w:tc>
        <w:tc>
          <w:tcPr>
            <w:tcW w:w="1113" w:type="dxa"/>
            <w:vAlign w:val="center"/>
          </w:tcPr>
          <w:p w14:paraId="35119C98">
            <w:pPr>
              <w:snapToGrid w:val="0"/>
              <w:spacing w:line="360" w:lineRule="auto"/>
              <w:jc w:val="center"/>
              <w:rPr>
                <w:rFonts w:ascii="仿宋" w:hAnsi="仿宋" w:eastAsia="仿宋" w:cs="仿宋"/>
                <w:color w:val="auto"/>
                <w:sz w:val="24"/>
                <w:highlight w:val="none"/>
              </w:rPr>
            </w:pPr>
          </w:p>
        </w:tc>
        <w:tc>
          <w:tcPr>
            <w:tcW w:w="989" w:type="dxa"/>
          </w:tcPr>
          <w:p w14:paraId="7FB1402B">
            <w:pPr>
              <w:snapToGrid w:val="0"/>
              <w:spacing w:line="360" w:lineRule="auto"/>
              <w:jc w:val="center"/>
              <w:rPr>
                <w:rFonts w:ascii="仿宋" w:hAnsi="仿宋" w:eastAsia="仿宋" w:cs="仿宋"/>
                <w:color w:val="auto"/>
                <w:sz w:val="24"/>
                <w:highlight w:val="none"/>
              </w:rPr>
            </w:pPr>
          </w:p>
        </w:tc>
        <w:tc>
          <w:tcPr>
            <w:tcW w:w="865" w:type="dxa"/>
            <w:vAlign w:val="center"/>
          </w:tcPr>
          <w:p w14:paraId="4DF7A05D">
            <w:pPr>
              <w:snapToGrid w:val="0"/>
              <w:spacing w:line="360" w:lineRule="auto"/>
              <w:jc w:val="center"/>
              <w:rPr>
                <w:rFonts w:ascii="仿宋" w:hAnsi="仿宋" w:eastAsia="仿宋" w:cs="仿宋"/>
                <w:color w:val="auto"/>
                <w:sz w:val="24"/>
                <w:highlight w:val="none"/>
              </w:rPr>
            </w:pPr>
          </w:p>
        </w:tc>
        <w:tc>
          <w:tcPr>
            <w:tcW w:w="618" w:type="dxa"/>
            <w:vAlign w:val="center"/>
          </w:tcPr>
          <w:p w14:paraId="2FCFFB75">
            <w:pPr>
              <w:snapToGrid w:val="0"/>
              <w:spacing w:line="360" w:lineRule="auto"/>
              <w:jc w:val="center"/>
              <w:rPr>
                <w:rFonts w:ascii="仿宋" w:hAnsi="仿宋" w:eastAsia="仿宋" w:cs="仿宋"/>
                <w:color w:val="auto"/>
                <w:sz w:val="24"/>
                <w:highlight w:val="none"/>
              </w:rPr>
            </w:pPr>
          </w:p>
        </w:tc>
        <w:tc>
          <w:tcPr>
            <w:tcW w:w="724" w:type="dxa"/>
          </w:tcPr>
          <w:p w14:paraId="58EE9204">
            <w:pPr>
              <w:snapToGrid w:val="0"/>
              <w:spacing w:line="360" w:lineRule="auto"/>
              <w:jc w:val="center"/>
              <w:rPr>
                <w:rFonts w:ascii="仿宋" w:hAnsi="仿宋" w:eastAsia="仿宋" w:cs="仿宋"/>
                <w:color w:val="auto"/>
                <w:sz w:val="24"/>
                <w:highlight w:val="none"/>
              </w:rPr>
            </w:pPr>
          </w:p>
        </w:tc>
        <w:tc>
          <w:tcPr>
            <w:tcW w:w="1502" w:type="dxa"/>
            <w:vAlign w:val="center"/>
          </w:tcPr>
          <w:p w14:paraId="53648D7A">
            <w:pPr>
              <w:snapToGrid w:val="0"/>
              <w:spacing w:line="360" w:lineRule="auto"/>
              <w:jc w:val="center"/>
              <w:rPr>
                <w:rFonts w:ascii="仿宋" w:hAnsi="仿宋" w:eastAsia="仿宋" w:cs="仿宋"/>
                <w:color w:val="auto"/>
                <w:sz w:val="24"/>
                <w:highlight w:val="none"/>
              </w:rPr>
            </w:pPr>
          </w:p>
        </w:tc>
        <w:tc>
          <w:tcPr>
            <w:tcW w:w="1113" w:type="dxa"/>
          </w:tcPr>
          <w:p w14:paraId="53945BFC">
            <w:pPr>
              <w:snapToGrid w:val="0"/>
              <w:spacing w:line="360" w:lineRule="auto"/>
              <w:jc w:val="center"/>
              <w:rPr>
                <w:rFonts w:ascii="仿宋" w:hAnsi="仿宋" w:eastAsia="仿宋" w:cs="仿宋"/>
                <w:color w:val="auto"/>
                <w:sz w:val="24"/>
                <w:highlight w:val="none"/>
              </w:rPr>
            </w:pPr>
          </w:p>
        </w:tc>
      </w:tr>
      <w:tr w14:paraId="27A9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9433" w:type="dxa"/>
            <w:gridSpan w:val="10"/>
          </w:tcPr>
          <w:p w14:paraId="0A3AF1DE">
            <w:pPr>
              <w:snapToGrid w:val="0"/>
              <w:spacing w:line="360" w:lineRule="auto"/>
              <w:jc w:val="left"/>
              <w:rPr>
                <w:rFonts w:ascii="仿宋" w:hAnsi="仿宋" w:eastAsia="仿宋" w:cs="仿宋"/>
                <w:color w:val="auto"/>
                <w:sz w:val="24"/>
                <w:highlight w:val="none"/>
              </w:rPr>
            </w:pPr>
          </w:p>
          <w:p w14:paraId="125D7DA2">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合计金额（人民币大写</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bCs/>
                <w:color w:val="auto"/>
                <w:sz w:val="24"/>
                <w:highlight w:val="none"/>
              </w:rPr>
              <w:t>（小写）</w:t>
            </w:r>
            <w:r>
              <w:rPr>
                <w:rFonts w:hint="eastAsia" w:ascii="仿宋" w:hAnsi="仿宋" w:eastAsia="仿宋" w:cs="仿宋"/>
                <w:bCs/>
                <w:color w:val="auto"/>
                <w:sz w:val="24"/>
                <w:highlight w:val="none"/>
                <w:u w:val="single"/>
              </w:rPr>
              <w:t xml:space="preserve">¥         .  </w:t>
            </w:r>
          </w:p>
        </w:tc>
      </w:tr>
    </w:tbl>
    <w:p w14:paraId="2BE955E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合计金额包括货物价款、配套软件、标准附件、备品备件、专用工具、包装、运输、装卸、货到就位、安装、调试、检验、技术培训、技术资料、售后服务、保险、投标费用、一切税金等全部费用，甲方不再支付合同合计金额以外的其他费用。</w:t>
      </w:r>
    </w:p>
    <w:p w14:paraId="319280F3">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第二条　质量要求</w:t>
      </w:r>
    </w:p>
    <w:p w14:paraId="5C69BCE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1.乙方所提供的产品名称、商标品牌、生产厂家、规格型号、技术参数等质量必须与招标文件规定及投标文件承诺相一致。乙方提供的节能和环保产品必须是列入政府采购品目清单的产品。</w:t>
      </w:r>
    </w:p>
    <w:p w14:paraId="5F8190FC">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2.乙方所提供的货物必须是全新、未使用的原装产品，且在正常安装、使用和保养条件下，其使用寿命期内各项指标均达到招标文件规定或者投标文件承诺的质量要求。</w:t>
      </w:r>
    </w:p>
    <w:p w14:paraId="08A3F8EE">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第三条　权利保证</w:t>
      </w:r>
    </w:p>
    <w:p w14:paraId="15916CB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1.乙方应保证所提供货物在使用时不会侵犯任何第三方的专利权、商标权、工业设计权或者其他权利，不涉及任何法律纠纷。</w:t>
      </w:r>
    </w:p>
    <w:p w14:paraId="0704B9C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2.乙方应按招标文件规定或者投标文件承诺的时间向甲方提供使用货物的有关技术资料。</w:t>
      </w:r>
    </w:p>
    <w:p w14:paraId="5B5775C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454D805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4.乙方保证将要交付的货物的所有权完全属于乙方且无任何抵押、质押、查封等产权瑕疵。</w:t>
      </w:r>
    </w:p>
    <w:p w14:paraId="4941AD40">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第四条　包装、运输和签收</w:t>
      </w:r>
    </w:p>
    <w:p w14:paraId="77A03EB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1.乙方提供的货物均应包装完整，每一包装单元内应附详细的装箱单和质量合格证。</w:t>
      </w:r>
    </w:p>
    <w:p w14:paraId="599239AF">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2.货物的运输：</w:t>
      </w:r>
      <w:r>
        <w:rPr>
          <w:rFonts w:hint="eastAsia" w:ascii="仿宋" w:hAnsi="仿宋" w:eastAsia="仿宋" w:cs="仿宋"/>
          <w:color w:val="auto"/>
          <w:kern w:val="0"/>
          <w:sz w:val="24"/>
          <w:highlight w:val="none"/>
          <w:u w:val="single"/>
        </w:rPr>
        <w:t xml:space="preserve">  。</w:t>
      </w:r>
    </w:p>
    <w:p w14:paraId="59BBD48D">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3.乙方负责货物运输，货物运输合理损耗及计算方法：</w:t>
      </w:r>
      <w:r>
        <w:rPr>
          <w:rFonts w:hint="eastAsia" w:ascii="仿宋" w:hAnsi="仿宋" w:eastAsia="仿宋" w:cs="仿宋"/>
          <w:color w:val="auto"/>
          <w:kern w:val="0"/>
          <w:sz w:val="24"/>
          <w:highlight w:val="none"/>
          <w:u w:val="single"/>
        </w:rPr>
        <w:t>甲方不接受损耗。</w:t>
      </w:r>
    </w:p>
    <w:p w14:paraId="15D6073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4.乙方应在货物发运前对其进行满足运输距离、防潮、防震、防锈和防破损装卸等要求包装，以保证货物安全运达甲方指定地点。</w:t>
      </w:r>
    </w:p>
    <w:p w14:paraId="4EE02C6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5.使用说明书（货物属于进口产品的，供货时应同时附上中文使用说明书）质量检验证明书、随配附件和工具以及清单一并附于货物内。</w:t>
      </w:r>
    </w:p>
    <w:p w14:paraId="0913B68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6.乙方在货物发运手续办理完毕后24小时内或者货到甲方48小时前通知甲方，以准备接货。</w:t>
      </w:r>
    </w:p>
    <w:p w14:paraId="544DDD0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7.货物在规定的交付期限内由乙方送达甲方指定的地点，乙方同时需通知甲方货物已送达，甲方清点货物后签收，货物签收不作为最终验收合格的依据。</w:t>
      </w:r>
    </w:p>
    <w:p w14:paraId="4A24ADFB">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第五条　安装和培训</w:t>
      </w:r>
    </w:p>
    <w:p w14:paraId="7C33539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1.甲方应提供必要安装条件（如场地、电源、水源等）。</w:t>
      </w:r>
    </w:p>
    <w:p w14:paraId="581BC1A5">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2.乙方投标文件承诺负责甲方有关人员的培训：</w:t>
      </w:r>
      <w:r>
        <w:rPr>
          <w:rFonts w:hint="eastAsia" w:ascii="仿宋" w:hAnsi="仿宋" w:eastAsia="仿宋" w:cs="仿宋"/>
          <w:color w:val="auto"/>
          <w:sz w:val="24"/>
          <w:highlight w:val="none"/>
          <w:u w:val="single"/>
        </w:rPr>
        <w:t>根据甲方要求开展。</w:t>
      </w:r>
    </w:p>
    <w:p w14:paraId="3BE0AA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3.培训时间、地点：</w:t>
      </w:r>
      <w:r>
        <w:rPr>
          <w:rFonts w:hint="eastAsia" w:ascii="仿宋" w:hAnsi="仿宋" w:eastAsia="仿宋" w:cs="仿宋"/>
          <w:color w:val="auto"/>
          <w:sz w:val="24"/>
          <w:highlight w:val="none"/>
          <w:u w:val="single"/>
        </w:rPr>
        <w:t>甲方指定。</w:t>
      </w:r>
    </w:p>
    <w:p w14:paraId="34F38573">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第六条　调试、交付和验收</w:t>
      </w:r>
    </w:p>
    <w:p w14:paraId="7D536F4E">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1.交付时间：</w:t>
      </w:r>
      <w:r>
        <w:rPr>
          <w:rFonts w:hint="eastAsia" w:ascii="仿宋" w:hAnsi="仿宋" w:eastAsia="仿宋" w:cs="仿宋"/>
          <w:color w:val="auto"/>
          <w:sz w:val="24"/>
          <w:highlight w:val="none"/>
          <w:u w:val="single"/>
        </w:rPr>
        <w:t>国产设备自签订合同之日起120日历天内到货安装调试完成并通过验收。进口设备自签订合同之日起240日历天内到货安装调试完成并通过验收</w:t>
      </w:r>
      <w:r>
        <w:rPr>
          <w:rFonts w:hint="eastAsia" w:ascii="仿宋" w:hAnsi="仿宋" w:eastAsia="仿宋" w:cs="仿宋"/>
          <w:color w:val="auto"/>
          <w:sz w:val="24"/>
          <w:highlight w:val="none"/>
        </w:rPr>
        <w:t>。交付地点：</w:t>
      </w:r>
      <w:r>
        <w:rPr>
          <w:rFonts w:hint="eastAsia" w:ascii="仿宋" w:hAnsi="仿宋" w:eastAsia="仿宋" w:cs="仿宋"/>
          <w:color w:val="auto"/>
          <w:sz w:val="24"/>
          <w:highlight w:val="none"/>
          <w:u w:val="single"/>
        </w:rPr>
        <w:t>甲方指定地点。</w:t>
      </w:r>
    </w:p>
    <w:p w14:paraId="04E1FE1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2.乙方提供不符合招标文件规定或者投标文件承诺的和本合同规定的货物，甲方有权拒绝接受。</w:t>
      </w:r>
    </w:p>
    <w:p w14:paraId="6CDCC03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6BC804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4.乙方应对产品作出全面检查和对验收文件进行整理，并列出清单，作为甲方验收和使用的技术条件依据，检验的结果应随货物交甲方。</w:t>
      </w:r>
    </w:p>
    <w:p w14:paraId="73563E7E">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5.甲方对乙方提供的货物在使用前进行调试时，乙方需负责安装并培训甲方的使用操作人员，并协助甲方一起调试，直到符合技术要求，甲方才做最终验收。</w:t>
      </w:r>
    </w:p>
    <w:p w14:paraId="4EA84E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乙方应当在到货并安装、调试完毕后，达到验收条件时以书面形式提请甲方进行验收，甲方应在收到验收请求后5个工作日内组织开展验收。验收合格后由甲乙双方签署货物验收单并加盖甲方公章，甲乙双方各执壹份。</w:t>
      </w:r>
    </w:p>
    <w:p w14:paraId="29D85F8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7.对技术复杂的货物，甲方可请国家认可的专业检测机构参与初步验收及最终验收，并由其出具质量检测报告。</w:t>
      </w:r>
    </w:p>
    <w:p w14:paraId="6CD5FF3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8.预验收未通过或者履约验收未通过的，应限期整改或进行退换货处理，整改完成后重新组织履约验收。整改后仍不能通过验收的，依法追究相关责任。</w:t>
      </w:r>
    </w:p>
    <w:p w14:paraId="68AC786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甲方委托采购代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14:paraId="3B950E9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10.甲方对验收有异议的，在验收后5个工作日内以书面形式向乙方提出，乙方应自收到甲方书面异议后7日内及时予以解决。</w:t>
      </w:r>
    </w:p>
    <w:p w14:paraId="605EAA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11.验收时乙方必须在现场，验收完毕后作出验收结果报告；验收过程所产生的一切费用均由乙方承担。</w:t>
      </w:r>
    </w:p>
    <w:p w14:paraId="2ABFC7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12.货物在交付甲方前发生的风险均由乙方负责。</w:t>
      </w:r>
    </w:p>
    <w:p w14:paraId="1A6641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13.本合同的验收条款与采购需求商务条款中的验收要求互为补充。</w:t>
      </w:r>
    </w:p>
    <w:p w14:paraId="5FE869AE">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第七条　付款方式</w:t>
      </w:r>
    </w:p>
    <w:p w14:paraId="722B20CF">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1.国产设备付款：本项目无预付款，全部货物安装调试完毕并经验收合格后，甲方一次性向乙方支付全部合同款（无息）；付款前，乙方开具等额增值税专用发票给甲方。</w:t>
      </w:r>
    </w:p>
    <w:p w14:paraId="7B9694EA">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免税进口设备付款：本项目外贸进口代理业务由甲方指定外贸代理承担，并按下述方式支付合同款：合同生效后，甲方支付100%合同款给指定外贸代理商，指定外贸代理商与乙方按以下方式结算：（1）指定外贸代理商向中标产品国外生产商开出设备款100%的即期不可撤销信用证或者电汇支付；（2）设备到货并经甲方验收合格后，指定外贸代理商与乙方结算合同款。（注：双方以人民币结算）甲方、乙方及指定外贸代理商三方另行签订《外贸进口代理协议书（三方协议）》，约定外贸进口业务有关事宜。</w:t>
      </w:r>
    </w:p>
    <w:p w14:paraId="5ADBCE9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3.依法不能办理免税的进口设备按国产设备付款方式支付。</w:t>
      </w:r>
    </w:p>
    <w:p w14:paraId="3D9255BF">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第八条　履约保证金</w:t>
      </w:r>
    </w:p>
    <w:p w14:paraId="31F04BC4">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1.履约保证金金额：</w:t>
      </w:r>
      <w:r>
        <w:rPr>
          <w:rFonts w:hint="eastAsia" w:ascii="仿宋" w:hAnsi="仿宋" w:eastAsia="仿宋" w:cs="仿宋"/>
          <w:color w:val="auto"/>
          <w:sz w:val="24"/>
          <w:highlight w:val="none"/>
          <w:lang w:eastAsia="zh-Hans"/>
        </w:rPr>
        <w:t>合同金额的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Hans"/>
        </w:rPr>
        <w:t>%</w:t>
      </w:r>
      <w:r>
        <w:rPr>
          <w:rFonts w:hint="eastAsia" w:ascii="仿宋" w:hAnsi="仿宋" w:eastAsia="仿宋" w:cs="仿宋"/>
          <w:color w:val="auto"/>
          <w:sz w:val="24"/>
          <w:highlight w:val="none"/>
          <w:u w:val="single"/>
        </w:rPr>
        <w:t>（¥      .**），即人民币（大写）        ；</w:t>
      </w:r>
      <w:r>
        <w:rPr>
          <w:rFonts w:hint="eastAsia" w:ascii="仿宋" w:hAnsi="仿宋" w:eastAsia="仿宋" w:cs="仿宋"/>
          <w:color w:val="auto"/>
          <w:sz w:val="24"/>
          <w:highlight w:val="none"/>
        </w:rPr>
        <w:t>乙方在签订合同时交至指定账户（履约保证金缴纳时须备注：X射线衍射仪等三台设备采购（</w:t>
      </w:r>
      <w:r>
        <w:rPr>
          <w:rFonts w:hint="eastAsia" w:ascii="仿宋" w:hAnsi="仿宋" w:eastAsia="仿宋" w:cs="仿宋"/>
          <w:color w:val="auto"/>
          <w:sz w:val="24"/>
          <w:highlight w:val="none"/>
          <w:lang w:eastAsia="zh-CN"/>
        </w:rPr>
        <w:t>GXZC2025-G1-001466-KWZB</w:t>
      </w:r>
      <w:r>
        <w:rPr>
          <w:rFonts w:hint="eastAsia" w:ascii="仿宋" w:hAnsi="仿宋" w:eastAsia="仿宋" w:cs="仿宋"/>
          <w:color w:val="auto"/>
          <w:sz w:val="24"/>
          <w:highlight w:val="none"/>
        </w:rPr>
        <w:t>） 分标履约保证金）。</w:t>
      </w:r>
    </w:p>
    <w:p w14:paraId="6A976DB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2.履约保证金递交方式：银行转账、支票、汇票、本票、保函等非现金方式。由乙方在签订合同时按规定的金额直接缴入以下采购人账户。</w:t>
      </w:r>
    </w:p>
    <w:p w14:paraId="4E58618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2FA1D79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4.备注：</w:t>
      </w:r>
    </w:p>
    <w:p w14:paraId="6ED8EF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（1）履约保证金必须足额缴纳，或出具的保函额度必须足额且保函有效期不能低于合同履行期限（即签订采购合同之日起至履行完合同约定的权利及义务之日止），否则视为无效履约保证金。</w:t>
      </w:r>
    </w:p>
    <w:p w14:paraId="1375A3C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（2）采用保函的，必须为无条件保函，否则视为无效履约保证金。</w:t>
      </w:r>
    </w:p>
    <w:p w14:paraId="23181A2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（3）履约保证金缴纳时须明确备注X射线衍射仪等三台设备采购（</w:t>
      </w:r>
      <w:r>
        <w:rPr>
          <w:rFonts w:hint="eastAsia" w:ascii="仿宋" w:hAnsi="仿宋" w:eastAsia="仿宋" w:cs="仿宋"/>
          <w:color w:val="auto"/>
          <w:sz w:val="24"/>
          <w:highlight w:val="none"/>
          <w:lang w:eastAsia="zh-CN"/>
        </w:rPr>
        <w:t>GXZC2025-G1-001466-KWZB</w:t>
      </w:r>
      <w:r>
        <w:rPr>
          <w:rFonts w:hint="eastAsia" w:ascii="仿宋" w:hAnsi="仿宋" w:eastAsia="仿宋" w:cs="仿宋"/>
          <w:color w:val="auto"/>
          <w:sz w:val="24"/>
          <w:highlight w:val="none"/>
        </w:rPr>
        <w:t>） 分标履约保证金。</w:t>
      </w:r>
    </w:p>
    <w:p w14:paraId="6EB0FBD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（4）甲方账户信息如下：</w:t>
      </w:r>
    </w:p>
    <w:p w14:paraId="16BB9DD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统一社会信用代码：124500004985009929</w:t>
      </w:r>
    </w:p>
    <w:p w14:paraId="36A1FB8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户名： 广西大学</w:t>
      </w:r>
    </w:p>
    <w:p w14:paraId="7F3AF7A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开户行：中国银行广西南宁市西大支行（行号：104611010324）</w:t>
      </w:r>
    </w:p>
    <w:p w14:paraId="143CAA4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账号： 618 457 484 938</w:t>
      </w:r>
    </w:p>
    <w:p w14:paraId="765E089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地址：广西壮族自治区南宁市大学东路100号  联系电话：3232888</w:t>
      </w:r>
    </w:p>
    <w:p w14:paraId="107C60A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签订合同后，如乙方不按双方签订的合同规定履约，则其全部履约保证金甲方不予退还；履约保证金不足以赔偿甲方损失的，按实际损失赔偿。</w:t>
      </w:r>
    </w:p>
    <w:p w14:paraId="0E957BD5">
      <w:pPr>
        <w:snapToGrid w:val="0"/>
        <w:spacing w:line="360" w:lineRule="auto"/>
        <w:ind w:firstLine="514"/>
        <w:rPr>
          <w:rFonts w:ascii="仿宋" w:hAnsi="仿宋" w:eastAsia="仿宋" w:cs="仿宋"/>
          <w:b/>
          <w:color w:val="auto"/>
          <w:sz w:val="24"/>
          <w:highlight w:val="none"/>
        </w:rPr>
      </w:pPr>
      <w:r>
        <w:rPr>
          <w:rFonts w:hint="eastAsia" w:ascii="仿宋" w:hAnsi="仿宋" w:eastAsia="仿宋" w:cs="仿宋"/>
          <w:b/>
          <w:color w:val="auto"/>
          <w:sz w:val="24"/>
          <w:highlight w:val="none"/>
        </w:rPr>
        <w:t>第九条  税费</w:t>
      </w:r>
    </w:p>
    <w:p w14:paraId="17BC4996">
      <w:pPr>
        <w:snapToGrid w:val="0"/>
        <w:spacing w:line="360" w:lineRule="auto"/>
        <w:ind w:firstLine="514"/>
        <w:rPr>
          <w:rFonts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本合同执行中相关的一切税费均由乙方负担，合同另有约定的除外。</w:t>
      </w:r>
    </w:p>
    <w:p w14:paraId="2D5FC39A">
      <w:pPr>
        <w:snapToGrid w:val="0"/>
        <w:spacing w:line="360" w:lineRule="auto"/>
        <w:ind w:firstLine="514"/>
        <w:rPr>
          <w:rFonts w:ascii="仿宋" w:hAnsi="仿宋" w:eastAsia="仿宋" w:cs="仿宋"/>
          <w:color w:val="auto"/>
          <w:sz w:val="24"/>
          <w:highlight w:val="none"/>
        </w:rPr>
      </w:pPr>
      <w:r>
        <w:rPr>
          <w:rFonts w:hint="eastAsia" w:ascii="仿宋" w:hAnsi="仿宋" w:eastAsia="仿宋" w:cs="仿宋"/>
          <w:b/>
          <w:color w:val="auto"/>
          <w:sz w:val="24"/>
          <w:highlight w:val="none"/>
        </w:rPr>
        <w:t>第十条  质量保证、售后服务</w:t>
      </w:r>
    </w:p>
    <w:p w14:paraId="4DDFC90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1.乙方应按照国家有关法律法规和“三包”规定以及招标文件要求、投标文件承诺和本合同所附的《售后服务承诺》，为甲方提供售后服务。</w:t>
      </w:r>
    </w:p>
    <w:p w14:paraId="1D30FD5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2.乙方应按招标文件规定的设备和软件性能、技术要求、质量标准向甲方提供未经使用的全新产品。对达不到要求者，根据实际情况，经双方协商，可按以下办法处理：</w:t>
      </w:r>
    </w:p>
    <w:p w14:paraId="7B73077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（1）更换：由乙方承担所发生的全部费用。</w:t>
      </w:r>
    </w:p>
    <w:p w14:paraId="06F1F71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（2）贬值处理：由甲乙双方合议定价。</w:t>
      </w:r>
    </w:p>
    <w:p w14:paraId="0BA0C9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（3）退货处理：乙方应退还甲方支付的合同款，同时应承担该货物的直接费用（运输、保险、检验、货款利息及银行手续费等）。</w:t>
      </w:r>
    </w:p>
    <w:p w14:paraId="326E84A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如果双方不能就上述第（1）、（2）项达成协议，则甲方有权单方选择第（3）项方式。</w:t>
      </w:r>
    </w:p>
    <w:p w14:paraId="54E2C29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3.乙方提供的服务承诺和售后服务及质量保证期责任等其他具体约定事项（见合同附件）。</w:t>
      </w:r>
    </w:p>
    <w:p w14:paraId="1A4F29B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4.乙方除承担运输、安装、调试、验收与培训等义务外，还将为甲方提供技术支持，包括质量保证期外的技术指导。</w:t>
      </w:r>
    </w:p>
    <w:p w14:paraId="6A0020A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5.在质量保证期内，乙方应对货物出现的质量及安全问题负责处理解决并承担一切费用。</w:t>
      </w:r>
    </w:p>
    <w:p w14:paraId="21F28CD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6.超过质量保证期的机器设备，终身维修，维修时只收部件成本费。</w:t>
      </w:r>
    </w:p>
    <w:p w14:paraId="71115DC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7.货物质量保证期：</w:t>
      </w:r>
      <w:r>
        <w:rPr>
          <w:rFonts w:hint="eastAsia" w:ascii="仿宋" w:hAnsi="仿宋" w:eastAsia="仿宋" w:cs="仿宋"/>
          <w:color w:val="auto"/>
          <w:sz w:val="24"/>
          <w:highlight w:val="none"/>
          <w:u w:val="single"/>
        </w:rPr>
        <w:t>按国家有关产品“三包”规定执行“三包”政策，质量保证期不少于3年（质量保证期自货物验收合格之日起计。分项货物或配置有明确要求的按分项要求；生产厂家承诺的质量保证期更长的按生产厂家的承诺；乙方响应文件承诺更优的，以乙方响应文件承诺为准）</w:t>
      </w:r>
      <w:r>
        <w:rPr>
          <w:rFonts w:hint="eastAsia" w:ascii="仿宋" w:hAnsi="仿宋" w:eastAsia="仿宋" w:cs="仿宋"/>
          <w:bCs/>
          <w:color w:val="auto"/>
          <w:kern w:val="0"/>
          <w:sz w:val="24"/>
          <w:highlight w:val="none"/>
          <w:u w:val="single"/>
        </w:rPr>
        <w:t>。</w:t>
      </w:r>
    </w:p>
    <w:p w14:paraId="4247A769">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第十一条　违约责任</w:t>
      </w:r>
    </w:p>
    <w:p w14:paraId="51EE343F">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                                       </w:t>
      </w:r>
    </w:p>
    <w:p w14:paraId="3A572B34">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2.乙方提供的货物如侵犯了第三方合法权益而引发的任何纠纷或者诉讼，均由乙方负责交涉并承担全部责任。</w:t>
      </w:r>
    </w:p>
    <w:p w14:paraId="3D214D52">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3.因包装、运输引起的货物损坏，按质量不合格处理。</w:t>
      </w:r>
    </w:p>
    <w:p w14:paraId="41A01E0D">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4.合同一方不履行合同义务、履行合同义务不符合约定或者违反合同项下所作保证的，应向对方承担继续履行、采取修理、更换、退货等补救措施或者赔偿损失等违约责任。</w:t>
      </w:r>
    </w:p>
    <w:p w14:paraId="36ADBBB4">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5.乙方未能按时交付货物的，应向甲方支付迟延交付违约金。迟延交付违约金的计算方法如下：</w:t>
      </w:r>
    </w:p>
    <w:p w14:paraId="4206C035">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（1）从迟交的第1日到第30日，每日迟延交付违约金为合同总价的1.5‰；</w:t>
      </w:r>
    </w:p>
    <w:p w14:paraId="1808869A">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（2）从迟交的第31到第60日，每日迟延交付违约金为合同总价的3‰；</w:t>
      </w:r>
    </w:p>
    <w:p w14:paraId="1A207127">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（3）从迟交的第61日起，每日迟延交付违约金为合同总价的5‰。</w:t>
      </w:r>
    </w:p>
    <w:p w14:paraId="69A1A947">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79E7E6E6">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6.甲方未能按合同约定支付合同价款的，应向乙方支付延迟付款违约金。迟延付款违约金的计算方法如下：</w:t>
      </w:r>
    </w:p>
    <w:p w14:paraId="50920B27">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（1）从迟交的第1日到第30日，每日迟延付款违约金为迟延付款金额的1.5‰；</w:t>
      </w:r>
    </w:p>
    <w:p w14:paraId="0DC2ABEA">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（2）从迟交的第31日到第60日，每日迟延付款违约金为迟延付款金额的3‰；</w:t>
      </w:r>
    </w:p>
    <w:p w14:paraId="0049F432">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（3）从迟交的第61日起，每日迟延付款违约金为迟延付款金额的5‰。迟延付款违约金的总额不得超过迟延付款金额的30% 。</w:t>
      </w:r>
    </w:p>
    <w:p w14:paraId="3029E0E1">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7.乙方未按本合同和投标文件承诺提供售后服务的，乙方应按本合同总价的5%向甲方支付违约金。</w:t>
      </w:r>
    </w:p>
    <w:p w14:paraId="51A4F2DA">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8.乙方违约，甲方对本合同享有单方解除权。</w:t>
      </w:r>
    </w:p>
    <w:p w14:paraId="400578A0">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9.因某一方单方面原因导致变更、中止或者终止</w:t>
      </w:r>
      <w:bookmarkStart w:id="139" w:name="_Hlk123747227"/>
      <w:r>
        <w:rPr>
          <w:rFonts w:hint="eastAsia" w:ascii="仿宋" w:hAnsi="仿宋" w:eastAsia="仿宋" w:cs="仿宋"/>
          <w:color w:val="auto"/>
          <w:kern w:val="0"/>
          <w:sz w:val="24"/>
          <w:highlight w:val="none"/>
        </w:rPr>
        <w:t>本</w:t>
      </w:r>
      <w:bookmarkEnd w:id="139"/>
      <w:r>
        <w:rPr>
          <w:rFonts w:hint="eastAsia" w:ascii="仿宋" w:hAnsi="仿宋" w:eastAsia="仿宋" w:cs="仿宋"/>
          <w:color w:val="auto"/>
          <w:kern w:val="0"/>
          <w:sz w:val="24"/>
          <w:highlight w:val="none"/>
        </w:rPr>
        <w:t>合同的，该方应当对另一方因此受到的损失予以赔偿或者补偿。</w:t>
      </w:r>
    </w:p>
    <w:p w14:paraId="2CF16D64">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10.乙方提供的货物在质量保证期内，因设计、工艺或者材料的缺陷和其它质量原因造成的问题，由乙方负责，费用从余款或者履约保证金中扣除，不足另补。</w:t>
      </w:r>
    </w:p>
    <w:p w14:paraId="44FE51F2">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11.甲乙双方有其他违约行为的，由违约方向对方支付违约货款额的5%，违约货款额的5%不足以赔偿经济损失的，须按实际损失作出赔偿。</w:t>
      </w:r>
    </w:p>
    <w:p w14:paraId="6B9A88BA">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12.其他违约责任按《中华人民共和国民法典》处理。</w:t>
      </w:r>
    </w:p>
    <w:p w14:paraId="227C4347">
      <w:pPr>
        <w:snapToGrid w:val="0"/>
        <w:spacing w:line="360" w:lineRule="auto"/>
        <w:ind w:firstLine="472" w:firstLineChars="196"/>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第十二条  不可抗力事件处理</w:t>
      </w:r>
    </w:p>
    <w:p w14:paraId="142DD070">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1.在合同有效期内，任何一方因不可抗力事件导致不能履行合同，则合同履行期可延长，其延长期与不可抗力影响期相同。</w:t>
      </w:r>
    </w:p>
    <w:p w14:paraId="3CA223C4">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2.不可抗力事件发生后，应立即通知对方，并寄送有关权威机构出具的证明。</w:t>
      </w:r>
    </w:p>
    <w:p w14:paraId="3342F03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3.不可抗力事件延续60天以上，双方应通过友好协商，确定是否继续履行合同。</w:t>
      </w:r>
    </w:p>
    <w:p w14:paraId="2A056769">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第十三条  合同争议解决</w:t>
      </w:r>
    </w:p>
    <w:p w14:paraId="2C5CF84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1.因货物质量问题发生争议的，应邀请国家认可的质量检测机构对货物质量进行鉴定。货物符合标准的，鉴定费由甲方承担；货物不符合标准的，鉴定费由乙方承担。</w:t>
      </w:r>
    </w:p>
    <w:p w14:paraId="05AE243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2.因履行本合同引起的或者与本合同有关的争议，甲乙双方应首先通过友好协商解决，如果协商不能解决，任何一方可向甲方所在地有管辖权的人民法院提起诉讼。</w:t>
      </w:r>
    </w:p>
    <w:p w14:paraId="04B0636C">
      <w:pPr>
        <w:snapToGrid w:val="0"/>
        <w:spacing w:line="360" w:lineRule="auto"/>
        <w:ind w:firstLine="514"/>
        <w:rPr>
          <w:rFonts w:ascii="仿宋" w:hAnsi="仿宋" w:eastAsia="仿宋" w:cs="仿宋"/>
          <w:color w:val="auto"/>
          <w:sz w:val="24"/>
          <w:highlight w:val="none"/>
        </w:rPr>
      </w:pPr>
      <w:r>
        <w:rPr>
          <w:rFonts w:hint="eastAsia" w:ascii="仿宋" w:hAnsi="仿宋" w:eastAsia="仿宋" w:cs="仿宋"/>
          <w:color w:val="auto"/>
          <w:sz w:val="24"/>
          <w:highlight w:val="none"/>
        </w:rPr>
        <w:t>3.诉讼期间，本合同无争议部分须继续履行。</w:t>
      </w:r>
    </w:p>
    <w:p w14:paraId="7DE2C8FF">
      <w:pPr>
        <w:snapToGrid w:val="0"/>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第十四条  合同生效及其他</w:t>
      </w:r>
    </w:p>
    <w:p w14:paraId="0045E9A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1.合同自双方法定代表人或者委托代理人签字并加盖单位公章或合同专用章之日起生效（委托代理人签字的须后附授权委托书，格式自拟）。</w:t>
      </w:r>
    </w:p>
    <w:p w14:paraId="15209D3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2.本合同未尽事宜，遵照《中华人民共和国民法典》有关条文执行。</w:t>
      </w:r>
    </w:p>
    <w:p w14:paraId="1F3CAED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760B2341">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第十五条　合同的变更、终止与转让</w:t>
      </w:r>
    </w:p>
    <w:p w14:paraId="245461C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1.除《中华人民共和国政府采购法》第五十条规定的情形外，本合同一经签订，甲乙双方不得擅自变更、中止或者终止。</w:t>
      </w:r>
    </w:p>
    <w:p w14:paraId="54382885">
      <w:pPr>
        <w:snapToGrid w:val="0"/>
        <w:spacing w:line="360" w:lineRule="auto"/>
        <w:ind w:firstLine="514"/>
        <w:rPr>
          <w:rFonts w:ascii="仿宋" w:hAnsi="仿宋" w:eastAsia="仿宋" w:cs="仿宋"/>
          <w:color w:val="auto"/>
          <w:sz w:val="24"/>
          <w:highlight w:val="none"/>
        </w:rPr>
      </w:pPr>
      <w:r>
        <w:rPr>
          <w:rFonts w:hint="eastAsia" w:ascii="仿宋" w:hAnsi="仿宋" w:eastAsia="仿宋" w:cs="仿宋"/>
          <w:color w:val="auto"/>
          <w:sz w:val="24"/>
          <w:highlight w:val="none"/>
        </w:rPr>
        <w:t>2.乙方不得擅自转让其应履行的合同义务。</w:t>
      </w:r>
    </w:p>
    <w:p w14:paraId="0977619E">
      <w:pPr>
        <w:snapToGrid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第十六条　</w:t>
      </w:r>
      <w:r>
        <w:rPr>
          <w:rFonts w:hint="eastAsia" w:ascii="仿宋" w:hAnsi="仿宋" w:eastAsia="仿宋" w:cs="仿宋"/>
          <w:color w:val="auto"/>
          <w:spacing w:val="-2"/>
          <w:kern w:val="0"/>
          <w:sz w:val="24"/>
          <w:highlight w:val="none"/>
        </w:rPr>
        <w:t>本</w:t>
      </w:r>
      <w:r>
        <w:rPr>
          <w:rFonts w:hint="eastAsia" w:ascii="仿宋" w:hAnsi="仿宋" w:eastAsia="仿宋" w:cs="仿宋"/>
          <w:color w:val="auto"/>
          <w:kern w:val="0"/>
          <w:sz w:val="24"/>
          <w:highlight w:val="none"/>
        </w:rPr>
        <w:t>合同书</w:t>
      </w:r>
      <w:r>
        <w:rPr>
          <w:rFonts w:hint="eastAsia" w:ascii="仿宋" w:hAnsi="仿宋" w:eastAsia="仿宋" w:cs="仿宋"/>
          <w:color w:val="auto"/>
          <w:spacing w:val="-2"/>
          <w:kern w:val="0"/>
          <w:sz w:val="24"/>
          <w:highlight w:val="none"/>
        </w:rPr>
        <w:t>与</w:t>
      </w:r>
      <w:r>
        <w:rPr>
          <w:rFonts w:hint="eastAsia" w:ascii="仿宋" w:hAnsi="仿宋" w:eastAsia="仿宋" w:cs="仿宋"/>
          <w:color w:val="auto"/>
          <w:kern w:val="0"/>
          <w:sz w:val="24"/>
          <w:highlight w:val="none"/>
        </w:rPr>
        <w:t>下</w:t>
      </w:r>
      <w:r>
        <w:rPr>
          <w:rFonts w:hint="eastAsia" w:ascii="仿宋" w:hAnsi="仿宋" w:eastAsia="仿宋" w:cs="仿宋"/>
          <w:color w:val="auto"/>
          <w:spacing w:val="-2"/>
          <w:kern w:val="0"/>
          <w:sz w:val="24"/>
          <w:highlight w:val="none"/>
        </w:rPr>
        <w:t>列</w:t>
      </w:r>
      <w:r>
        <w:rPr>
          <w:rFonts w:hint="eastAsia" w:ascii="仿宋" w:hAnsi="仿宋" w:eastAsia="仿宋" w:cs="仿宋"/>
          <w:color w:val="auto"/>
          <w:kern w:val="0"/>
          <w:sz w:val="24"/>
          <w:highlight w:val="none"/>
        </w:rPr>
        <w:t>文</w:t>
      </w:r>
      <w:r>
        <w:rPr>
          <w:rFonts w:hint="eastAsia" w:ascii="仿宋" w:hAnsi="仿宋" w:eastAsia="仿宋" w:cs="仿宋"/>
          <w:color w:val="auto"/>
          <w:spacing w:val="-2"/>
          <w:kern w:val="0"/>
          <w:sz w:val="24"/>
          <w:highlight w:val="none"/>
        </w:rPr>
        <w:t>件一</w:t>
      </w:r>
      <w:r>
        <w:rPr>
          <w:rFonts w:hint="eastAsia" w:ascii="仿宋" w:hAnsi="仿宋" w:eastAsia="仿宋" w:cs="仿宋"/>
          <w:color w:val="auto"/>
          <w:kern w:val="0"/>
          <w:sz w:val="24"/>
          <w:highlight w:val="none"/>
        </w:rPr>
        <w:t>起构</w:t>
      </w:r>
      <w:r>
        <w:rPr>
          <w:rFonts w:hint="eastAsia" w:ascii="仿宋" w:hAnsi="仿宋" w:eastAsia="仿宋" w:cs="仿宋"/>
          <w:color w:val="auto"/>
          <w:spacing w:val="-2"/>
          <w:kern w:val="0"/>
          <w:sz w:val="24"/>
          <w:highlight w:val="none"/>
        </w:rPr>
        <w:t>成</w:t>
      </w:r>
      <w:r>
        <w:rPr>
          <w:rFonts w:hint="eastAsia" w:ascii="仿宋" w:hAnsi="仿宋" w:eastAsia="仿宋" w:cs="仿宋"/>
          <w:color w:val="auto"/>
          <w:kern w:val="0"/>
          <w:sz w:val="24"/>
          <w:highlight w:val="none"/>
        </w:rPr>
        <w:t>合</w:t>
      </w:r>
      <w:r>
        <w:rPr>
          <w:rFonts w:hint="eastAsia" w:ascii="仿宋" w:hAnsi="仿宋" w:eastAsia="仿宋" w:cs="仿宋"/>
          <w:color w:val="auto"/>
          <w:spacing w:val="-2"/>
          <w:kern w:val="0"/>
          <w:sz w:val="24"/>
          <w:highlight w:val="none"/>
        </w:rPr>
        <w:t>同</w:t>
      </w:r>
      <w:r>
        <w:rPr>
          <w:rFonts w:hint="eastAsia" w:ascii="仿宋" w:hAnsi="仿宋" w:eastAsia="仿宋" w:cs="仿宋"/>
          <w:color w:val="auto"/>
          <w:kern w:val="0"/>
          <w:sz w:val="24"/>
          <w:highlight w:val="none"/>
        </w:rPr>
        <w:t>文</w:t>
      </w:r>
      <w:r>
        <w:rPr>
          <w:rFonts w:hint="eastAsia" w:ascii="仿宋" w:hAnsi="仿宋" w:eastAsia="仿宋" w:cs="仿宋"/>
          <w:color w:val="auto"/>
          <w:spacing w:val="-2"/>
          <w:kern w:val="0"/>
          <w:sz w:val="24"/>
          <w:highlight w:val="none"/>
        </w:rPr>
        <w:t>件</w:t>
      </w:r>
    </w:p>
    <w:p w14:paraId="43E8A212">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1.中标通知书</w:t>
      </w:r>
    </w:p>
    <w:p w14:paraId="4E9E64CE">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2.采购需求</w:t>
      </w:r>
    </w:p>
    <w:p w14:paraId="2D8E0BA1">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3.投标函</w:t>
      </w:r>
    </w:p>
    <w:p w14:paraId="3D60DC55">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4.开标一览表及设备性能配置清单</w:t>
      </w:r>
    </w:p>
    <w:p w14:paraId="47F16F3D">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5.商务要求偏离表和技术要求偏离表</w:t>
      </w:r>
    </w:p>
    <w:p w14:paraId="14454025">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6.售后服务承诺</w:t>
      </w:r>
    </w:p>
    <w:p w14:paraId="3FBA7BC5">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7.其他合同文件</w:t>
      </w:r>
    </w:p>
    <w:p w14:paraId="702B1479">
      <w:pPr>
        <w:snapToGrid w:val="0"/>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上述合同文件互相补充和解释。如果合同文件之间存在矛盾或者不一致之处，以上述文件 的排列顺序在先者为准。</w:t>
      </w:r>
    </w:p>
    <w:p w14:paraId="3FBD52FA">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第十七条　</w:t>
      </w:r>
      <w:r>
        <w:rPr>
          <w:rFonts w:hint="eastAsia" w:ascii="仿宋" w:hAnsi="仿宋" w:eastAsia="仿宋" w:cs="仿宋"/>
          <w:color w:val="auto"/>
          <w:sz w:val="24"/>
          <w:highlight w:val="none"/>
        </w:rPr>
        <w:t>本合同一式柒份，具有同等法律效力，甲方伍份，乙方壹份，采购代理机构壹份。</w:t>
      </w:r>
    </w:p>
    <w:p w14:paraId="5D2525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以下无正文。</w:t>
      </w:r>
    </w:p>
    <w:tbl>
      <w:tblPr>
        <w:tblStyle w:val="4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14:paraId="1B34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14:paraId="752603E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甲方（章）           </w:t>
            </w:r>
          </w:p>
          <w:p w14:paraId="4E71786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广西大学</w:t>
            </w:r>
          </w:p>
          <w:p w14:paraId="722426FC">
            <w:pPr>
              <w:snapToGrid w:val="0"/>
              <w:spacing w:line="360" w:lineRule="auto"/>
              <w:ind w:firstLine="1080" w:firstLineChars="450"/>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c>
          <w:tcPr>
            <w:tcW w:w="4360" w:type="dxa"/>
            <w:vAlign w:val="center"/>
          </w:tcPr>
          <w:p w14:paraId="6FF8742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乙方（章）              </w:t>
            </w:r>
          </w:p>
          <w:p w14:paraId="298CD782">
            <w:pPr>
              <w:snapToGrid w:val="0"/>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r w14:paraId="2F86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4269342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单位地址：广西壮族自治区南宁市大学东路100号</w:t>
            </w:r>
          </w:p>
        </w:tc>
        <w:tc>
          <w:tcPr>
            <w:tcW w:w="4360" w:type="dxa"/>
            <w:vAlign w:val="center"/>
          </w:tcPr>
          <w:p w14:paraId="5901A796">
            <w:pPr>
              <w:widowControl/>
              <w:spacing w:before="100" w:after="100"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单位地址： </w:t>
            </w:r>
          </w:p>
        </w:tc>
      </w:tr>
      <w:tr w14:paraId="63D6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67E19E5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w:t>
            </w:r>
          </w:p>
        </w:tc>
        <w:tc>
          <w:tcPr>
            <w:tcW w:w="4360" w:type="dxa"/>
            <w:vAlign w:val="center"/>
          </w:tcPr>
          <w:p w14:paraId="5584D46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w:t>
            </w:r>
          </w:p>
        </w:tc>
      </w:tr>
      <w:tr w14:paraId="4999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3B32AC9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委托代理人（签字）：</w:t>
            </w:r>
          </w:p>
        </w:tc>
        <w:tc>
          <w:tcPr>
            <w:tcW w:w="4360" w:type="dxa"/>
            <w:vAlign w:val="center"/>
          </w:tcPr>
          <w:p w14:paraId="2212E2F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委托代理人（签字）：</w:t>
            </w:r>
          </w:p>
        </w:tc>
      </w:tr>
      <w:tr w14:paraId="120A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293E7AF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电话：0771-3274121     </w:t>
            </w:r>
          </w:p>
        </w:tc>
        <w:tc>
          <w:tcPr>
            <w:tcW w:w="4360" w:type="dxa"/>
            <w:vAlign w:val="center"/>
          </w:tcPr>
          <w:p w14:paraId="5D0132E5">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lang w:bidi="ar"/>
              </w:rPr>
              <w:t xml:space="preserve"> </w:t>
            </w:r>
          </w:p>
        </w:tc>
      </w:tr>
      <w:tr w14:paraId="285E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33FC481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电子邮箱：gxdxsbk@163.com</w:t>
            </w:r>
          </w:p>
        </w:tc>
        <w:tc>
          <w:tcPr>
            <w:tcW w:w="4360" w:type="dxa"/>
            <w:vAlign w:val="center"/>
          </w:tcPr>
          <w:p w14:paraId="7066873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电子邮箱： </w:t>
            </w:r>
          </w:p>
        </w:tc>
      </w:tr>
      <w:tr w14:paraId="7F8E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4F39C25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开户银行：中国银行广西南宁市西大支行</w:t>
            </w:r>
          </w:p>
        </w:tc>
        <w:tc>
          <w:tcPr>
            <w:tcW w:w="4360" w:type="dxa"/>
            <w:vAlign w:val="center"/>
          </w:tcPr>
          <w:p w14:paraId="75E22414">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r>
              <w:rPr>
                <w:rFonts w:hint="eastAsia" w:ascii="仿宋" w:hAnsi="仿宋" w:eastAsia="仿宋" w:cs="仿宋"/>
                <w:color w:val="auto"/>
                <w:kern w:val="0"/>
                <w:sz w:val="24"/>
                <w:highlight w:val="none"/>
                <w:lang w:bidi="ar"/>
              </w:rPr>
              <w:t xml:space="preserve"> </w:t>
            </w:r>
          </w:p>
        </w:tc>
      </w:tr>
      <w:tr w14:paraId="3309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2AFCA19B">
            <w:pPr>
              <w:widowControl/>
              <w:spacing w:before="100" w:after="100"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账号：6184 5748 4938</w:t>
            </w:r>
          </w:p>
        </w:tc>
        <w:tc>
          <w:tcPr>
            <w:tcW w:w="4360" w:type="dxa"/>
            <w:vAlign w:val="center"/>
          </w:tcPr>
          <w:p w14:paraId="38D0884F">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账号：</w:t>
            </w:r>
            <w:r>
              <w:rPr>
                <w:rFonts w:hint="eastAsia" w:ascii="仿宋" w:hAnsi="仿宋" w:eastAsia="仿宋" w:cs="仿宋"/>
                <w:color w:val="auto"/>
                <w:kern w:val="0"/>
                <w:sz w:val="24"/>
                <w:highlight w:val="none"/>
                <w:lang w:bidi="ar"/>
              </w:rPr>
              <w:t xml:space="preserve"> </w:t>
            </w:r>
          </w:p>
        </w:tc>
      </w:tr>
      <w:tr w14:paraId="269D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14:paraId="21A4C29D">
            <w:pPr>
              <w:widowControl/>
              <w:spacing w:before="100" w:after="100"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邮政编码：530004</w:t>
            </w:r>
          </w:p>
        </w:tc>
        <w:tc>
          <w:tcPr>
            <w:tcW w:w="4360" w:type="dxa"/>
            <w:vAlign w:val="center"/>
          </w:tcPr>
          <w:p w14:paraId="48CAC96A">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邮政编码：</w:t>
            </w:r>
            <w:r>
              <w:rPr>
                <w:rFonts w:hint="eastAsia" w:ascii="仿宋" w:hAnsi="仿宋" w:eastAsia="仿宋" w:cs="仿宋"/>
                <w:color w:val="auto"/>
                <w:kern w:val="0"/>
                <w:sz w:val="24"/>
                <w:highlight w:val="none"/>
                <w:lang w:bidi="ar"/>
              </w:rPr>
              <w:t xml:space="preserve"> </w:t>
            </w:r>
          </w:p>
        </w:tc>
      </w:tr>
    </w:tbl>
    <w:p w14:paraId="0FBB663A">
      <w:pPr>
        <w:spacing w:line="360" w:lineRule="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br w:type="page"/>
      </w:r>
    </w:p>
    <w:p w14:paraId="234D82BC">
      <w:pPr>
        <w:spacing w:line="360" w:lineRule="auto"/>
        <w:jc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rPr>
        <w:t>广西大学采购项目履约保证金退付意见书</w:t>
      </w:r>
    </w:p>
    <w:tbl>
      <w:tblPr>
        <w:tblStyle w:val="49"/>
        <w:tblW w:w="94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960"/>
      </w:tblGrid>
      <w:tr w14:paraId="49F5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79" w:type="dxa"/>
            <w:vMerge w:val="restart"/>
            <w:vAlign w:val="center"/>
          </w:tcPr>
          <w:p w14:paraId="6F9D1A9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供应商申请</w:t>
            </w:r>
          </w:p>
        </w:tc>
        <w:tc>
          <w:tcPr>
            <w:tcW w:w="7960" w:type="dxa"/>
            <w:vAlign w:val="center"/>
          </w:tcPr>
          <w:p w14:paraId="791231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项目名称：X射线衍射仪等三台设备采购</w:t>
            </w:r>
          </w:p>
        </w:tc>
      </w:tr>
      <w:tr w14:paraId="6945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79" w:type="dxa"/>
            <w:vMerge w:val="continue"/>
          </w:tcPr>
          <w:p w14:paraId="6ADDBEA4">
            <w:pPr>
              <w:spacing w:line="360" w:lineRule="auto"/>
              <w:rPr>
                <w:rFonts w:ascii="仿宋" w:hAnsi="仿宋" w:eastAsia="仿宋" w:cs="仿宋"/>
                <w:color w:val="auto"/>
                <w:sz w:val="24"/>
                <w:highlight w:val="none"/>
              </w:rPr>
            </w:pPr>
          </w:p>
        </w:tc>
        <w:tc>
          <w:tcPr>
            <w:tcW w:w="7960" w:type="dxa"/>
            <w:vAlign w:val="center"/>
          </w:tcPr>
          <w:p w14:paraId="57E78E2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lang w:eastAsia="zh-CN"/>
              </w:rPr>
              <w:t>GXZC2025-G1-001466-KWZB</w:t>
            </w:r>
            <w:r>
              <w:rPr>
                <w:rFonts w:hint="eastAsia" w:ascii="仿宋" w:hAnsi="仿宋" w:eastAsia="仿宋" w:cs="仿宋"/>
                <w:color w:val="auto"/>
                <w:sz w:val="24"/>
                <w:highlight w:val="none"/>
              </w:rPr>
              <w:t>（ 分标）</w:t>
            </w:r>
          </w:p>
        </w:tc>
      </w:tr>
      <w:tr w14:paraId="68CD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7" w:hRule="atLeast"/>
        </w:trPr>
        <w:tc>
          <w:tcPr>
            <w:tcW w:w="1479" w:type="dxa"/>
            <w:vMerge w:val="continue"/>
          </w:tcPr>
          <w:p w14:paraId="36CAD5DA">
            <w:pPr>
              <w:spacing w:line="360" w:lineRule="auto"/>
              <w:rPr>
                <w:rFonts w:ascii="仿宋" w:hAnsi="仿宋" w:eastAsia="仿宋" w:cs="仿宋"/>
                <w:color w:val="auto"/>
                <w:sz w:val="24"/>
                <w:highlight w:val="none"/>
              </w:rPr>
            </w:pPr>
          </w:p>
        </w:tc>
        <w:tc>
          <w:tcPr>
            <w:tcW w:w="7960" w:type="dxa"/>
          </w:tcPr>
          <w:p w14:paraId="1E7AED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该项目已于</w:t>
            </w:r>
            <w:r>
              <w:rPr>
                <w:rFonts w:hint="eastAsia" w:ascii="仿宋" w:hAnsi="仿宋" w:eastAsia="仿宋" w:cs="仿宋"/>
                <w:color w:val="auto"/>
                <w:sz w:val="24"/>
                <w:highlight w:val="none"/>
                <w:u w:val="single"/>
              </w:rPr>
              <w:t xml:space="preserve">   年    月   日</w:t>
            </w:r>
            <w:r>
              <w:rPr>
                <w:rFonts w:hint="eastAsia" w:ascii="仿宋" w:hAnsi="仿宋" w:eastAsia="仿宋" w:cs="仿宋"/>
                <w:color w:val="auto"/>
                <w:sz w:val="24"/>
                <w:highlight w:val="none"/>
              </w:rPr>
              <w:t xml:space="preserve">按合同要求履约完成。根据合同规定，可将履约保证金（大写）人民币 </w:t>
            </w:r>
            <w:r>
              <w:rPr>
                <w:rFonts w:hint="eastAsia" w:ascii="仿宋" w:hAnsi="仿宋" w:eastAsia="仿宋" w:cs="仿宋"/>
                <w:color w:val="auto"/>
                <w:sz w:val="24"/>
                <w:highlight w:val="none"/>
                <w:u w:val="single"/>
              </w:rPr>
              <w:t xml:space="preserve">                 （小写）￥            .00</w:t>
            </w:r>
            <w:r>
              <w:rPr>
                <w:rFonts w:hint="eastAsia" w:ascii="仿宋" w:hAnsi="仿宋" w:eastAsia="仿宋" w:cs="仿宋"/>
                <w:color w:val="auto"/>
                <w:sz w:val="24"/>
                <w:highlight w:val="none"/>
              </w:rPr>
              <w:t>退付到达以下帐户：</w:t>
            </w:r>
          </w:p>
          <w:p w14:paraId="6CE5ECC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p w14:paraId="4BB9B0A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p w14:paraId="2DBB34E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银行帐号：</w:t>
            </w:r>
          </w:p>
          <w:p w14:paraId="01E9AF9B">
            <w:pPr>
              <w:spacing w:line="360" w:lineRule="auto"/>
              <w:rPr>
                <w:rFonts w:ascii="仿宋" w:hAnsi="仿宋" w:eastAsia="仿宋" w:cs="仿宋"/>
                <w:color w:val="auto"/>
                <w:sz w:val="24"/>
                <w:highlight w:val="none"/>
              </w:rPr>
            </w:pPr>
          </w:p>
          <w:p w14:paraId="7D0282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14:paraId="6452ADD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52E440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供应商（签章）：</w:t>
            </w:r>
          </w:p>
          <w:p w14:paraId="1980446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tc>
      </w:tr>
      <w:tr w14:paraId="46F0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1479" w:type="dxa"/>
            <w:vAlign w:val="center"/>
          </w:tcPr>
          <w:p w14:paraId="2AE0691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使用单位</w:t>
            </w:r>
          </w:p>
          <w:p w14:paraId="7E2BDE2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意见</w:t>
            </w:r>
          </w:p>
        </w:tc>
        <w:tc>
          <w:tcPr>
            <w:tcW w:w="7960" w:type="dxa"/>
          </w:tcPr>
          <w:p w14:paraId="73F79A9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（退付意见：是否同意退付履约保证金）</w:t>
            </w:r>
          </w:p>
          <w:p w14:paraId="7CF1C9A6">
            <w:pPr>
              <w:spacing w:line="360" w:lineRule="auto"/>
              <w:rPr>
                <w:rFonts w:ascii="仿宋" w:hAnsi="仿宋" w:eastAsia="仿宋" w:cs="仿宋"/>
                <w:color w:val="auto"/>
                <w:sz w:val="24"/>
                <w:highlight w:val="none"/>
              </w:rPr>
            </w:pPr>
          </w:p>
          <w:p w14:paraId="62D1D3D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项目负责人意见：</w:t>
            </w:r>
          </w:p>
          <w:p w14:paraId="26B81C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14:paraId="0029FB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5A6C1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单位（签章）：</w:t>
            </w:r>
          </w:p>
          <w:p w14:paraId="494DC0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tc>
      </w:tr>
      <w:tr w14:paraId="2334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1479" w:type="dxa"/>
            <w:vAlign w:val="center"/>
          </w:tcPr>
          <w:p w14:paraId="04C3179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国有资产与实验室管理处（招标与采购管理中心）意见</w:t>
            </w:r>
          </w:p>
        </w:tc>
        <w:tc>
          <w:tcPr>
            <w:tcW w:w="7960" w:type="dxa"/>
          </w:tcPr>
          <w:p w14:paraId="4B6BE061">
            <w:pPr>
              <w:spacing w:line="360" w:lineRule="auto"/>
              <w:rPr>
                <w:rFonts w:ascii="仿宋" w:hAnsi="仿宋" w:eastAsia="仿宋" w:cs="仿宋"/>
                <w:color w:val="auto"/>
                <w:sz w:val="24"/>
                <w:highlight w:val="none"/>
              </w:rPr>
            </w:pPr>
          </w:p>
          <w:p w14:paraId="048BC6C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154819B">
            <w:pPr>
              <w:spacing w:line="360" w:lineRule="auto"/>
              <w:rPr>
                <w:rFonts w:ascii="仿宋" w:hAnsi="仿宋" w:eastAsia="仿宋" w:cs="仿宋"/>
                <w:color w:val="auto"/>
                <w:sz w:val="24"/>
                <w:highlight w:val="none"/>
              </w:rPr>
            </w:pPr>
          </w:p>
          <w:p w14:paraId="21FCC039">
            <w:pPr>
              <w:spacing w:line="360" w:lineRule="auto"/>
              <w:ind w:firstLine="3840" w:firstLineChars="1600"/>
              <w:rPr>
                <w:rFonts w:ascii="仿宋" w:hAnsi="仿宋" w:eastAsia="仿宋" w:cs="仿宋"/>
                <w:color w:val="auto"/>
                <w:sz w:val="24"/>
                <w:highlight w:val="none"/>
              </w:rPr>
            </w:pPr>
            <w:r>
              <w:rPr>
                <w:rFonts w:hint="eastAsia" w:ascii="仿宋" w:hAnsi="仿宋" w:eastAsia="仿宋" w:cs="仿宋"/>
                <w:color w:val="auto"/>
                <w:sz w:val="24"/>
                <w:highlight w:val="none"/>
              </w:rPr>
              <w:t>单位（签章）：</w:t>
            </w:r>
          </w:p>
          <w:p w14:paraId="786704E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tc>
      </w:tr>
    </w:tbl>
    <w:p w14:paraId="3EE6491F">
      <w:pPr>
        <w:spacing w:line="360" w:lineRule="auto"/>
        <w:jc w:val="center"/>
        <w:outlineLvl w:val="0"/>
        <w:rPr>
          <w:rFonts w:ascii="仿宋" w:hAnsi="仿宋" w:eastAsia="仿宋" w:cs="仿宋"/>
          <w:b/>
          <w:color w:val="auto"/>
          <w:sz w:val="24"/>
          <w:highlight w:val="none"/>
        </w:rPr>
      </w:pPr>
    </w:p>
    <w:p w14:paraId="23900AEC">
      <w:pPr>
        <w:pStyle w:val="3"/>
        <w:jc w:val="center"/>
        <w:rPr>
          <w:rFonts w:ascii="仿宋" w:hAnsi="仿宋" w:eastAsia="仿宋" w:cs="仿宋"/>
          <w:color w:val="auto"/>
          <w:highlight w:val="none"/>
        </w:rPr>
      </w:pPr>
      <w:bookmarkStart w:id="140" w:name="_Toc74320805"/>
      <w:r>
        <w:rPr>
          <w:rFonts w:hint="eastAsia" w:ascii="仿宋" w:hAnsi="仿宋" w:eastAsia="仿宋" w:cs="仿宋"/>
          <w:color w:val="auto"/>
          <w:highlight w:val="none"/>
        </w:rPr>
        <w:t>第六章　投标文件格式</w:t>
      </w:r>
      <w:bookmarkEnd w:id="140"/>
    </w:p>
    <w:p w14:paraId="67FFBF59">
      <w:pPr>
        <w:rPr>
          <w:rFonts w:ascii="仿宋" w:hAnsi="仿宋" w:eastAsia="仿宋" w:cs="仿宋"/>
          <w:b/>
          <w:color w:val="auto"/>
          <w:sz w:val="28"/>
          <w:szCs w:val="28"/>
          <w:highlight w:val="none"/>
        </w:rPr>
      </w:pPr>
      <w:bookmarkStart w:id="141" w:name="_Toc19686836"/>
      <w:bookmarkStart w:id="142" w:name="_Toc254970698"/>
      <w:bookmarkStart w:id="143" w:name="_Toc254970557"/>
      <w:r>
        <w:rPr>
          <w:rFonts w:hint="eastAsia" w:ascii="仿宋" w:hAnsi="仿宋" w:eastAsia="仿宋" w:cs="仿宋"/>
          <w:b/>
          <w:color w:val="auto"/>
          <w:sz w:val="28"/>
          <w:szCs w:val="28"/>
          <w:highlight w:val="none"/>
        </w:rPr>
        <w:t>一、报价文件格式</w:t>
      </w:r>
      <w:bookmarkEnd w:id="141"/>
    </w:p>
    <w:p w14:paraId="595C9B56">
      <w:pPr>
        <w:snapToGrid w:val="0"/>
        <w:spacing w:before="166" w:beforeLines="50" w:after="50" w:line="360" w:lineRule="auto"/>
        <w:ind w:left="142"/>
        <w:jc w:val="left"/>
        <w:rPr>
          <w:rFonts w:ascii="仿宋" w:hAnsi="仿宋" w:eastAsia="仿宋" w:cs="仿宋"/>
          <w:color w:val="auto"/>
          <w:sz w:val="24"/>
          <w:highlight w:val="none"/>
        </w:rPr>
      </w:pPr>
      <w:r>
        <w:rPr>
          <w:rFonts w:hint="eastAsia" w:ascii="仿宋" w:hAnsi="仿宋" w:eastAsia="仿宋" w:cs="仿宋"/>
          <w:b/>
          <w:color w:val="auto"/>
          <w:sz w:val="24"/>
          <w:highlight w:val="none"/>
        </w:rPr>
        <w:t xml:space="preserve">1. 报价文件封面格式： </w:t>
      </w:r>
    </w:p>
    <w:p w14:paraId="50C0228F">
      <w:pPr>
        <w:snapToGrid w:val="0"/>
        <w:spacing w:before="166" w:beforeLines="50" w:after="50" w:line="40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 xml:space="preserve">                                                   </w:t>
      </w:r>
    </w:p>
    <w:p w14:paraId="75FAAC80">
      <w:pPr>
        <w:snapToGrid w:val="0"/>
        <w:spacing w:before="166" w:beforeLines="50" w:after="50" w:line="400" w:lineRule="exact"/>
        <w:jc w:val="center"/>
        <w:rPr>
          <w:rFonts w:ascii="仿宋" w:hAnsi="仿宋" w:eastAsia="仿宋" w:cs="仿宋"/>
          <w:bCs/>
          <w:color w:val="auto"/>
          <w:sz w:val="24"/>
          <w:highlight w:val="none"/>
        </w:rPr>
      </w:pPr>
    </w:p>
    <w:p w14:paraId="2CB8A190">
      <w:pPr>
        <w:snapToGrid w:val="0"/>
        <w:spacing w:before="166" w:beforeLines="50" w:after="50"/>
        <w:jc w:val="center"/>
        <w:rPr>
          <w:rFonts w:ascii="仿宋" w:hAnsi="仿宋" w:eastAsia="仿宋" w:cs="仿宋"/>
          <w:color w:val="auto"/>
          <w:sz w:val="84"/>
          <w:szCs w:val="84"/>
          <w:highlight w:val="none"/>
        </w:rPr>
      </w:pPr>
      <w:r>
        <w:rPr>
          <w:rFonts w:hint="eastAsia" w:ascii="仿宋" w:hAnsi="仿宋" w:eastAsia="仿宋" w:cs="仿宋"/>
          <w:color w:val="auto"/>
          <w:sz w:val="84"/>
          <w:szCs w:val="84"/>
          <w:highlight w:val="none"/>
        </w:rPr>
        <w:t>投  标  文  件</w:t>
      </w:r>
    </w:p>
    <w:p w14:paraId="421ADCEA">
      <w:pPr>
        <w:snapToGrid w:val="0"/>
        <w:spacing w:before="166" w:beforeLines="50" w:after="50" w:line="400" w:lineRule="exact"/>
        <w:jc w:val="center"/>
        <w:rPr>
          <w:rFonts w:ascii="仿宋" w:hAnsi="仿宋" w:eastAsia="仿宋" w:cs="仿宋"/>
          <w:bCs/>
          <w:color w:val="auto"/>
          <w:sz w:val="32"/>
          <w:szCs w:val="32"/>
          <w:highlight w:val="none"/>
        </w:rPr>
      </w:pPr>
    </w:p>
    <w:p w14:paraId="1B99E16A">
      <w:pPr>
        <w:snapToGrid w:val="0"/>
        <w:spacing w:before="166" w:beforeLines="50" w:after="50" w:line="400" w:lineRule="exact"/>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报  价  文  件</w:t>
      </w:r>
    </w:p>
    <w:p w14:paraId="79696244">
      <w:pPr>
        <w:snapToGrid w:val="0"/>
        <w:spacing w:before="166" w:beforeLines="50" w:after="50" w:line="400" w:lineRule="exact"/>
        <w:rPr>
          <w:rFonts w:ascii="仿宋" w:hAnsi="仿宋" w:eastAsia="仿宋" w:cs="仿宋"/>
          <w:bCs/>
          <w:color w:val="auto"/>
          <w:sz w:val="24"/>
          <w:szCs w:val="20"/>
          <w:highlight w:val="none"/>
        </w:rPr>
      </w:pPr>
    </w:p>
    <w:p w14:paraId="5AEBC4D6">
      <w:pPr>
        <w:snapToGrid w:val="0"/>
        <w:spacing w:before="166" w:beforeLines="50" w:after="50" w:line="400" w:lineRule="exact"/>
        <w:ind w:firstLine="1960" w:firstLineChars="700"/>
        <w:rPr>
          <w:rFonts w:ascii="仿宋" w:hAnsi="仿宋" w:eastAsia="仿宋" w:cs="仿宋"/>
          <w:bCs/>
          <w:color w:val="auto"/>
          <w:sz w:val="28"/>
          <w:szCs w:val="21"/>
          <w:highlight w:val="none"/>
        </w:rPr>
      </w:pPr>
    </w:p>
    <w:p w14:paraId="21EB226E">
      <w:pPr>
        <w:snapToGrid w:val="0"/>
        <w:spacing w:before="166"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5494A3E3">
      <w:pPr>
        <w:snapToGrid w:val="0"/>
        <w:spacing w:before="166"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 </w:t>
      </w:r>
    </w:p>
    <w:p w14:paraId="656011B5">
      <w:pPr>
        <w:snapToGrid w:val="0"/>
        <w:spacing w:before="166"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所投分标：</w:t>
      </w:r>
    </w:p>
    <w:p w14:paraId="31942937">
      <w:pPr>
        <w:snapToGrid w:val="0"/>
        <w:spacing w:before="166"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w:t>
      </w:r>
    </w:p>
    <w:p w14:paraId="1BFE025E">
      <w:pPr>
        <w:snapToGrid w:val="0"/>
        <w:spacing w:before="166"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投标人地址：</w:t>
      </w:r>
    </w:p>
    <w:p w14:paraId="7AAD8C63">
      <w:pPr>
        <w:pStyle w:val="8"/>
        <w:snapToGrid w:val="0"/>
        <w:spacing w:before="50" w:after="50" w:line="400" w:lineRule="exact"/>
        <w:ind w:firstLine="1120" w:firstLineChars="400"/>
        <w:rPr>
          <w:rFonts w:ascii="仿宋" w:hAnsi="仿宋" w:eastAsia="仿宋" w:cs="仿宋"/>
          <w:bCs/>
          <w:color w:val="auto"/>
          <w:sz w:val="28"/>
          <w:szCs w:val="28"/>
          <w:highlight w:val="none"/>
        </w:rPr>
      </w:pPr>
    </w:p>
    <w:p w14:paraId="6EEFB3AA">
      <w:pPr>
        <w:snapToGrid w:val="0"/>
        <w:spacing w:before="166" w:beforeLines="50" w:after="50" w:line="400" w:lineRule="exact"/>
        <w:rPr>
          <w:rFonts w:ascii="仿宋" w:hAnsi="仿宋" w:eastAsia="仿宋" w:cs="仿宋"/>
          <w:color w:val="auto"/>
          <w:sz w:val="32"/>
          <w:szCs w:val="21"/>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 xml:space="preserve">      年  月  日</w:t>
      </w:r>
    </w:p>
    <w:p w14:paraId="7CCC6AC7">
      <w:pPr>
        <w:snapToGrid w:val="0"/>
        <w:spacing w:before="166" w:beforeLines="50" w:after="50" w:line="360" w:lineRule="auto"/>
        <w:jc w:val="left"/>
        <w:rPr>
          <w:rFonts w:ascii="仿宋" w:hAnsi="仿宋" w:eastAsia="仿宋" w:cs="仿宋"/>
          <w:color w:val="auto"/>
          <w:sz w:val="24"/>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2.</w:t>
      </w:r>
      <w:r>
        <w:rPr>
          <w:rFonts w:hint="eastAsia" w:ascii="仿宋" w:hAnsi="仿宋" w:eastAsia="仿宋" w:cs="仿宋"/>
          <w:b/>
          <w:bCs/>
          <w:color w:val="auto"/>
          <w:sz w:val="24"/>
          <w:highlight w:val="none"/>
        </w:rPr>
        <w:t>报价文件目录</w:t>
      </w:r>
    </w:p>
    <w:p w14:paraId="49295565">
      <w:pPr>
        <w:snapToGrid w:val="0"/>
        <w:spacing w:before="50" w:after="166" w:afterLines="50" w:line="360" w:lineRule="auto"/>
        <w:jc w:val="left"/>
        <w:rPr>
          <w:rFonts w:ascii="仿宋" w:hAnsi="仿宋" w:eastAsia="仿宋" w:cs="仿宋"/>
          <w:b/>
          <w:color w:val="auto"/>
          <w:sz w:val="24"/>
          <w:highlight w:val="none"/>
        </w:rPr>
      </w:pPr>
      <w:r>
        <w:rPr>
          <w:rFonts w:hint="eastAsia" w:ascii="仿宋" w:hAnsi="仿宋" w:eastAsia="仿宋" w:cs="仿宋"/>
          <w:color w:val="auto"/>
          <w:sz w:val="24"/>
          <w:highlight w:val="none"/>
        </w:rPr>
        <w:t>根据招标文件规定及投标人提供的材料自行编写目录。</w:t>
      </w:r>
    </w:p>
    <w:p w14:paraId="51BDDC55">
      <w:pPr>
        <w:snapToGrid w:val="0"/>
        <w:spacing w:before="166" w:beforeLines="50" w:after="50"/>
        <w:rPr>
          <w:rFonts w:ascii="仿宋" w:hAnsi="仿宋" w:eastAsia="仿宋" w:cs="仿宋"/>
          <w:b/>
          <w:color w:val="auto"/>
          <w:sz w:val="24"/>
          <w:highlight w:val="none"/>
        </w:rPr>
      </w:pPr>
    </w:p>
    <w:p w14:paraId="7BBA7E25">
      <w:pPr>
        <w:snapToGrid w:val="0"/>
        <w:spacing w:before="166" w:beforeLines="50" w:after="50"/>
        <w:rPr>
          <w:rFonts w:ascii="仿宋" w:hAnsi="仿宋" w:eastAsia="仿宋" w:cs="仿宋"/>
          <w:b/>
          <w:color w:val="auto"/>
          <w:sz w:val="24"/>
          <w:highlight w:val="none"/>
        </w:rPr>
      </w:pPr>
    </w:p>
    <w:p w14:paraId="3C864668">
      <w:pPr>
        <w:snapToGrid w:val="0"/>
        <w:spacing w:before="166" w:beforeLines="50" w:after="50"/>
        <w:rPr>
          <w:rFonts w:ascii="仿宋" w:hAnsi="仿宋" w:eastAsia="仿宋" w:cs="仿宋"/>
          <w:b/>
          <w:color w:val="auto"/>
          <w:sz w:val="24"/>
          <w:highlight w:val="none"/>
        </w:rPr>
      </w:pPr>
    </w:p>
    <w:p w14:paraId="0647CC17">
      <w:pPr>
        <w:snapToGrid w:val="0"/>
        <w:spacing w:before="166"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 投标函格式：</w:t>
      </w:r>
    </w:p>
    <w:p w14:paraId="0B6D4CB3">
      <w:pPr>
        <w:snapToGrid w:val="0"/>
        <w:spacing w:before="50" w:after="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 标 函</w:t>
      </w:r>
    </w:p>
    <w:p w14:paraId="7B24274C">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p>
    <w:p w14:paraId="35047842">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）的招标公告，签字代表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（姓名）经正式授权并代表投标人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（投标人名称）提交投标文件。</w:t>
      </w:r>
    </w:p>
    <w:p w14:paraId="07865A2A">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据此函，我方宣布同意如下：</w:t>
      </w:r>
    </w:p>
    <w:p w14:paraId="483DBD19">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38C38A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2.我方在投标之前已经完全理解并接受招标文件的各项规定和要求，对招标文件的合理性、合法性不再有异议。</w:t>
      </w:r>
    </w:p>
    <w:p w14:paraId="35655C7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3.本投标有效期自投标截止之日起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C9840BB">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4.如中标，本投标文件至本项目合同履行完毕止均保持有效，我方将按“招标文件”及政府采购法律、法规的规定履行合同责任和义务。</w:t>
      </w:r>
    </w:p>
    <w:p w14:paraId="47F80C11">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5.我方同意按照贵方要求提供与投标有关的一切数据或者资料。</w:t>
      </w:r>
    </w:p>
    <w:p w14:paraId="11F3C29E">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6.我方向贵方提交的所有投标文件、资料都是准确的和真实的。</w:t>
      </w:r>
    </w:p>
    <w:p w14:paraId="4F7DE41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7.以上事项如有虚假或者隐瞒，我方愿意承担一切后果，并不再寻求任何旨在减轻或者免除法律责任的辩解。</w:t>
      </w:r>
    </w:p>
    <w:p w14:paraId="2BA4252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331A74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□我方本次投标文件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32EC0AEB">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sz w:val="24"/>
          <w:highlight w:val="none"/>
        </w:rPr>
        <w:t>□我方本次投标文件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46B99F6">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9.我方若中标，将采取</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（汽车、火车、飞机等）方式运输货物。</w:t>
      </w:r>
    </w:p>
    <w:p w14:paraId="4EFE3BDF">
      <w:pPr>
        <w:spacing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sz w:val="24"/>
          <w:highlight w:val="none"/>
        </w:rPr>
        <w:t>10.我方若中标，除非发生不可抗力，承诺与采购人及时签订《采购合同》。如果放弃，自愿按照本文件之《供应商须知正文》第30.4条的要求承担法律责任和失信惩戒。</w:t>
      </w:r>
    </w:p>
    <w:p w14:paraId="0A4BBB1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11.与本投标有关的一切正式往来信函请寄：</w:t>
      </w:r>
    </w:p>
    <w:p w14:paraId="16565753">
      <w:pPr>
        <w:spacing w:line="360" w:lineRule="auto"/>
        <w:ind w:firstLine="480" w:firstLineChars="20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p>
    <w:p w14:paraId="0960D47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 xml:space="preserve">          </w:t>
      </w:r>
    </w:p>
    <w:p w14:paraId="62C27286">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p w14:paraId="58B07477">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银行帐号：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470E7C1">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A778784">
      <w:pPr>
        <w:pStyle w:val="25"/>
        <w:spacing w:line="360" w:lineRule="auto"/>
        <w:contextualSpacing/>
        <w:jc w:val="cente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投标人（公章）：</w:t>
      </w:r>
      <w:r>
        <w:rPr>
          <w:rFonts w:hint="eastAsia" w:ascii="仿宋" w:hAnsi="仿宋" w:eastAsia="仿宋" w:cs="仿宋"/>
          <w:color w:val="auto"/>
          <w:sz w:val="24"/>
          <w:szCs w:val="24"/>
          <w:highlight w:val="none"/>
          <w:u w:val="single"/>
        </w:rPr>
        <w:t xml:space="preserve">           </w:t>
      </w:r>
    </w:p>
    <w:p w14:paraId="5696B9D4">
      <w:pPr>
        <w:pStyle w:val="25"/>
        <w:spacing w:line="360" w:lineRule="auto"/>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F63E2FD">
      <w:pPr>
        <w:snapToGrid w:val="0"/>
        <w:spacing w:before="166" w:beforeLines="50" w:after="50" w:line="360" w:lineRule="auto"/>
        <w:jc w:val="left"/>
        <w:rPr>
          <w:rFonts w:ascii="仿宋" w:hAnsi="仿宋" w:eastAsia="仿宋" w:cs="仿宋"/>
          <w:b/>
          <w:color w:val="auto"/>
          <w:sz w:val="24"/>
          <w:szCs w:val="20"/>
          <w:highlight w:val="none"/>
        </w:rPr>
      </w:pPr>
      <w:r>
        <w:rPr>
          <w:rFonts w:hint="eastAsia" w:ascii="仿宋" w:hAnsi="仿宋" w:eastAsia="仿宋" w:cs="仿宋"/>
          <w:color w:val="auto"/>
          <w:sz w:val="24"/>
          <w:highlight w:val="none"/>
          <w:u w:val="single"/>
        </w:rPr>
        <w:br w:type="page"/>
      </w:r>
      <w:r>
        <w:rPr>
          <w:rFonts w:hint="eastAsia" w:ascii="仿宋" w:hAnsi="仿宋" w:eastAsia="仿宋" w:cs="仿宋"/>
          <w:b/>
          <w:color w:val="auto"/>
          <w:sz w:val="24"/>
          <w:highlight w:val="none"/>
        </w:rPr>
        <w:t>4. 开标一览表（货物类格式）</w:t>
      </w:r>
    </w:p>
    <w:p w14:paraId="6607F01B">
      <w:pPr>
        <w:snapToGrid w:val="0"/>
        <w:spacing w:before="50" w:after="50"/>
        <w:jc w:val="center"/>
        <w:rPr>
          <w:rFonts w:ascii="仿宋" w:hAnsi="仿宋" w:eastAsia="仿宋" w:cs="仿宋"/>
          <w:b/>
          <w:color w:val="auto"/>
          <w:sz w:val="24"/>
          <w:highlight w:val="none"/>
        </w:rPr>
      </w:pPr>
      <w:r>
        <w:rPr>
          <w:rFonts w:hint="eastAsia" w:ascii="仿宋" w:hAnsi="仿宋" w:eastAsia="仿宋" w:cs="仿宋"/>
          <w:b/>
          <w:color w:val="auto"/>
          <w:sz w:val="32"/>
          <w:szCs w:val="32"/>
          <w:highlight w:val="none"/>
        </w:rPr>
        <w:t>开标一览表</w:t>
      </w:r>
    </w:p>
    <w:p w14:paraId="599320BC">
      <w:pPr>
        <w:snapToGrid w:val="0"/>
        <w:spacing w:before="50" w:after="50" w:line="360" w:lineRule="auto"/>
        <w:rPr>
          <w:rFonts w:ascii="仿宋" w:hAnsi="仿宋" w:eastAsia="仿宋" w:cs="仿宋"/>
          <w:color w:val="auto"/>
          <w:sz w:val="24"/>
          <w:highlight w:val="none"/>
        </w:rPr>
      </w:pPr>
    </w:p>
    <w:p w14:paraId="7C5BBFD5">
      <w:pPr>
        <w:snapToGrid w:val="0"/>
        <w:spacing w:before="50" w:after="5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分标：</w:t>
      </w:r>
      <w:r>
        <w:rPr>
          <w:rFonts w:hint="eastAsia" w:ascii="仿宋" w:hAnsi="仿宋" w:eastAsia="仿宋" w:cs="仿宋"/>
          <w:color w:val="auto"/>
          <w:sz w:val="24"/>
          <w:highlight w:val="none"/>
          <w:u w:val="single"/>
        </w:rPr>
        <w:t xml:space="preserve">           </w:t>
      </w:r>
    </w:p>
    <w:p w14:paraId="66DB5207">
      <w:pPr>
        <w:snapToGrid w:val="0"/>
        <w:spacing w:before="50" w:after="5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货币单位：人民币元</w:t>
      </w:r>
    </w:p>
    <w:tbl>
      <w:tblPr>
        <w:tblStyle w:val="4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77"/>
        <w:gridCol w:w="962"/>
        <w:gridCol w:w="1083"/>
        <w:gridCol w:w="962"/>
        <w:gridCol w:w="841"/>
        <w:gridCol w:w="601"/>
        <w:gridCol w:w="704"/>
        <w:gridCol w:w="1462"/>
        <w:gridCol w:w="1083"/>
      </w:tblGrid>
      <w:tr w14:paraId="7515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601" w:type="dxa"/>
            <w:vAlign w:val="center"/>
          </w:tcPr>
          <w:p w14:paraId="06E6B5EE">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77" w:type="dxa"/>
            <w:vAlign w:val="center"/>
          </w:tcPr>
          <w:p w14:paraId="5BDE27B4">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标的名称</w:t>
            </w:r>
          </w:p>
        </w:tc>
        <w:tc>
          <w:tcPr>
            <w:tcW w:w="962" w:type="dxa"/>
            <w:vAlign w:val="center"/>
          </w:tcPr>
          <w:p w14:paraId="74A5FFBA">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083" w:type="dxa"/>
            <w:vAlign w:val="center"/>
          </w:tcPr>
          <w:p w14:paraId="1F506C85">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型号（与铭牌一致）</w:t>
            </w:r>
          </w:p>
        </w:tc>
        <w:tc>
          <w:tcPr>
            <w:tcW w:w="962" w:type="dxa"/>
            <w:vAlign w:val="center"/>
          </w:tcPr>
          <w:p w14:paraId="6B5FFE02">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生产厂家</w:t>
            </w:r>
          </w:p>
        </w:tc>
        <w:tc>
          <w:tcPr>
            <w:tcW w:w="841" w:type="dxa"/>
            <w:vAlign w:val="center"/>
          </w:tcPr>
          <w:p w14:paraId="5CA08EC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产地</w:t>
            </w:r>
          </w:p>
        </w:tc>
        <w:tc>
          <w:tcPr>
            <w:tcW w:w="601" w:type="dxa"/>
            <w:vAlign w:val="center"/>
          </w:tcPr>
          <w:p w14:paraId="16936D40">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  量①</w:t>
            </w:r>
          </w:p>
        </w:tc>
        <w:tc>
          <w:tcPr>
            <w:tcW w:w="704" w:type="dxa"/>
            <w:vAlign w:val="center"/>
          </w:tcPr>
          <w:p w14:paraId="30D2DFC1">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62" w:type="dxa"/>
            <w:vAlign w:val="center"/>
          </w:tcPr>
          <w:p w14:paraId="24DECF19">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  价</w:t>
            </w:r>
          </w:p>
          <w:p w14:paraId="12BBBFB6">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②</w:t>
            </w:r>
          </w:p>
        </w:tc>
        <w:tc>
          <w:tcPr>
            <w:tcW w:w="1083" w:type="dxa"/>
            <w:vAlign w:val="center"/>
          </w:tcPr>
          <w:p w14:paraId="47B6637C">
            <w:pPr>
              <w:snapToGrid w:val="0"/>
              <w:spacing w:before="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投标报价</w:t>
            </w:r>
          </w:p>
          <w:p w14:paraId="3B1378FE">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③=①×②</w:t>
            </w:r>
          </w:p>
        </w:tc>
      </w:tr>
      <w:tr w14:paraId="4903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601" w:type="dxa"/>
            <w:vAlign w:val="center"/>
          </w:tcPr>
          <w:p w14:paraId="55C89D39">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77" w:type="dxa"/>
            <w:vAlign w:val="center"/>
          </w:tcPr>
          <w:p w14:paraId="0C4474BE">
            <w:pPr>
              <w:snapToGrid w:val="0"/>
              <w:spacing w:line="460" w:lineRule="exact"/>
              <w:jc w:val="center"/>
              <w:rPr>
                <w:rFonts w:ascii="仿宋" w:hAnsi="仿宋" w:eastAsia="仿宋" w:cs="仿宋"/>
                <w:color w:val="auto"/>
                <w:sz w:val="24"/>
                <w:highlight w:val="none"/>
              </w:rPr>
            </w:pPr>
          </w:p>
        </w:tc>
        <w:tc>
          <w:tcPr>
            <w:tcW w:w="962" w:type="dxa"/>
            <w:vAlign w:val="center"/>
          </w:tcPr>
          <w:p w14:paraId="393F591E">
            <w:pPr>
              <w:snapToGrid w:val="0"/>
              <w:spacing w:line="460" w:lineRule="exact"/>
              <w:jc w:val="center"/>
              <w:rPr>
                <w:rFonts w:ascii="仿宋" w:hAnsi="仿宋" w:eastAsia="仿宋" w:cs="仿宋"/>
                <w:color w:val="auto"/>
                <w:sz w:val="24"/>
                <w:highlight w:val="none"/>
              </w:rPr>
            </w:pPr>
          </w:p>
        </w:tc>
        <w:tc>
          <w:tcPr>
            <w:tcW w:w="1083" w:type="dxa"/>
            <w:vAlign w:val="center"/>
          </w:tcPr>
          <w:p w14:paraId="4E4AA14C">
            <w:pPr>
              <w:snapToGrid w:val="0"/>
              <w:spacing w:line="460" w:lineRule="exact"/>
              <w:jc w:val="center"/>
              <w:rPr>
                <w:rFonts w:ascii="仿宋" w:hAnsi="仿宋" w:eastAsia="仿宋" w:cs="仿宋"/>
                <w:color w:val="auto"/>
                <w:sz w:val="24"/>
                <w:highlight w:val="none"/>
              </w:rPr>
            </w:pPr>
          </w:p>
        </w:tc>
        <w:tc>
          <w:tcPr>
            <w:tcW w:w="962" w:type="dxa"/>
          </w:tcPr>
          <w:p w14:paraId="201AD2CD">
            <w:pPr>
              <w:snapToGrid w:val="0"/>
              <w:spacing w:line="460" w:lineRule="exact"/>
              <w:jc w:val="center"/>
              <w:rPr>
                <w:rFonts w:ascii="仿宋" w:hAnsi="仿宋" w:eastAsia="仿宋" w:cs="仿宋"/>
                <w:color w:val="auto"/>
                <w:sz w:val="24"/>
                <w:highlight w:val="none"/>
              </w:rPr>
            </w:pPr>
          </w:p>
        </w:tc>
        <w:tc>
          <w:tcPr>
            <w:tcW w:w="841" w:type="dxa"/>
            <w:vAlign w:val="center"/>
          </w:tcPr>
          <w:p w14:paraId="4015D56B">
            <w:pPr>
              <w:snapToGrid w:val="0"/>
              <w:spacing w:line="460" w:lineRule="exact"/>
              <w:jc w:val="center"/>
              <w:rPr>
                <w:rFonts w:ascii="仿宋" w:hAnsi="仿宋" w:eastAsia="仿宋" w:cs="仿宋"/>
                <w:color w:val="auto"/>
                <w:sz w:val="24"/>
                <w:highlight w:val="none"/>
              </w:rPr>
            </w:pPr>
          </w:p>
        </w:tc>
        <w:tc>
          <w:tcPr>
            <w:tcW w:w="601" w:type="dxa"/>
            <w:vAlign w:val="center"/>
          </w:tcPr>
          <w:p w14:paraId="20A946A2">
            <w:pPr>
              <w:snapToGrid w:val="0"/>
              <w:spacing w:line="460" w:lineRule="exact"/>
              <w:ind w:left="360"/>
              <w:rPr>
                <w:rFonts w:ascii="仿宋" w:hAnsi="仿宋" w:eastAsia="仿宋" w:cs="仿宋"/>
                <w:color w:val="auto"/>
                <w:sz w:val="24"/>
                <w:szCs w:val="22"/>
                <w:highlight w:val="none"/>
              </w:rPr>
            </w:pPr>
          </w:p>
        </w:tc>
        <w:tc>
          <w:tcPr>
            <w:tcW w:w="704" w:type="dxa"/>
          </w:tcPr>
          <w:p w14:paraId="190789BF">
            <w:pPr>
              <w:snapToGrid w:val="0"/>
              <w:spacing w:line="460" w:lineRule="exact"/>
              <w:jc w:val="center"/>
              <w:rPr>
                <w:rFonts w:ascii="仿宋" w:hAnsi="仿宋" w:eastAsia="仿宋" w:cs="仿宋"/>
                <w:color w:val="auto"/>
                <w:sz w:val="24"/>
                <w:highlight w:val="none"/>
              </w:rPr>
            </w:pPr>
          </w:p>
        </w:tc>
        <w:tc>
          <w:tcPr>
            <w:tcW w:w="1462" w:type="dxa"/>
            <w:vAlign w:val="center"/>
          </w:tcPr>
          <w:p w14:paraId="513C3682">
            <w:pPr>
              <w:snapToGrid w:val="0"/>
              <w:spacing w:line="460" w:lineRule="exact"/>
              <w:ind w:left="360"/>
              <w:rPr>
                <w:rFonts w:ascii="仿宋" w:hAnsi="仿宋" w:eastAsia="仿宋" w:cs="仿宋"/>
                <w:color w:val="auto"/>
                <w:sz w:val="24"/>
                <w:szCs w:val="22"/>
                <w:highlight w:val="none"/>
              </w:rPr>
            </w:pPr>
          </w:p>
        </w:tc>
        <w:tc>
          <w:tcPr>
            <w:tcW w:w="1083" w:type="dxa"/>
          </w:tcPr>
          <w:p w14:paraId="0E03F611">
            <w:pPr>
              <w:snapToGrid w:val="0"/>
              <w:spacing w:line="460" w:lineRule="exact"/>
              <w:jc w:val="center"/>
              <w:rPr>
                <w:rFonts w:ascii="仿宋" w:hAnsi="仿宋" w:eastAsia="仿宋" w:cs="仿宋"/>
                <w:color w:val="auto"/>
                <w:sz w:val="24"/>
                <w:highlight w:val="none"/>
              </w:rPr>
            </w:pPr>
          </w:p>
        </w:tc>
      </w:tr>
      <w:tr w14:paraId="5915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176" w:type="dxa"/>
            <w:gridSpan w:val="10"/>
          </w:tcPr>
          <w:p w14:paraId="2B117DDA">
            <w:pPr>
              <w:snapToGrid w:val="0"/>
              <w:spacing w:line="460" w:lineRule="exact"/>
              <w:jc w:val="left"/>
              <w:rPr>
                <w:rFonts w:ascii="仿宋" w:hAnsi="仿宋" w:eastAsia="仿宋" w:cs="仿宋"/>
                <w:color w:val="auto"/>
                <w:highlight w:val="none"/>
              </w:rPr>
            </w:pPr>
            <w:r>
              <w:rPr>
                <w:rFonts w:hint="eastAsia" w:ascii="仿宋" w:hAnsi="仿宋" w:eastAsia="仿宋" w:cs="仿宋"/>
                <w:color w:val="auto"/>
                <w:sz w:val="24"/>
                <w:highlight w:val="none"/>
              </w:rPr>
              <w:t>合计金额（人民币大写</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bCs/>
                <w:color w:val="auto"/>
                <w:sz w:val="24"/>
                <w:highlight w:val="none"/>
              </w:rPr>
              <w:t>（小写）</w:t>
            </w:r>
            <w:r>
              <w:rPr>
                <w:rFonts w:hint="eastAsia" w:ascii="仿宋" w:hAnsi="仿宋" w:eastAsia="仿宋" w:cs="仿宋"/>
                <w:bCs/>
                <w:color w:val="auto"/>
                <w:sz w:val="24"/>
                <w:highlight w:val="none"/>
                <w:u w:val="single"/>
              </w:rPr>
              <w:t xml:space="preserve">¥          </w:t>
            </w:r>
          </w:p>
        </w:tc>
      </w:tr>
      <w:tr w14:paraId="140C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176" w:type="dxa"/>
            <w:gridSpan w:val="10"/>
          </w:tcPr>
          <w:p w14:paraId="341B3D56">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交付时间：</w:t>
            </w:r>
          </w:p>
        </w:tc>
      </w:tr>
    </w:tbl>
    <w:p w14:paraId="4EC69B15">
      <w:pPr>
        <w:snapToGrid w:val="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注： </w:t>
      </w:r>
    </w:p>
    <w:p w14:paraId="343861BA">
      <w:pPr>
        <w:ind w:firstLine="480" w:firstLineChars="200"/>
        <w:contextualSpacing/>
        <w:jc w:val="left"/>
        <w:rPr>
          <w:rFonts w:ascii="仿宋" w:hAnsi="仿宋" w:eastAsia="仿宋" w:cs="仿宋"/>
          <w:color w:val="auto"/>
          <w:highlight w:val="none"/>
        </w:rPr>
      </w:pPr>
      <w:r>
        <w:rPr>
          <w:rFonts w:hint="eastAsia" w:ascii="仿宋" w:hAnsi="仿宋" w:eastAsia="仿宋" w:cs="仿宋"/>
          <w:color w:val="auto"/>
          <w:sz w:val="24"/>
          <w:highlight w:val="none"/>
        </w:rPr>
        <w:t>1.开标一览表中“标的名称、数量、单位、品牌、型号、生产厂家、产地”必须如实填写完整，定制产品在型号栏中填写“定制”。</w:t>
      </w:r>
      <w:r>
        <w:rPr>
          <w:rFonts w:hint="eastAsia" w:ascii="仿宋" w:hAnsi="仿宋" w:eastAsia="仿宋" w:cs="仿宋"/>
          <w:b/>
          <w:color w:val="auto"/>
          <w:sz w:val="24"/>
          <w:highlight w:val="none"/>
        </w:rPr>
        <w:t>填写有缺漏</w:t>
      </w:r>
      <w:r>
        <w:rPr>
          <w:rFonts w:hint="eastAsia" w:ascii="仿宋" w:hAnsi="仿宋" w:eastAsia="仿宋" w:cs="仿宋"/>
          <w:b/>
          <w:bCs/>
          <w:color w:val="auto"/>
          <w:sz w:val="24"/>
          <w:highlight w:val="none"/>
        </w:rPr>
        <w:t>的，</w:t>
      </w:r>
      <w:r>
        <w:rPr>
          <w:rFonts w:hint="eastAsia" w:ascii="仿宋" w:hAnsi="仿宋" w:eastAsia="仿宋" w:cs="仿宋"/>
          <w:b/>
          <w:color w:val="auto"/>
          <w:sz w:val="24"/>
          <w:highlight w:val="none"/>
        </w:rPr>
        <w:t>其投标文件按无效响应处理。</w:t>
      </w:r>
    </w:p>
    <w:p w14:paraId="7209E207">
      <w:pPr>
        <w:snapToGrid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
          <w:color w:val="auto"/>
          <w:sz w:val="24"/>
          <w:highlight w:val="none"/>
        </w:rPr>
        <w:t>所填写的型号与货物铭牌一致。</w:t>
      </w:r>
    </w:p>
    <w:p w14:paraId="00310EFF">
      <w:pPr>
        <w:snapToGrid w:val="0"/>
        <w:ind w:firstLine="480" w:firstLineChars="200"/>
        <w:jc w:val="left"/>
        <w:rPr>
          <w:rFonts w:ascii="仿宋" w:hAnsi="仿宋" w:eastAsia="仿宋" w:cs="仿宋"/>
          <w:b/>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报价一经涂改，应在涂改处加盖投标人公章或者由法定代表人或者委托代理人签字或者盖章</w:t>
      </w:r>
      <w:r>
        <w:rPr>
          <w:rFonts w:hint="eastAsia" w:ascii="仿宋" w:hAnsi="仿宋" w:eastAsia="仿宋" w:cs="仿宋"/>
          <w:b/>
          <w:color w:val="auto"/>
          <w:sz w:val="24"/>
          <w:highlight w:val="none"/>
        </w:rPr>
        <w:t>，否则其投标作无效标处理。</w:t>
      </w:r>
    </w:p>
    <w:p w14:paraId="7519080D">
      <w:pPr>
        <w:snapToGrid w:val="0"/>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color w:val="auto"/>
          <w:sz w:val="24"/>
          <w:highlight w:val="none"/>
        </w:rPr>
        <w:t>投标人的开标一览表必须加盖投标人公章并由法定代表人或者委托代理人签字，</w:t>
      </w:r>
      <w:r>
        <w:rPr>
          <w:rFonts w:hint="eastAsia" w:ascii="仿宋" w:hAnsi="仿宋" w:eastAsia="仿宋" w:cs="仿宋"/>
          <w:b/>
          <w:color w:val="auto"/>
          <w:sz w:val="24"/>
          <w:highlight w:val="none"/>
        </w:rPr>
        <w:t>否则其投标作无效标处理</w:t>
      </w:r>
      <w:r>
        <w:rPr>
          <w:rFonts w:hint="eastAsia" w:ascii="仿宋" w:hAnsi="仿宋" w:eastAsia="仿宋" w:cs="仿宋"/>
          <w:color w:val="auto"/>
          <w:sz w:val="24"/>
          <w:highlight w:val="none"/>
        </w:rPr>
        <w:t>。</w:t>
      </w:r>
    </w:p>
    <w:p w14:paraId="5C56DC80">
      <w:pPr>
        <w:snapToGrid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5.招标文件中列明采购专用耗材的，应按招标文件规定的耗材量或者按耗材的常规使用量提供报价。</w:t>
      </w:r>
    </w:p>
    <w:p w14:paraId="0B55F372">
      <w:pPr>
        <w:snapToGrid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6.如为联合体投标，“投标人名称”处必须列明联合体各方名称，并标注联合体牵头人名称，</w:t>
      </w:r>
      <w:r>
        <w:rPr>
          <w:rFonts w:hint="eastAsia" w:ascii="仿宋" w:hAnsi="仿宋" w:eastAsia="仿宋" w:cs="仿宋"/>
          <w:b/>
          <w:color w:val="auto"/>
          <w:sz w:val="24"/>
          <w:highlight w:val="none"/>
        </w:rPr>
        <w:t>否则其投标作无效标处理。</w:t>
      </w:r>
    </w:p>
    <w:p w14:paraId="7B6900D3">
      <w:pPr>
        <w:snapToGrid w:val="0"/>
        <w:ind w:firstLine="456" w:firstLineChars="200"/>
        <w:jc w:val="left"/>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7.如为联合体投标，盖章处须加盖联合体各方公章，</w:t>
      </w:r>
      <w:r>
        <w:rPr>
          <w:rFonts w:hint="eastAsia" w:ascii="仿宋" w:hAnsi="仿宋" w:eastAsia="仿宋" w:cs="仿宋"/>
          <w:b/>
          <w:color w:val="auto"/>
          <w:spacing w:val="-6"/>
          <w:sz w:val="24"/>
          <w:highlight w:val="none"/>
        </w:rPr>
        <w:t>否则其投标作无效标处理。</w:t>
      </w:r>
    </w:p>
    <w:p w14:paraId="0651A980">
      <w:pPr>
        <w:snapToGrid w:val="0"/>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8.投标人需按本表格式填写，不得自行更改，如有多分标，按分标分别提供开标一览表，必须加盖投标人公章并由法定代表人或者委托代理人签字，</w:t>
      </w:r>
      <w:r>
        <w:rPr>
          <w:rFonts w:hint="eastAsia" w:ascii="仿宋" w:hAnsi="仿宋" w:eastAsia="仿宋" w:cs="仿宋"/>
          <w:b/>
          <w:color w:val="auto"/>
          <w:sz w:val="24"/>
          <w:highlight w:val="none"/>
        </w:rPr>
        <w:t>否则投标无效。</w:t>
      </w:r>
    </w:p>
    <w:p w14:paraId="05E036F2">
      <w:pPr>
        <w:snapToGrid w:val="0"/>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9.特别提示：采购代理机构将对项目名称和项目编号，中标人名称、地址和中标金额，主要中标标的的名称、规格型号、品牌（如有）数量、单价等予以公示。</w:t>
      </w:r>
    </w:p>
    <w:p w14:paraId="05A8922C">
      <w:pPr>
        <w:snapToGrid w:val="0"/>
        <w:spacing w:before="166" w:beforeLines="50"/>
        <w:ind w:right="482" w:firstLine="4620" w:firstLineChars="1925"/>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2EFC5490">
      <w:pPr>
        <w:snapToGrid w:val="0"/>
        <w:spacing w:before="166" w:beforeLines="50" w:after="50"/>
        <w:ind w:right="480" w:firstLine="4620" w:firstLineChars="1925"/>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投标人（公章）：</w:t>
      </w:r>
      <w:r>
        <w:rPr>
          <w:rFonts w:hint="eastAsia" w:ascii="仿宋" w:hAnsi="仿宋" w:eastAsia="仿宋" w:cs="仿宋"/>
          <w:color w:val="auto"/>
          <w:sz w:val="24"/>
          <w:highlight w:val="none"/>
          <w:u w:val="single"/>
        </w:rPr>
        <w:t xml:space="preserve">                 </w:t>
      </w:r>
    </w:p>
    <w:p w14:paraId="2144E318">
      <w:pPr>
        <w:snapToGrid w:val="0"/>
        <w:spacing w:before="50" w:after="50"/>
        <w:ind w:right="-817" w:rightChars="-389" w:firstLine="4620" w:firstLineChars="1925"/>
        <w:jc w:val="lef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AC8CDD5">
      <w:pPr>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bookmarkStart w:id="144" w:name="_Toc19686837"/>
    </w:p>
    <w:p w14:paraId="348D5479">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二、资格证明文件格式</w:t>
      </w:r>
      <w:bookmarkEnd w:id="142"/>
      <w:bookmarkEnd w:id="143"/>
      <w:bookmarkEnd w:id="144"/>
    </w:p>
    <w:p w14:paraId="2CEE759B">
      <w:pPr>
        <w:numPr>
          <w:ilvl w:val="2"/>
          <w:numId w:val="5"/>
        </w:numPr>
        <w:snapToGrid w:val="0"/>
        <w:spacing w:before="166" w:beforeLines="50" w:after="50" w:line="360" w:lineRule="auto"/>
        <w:ind w:left="0" w:firstLine="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资格证明文件封面格式： </w:t>
      </w:r>
    </w:p>
    <w:p w14:paraId="5322985E">
      <w:pPr>
        <w:snapToGrid w:val="0"/>
        <w:spacing w:before="166" w:beforeLines="50" w:after="50"/>
        <w:rPr>
          <w:rFonts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14:paraId="713C3EEA">
      <w:pPr>
        <w:snapToGrid w:val="0"/>
        <w:spacing w:before="166" w:beforeLines="50" w:after="50"/>
        <w:rPr>
          <w:rFonts w:ascii="仿宋" w:hAnsi="仿宋" w:eastAsia="仿宋" w:cs="仿宋"/>
          <w:color w:val="auto"/>
          <w:sz w:val="24"/>
          <w:szCs w:val="20"/>
          <w:highlight w:val="none"/>
        </w:rPr>
      </w:pPr>
    </w:p>
    <w:p w14:paraId="2F467F02">
      <w:pPr>
        <w:snapToGrid w:val="0"/>
        <w:spacing w:before="166" w:beforeLines="50" w:after="50"/>
        <w:rPr>
          <w:rFonts w:ascii="仿宋" w:hAnsi="仿宋" w:eastAsia="仿宋" w:cs="仿宋"/>
          <w:color w:val="auto"/>
          <w:sz w:val="24"/>
          <w:szCs w:val="20"/>
          <w:highlight w:val="none"/>
        </w:rPr>
      </w:pPr>
    </w:p>
    <w:p w14:paraId="3E834E10">
      <w:pPr>
        <w:snapToGrid w:val="0"/>
        <w:spacing w:before="166" w:beforeLines="50" w:after="50"/>
        <w:jc w:val="center"/>
        <w:rPr>
          <w:rFonts w:ascii="仿宋" w:hAnsi="仿宋" w:eastAsia="仿宋" w:cs="仿宋"/>
          <w:color w:val="auto"/>
          <w:sz w:val="84"/>
          <w:szCs w:val="84"/>
          <w:highlight w:val="none"/>
        </w:rPr>
      </w:pPr>
      <w:r>
        <w:rPr>
          <w:rFonts w:hint="eastAsia" w:ascii="仿宋" w:hAnsi="仿宋" w:eastAsia="仿宋" w:cs="仿宋"/>
          <w:color w:val="auto"/>
          <w:sz w:val="84"/>
          <w:szCs w:val="84"/>
          <w:highlight w:val="none"/>
        </w:rPr>
        <w:t>投  标  文  件</w:t>
      </w:r>
    </w:p>
    <w:p w14:paraId="4E568996">
      <w:pPr>
        <w:snapToGrid w:val="0"/>
        <w:spacing w:before="166" w:beforeLines="50" w:after="50"/>
        <w:rPr>
          <w:rFonts w:ascii="仿宋" w:hAnsi="仿宋" w:eastAsia="仿宋" w:cs="仿宋"/>
          <w:color w:val="auto"/>
          <w:sz w:val="24"/>
          <w:szCs w:val="20"/>
          <w:highlight w:val="none"/>
        </w:rPr>
      </w:pPr>
    </w:p>
    <w:p w14:paraId="68E92E29">
      <w:pPr>
        <w:snapToGrid w:val="0"/>
        <w:spacing w:before="166" w:beforeLines="50" w:after="50"/>
        <w:rPr>
          <w:rFonts w:ascii="仿宋" w:hAnsi="仿宋" w:eastAsia="仿宋" w:cs="仿宋"/>
          <w:color w:val="auto"/>
          <w:sz w:val="24"/>
          <w:szCs w:val="20"/>
          <w:highlight w:val="none"/>
        </w:rPr>
      </w:pPr>
    </w:p>
    <w:p w14:paraId="549CBF99">
      <w:pPr>
        <w:snapToGrid w:val="0"/>
        <w:spacing w:before="166" w:beforeLines="50" w:after="50"/>
        <w:jc w:val="center"/>
        <w:rPr>
          <w:rFonts w:ascii="仿宋" w:hAnsi="仿宋" w:eastAsia="仿宋" w:cs="仿宋"/>
          <w:b/>
          <w:color w:val="auto"/>
          <w:sz w:val="24"/>
          <w:szCs w:val="20"/>
          <w:highlight w:val="none"/>
        </w:rPr>
      </w:pPr>
      <w:r>
        <w:rPr>
          <w:rFonts w:hint="eastAsia" w:ascii="仿宋" w:hAnsi="仿宋" w:eastAsia="仿宋" w:cs="仿宋"/>
          <w:b/>
          <w:color w:val="auto"/>
          <w:sz w:val="32"/>
          <w:szCs w:val="32"/>
          <w:highlight w:val="none"/>
        </w:rPr>
        <w:t>资 格 证 明 文 件</w:t>
      </w:r>
    </w:p>
    <w:p w14:paraId="1C6F2F38">
      <w:pPr>
        <w:snapToGrid w:val="0"/>
        <w:spacing w:before="166" w:beforeLines="50" w:after="50"/>
        <w:rPr>
          <w:rFonts w:ascii="仿宋" w:hAnsi="仿宋" w:eastAsia="仿宋" w:cs="仿宋"/>
          <w:bCs/>
          <w:color w:val="auto"/>
          <w:sz w:val="24"/>
          <w:szCs w:val="20"/>
          <w:highlight w:val="none"/>
        </w:rPr>
      </w:pPr>
    </w:p>
    <w:p w14:paraId="70733AA0">
      <w:pPr>
        <w:snapToGrid w:val="0"/>
        <w:spacing w:before="166" w:beforeLines="50" w:after="50"/>
        <w:rPr>
          <w:rFonts w:ascii="仿宋" w:hAnsi="仿宋" w:eastAsia="仿宋" w:cs="仿宋"/>
          <w:bCs/>
          <w:color w:val="auto"/>
          <w:sz w:val="24"/>
          <w:szCs w:val="20"/>
          <w:highlight w:val="none"/>
        </w:rPr>
      </w:pPr>
    </w:p>
    <w:p w14:paraId="0F9D10AD">
      <w:pPr>
        <w:snapToGrid w:val="0"/>
        <w:spacing w:before="166" w:beforeLines="50" w:after="50"/>
        <w:ind w:firstLine="1680" w:firstLineChars="600"/>
        <w:jc w:val="center"/>
        <w:rPr>
          <w:rFonts w:ascii="仿宋" w:hAnsi="仿宋" w:eastAsia="仿宋" w:cs="仿宋"/>
          <w:bCs/>
          <w:color w:val="auto"/>
          <w:sz w:val="28"/>
          <w:szCs w:val="21"/>
          <w:highlight w:val="none"/>
        </w:rPr>
      </w:pPr>
    </w:p>
    <w:p w14:paraId="17957CC4">
      <w:pPr>
        <w:snapToGrid w:val="0"/>
        <w:spacing w:before="166" w:beforeLines="50" w:after="50"/>
        <w:ind w:firstLine="1680" w:firstLineChars="600"/>
        <w:jc w:val="center"/>
        <w:rPr>
          <w:rFonts w:ascii="仿宋" w:hAnsi="仿宋" w:eastAsia="仿宋" w:cs="仿宋"/>
          <w:bCs/>
          <w:color w:val="auto"/>
          <w:sz w:val="28"/>
          <w:szCs w:val="21"/>
          <w:highlight w:val="none"/>
        </w:rPr>
      </w:pPr>
    </w:p>
    <w:p w14:paraId="5CE01C5B">
      <w:pPr>
        <w:snapToGrid w:val="0"/>
        <w:spacing w:before="166" w:beforeLines="50" w:after="50"/>
        <w:ind w:firstLine="1680" w:firstLineChars="600"/>
        <w:jc w:val="left"/>
        <w:rPr>
          <w:rFonts w:ascii="仿宋" w:hAnsi="仿宋" w:eastAsia="仿宋" w:cs="仿宋"/>
          <w:bCs/>
          <w:color w:val="auto"/>
          <w:sz w:val="28"/>
          <w:szCs w:val="21"/>
          <w:highlight w:val="none"/>
        </w:rPr>
      </w:pPr>
      <w:r>
        <w:rPr>
          <w:rFonts w:hint="eastAsia" w:ascii="仿宋" w:hAnsi="仿宋" w:eastAsia="仿宋" w:cs="仿宋"/>
          <w:bCs/>
          <w:color w:val="auto"/>
          <w:sz w:val="28"/>
          <w:szCs w:val="21"/>
          <w:highlight w:val="none"/>
        </w:rPr>
        <w:t xml:space="preserve">项目名称： </w:t>
      </w:r>
    </w:p>
    <w:p w14:paraId="1CACAEE5">
      <w:pPr>
        <w:snapToGrid w:val="0"/>
        <w:spacing w:before="166" w:beforeLines="50" w:after="50"/>
        <w:ind w:firstLine="1680" w:firstLineChars="600"/>
        <w:jc w:val="left"/>
        <w:rPr>
          <w:rFonts w:ascii="仿宋" w:hAnsi="仿宋" w:eastAsia="仿宋" w:cs="仿宋"/>
          <w:bCs/>
          <w:color w:val="auto"/>
          <w:sz w:val="28"/>
          <w:szCs w:val="21"/>
          <w:highlight w:val="none"/>
        </w:rPr>
      </w:pPr>
      <w:r>
        <w:rPr>
          <w:rFonts w:hint="eastAsia" w:ascii="仿宋" w:hAnsi="仿宋" w:eastAsia="仿宋" w:cs="仿宋"/>
          <w:bCs/>
          <w:color w:val="auto"/>
          <w:sz w:val="28"/>
          <w:szCs w:val="21"/>
          <w:highlight w:val="none"/>
        </w:rPr>
        <w:t xml:space="preserve">项目编号： </w:t>
      </w:r>
    </w:p>
    <w:p w14:paraId="27BE46E2">
      <w:pPr>
        <w:snapToGrid w:val="0"/>
        <w:spacing w:before="166" w:beforeLines="50" w:after="50"/>
        <w:ind w:firstLine="1680" w:firstLineChars="600"/>
        <w:jc w:val="left"/>
        <w:rPr>
          <w:rFonts w:ascii="仿宋" w:hAnsi="仿宋" w:eastAsia="仿宋" w:cs="仿宋"/>
          <w:bCs/>
          <w:color w:val="auto"/>
          <w:sz w:val="28"/>
          <w:szCs w:val="21"/>
          <w:highlight w:val="none"/>
        </w:rPr>
      </w:pPr>
      <w:r>
        <w:rPr>
          <w:rFonts w:hint="eastAsia" w:ascii="仿宋" w:hAnsi="仿宋" w:eastAsia="仿宋" w:cs="仿宋"/>
          <w:bCs/>
          <w:color w:val="auto"/>
          <w:sz w:val="28"/>
          <w:szCs w:val="21"/>
          <w:highlight w:val="none"/>
        </w:rPr>
        <w:t>所投分标：</w:t>
      </w:r>
    </w:p>
    <w:p w14:paraId="49B20EB6">
      <w:pPr>
        <w:snapToGrid w:val="0"/>
        <w:spacing w:before="166" w:beforeLines="50" w:after="50"/>
        <w:ind w:firstLine="1680" w:firstLineChars="600"/>
        <w:jc w:val="left"/>
        <w:rPr>
          <w:rFonts w:ascii="仿宋" w:hAnsi="仿宋" w:eastAsia="仿宋" w:cs="仿宋"/>
          <w:bCs/>
          <w:color w:val="auto"/>
          <w:sz w:val="28"/>
          <w:szCs w:val="21"/>
          <w:highlight w:val="none"/>
        </w:rPr>
      </w:pPr>
      <w:r>
        <w:rPr>
          <w:rFonts w:hint="eastAsia" w:ascii="仿宋" w:hAnsi="仿宋" w:eastAsia="仿宋" w:cs="仿宋"/>
          <w:bCs/>
          <w:color w:val="auto"/>
          <w:sz w:val="28"/>
          <w:szCs w:val="21"/>
          <w:highlight w:val="none"/>
        </w:rPr>
        <w:t>投标人名称：</w:t>
      </w:r>
    </w:p>
    <w:p w14:paraId="4EEB4850">
      <w:pPr>
        <w:snapToGrid w:val="0"/>
        <w:spacing w:before="166" w:beforeLines="50" w:after="50"/>
        <w:ind w:firstLine="1680" w:firstLineChars="600"/>
        <w:jc w:val="left"/>
        <w:rPr>
          <w:rFonts w:ascii="仿宋" w:hAnsi="仿宋" w:eastAsia="仿宋" w:cs="仿宋"/>
          <w:bCs/>
          <w:color w:val="auto"/>
          <w:sz w:val="28"/>
          <w:szCs w:val="21"/>
          <w:highlight w:val="none"/>
        </w:rPr>
      </w:pPr>
      <w:r>
        <w:rPr>
          <w:rFonts w:hint="eastAsia" w:ascii="仿宋" w:hAnsi="仿宋" w:eastAsia="仿宋" w:cs="仿宋"/>
          <w:bCs/>
          <w:color w:val="auto"/>
          <w:sz w:val="28"/>
          <w:szCs w:val="21"/>
          <w:highlight w:val="none"/>
        </w:rPr>
        <w:t>投标人地址：</w:t>
      </w:r>
    </w:p>
    <w:p w14:paraId="334209FE">
      <w:pPr>
        <w:snapToGrid w:val="0"/>
        <w:spacing w:before="166" w:beforeLines="50" w:after="50"/>
        <w:ind w:firstLine="1680" w:firstLineChars="600"/>
        <w:jc w:val="left"/>
        <w:rPr>
          <w:rFonts w:ascii="仿宋" w:hAnsi="仿宋" w:eastAsia="仿宋" w:cs="仿宋"/>
          <w:bCs/>
          <w:color w:val="auto"/>
          <w:sz w:val="28"/>
          <w:szCs w:val="21"/>
          <w:highlight w:val="none"/>
        </w:rPr>
      </w:pPr>
    </w:p>
    <w:p w14:paraId="07862274">
      <w:pPr>
        <w:snapToGrid w:val="0"/>
        <w:spacing w:before="166" w:beforeLines="50" w:after="50"/>
        <w:ind w:firstLine="1680" w:firstLineChars="600"/>
        <w:jc w:val="left"/>
        <w:rPr>
          <w:rFonts w:ascii="仿宋" w:hAnsi="仿宋" w:eastAsia="仿宋" w:cs="仿宋"/>
          <w:bCs/>
          <w:color w:val="auto"/>
          <w:sz w:val="28"/>
          <w:szCs w:val="21"/>
          <w:highlight w:val="none"/>
        </w:rPr>
      </w:pPr>
      <w:r>
        <w:rPr>
          <w:rFonts w:hint="eastAsia" w:ascii="仿宋" w:hAnsi="仿宋" w:eastAsia="仿宋" w:cs="仿宋"/>
          <w:bCs/>
          <w:color w:val="auto"/>
          <w:sz w:val="28"/>
          <w:szCs w:val="21"/>
          <w:highlight w:val="none"/>
        </w:rPr>
        <w:t xml:space="preserve">                 年  月  日</w:t>
      </w:r>
    </w:p>
    <w:p w14:paraId="3FE47310">
      <w:pPr>
        <w:snapToGrid w:val="0"/>
        <w:spacing w:before="166" w:beforeLines="50" w:after="50"/>
        <w:ind w:firstLine="1680" w:firstLineChars="600"/>
        <w:jc w:val="left"/>
        <w:rPr>
          <w:rFonts w:ascii="仿宋" w:hAnsi="仿宋" w:eastAsia="仿宋" w:cs="仿宋"/>
          <w:color w:val="auto"/>
          <w:sz w:val="28"/>
          <w:szCs w:val="28"/>
          <w:highlight w:val="none"/>
        </w:rPr>
      </w:pPr>
    </w:p>
    <w:p w14:paraId="3A1F0C1F">
      <w:pPr>
        <w:snapToGrid w:val="0"/>
        <w:spacing w:before="166" w:beforeLines="50" w:after="5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5420DCE6">
      <w:pPr>
        <w:snapToGrid w:val="0"/>
        <w:spacing w:before="166" w:beforeLines="50" w:after="50"/>
        <w:rPr>
          <w:rFonts w:ascii="仿宋" w:hAnsi="仿宋" w:eastAsia="仿宋" w:cs="仿宋"/>
          <w:color w:val="auto"/>
          <w:sz w:val="24"/>
          <w:szCs w:val="20"/>
          <w:highlight w:val="none"/>
        </w:rPr>
      </w:pPr>
    </w:p>
    <w:p w14:paraId="0BC74304">
      <w:pPr>
        <w:numPr>
          <w:ilvl w:val="2"/>
          <w:numId w:val="5"/>
        </w:numPr>
        <w:snapToGrid w:val="0"/>
        <w:spacing w:before="166" w:beforeLines="50" w:after="50" w:line="360" w:lineRule="auto"/>
        <w:ind w:left="0" w:firstLine="0"/>
        <w:jc w:val="left"/>
        <w:rPr>
          <w:rFonts w:ascii="仿宋" w:hAnsi="仿宋" w:eastAsia="仿宋" w:cs="仿宋"/>
          <w:color w:val="auto"/>
          <w:sz w:val="24"/>
          <w:szCs w:val="20"/>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资格证明文件目录</w:t>
      </w:r>
    </w:p>
    <w:p w14:paraId="7662B3A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根据招标文件规定及投标人提供的材料自行编写目录。</w:t>
      </w:r>
    </w:p>
    <w:p w14:paraId="439357F9">
      <w:pPr>
        <w:snapToGrid w:val="0"/>
        <w:spacing w:before="50" w:after="166" w:afterLines="50"/>
        <w:jc w:val="left"/>
        <w:rPr>
          <w:rFonts w:ascii="仿宋" w:hAnsi="仿宋" w:eastAsia="仿宋" w:cs="仿宋"/>
          <w:color w:val="auto"/>
          <w:sz w:val="24"/>
          <w:highlight w:val="none"/>
        </w:rPr>
      </w:pPr>
    </w:p>
    <w:p w14:paraId="06A2D5C9">
      <w:pPr>
        <w:snapToGrid w:val="0"/>
        <w:spacing w:before="50" w:after="166" w:afterLines="50"/>
        <w:jc w:val="left"/>
        <w:rPr>
          <w:rFonts w:ascii="仿宋" w:hAnsi="仿宋" w:eastAsia="仿宋" w:cs="仿宋"/>
          <w:color w:val="auto"/>
          <w:sz w:val="24"/>
          <w:highlight w:val="none"/>
        </w:rPr>
      </w:pPr>
    </w:p>
    <w:p w14:paraId="2FF029D5">
      <w:pPr>
        <w:numPr>
          <w:ilvl w:val="2"/>
          <w:numId w:val="5"/>
        </w:numPr>
        <w:snapToGrid w:val="0"/>
        <w:spacing w:before="166" w:beforeLines="50" w:after="50"/>
        <w:ind w:left="0" w:firstLine="0"/>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8"/>
          <w:szCs w:val="28"/>
          <w:highlight w:val="none"/>
        </w:rPr>
        <w:t>投标人直接控股、管理关系信息表</w:t>
      </w:r>
    </w:p>
    <w:p w14:paraId="2B81917E">
      <w:pPr>
        <w:snapToGrid w:val="0"/>
        <w:spacing w:before="50" w:after="166" w:afterLines="50"/>
        <w:jc w:val="center"/>
        <w:rPr>
          <w:rFonts w:ascii="仿宋" w:hAnsi="仿宋" w:eastAsia="仿宋" w:cs="仿宋"/>
          <w:b/>
          <w:color w:val="auto"/>
          <w:sz w:val="28"/>
          <w:szCs w:val="28"/>
          <w:highlight w:val="none"/>
        </w:rPr>
      </w:pPr>
    </w:p>
    <w:p w14:paraId="24B762B2">
      <w:pPr>
        <w:snapToGrid w:val="0"/>
        <w:spacing w:before="50" w:after="166" w:afterLines="50"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投标人直接控股股东信息表</w:t>
      </w:r>
    </w:p>
    <w:tbl>
      <w:tblPr>
        <w:tblStyle w:val="49"/>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0E58373">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520AED">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79EBC8">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572EA5">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A56BB8">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2274BF">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153E4DC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F0B83B">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D88707">
            <w:pPr>
              <w:spacing w:line="360" w:lineRule="auto"/>
              <w:jc w:val="center"/>
              <w:rPr>
                <w:rFonts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C0D7FB">
            <w:pPr>
              <w:spacing w:line="360" w:lineRule="auto"/>
              <w:jc w:val="center"/>
              <w:rPr>
                <w:rFonts w:ascii="仿宋" w:hAnsi="仿宋" w:eastAsia="仿宋" w:cs="仿宋"/>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2A9A1D">
            <w:pPr>
              <w:spacing w:line="360" w:lineRule="auto"/>
              <w:jc w:val="center"/>
              <w:rPr>
                <w:rFonts w:ascii="仿宋" w:hAnsi="仿宋" w:eastAsia="仿宋" w:cs="仿宋"/>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6733E2">
            <w:pPr>
              <w:spacing w:line="360" w:lineRule="auto"/>
              <w:jc w:val="center"/>
              <w:rPr>
                <w:rFonts w:ascii="仿宋" w:hAnsi="仿宋" w:eastAsia="仿宋" w:cs="仿宋"/>
                <w:color w:val="auto"/>
                <w:kern w:val="0"/>
                <w:sz w:val="24"/>
                <w:highlight w:val="none"/>
              </w:rPr>
            </w:pPr>
          </w:p>
        </w:tc>
      </w:tr>
      <w:tr w14:paraId="434C9C5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3A9B9F">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70CB72">
            <w:pPr>
              <w:spacing w:line="360" w:lineRule="auto"/>
              <w:jc w:val="center"/>
              <w:rPr>
                <w:rFonts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39C675">
            <w:pPr>
              <w:spacing w:line="360" w:lineRule="auto"/>
              <w:jc w:val="center"/>
              <w:rPr>
                <w:rFonts w:ascii="仿宋" w:hAnsi="仿宋" w:eastAsia="仿宋" w:cs="仿宋"/>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7F3B84">
            <w:pPr>
              <w:spacing w:line="360" w:lineRule="auto"/>
              <w:jc w:val="center"/>
              <w:rPr>
                <w:rFonts w:ascii="仿宋" w:hAnsi="仿宋" w:eastAsia="仿宋" w:cs="仿宋"/>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1AF598">
            <w:pPr>
              <w:spacing w:line="360" w:lineRule="auto"/>
              <w:jc w:val="center"/>
              <w:rPr>
                <w:rFonts w:ascii="仿宋" w:hAnsi="仿宋" w:eastAsia="仿宋" w:cs="仿宋"/>
                <w:color w:val="auto"/>
                <w:kern w:val="0"/>
                <w:sz w:val="24"/>
                <w:highlight w:val="none"/>
              </w:rPr>
            </w:pPr>
          </w:p>
        </w:tc>
      </w:tr>
      <w:tr w14:paraId="20E950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1774F3">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EE6DF6">
            <w:pPr>
              <w:spacing w:line="360" w:lineRule="auto"/>
              <w:jc w:val="center"/>
              <w:rPr>
                <w:rFonts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FD4E8F">
            <w:pPr>
              <w:spacing w:line="360" w:lineRule="auto"/>
              <w:jc w:val="center"/>
              <w:rPr>
                <w:rFonts w:ascii="仿宋" w:hAnsi="仿宋" w:eastAsia="仿宋" w:cs="仿宋"/>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BB95C6">
            <w:pPr>
              <w:spacing w:line="360" w:lineRule="auto"/>
              <w:jc w:val="center"/>
              <w:rPr>
                <w:rFonts w:ascii="仿宋" w:hAnsi="仿宋" w:eastAsia="仿宋" w:cs="仿宋"/>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6D8DE4">
            <w:pPr>
              <w:spacing w:line="360" w:lineRule="auto"/>
              <w:jc w:val="center"/>
              <w:rPr>
                <w:rFonts w:ascii="仿宋" w:hAnsi="仿宋" w:eastAsia="仿宋" w:cs="仿宋"/>
                <w:color w:val="auto"/>
                <w:kern w:val="0"/>
                <w:sz w:val="24"/>
                <w:highlight w:val="none"/>
              </w:rPr>
            </w:pPr>
          </w:p>
        </w:tc>
      </w:tr>
    </w:tbl>
    <w:p w14:paraId="31B59ADA">
      <w:pPr>
        <w:snapToGrid w:val="0"/>
        <w:spacing w:line="360" w:lineRule="auto"/>
        <w:jc w:val="left"/>
        <w:rPr>
          <w:rFonts w:ascii="仿宋" w:hAnsi="仿宋" w:eastAsia="仿宋" w:cs="仿宋"/>
          <w:color w:val="auto"/>
          <w:sz w:val="24"/>
          <w:highlight w:val="none"/>
        </w:rPr>
      </w:pPr>
    </w:p>
    <w:p w14:paraId="1F026222">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397B6A0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E9F407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14:paraId="4E782E3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3.供应商不存在直接控股股东的，则填“无”。</w:t>
      </w:r>
    </w:p>
    <w:p w14:paraId="73916418">
      <w:pPr>
        <w:snapToGrid w:val="0"/>
        <w:spacing w:line="360" w:lineRule="auto"/>
        <w:jc w:val="left"/>
        <w:rPr>
          <w:rFonts w:ascii="仿宋" w:hAnsi="仿宋" w:eastAsia="仿宋" w:cs="仿宋"/>
          <w:color w:val="auto"/>
          <w:sz w:val="24"/>
          <w:highlight w:val="none"/>
        </w:rPr>
      </w:pPr>
    </w:p>
    <w:p w14:paraId="2BB9D971">
      <w:pPr>
        <w:snapToGrid w:val="0"/>
        <w:spacing w:line="360" w:lineRule="auto"/>
        <w:jc w:val="left"/>
        <w:rPr>
          <w:rFonts w:ascii="仿宋" w:hAnsi="仿宋" w:eastAsia="仿宋" w:cs="仿宋"/>
          <w:color w:val="auto"/>
          <w:sz w:val="24"/>
          <w:highlight w:val="none"/>
        </w:rPr>
      </w:pPr>
    </w:p>
    <w:p w14:paraId="13D78D1C">
      <w:pPr>
        <w:snapToGrid w:val="0"/>
        <w:spacing w:line="360" w:lineRule="auto"/>
        <w:jc w:val="left"/>
        <w:rPr>
          <w:rFonts w:ascii="仿宋" w:hAnsi="仿宋" w:eastAsia="仿宋" w:cs="仿宋"/>
          <w:color w:val="auto"/>
          <w:sz w:val="24"/>
          <w:highlight w:val="none"/>
        </w:rPr>
      </w:pPr>
    </w:p>
    <w:p w14:paraId="4F4D2278">
      <w:pPr>
        <w:snapToGrid w:val="0"/>
        <w:spacing w:line="360" w:lineRule="auto"/>
        <w:jc w:val="left"/>
        <w:rPr>
          <w:rFonts w:ascii="仿宋" w:hAnsi="仿宋" w:eastAsia="仿宋" w:cs="仿宋"/>
          <w:color w:val="auto"/>
          <w:sz w:val="24"/>
          <w:highlight w:val="none"/>
        </w:rPr>
      </w:pPr>
    </w:p>
    <w:p w14:paraId="5D303161">
      <w:pPr>
        <w:snapToGrid w:val="0"/>
        <w:spacing w:before="166" w:beforeLines="50" w:line="360" w:lineRule="auto"/>
        <w:ind w:right="480" w:firstLine="3967" w:firstLineChars="1653"/>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1CE343A3">
      <w:pPr>
        <w:snapToGrid w:val="0"/>
        <w:spacing w:before="166" w:beforeLines="50" w:after="50" w:line="360" w:lineRule="auto"/>
        <w:ind w:right="480" w:firstLine="4080" w:firstLineChars="1700"/>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投标人（公章）：</w:t>
      </w:r>
      <w:r>
        <w:rPr>
          <w:rFonts w:hint="eastAsia" w:ascii="仿宋" w:hAnsi="仿宋" w:eastAsia="仿宋" w:cs="仿宋"/>
          <w:color w:val="auto"/>
          <w:sz w:val="24"/>
          <w:highlight w:val="none"/>
          <w:u w:val="single"/>
        </w:rPr>
        <w:t xml:space="preserve">                 </w:t>
      </w:r>
    </w:p>
    <w:p w14:paraId="55A67F2F">
      <w:pPr>
        <w:snapToGrid w:val="0"/>
        <w:spacing w:before="166" w:beforeLines="50" w:after="50"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F6A060A">
      <w:pPr>
        <w:snapToGrid w:val="0"/>
        <w:jc w:val="center"/>
        <w:rPr>
          <w:rFonts w:ascii="仿宋" w:hAnsi="仿宋" w:eastAsia="仿宋" w:cs="仿宋"/>
          <w:b/>
          <w:color w:val="auto"/>
          <w:sz w:val="28"/>
          <w:szCs w:val="28"/>
          <w:highlight w:val="none"/>
        </w:rPr>
      </w:pPr>
    </w:p>
    <w:p w14:paraId="517690E9">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投标人直接管理关系信息表</w:t>
      </w:r>
    </w:p>
    <w:tbl>
      <w:tblPr>
        <w:tblStyle w:val="49"/>
        <w:tblW w:w="9652" w:type="dxa"/>
        <w:tblInd w:w="0" w:type="dxa"/>
        <w:tblLayout w:type="fixed"/>
        <w:tblCellMar>
          <w:top w:w="0" w:type="dxa"/>
          <w:left w:w="0" w:type="dxa"/>
          <w:bottom w:w="0" w:type="dxa"/>
          <w:right w:w="0" w:type="dxa"/>
        </w:tblCellMar>
      </w:tblPr>
      <w:tblGrid>
        <w:gridCol w:w="1005"/>
        <w:gridCol w:w="2659"/>
        <w:gridCol w:w="3924"/>
        <w:gridCol w:w="2064"/>
      </w:tblGrid>
      <w:tr w14:paraId="49C8019B">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A22E69">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4DB3DFA">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9E54C67">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CB0E82F">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26D251B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F2696F">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C37DCD">
            <w:pPr>
              <w:spacing w:line="360" w:lineRule="auto"/>
              <w:jc w:val="center"/>
              <w:rPr>
                <w:rFonts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BDD6F9">
            <w:pPr>
              <w:spacing w:line="360" w:lineRule="auto"/>
              <w:jc w:val="center"/>
              <w:rPr>
                <w:rFonts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ECDC74">
            <w:pPr>
              <w:spacing w:line="360" w:lineRule="auto"/>
              <w:jc w:val="center"/>
              <w:rPr>
                <w:rFonts w:ascii="仿宋" w:hAnsi="仿宋" w:eastAsia="仿宋" w:cs="仿宋"/>
                <w:color w:val="auto"/>
                <w:kern w:val="0"/>
                <w:sz w:val="24"/>
                <w:highlight w:val="none"/>
              </w:rPr>
            </w:pPr>
          </w:p>
        </w:tc>
      </w:tr>
      <w:tr w14:paraId="1160DF4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D95B1D2">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D3A50D">
            <w:pPr>
              <w:spacing w:line="360" w:lineRule="auto"/>
              <w:jc w:val="center"/>
              <w:rPr>
                <w:rFonts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6F9C72">
            <w:pPr>
              <w:spacing w:line="360" w:lineRule="auto"/>
              <w:jc w:val="center"/>
              <w:rPr>
                <w:rFonts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0D18825">
            <w:pPr>
              <w:spacing w:line="360" w:lineRule="auto"/>
              <w:jc w:val="center"/>
              <w:rPr>
                <w:rFonts w:ascii="仿宋" w:hAnsi="仿宋" w:eastAsia="仿宋" w:cs="仿宋"/>
                <w:color w:val="auto"/>
                <w:kern w:val="0"/>
                <w:sz w:val="24"/>
                <w:highlight w:val="none"/>
              </w:rPr>
            </w:pPr>
          </w:p>
        </w:tc>
      </w:tr>
      <w:tr w14:paraId="39899A4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61F5CA">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1F282A">
            <w:pPr>
              <w:spacing w:line="360" w:lineRule="auto"/>
              <w:jc w:val="center"/>
              <w:rPr>
                <w:rFonts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54AEAB">
            <w:pPr>
              <w:spacing w:line="360" w:lineRule="auto"/>
              <w:jc w:val="center"/>
              <w:rPr>
                <w:rFonts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BDC70B">
            <w:pPr>
              <w:spacing w:line="360" w:lineRule="auto"/>
              <w:jc w:val="center"/>
              <w:rPr>
                <w:rFonts w:ascii="仿宋" w:hAnsi="仿宋" w:eastAsia="仿宋" w:cs="仿宋"/>
                <w:color w:val="auto"/>
                <w:kern w:val="0"/>
                <w:sz w:val="24"/>
                <w:highlight w:val="none"/>
              </w:rPr>
            </w:pPr>
          </w:p>
        </w:tc>
      </w:tr>
    </w:tbl>
    <w:p w14:paraId="6EF09937">
      <w:pPr>
        <w:snapToGrid w:val="0"/>
        <w:spacing w:line="360" w:lineRule="auto"/>
        <w:jc w:val="left"/>
        <w:rPr>
          <w:rFonts w:ascii="仿宋" w:hAnsi="仿宋" w:eastAsia="仿宋" w:cs="仿宋"/>
          <w:color w:val="auto"/>
          <w:sz w:val="24"/>
          <w:highlight w:val="none"/>
        </w:rPr>
      </w:pPr>
    </w:p>
    <w:p w14:paraId="1F32C3C0">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798C5E7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14:paraId="1910BA2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14:paraId="31C2F3A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3.供应商不存在直接管理关系的，则填“无”。</w:t>
      </w:r>
    </w:p>
    <w:p w14:paraId="1F09A343">
      <w:pPr>
        <w:snapToGrid w:val="0"/>
        <w:spacing w:line="360" w:lineRule="auto"/>
        <w:jc w:val="left"/>
        <w:rPr>
          <w:rFonts w:ascii="仿宋" w:hAnsi="仿宋" w:eastAsia="仿宋" w:cs="仿宋"/>
          <w:color w:val="auto"/>
          <w:sz w:val="24"/>
          <w:highlight w:val="none"/>
        </w:rPr>
      </w:pPr>
    </w:p>
    <w:p w14:paraId="4FC8FC28">
      <w:pPr>
        <w:snapToGrid w:val="0"/>
        <w:spacing w:line="360" w:lineRule="auto"/>
        <w:jc w:val="left"/>
        <w:rPr>
          <w:rFonts w:ascii="仿宋" w:hAnsi="仿宋" w:eastAsia="仿宋" w:cs="仿宋"/>
          <w:color w:val="auto"/>
          <w:sz w:val="24"/>
          <w:highlight w:val="none"/>
        </w:rPr>
      </w:pPr>
    </w:p>
    <w:p w14:paraId="6C7E7AEC">
      <w:pPr>
        <w:snapToGrid w:val="0"/>
        <w:spacing w:line="360" w:lineRule="auto"/>
        <w:jc w:val="left"/>
        <w:rPr>
          <w:rFonts w:ascii="仿宋" w:hAnsi="仿宋" w:eastAsia="仿宋" w:cs="仿宋"/>
          <w:color w:val="auto"/>
          <w:sz w:val="24"/>
          <w:highlight w:val="none"/>
        </w:rPr>
      </w:pPr>
    </w:p>
    <w:p w14:paraId="4B3E9B42">
      <w:pPr>
        <w:snapToGrid w:val="0"/>
        <w:spacing w:line="360" w:lineRule="auto"/>
        <w:jc w:val="left"/>
        <w:rPr>
          <w:rFonts w:ascii="仿宋" w:hAnsi="仿宋" w:eastAsia="仿宋" w:cs="仿宋"/>
          <w:color w:val="auto"/>
          <w:sz w:val="24"/>
          <w:highlight w:val="none"/>
        </w:rPr>
      </w:pPr>
    </w:p>
    <w:p w14:paraId="3BD6FFA1">
      <w:pPr>
        <w:snapToGrid w:val="0"/>
        <w:spacing w:line="360" w:lineRule="auto"/>
        <w:jc w:val="left"/>
        <w:rPr>
          <w:rFonts w:ascii="仿宋" w:hAnsi="仿宋" w:eastAsia="仿宋" w:cs="仿宋"/>
          <w:color w:val="auto"/>
          <w:sz w:val="24"/>
          <w:highlight w:val="none"/>
        </w:rPr>
      </w:pPr>
    </w:p>
    <w:p w14:paraId="4219965C">
      <w:pPr>
        <w:snapToGrid w:val="0"/>
        <w:spacing w:line="360" w:lineRule="auto"/>
        <w:jc w:val="left"/>
        <w:rPr>
          <w:rFonts w:ascii="仿宋" w:hAnsi="仿宋" w:eastAsia="仿宋" w:cs="仿宋"/>
          <w:color w:val="auto"/>
          <w:sz w:val="24"/>
          <w:highlight w:val="none"/>
        </w:rPr>
      </w:pPr>
    </w:p>
    <w:p w14:paraId="6AAA1D36">
      <w:pPr>
        <w:snapToGrid w:val="0"/>
        <w:spacing w:line="360" w:lineRule="auto"/>
        <w:jc w:val="left"/>
        <w:rPr>
          <w:rFonts w:ascii="仿宋" w:hAnsi="仿宋" w:eastAsia="仿宋" w:cs="仿宋"/>
          <w:color w:val="auto"/>
          <w:sz w:val="24"/>
          <w:highlight w:val="none"/>
        </w:rPr>
      </w:pPr>
    </w:p>
    <w:p w14:paraId="1B2F9FFF">
      <w:pPr>
        <w:snapToGrid w:val="0"/>
        <w:spacing w:before="166" w:beforeLines="50" w:line="360" w:lineRule="auto"/>
        <w:ind w:right="480" w:firstLine="3967" w:firstLineChars="1653"/>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0D19CB63">
      <w:pPr>
        <w:snapToGrid w:val="0"/>
        <w:spacing w:before="166" w:beforeLines="50" w:after="50" w:line="360" w:lineRule="auto"/>
        <w:ind w:right="480" w:firstLine="5520" w:firstLineChars="2300"/>
        <w:rPr>
          <w:rFonts w:ascii="仿宋" w:hAnsi="仿宋" w:eastAsia="仿宋" w:cs="仿宋"/>
          <w:color w:val="auto"/>
          <w:sz w:val="24"/>
          <w:highlight w:val="none"/>
        </w:rPr>
      </w:pPr>
      <w:r>
        <w:rPr>
          <w:rFonts w:hint="eastAsia" w:ascii="仿宋" w:hAnsi="仿宋" w:eastAsia="仿宋" w:cs="仿宋"/>
          <w:color w:val="auto"/>
          <w:sz w:val="24"/>
          <w:highlight w:val="none"/>
        </w:rPr>
        <w:t>投标人（公章）：</w:t>
      </w:r>
      <w:r>
        <w:rPr>
          <w:rFonts w:hint="eastAsia" w:ascii="仿宋" w:hAnsi="仿宋" w:eastAsia="仿宋" w:cs="仿宋"/>
          <w:color w:val="auto"/>
          <w:sz w:val="24"/>
          <w:highlight w:val="none"/>
          <w:u w:val="single"/>
        </w:rPr>
        <w:t xml:space="preserve">                 </w:t>
      </w:r>
    </w:p>
    <w:p w14:paraId="319C4EF6">
      <w:pPr>
        <w:snapToGrid w:val="0"/>
        <w:spacing w:before="166" w:beforeLines="50" w:after="50" w:line="360" w:lineRule="auto"/>
        <w:ind w:right="480" w:firstLine="240" w:firstLineChars="10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48DFD78">
      <w:pPr>
        <w:snapToGrid w:val="0"/>
        <w:spacing w:before="50" w:after="166" w:afterLines="50"/>
        <w:jc w:val="left"/>
        <w:rPr>
          <w:rFonts w:ascii="仿宋" w:hAnsi="仿宋" w:eastAsia="仿宋" w:cs="仿宋"/>
          <w:color w:val="auto"/>
          <w:szCs w:val="21"/>
          <w:highlight w:val="none"/>
        </w:rPr>
      </w:pPr>
    </w:p>
    <w:p w14:paraId="6641D715">
      <w:pPr>
        <w:snapToGrid w:val="0"/>
        <w:spacing w:before="166" w:beforeLines="50" w:after="50"/>
        <w:jc w:val="left"/>
        <w:rPr>
          <w:rFonts w:ascii="仿宋" w:hAnsi="仿宋" w:eastAsia="仿宋" w:cs="仿宋"/>
          <w:b/>
          <w:color w:val="auto"/>
          <w:sz w:val="24"/>
          <w:szCs w:val="20"/>
          <w:highlight w:val="none"/>
        </w:rPr>
      </w:pPr>
    </w:p>
    <w:p w14:paraId="06E52F74">
      <w:pPr>
        <w:numPr>
          <w:ilvl w:val="2"/>
          <w:numId w:val="5"/>
        </w:numPr>
        <w:snapToGrid w:val="0"/>
        <w:spacing w:before="166" w:beforeLines="50" w:after="50"/>
        <w:ind w:left="0" w:firstLine="0"/>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投标声明格式</w:t>
      </w:r>
    </w:p>
    <w:p w14:paraId="215A1B0E">
      <w:pPr>
        <w:snapToGrid w:val="0"/>
        <w:spacing w:before="50" w:after="166" w:afterLines="50"/>
        <w:jc w:val="left"/>
        <w:rPr>
          <w:rFonts w:ascii="仿宋" w:hAnsi="仿宋" w:eastAsia="仿宋" w:cs="仿宋"/>
          <w:color w:val="auto"/>
          <w:highlight w:val="none"/>
        </w:rPr>
      </w:pPr>
    </w:p>
    <w:p w14:paraId="18CCBE7B">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投标声明</w:t>
      </w:r>
    </w:p>
    <w:p w14:paraId="01B438B9">
      <w:pPr>
        <w:snapToGrid w:val="0"/>
        <w:spacing w:before="50" w:after="166" w:afterLines="50"/>
        <w:jc w:val="center"/>
        <w:rPr>
          <w:rFonts w:ascii="仿宋" w:hAnsi="仿宋" w:eastAsia="仿宋" w:cs="仿宋"/>
          <w:bCs/>
          <w:color w:val="auto"/>
          <w:sz w:val="44"/>
          <w:szCs w:val="44"/>
          <w:highlight w:val="none"/>
        </w:rPr>
      </w:pPr>
    </w:p>
    <w:p w14:paraId="79F0C1FB">
      <w:pPr>
        <w:spacing w:line="400" w:lineRule="exact"/>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244EC3E8">
      <w:pPr>
        <w:spacing w:line="400" w:lineRule="exact"/>
        <w:ind w:firstLine="523" w:firstLineChars="218"/>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我方参加贵单位组织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）的政府采购活动。我方在此郑重声明：</w:t>
      </w:r>
    </w:p>
    <w:p w14:paraId="7CBE6023">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E7B1C25">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w:t>
      </w:r>
    </w:p>
    <w:p w14:paraId="43F393D4">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3.我方承诺符合《中华人民共和国政府采购法》第二十二条规定：</w:t>
      </w:r>
    </w:p>
    <w:p w14:paraId="727B046E">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14:paraId="7465D6AF">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14:paraId="01E9F8FB">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14:paraId="08015CF9">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14:paraId="3758813F">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（五）参加政府采购活动前三年内，在经营活动中没有重大违法记录；</w:t>
      </w:r>
    </w:p>
    <w:p w14:paraId="59630E9D">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14:paraId="48348B8E">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4.以上事项如有虚假或者隐瞒，我方愿意承担一切后果，并不再寻求任何旨在减轻或者免除法律责任的辩解。</w:t>
      </w:r>
    </w:p>
    <w:p w14:paraId="22DA9D5B">
      <w:pPr>
        <w:spacing w:line="400" w:lineRule="exact"/>
        <w:ind w:firstLine="480" w:firstLineChars="200"/>
        <w:contextualSpacing/>
        <w:jc w:val="left"/>
        <w:rPr>
          <w:rFonts w:ascii="仿宋" w:hAnsi="仿宋" w:eastAsia="仿宋" w:cs="仿宋"/>
          <w:color w:val="auto"/>
          <w:highlight w:val="none"/>
        </w:rPr>
      </w:pPr>
      <w:r>
        <w:rPr>
          <w:rFonts w:hint="eastAsia" w:ascii="仿宋" w:hAnsi="仿宋" w:eastAsia="仿宋" w:cs="仿宋"/>
          <w:color w:val="auto"/>
          <w:sz w:val="24"/>
          <w:highlight w:val="none"/>
        </w:rPr>
        <w:t>5.我方若中标，除非发生不可抗力，承诺与发包方及时签订《合同书》。如果弃标，自愿按照本文件之《投标人须知正文》第30.4条的要求承担法律责任和失信惩戒。</w:t>
      </w:r>
    </w:p>
    <w:p w14:paraId="37D36C93">
      <w:pPr>
        <w:spacing w:line="400" w:lineRule="exact"/>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特此承诺。</w:t>
      </w:r>
    </w:p>
    <w:p w14:paraId="44F905F0">
      <w:pPr>
        <w:spacing w:line="400" w:lineRule="exact"/>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注：如为联合体投标，盖章处须加盖联合体各方公章并由联合体各方法定代表人分别签字，否则投标无效。</w:t>
      </w:r>
    </w:p>
    <w:p w14:paraId="2065AD6B">
      <w:pPr>
        <w:spacing w:line="400" w:lineRule="exact"/>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w:t>
      </w:r>
      <w:r>
        <w:rPr>
          <w:rFonts w:hint="eastAsia" w:ascii="仿宋" w:hAnsi="仿宋" w:eastAsia="仿宋" w:cs="仿宋"/>
          <w:color w:val="auto"/>
          <w:sz w:val="24"/>
          <w:highlight w:val="none"/>
          <w:u w:val="single"/>
        </w:rPr>
        <w:t xml:space="preserve">             </w:t>
      </w:r>
    </w:p>
    <w:p w14:paraId="77BAA48E">
      <w:pPr>
        <w:spacing w:line="400" w:lineRule="exact"/>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投标人（公章）：</w:t>
      </w:r>
      <w:r>
        <w:rPr>
          <w:rFonts w:hint="eastAsia" w:ascii="仿宋" w:hAnsi="仿宋" w:eastAsia="仿宋" w:cs="仿宋"/>
          <w:color w:val="auto"/>
          <w:sz w:val="24"/>
          <w:highlight w:val="none"/>
          <w:u w:val="single"/>
        </w:rPr>
        <w:t xml:space="preserve">                 </w:t>
      </w:r>
    </w:p>
    <w:p w14:paraId="4E47CEC0">
      <w:pPr>
        <w:spacing w:line="400" w:lineRule="exact"/>
        <w:contextualSpacing/>
        <w:jc w:val="left"/>
        <w:rPr>
          <w:rFonts w:ascii="仿宋" w:hAnsi="仿宋" w:eastAsia="仿宋" w:cs="仿宋"/>
          <w:color w:val="auto"/>
          <w:highlight w:val="none"/>
        </w:rPr>
      </w:pP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3D37CA2">
      <w:pPr>
        <w:rPr>
          <w:rFonts w:ascii="仿宋" w:hAnsi="仿宋" w:eastAsia="仿宋" w:cs="仿宋"/>
          <w:b/>
          <w:color w:val="auto"/>
          <w:sz w:val="28"/>
          <w:szCs w:val="28"/>
          <w:highlight w:val="none"/>
        </w:rPr>
      </w:pPr>
      <w:bookmarkStart w:id="145" w:name="_Toc19686838"/>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三、商务文件格式</w:t>
      </w:r>
      <w:bookmarkEnd w:id="145"/>
    </w:p>
    <w:p w14:paraId="5361275F">
      <w:pPr>
        <w:snapToGrid w:val="0"/>
        <w:spacing w:before="166" w:beforeLines="50" w:after="50"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1.商务文件封面格式： </w:t>
      </w:r>
    </w:p>
    <w:p w14:paraId="51303D27">
      <w:pPr>
        <w:snapToGrid w:val="0"/>
        <w:spacing w:before="166" w:beforeLines="50" w:after="50"/>
        <w:rPr>
          <w:rFonts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14:paraId="42A6F29C">
      <w:pPr>
        <w:snapToGrid w:val="0"/>
        <w:spacing w:before="166" w:beforeLines="50" w:after="50"/>
        <w:rPr>
          <w:rFonts w:ascii="仿宋" w:hAnsi="仿宋" w:eastAsia="仿宋" w:cs="仿宋"/>
          <w:color w:val="auto"/>
          <w:sz w:val="24"/>
          <w:szCs w:val="20"/>
          <w:highlight w:val="none"/>
        </w:rPr>
      </w:pPr>
    </w:p>
    <w:p w14:paraId="19B624AA">
      <w:pPr>
        <w:snapToGrid w:val="0"/>
        <w:spacing w:before="166" w:beforeLines="50" w:after="50"/>
        <w:rPr>
          <w:rFonts w:ascii="仿宋" w:hAnsi="仿宋" w:eastAsia="仿宋" w:cs="仿宋"/>
          <w:color w:val="auto"/>
          <w:sz w:val="24"/>
          <w:szCs w:val="20"/>
          <w:highlight w:val="none"/>
        </w:rPr>
      </w:pPr>
    </w:p>
    <w:p w14:paraId="7BA94700">
      <w:pPr>
        <w:snapToGrid w:val="0"/>
        <w:spacing w:before="166" w:beforeLines="50" w:after="50"/>
        <w:rPr>
          <w:rFonts w:ascii="仿宋" w:hAnsi="仿宋" w:eastAsia="仿宋" w:cs="仿宋"/>
          <w:color w:val="auto"/>
          <w:sz w:val="24"/>
          <w:szCs w:val="20"/>
          <w:highlight w:val="none"/>
        </w:rPr>
      </w:pPr>
    </w:p>
    <w:p w14:paraId="2815C283">
      <w:pPr>
        <w:snapToGrid w:val="0"/>
        <w:spacing w:before="166" w:beforeLines="50" w:after="50"/>
        <w:jc w:val="center"/>
        <w:rPr>
          <w:rFonts w:ascii="仿宋" w:hAnsi="仿宋" w:eastAsia="仿宋" w:cs="仿宋"/>
          <w:color w:val="auto"/>
          <w:sz w:val="84"/>
          <w:szCs w:val="84"/>
          <w:highlight w:val="none"/>
        </w:rPr>
      </w:pPr>
      <w:r>
        <w:rPr>
          <w:rFonts w:hint="eastAsia" w:ascii="仿宋" w:hAnsi="仿宋" w:eastAsia="仿宋" w:cs="仿宋"/>
          <w:color w:val="auto"/>
          <w:sz w:val="84"/>
          <w:szCs w:val="84"/>
          <w:highlight w:val="none"/>
        </w:rPr>
        <w:t>投  标  文  件</w:t>
      </w:r>
    </w:p>
    <w:p w14:paraId="65D3EAA3">
      <w:pPr>
        <w:snapToGrid w:val="0"/>
        <w:spacing w:before="166" w:beforeLines="50" w:after="50"/>
        <w:rPr>
          <w:rFonts w:ascii="仿宋" w:hAnsi="仿宋" w:eastAsia="仿宋" w:cs="仿宋"/>
          <w:color w:val="auto"/>
          <w:sz w:val="24"/>
          <w:szCs w:val="20"/>
          <w:highlight w:val="none"/>
        </w:rPr>
      </w:pPr>
    </w:p>
    <w:p w14:paraId="0DDD6142">
      <w:pPr>
        <w:snapToGrid w:val="0"/>
        <w:spacing w:before="166" w:beforeLines="50" w:after="50"/>
        <w:rPr>
          <w:rFonts w:ascii="仿宋" w:hAnsi="仿宋" w:eastAsia="仿宋" w:cs="仿宋"/>
          <w:color w:val="auto"/>
          <w:sz w:val="24"/>
          <w:szCs w:val="20"/>
          <w:highlight w:val="none"/>
        </w:rPr>
      </w:pPr>
    </w:p>
    <w:p w14:paraId="00E8E5FD">
      <w:pPr>
        <w:snapToGrid w:val="0"/>
        <w:spacing w:before="166" w:beforeLines="50" w:after="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商  务  文  件</w:t>
      </w:r>
    </w:p>
    <w:p w14:paraId="01CBD98E">
      <w:pPr>
        <w:snapToGrid w:val="0"/>
        <w:spacing w:before="166" w:beforeLines="50" w:after="50"/>
        <w:rPr>
          <w:rFonts w:ascii="仿宋" w:hAnsi="仿宋" w:eastAsia="仿宋" w:cs="仿宋"/>
          <w:bCs/>
          <w:color w:val="auto"/>
          <w:sz w:val="24"/>
          <w:szCs w:val="20"/>
          <w:highlight w:val="none"/>
        </w:rPr>
      </w:pPr>
    </w:p>
    <w:p w14:paraId="0465CA5F">
      <w:pPr>
        <w:snapToGrid w:val="0"/>
        <w:spacing w:before="166" w:beforeLines="50" w:after="50"/>
        <w:ind w:firstLine="540" w:firstLineChars="225"/>
        <w:rPr>
          <w:rFonts w:ascii="仿宋" w:hAnsi="仿宋" w:eastAsia="仿宋" w:cs="仿宋"/>
          <w:bCs/>
          <w:color w:val="auto"/>
          <w:sz w:val="24"/>
          <w:highlight w:val="none"/>
        </w:rPr>
      </w:pPr>
    </w:p>
    <w:p w14:paraId="50115CD0">
      <w:pPr>
        <w:snapToGrid w:val="0"/>
        <w:spacing w:before="166" w:beforeLines="50" w:after="50"/>
        <w:ind w:firstLine="540" w:firstLineChars="225"/>
        <w:rPr>
          <w:rFonts w:ascii="仿宋" w:hAnsi="仿宋" w:eastAsia="仿宋" w:cs="仿宋"/>
          <w:bCs/>
          <w:color w:val="auto"/>
          <w:sz w:val="24"/>
          <w:highlight w:val="none"/>
        </w:rPr>
      </w:pPr>
    </w:p>
    <w:p w14:paraId="45226EE7">
      <w:pPr>
        <w:snapToGrid w:val="0"/>
        <w:spacing w:before="166" w:beforeLines="50" w:after="50"/>
        <w:ind w:firstLine="1680" w:firstLineChars="600"/>
        <w:rPr>
          <w:rFonts w:ascii="仿宋" w:hAnsi="仿宋" w:eastAsia="仿宋" w:cs="仿宋"/>
          <w:bCs/>
          <w:color w:val="auto"/>
          <w:sz w:val="28"/>
          <w:szCs w:val="28"/>
          <w:highlight w:val="none"/>
        </w:rPr>
      </w:pPr>
    </w:p>
    <w:p w14:paraId="55055E65">
      <w:pPr>
        <w:snapToGrid w:val="0"/>
        <w:spacing w:before="166" w:beforeLines="50" w:after="50"/>
        <w:ind w:firstLine="1680" w:firstLineChars="6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p w14:paraId="4A0337A9">
      <w:pPr>
        <w:snapToGrid w:val="0"/>
        <w:spacing w:before="166" w:beforeLines="50" w:after="50"/>
        <w:ind w:firstLine="1680" w:firstLineChars="600"/>
        <w:rPr>
          <w:rFonts w:ascii="仿宋" w:hAnsi="仿宋" w:eastAsia="仿宋" w:cs="仿宋"/>
          <w:bCs/>
          <w:color w:val="auto"/>
          <w:sz w:val="28"/>
          <w:szCs w:val="21"/>
          <w:highlight w:val="none"/>
        </w:rPr>
      </w:pPr>
      <w:r>
        <w:rPr>
          <w:rFonts w:hint="eastAsia" w:ascii="仿宋" w:hAnsi="仿宋" w:eastAsia="仿宋" w:cs="仿宋"/>
          <w:bCs/>
          <w:color w:val="auto"/>
          <w:sz w:val="28"/>
          <w:szCs w:val="28"/>
          <w:highlight w:val="none"/>
        </w:rPr>
        <w:t>项目编号：</w:t>
      </w:r>
    </w:p>
    <w:p w14:paraId="787B289B">
      <w:pPr>
        <w:snapToGrid w:val="0"/>
        <w:spacing w:before="166" w:beforeLines="50" w:after="50"/>
        <w:ind w:firstLine="1680" w:firstLineChars="6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所投分标：</w:t>
      </w:r>
    </w:p>
    <w:p w14:paraId="27D1B6D3">
      <w:pPr>
        <w:pStyle w:val="8"/>
        <w:snapToGrid w:val="0"/>
        <w:spacing w:before="50" w:after="50"/>
        <w:ind w:firstLine="1680" w:firstLineChars="6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w:t>
      </w:r>
    </w:p>
    <w:p w14:paraId="335F8183">
      <w:pPr>
        <w:pStyle w:val="8"/>
        <w:snapToGrid w:val="0"/>
        <w:spacing w:before="50" w:after="50"/>
        <w:ind w:firstLine="1680" w:firstLineChars="6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投标人地址：</w:t>
      </w:r>
    </w:p>
    <w:p w14:paraId="71F855A7">
      <w:pPr>
        <w:pStyle w:val="8"/>
        <w:snapToGrid w:val="0"/>
        <w:spacing w:before="50" w:after="50"/>
        <w:ind w:firstLine="1680" w:firstLineChars="600"/>
        <w:rPr>
          <w:rFonts w:ascii="仿宋" w:hAnsi="仿宋" w:eastAsia="仿宋" w:cs="仿宋"/>
          <w:bCs/>
          <w:color w:val="auto"/>
          <w:sz w:val="28"/>
          <w:szCs w:val="28"/>
          <w:highlight w:val="none"/>
        </w:rPr>
      </w:pPr>
    </w:p>
    <w:p w14:paraId="5EFAEA6B">
      <w:pPr>
        <w:snapToGrid w:val="0"/>
        <w:spacing w:before="166" w:beforeLines="50" w:after="50"/>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5AFFE35C">
      <w:pPr>
        <w:snapToGrid w:val="0"/>
        <w:spacing w:before="166" w:beforeLines="50" w:after="5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25C22E1E">
      <w:pPr>
        <w:snapToGrid w:val="0"/>
        <w:spacing w:line="360" w:lineRule="auto"/>
        <w:jc w:val="left"/>
        <w:rPr>
          <w:rFonts w:ascii="仿宋" w:hAnsi="仿宋" w:eastAsia="仿宋" w:cs="仿宋"/>
          <w:b/>
          <w:bCs/>
          <w:color w:val="auto"/>
          <w:sz w:val="28"/>
          <w:szCs w:val="28"/>
          <w:highlight w:val="none"/>
        </w:rPr>
      </w:pPr>
      <w:r>
        <w:rPr>
          <w:rFonts w:hint="eastAsia" w:ascii="仿宋" w:hAnsi="仿宋" w:eastAsia="仿宋" w:cs="仿宋"/>
          <w:color w:val="auto"/>
          <w:sz w:val="24"/>
          <w:szCs w:val="20"/>
          <w:highlight w:val="none"/>
        </w:rPr>
        <w:br w:type="page"/>
      </w:r>
      <w:r>
        <w:rPr>
          <w:rFonts w:hint="eastAsia" w:ascii="仿宋" w:hAnsi="仿宋" w:eastAsia="仿宋" w:cs="仿宋"/>
          <w:b/>
          <w:bCs/>
          <w:color w:val="auto"/>
          <w:sz w:val="24"/>
          <w:highlight w:val="none"/>
        </w:rPr>
        <w:t>2.商务文件目录</w:t>
      </w:r>
    </w:p>
    <w:p w14:paraId="25700BBE">
      <w:pPr>
        <w:snapToGrid w:val="0"/>
        <w:spacing w:before="50" w:after="166" w:afterLines="50" w:line="360" w:lineRule="auto"/>
        <w:ind w:firstLine="480" w:firstLineChars="200"/>
        <w:jc w:val="left"/>
        <w:rPr>
          <w:rFonts w:ascii="仿宋" w:hAnsi="仿宋" w:eastAsia="仿宋" w:cs="仿宋"/>
          <w:b/>
          <w:bCs/>
          <w:color w:val="auto"/>
          <w:sz w:val="32"/>
          <w:szCs w:val="32"/>
          <w:highlight w:val="none"/>
        </w:rPr>
      </w:pPr>
      <w:r>
        <w:rPr>
          <w:rFonts w:hint="eastAsia" w:ascii="仿宋" w:hAnsi="仿宋" w:eastAsia="仿宋" w:cs="仿宋"/>
          <w:color w:val="auto"/>
          <w:sz w:val="24"/>
          <w:highlight w:val="none"/>
        </w:rPr>
        <w:t>根据招标文件规定及投标人提供的材料自行编写目录。</w:t>
      </w:r>
    </w:p>
    <w:p w14:paraId="567F3F81">
      <w:pPr>
        <w:snapToGrid w:val="0"/>
        <w:spacing w:before="50" w:after="166" w:afterLines="50"/>
        <w:jc w:val="left"/>
        <w:rPr>
          <w:rFonts w:ascii="仿宋" w:hAnsi="仿宋" w:eastAsia="仿宋" w:cs="仿宋"/>
          <w:color w:val="auto"/>
          <w:highlight w:val="none"/>
        </w:rPr>
      </w:pPr>
    </w:p>
    <w:p w14:paraId="6AB41CA4">
      <w:pPr>
        <w:snapToGrid w:val="0"/>
        <w:spacing w:before="166" w:beforeLines="50" w:after="50"/>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3.投标人参加本项目无围标串标行为的承诺</w:t>
      </w:r>
    </w:p>
    <w:p w14:paraId="1ABBA52F">
      <w:pPr>
        <w:snapToGrid w:val="0"/>
        <w:spacing w:before="166" w:beforeLines="50" w:after="50"/>
        <w:jc w:val="left"/>
        <w:rPr>
          <w:rFonts w:ascii="仿宋" w:hAnsi="仿宋" w:eastAsia="仿宋" w:cs="仿宋"/>
          <w:b/>
          <w:color w:val="auto"/>
          <w:sz w:val="24"/>
          <w:highlight w:val="none"/>
        </w:rPr>
      </w:pPr>
    </w:p>
    <w:p w14:paraId="2BBCBB3E">
      <w:pPr>
        <w:spacing w:before="333" w:beforeLines="100" w:after="166" w:afterLines="50"/>
        <w:ind w:left="42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投标人参加本项目无围标串标行为的承诺函</w:t>
      </w:r>
    </w:p>
    <w:p w14:paraId="0267F1B9">
      <w:pPr>
        <w:spacing w:line="440" w:lineRule="exact"/>
        <w:contextualSpacing/>
        <w:jc w:val="left"/>
        <w:rPr>
          <w:rFonts w:ascii="仿宋" w:hAnsi="仿宋" w:eastAsia="仿宋" w:cs="仿宋"/>
          <w:b/>
          <w:color w:val="auto"/>
          <w:sz w:val="24"/>
          <w:highlight w:val="none"/>
        </w:rPr>
      </w:pPr>
    </w:p>
    <w:p w14:paraId="68B10286">
      <w:pPr>
        <w:spacing w:line="440" w:lineRule="exact"/>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一、我方承诺无下列相互串通投标的情形：</w:t>
      </w:r>
    </w:p>
    <w:p w14:paraId="69BAB0FC">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1.不同投标人的投标文件由同一单位或者个人编制；</w:t>
      </w:r>
    </w:p>
    <w:p w14:paraId="3A24B061">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2.不同投标人委托同一单位或者个人办理投标事宜；</w:t>
      </w:r>
    </w:p>
    <w:p w14:paraId="2C8F443E">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3.不同的投标人的投标文件载明的项目管理员为同一个人；</w:t>
      </w:r>
    </w:p>
    <w:p w14:paraId="0F39D18C">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4.不同投标人的投标文件异常一致或者投标报价呈规律性差异；</w:t>
      </w:r>
    </w:p>
    <w:p w14:paraId="3828A53A">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5.不同投标人的投标文件相互混装；</w:t>
      </w:r>
    </w:p>
    <w:p w14:paraId="0A5772D9">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6.不同投标人的投标保证金从同一单位或者个人账户转出。</w:t>
      </w:r>
    </w:p>
    <w:p w14:paraId="57DD9AF7">
      <w:pPr>
        <w:spacing w:line="440" w:lineRule="exact"/>
        <w:contextualSpacing/>
        <w:jc w:val="left"/>
        <w:rPr>
          <w:rFonts w:ascii="仿宋" w:hAnsi="仿宋" w:eastAsia="仿宋" w:cs="仿宋"/>
          <w:color w:val="auto"/>
          <w:sz w:val="24"/>
          <w:highlight w:val="none"/>
        </w:rPr>
      </w:pPr>
      <w:r>
        <w:rPr>
          <w:rFonts w:hint="eastAsia" w:ascii="仿宋" w:hAnsi="仿宋" w:eastAsia="仿宋" w:cs="仿宋"/>
          <w:b/>
          <w:color w:val="auto"/>
          <w:sz w:val="24"/>
          <w:highlight w:val="none"/>
        </w:rPr>
        <w:t>二、我方承诺无下列恶意串通的情形：</w:t>
      </w:r>
    </w:p>
    <w:p w14:paraId="6B8ECF0B">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1.投标人直接或者间接从采购人或者采购代理机构处获得其他投标人的相关信息并修改其投标文件或者响应文件；</w:t>
      </w:r>
    </w:p>
    <w:p w14:paraId="60A9C69D">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2.投标人按照采购人或者采购代理机构的授意撤换、修改投标文件或者响应文件；</w:t>
      </w:r>
    </w:p>
    <w:p w14:paraId="6C356B58">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3.投标人之间协商报价、技术方案等投标文件或者响应文件的实质性内容；</w:t>
      </w:r>
    </w:p>
    <w:p w14:paraId="586407E7">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4.属于同一集团、协会、商会等组织成员的投标人按照该组织要求协同参加政府采购活动；</w:t>
      </w:r>
    </w:p>
    <w:p w14:paraId="10900934">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00BDD308">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6.投标人之间商定部分投标人放弃参加政府采购活动或者放弃中标；</w:t>
      </w:r>
    </w:p>
    <w:p w14:paraId="0D5583CB">
      <w:pPr>
        <w:spacing w:line="44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7.投标人与采购人或者采购代理机构之间、投标人相互之间，为谋求特定投标人中标或者排斥其他投标人的其他串通行为。</w:t>
      </w:r>
    </w:p>
    <w:p w14:paraId="24ADCAD5">
      <w:pPr>
        <w:spacing w:line="440" w:lineRule="exact"/>
        <w:ind w:firstLine="472" w:firstLineChars="196"/>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以上情形一经核查属实，我方愿意承担一切后果，并不再寻求任何旨在减轻或者免除法律责任的辩解。</w:t>
      </w:r>
    </w:p>
    <w:p w14:paraId="3A4B0251">
      <w:pPr>
        <w:pStyle w:val="25"/>
        <w:spacing w:line="440" w:lineRule="exact"/>
        <w:ind w:firstLine="6840" w:firstLineChars="2850"/>
        <w:contextualSpacing/>
        <w:rPr>
          <w:rFonts w:ascii="仿宋" w:hAnsi="仿宋" w:eastAsia="仿宋" w:cs="仿宋"/>
          <w:color w:val="auto"/>
          <w:sz w:val="24"/>
          <w:szCs w:val="24"/>
          <w:highlight w:val="none"/>
        </w:rPr>
      </w:pPr>
    </w:p>
    <w:p w14:paraId="6AA4B0B5">
      <w:pPr>
        <w:pStyle w:val="25"/>
        <w:spacing w:line="440" w:lineRule="exact"/>
        <w:contextualSpacing/>
        <w:jc w:val="cente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投标人名称（公章）：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B1BF8BA">
      <w:pPr>
        <w:pStyle w:val="25"/>
        <w:spacing w:line="440" w:lineRule="exact"/>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B21E3C5">
      <w:pPr>
        <w:snapToGrid w:val="0"/>
        <w:spacing w:before="166" w:beforeLines="50" w:after="50"/>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4.法定代表人身份证明</w:t>
      </w:r>
    </w:p>
    <w:p w14:paraId="2E2BBB22">
      <w:pPr>
        <w:spacing w:before="333" w:beforeLines="100" w:after="166" w:afterLines="50"/>
        <w:ind w:left="540"/>
        <w:jc w:val="center"/>
        <w:rPr>
          <w:rFonts w:ascii="仿宋" w:hAnsi="仿宋" w:eastAsia="仿宋" w:cs="仿宋"/>
          <w:bCs/>
          <w:color w:val="auto"/>
          <w:sz w:val="44"/>
          <w:szCs w:val="44"/>
          <w:highlight w:val="none"/>
        </w:rPr>
      </w:pPr>
    </w:p>
    <w:p w14:paraId="5EB6D487">
      <w:pPr>
        <w:spacing w:before="333" w:beforeLines="100" w:after="166" w:afterLines="50"/>
        <w:ind w:left="42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法定代表人身份证明</w:t>
      </w:r>
    </w:p>
    <w:p w14:paraId="27041C55">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63BFA1D3">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49AFF74A">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      别：</w:t>
      </w:r>
      <w:r>
        <w:rPr>
          <w:rFonts w:hint="eastAsia" w:ascii="仿宋" w:hAnsi="仿宋" w:eastAsia="仿宋" w:cs="仿宋"/>
          <w:color w:val="auto"/>
          <w:sz w:val="24"/>
          <w:highlight w:val="none"/>
          <w:u w:val="single"/>
        </w:rPr>
        <w:t xml:space="preserve">                </w:t>
      </w:r>
    </w:p>
    <w:p w14:paraId="7EAEB157">
      <w:pPr>
        <w:spacing w:line="500" w:lineRule="exact"/>
        <w:ind w:left="540"/>
        <w:rPr>
          <w:rFonts w:ascii="仿宋" w:hAnsi="仿宋" w:eastAsia="仿宋" w:cs="仿宋"/>
          <w:color w:val="auto"/>
          <w:sz w:val="24"/>
          <w:highlight w:val="none"/>
          <w:u w:val="single"/>
        </w:rPr>
      </w:pPr>
      <w:r>
        <w:rPr>
          <w:rFonts w:hint="eastAsia" w:ascii="仿宋" w:hAnsi="仿宋" w:eastAsia="仿宋" w:cs="仿宋"/>
          <w:color w:val="auto"/>
          <w:sz w:val="24"/>
          <w:highlight w:val="none"/>
        </w:rPr>
        <w:t>年    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0ED6402F">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C68FC01">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的法定代表人。</w:t>
      </w:r>
    </w:p>
    <w:p w14:paraId="72987D4A">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5F0B724C">
      <w:pPr>
        <w:spacing w:line="500" w:lineRule="exact"/>
        <w:ind w:left="540"/>
        <w:rPr>
          <w:rFonts w:ascii="仿宋" w:hAnsi="仿宋" w:eastAsia="仿宋" w:cs="仿宋"/>
          <w:color w:val="auto"/>
          <w:sz w:val="24"/>
          <w:highlight w:val="none"/>
        </w:rPr>
      </w:pPr>
    </w:p>
    <w:p w14:paraId="552CB589">
      <w:pPr>
        <w:spacing w:line="500" w:lineRule="exact"/>
        <w:ind w:left="540"/>
        <w:rPr>
          <w:rFonts w:ascii="仿宋" w:hAnsi="仿宋" w:eastAsia="仿宋" w:cs="仿宋"/>
          <w:color w:val="auto"/>
          <w:sz w:val="24"/>
          <w:highlight w:val="none"/>
        </w:rPr>
      </w:pPr>
    </w:p>
    <w:p w14:paraId="2F3D2023">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附件：法定代表人有效身份证正反面复印件</w:t>
      </w:r>
    </w:p>
    <w:p w14:paraId="5706B09C">
      <w:pPr>
        <w:spacing w:line="500" w:lineRule="exact"/>
        <w:ind w:left="540"/>
        <w:rPr>
          <w:rFonts w:ascii="仿宋" w:hAnsi="仿宋" w:eastAsia="仿宋" w:cs="仿宋"/>
          <w:color w:val="auto"/>
          <w:sz w:val="24"/>
          <w:highlight w:val="none"/>
        </w:rPr>
      </w:pPr>
    </w:p>
    <w:p w14:paraId="36B23EF8">
      <w:pPr>
        <w:wordWrap w:val="0"/>
        <w:spacing w:line="500" w:lineRule="exact"/>
        <w:ind w:left="540"/>
        <w:jc w:val="right"/>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投标人名称（公章）：</w:t>
      </w:r>
      <w:r>
        <w:rPr>
          <w:rFonts w:hint="eastAsia" w:ascii="仿宋" w:hAnsi="仿宋" w:eastAsia="仿宋" w:cs="仿宋"/>
          <w:color w:val="auto"/>
          <w:sz w:val="24"/>
          <w:highlight w:val="none"/>
          <w:u w:val="single"/>
        </w:rPr>
        <w:t xml:space="preserve">       </w:t>
      </w:r>
    </w:p>
    <w:p w14:paraId="6F2671F4">
      <w:pPr>
        <w:spacing w:line="500" w:lineRule="exact"/>
        <w:ind w:left="540"/>
        <w:jc w:val="right"/>
        <w:rPr>
          <w:rFonts w:ascii="仿宋" w:hAnsi="仿宋" w:eastAsia="仿宋" w:cs="仿宋"/>
          <w:color w:val="auto"/>
          <w:sz w:val="24"/>
          <w:highlight w:val="none"/>
        </w:rPr>
      </w:pPr>
    </w:p>
    <w:p w14:paraId="30EE90E2">
      <w:pPr>
        <w:snapToGrid w:val="0"/>
        <w:spacing w:before="166" w:beforeLines="50" w:after="50"/>
        <w:ind w:left="540"/>
        <w:jc w:val="righ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B38EF83">
      <w:pPr>
        <w:snapToGrid w:val="0"/>
        <w:spacing w:before="166" w:beforeLines="50" w:after="50"/>
        <w:jc w:val="center"/>
        <w:rPr>
          <w:rFonts w:ascii="仿宋" w:hAnsi="仿宋" w:eastAsia="仿宋" w:cs="仿宋"/>
          <w:b/>
          <w:color w:val="auto"/>
          <w:sz w:val="24"/>
          <w:highlight w:val="none"/>
        </w:rPr>
      </w:pPr>
    </w:p>
    <w:p w14:paraId="62496462">
      <w:pPr>
        <w:snapToGrid w:val="0"/>
        <w:spacing w:before="166" w:beforeLines="50" w:after="50"/>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自然人投标的无需提供</w:t>
      </w:r>
    </w:p>
    <w:p w14:paraId="349CDDBE">
      <w:pPr>
        <w:snapToGrid w:val="0"/>
        <w:spacing w:before="166" w:beforeLines="50" w:after="50"/>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5.授权委托书格式</w:t>
      </w:r>
    </w:p>
    <w:p w14:paraId="00F38936">
      <w:pPr>
        <w:snapToGrid w:val="0"/>
        <w:spacing w:before="166" w:beforeLines="50" w:after="50"/>
        <w:jc w:val="center"/>
        <w:rPr>
          <w:rFonts w:ascii="仿宋" w:hAnsi="仿宋" w:eastAsia="仿宋" w:cs="仿宋"/>
          <w:b/>
          <w:color w:val="auto"/>
          <w:sz w:val="44"/>
          <w:szCs w:val="44"/>
          <w:highlight w:val="none"/>
        </w:rPr>
      </w:pPr>
    </w:p>
    <w:p w14:paraId="19E37F29">
      <w:pPr>
        <w:snapToGrid w:val="0"/>
        <w:spacing w:before="166" w:beforeLines="50" w:after="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授权委托书</w:t>
      </w:r>
    </w:p>
    <w:p w14:paraId="4792179F">
      <w:pPr>
        <w:spacing w:line="360" w:lineRule="auto"/>
        <w:contextualSpacing/>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（非联合体投标格式）</w:t>
      </w:r>
    </w:p>
    <w:p w14:paraId="4AA0F7EE">
      <w:pPr>
        <w:spacing w:line="360" w:lineRule="auto"/>
        <w:contextualSpacing/>
        <w:jc w:val="center"/>
        <w:rPr>
          <w:rFonts w:ascii="仿宋" w:hAnsi="仿宋" w:eastAsia="仿宋" w:cs="仿宋"/>
          <w:bCs/>
          <w:color w:val="auto"/>
          <w:sz w:val="24"/>
          <w:highlight w:val="none"/>
        </w:rPr>
      </w:pPr>
      <w:r>
        <w:rPr>
          <w:rFonts w:hint="eastAsia" w:ascii="仿宋" w:hAnsi="仿宋" w:eastAsia="仿宋" w:cs="仿宋"/>
          <w:bCs/>
          <w:color w:val="auto"/>
          <w:sz w:val="32"/>
          <w:szCs w:val="32"/>
          <w:highlight w:val="none"/>
        </w:rPr>
        <w:t>（如有委托时）</w:t>
      </w:r>
    </w:p>
    <w:p w14:paraId="1C543A6F">
      <w:pPr>
        <w:spacing w:line="440" w:lineRule="exact"/>
        <w:contextualSpacing/>
        <w:jc w:val="center"/>
        <w:rPr>
          <w:rFonts w:ascii="仿宋" w:hAnsi="仿宋" w:eastAsia="仿宋" w:cs="仿宋"/>
          <w:b/>
          <w:color w:val="auto"/>
          <w:sz w:val="24"/>
          <w:highlight w:val="none"/>
        </w:rPr>
      </w:pPr>
    </w:p>
    <w:p w14:paraId="6652670C">
      <w:pPr>
        <w:spacing w:line="440" w:lineRule="exact"/>
        <w:contextualSpacing/>
        <w:rPr>
          <w:rFonts w:ascii="仿宋" w:hAnsi="仿宋" w:eastAsia="仿宋" w:cs="仿宋"/>
          <w:b/>
          <w:bCs/>
          <w:color w:val="auto"/>
          <w:sz w:val="24"/>
          <w:highlight w:val="none"/>
        </w:rPr>
      </w:pPr>
      <w:r>
        <w:rPr>
          <w:rFonts w:hint="eastAsia" w:ascii="仿宋" w:hAnsi="仿宋" w:eastAsia="仿宋" w:cs="仿宋"/>
          <w:bCs/>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02483671">
      <w:pPr>
        <w:spacing w:line="440" w:lineRule="exact"/>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（投标人名称）的法定代表人，现授权委托</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项目的投标活动，并代表我方全权办理针对上述项目的所有采购程序和环节的具体事务和签署相关文件。</w:t>
      </w:r>
    </w:p>
    <w:p w14:paraId="275D42ED">
      <w:pPr>
        <w:spacing w:line="440" w:lineRule="exact"/>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14:paraId="3FDD4894">
      <w:pPr>
        <w:spacing w:line="440" w:lineRule="exact"/>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u w:val="single"/>
        </w:rPr>
        <w:t>本授权书自签署之日起生效，在撤销授权的书面通知以前，本授权书一直有效。委托代理人在授权书有效期内签署的所有文件不因授权的撤销而失效。</w:t>
      </w:r>
    </w:p>
    <w:p w14:paraId="27363560">
      <w:pPr>
        <w:spacing w:line="440" w:lineRule="exact"/>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65AA7505">
      <w:pPr>
        <w:spacing w:line="440" w:lineRule="exact"/>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附：法定代表人身份证明及委托代理人有效身份证正反面复印件</w:t>
      </w:r>
    </w:p>
    <w:p w14:paraId="57583627">
      <w:pPr>
        <w:spacing w:line="440" w:lineRule="exact"/>
        <w:contextualSpacing/>
        <w:rPr>
          <w:rFonts w:ascii="仿宋" w:hAnsi="仿宋" w:eastAsia="仿宋" w:cs="仿宋"/>
          <w:color w:val="auto"/>
          <w:sz w:val="24"/>
          <w:highlight w:val="none"/>
        </w:rPr>
      </w:pPr>
    </w:p>
    <w:p w14:paraId="6E22613D">
      <w:pPr>
        <w:spacing w:line="440" w:lineRule="exact"/>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法定代表人（签字）：</w:t>
      </w:r>
      <w:r>
        <w:rPr>
          <w:rFonts w:hint="eastAsia" w:ascii="仿宋" w:hAnsi="仿宋" w:eastAsia="仿宋" w:cs="仿宋"/>
          <w:color w:val="auto"/>
          <w:sz w:val="24"/>
          <w:highlight w:val="none"/>
          <w:u w:val="single"/>
        </w:rPr>
        <w:t xml:space="preserve">              </w:t>
      </w:r>
    </w:p>
    <w:p w14:paraId="37F950A7">
      <w:pPr>
        <w:spacing w:line="440" w:lineRule="exact"/>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委托代理人身份证号码：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297FB4B">
      <w:pPr>
        <w:spacing w:line="440" w:lineRule="exact"/>
        <w:contextualSpacing/>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投标人（公章）：</w:t>
      </w:r>
      <w:r>
        <w:rPr>
          <w:rFonts w:hint="eastAsia" w:ascii="仿宋" w:hAnsi="仿宋" w:eastAsia="仿宋" w:cs="仿宋"/>
          <w:color w:val="auto"/>
          <w:sz w:val="24"/>
          <w:highlight w:val="none"/>
          <w:u w:val="single"/>
        </w:rPr>
        <w:t xml:space="preserve">       </w:t>
      </w:r>
    </w:p>
    <w:p w14:paraId="4B906A46">
      <w:pPr>
        <w:spacing w:line="440" w:lineRule="exact"/>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E49ED32">
      <w:pPr>
        <w:spacing w:line="440" w:lineRule="exact"/>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751D9B56">
      <w:pPr>
        <w:spacing w:line="44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w:t>
      </w:r>
      <w:bookmarkStart w:id="146" w:name="_Hlk65851555"/>
      <w:bookmarkStart w:id="147" w:name="_Hlk65851620"/>
      <w:r>
        <w:rPr>
          <w:rFonts w:hint="eastAsia" w:ascii="仿宋" w:hAnsi="仿宋" w:eastAsia="仿宋" w:cs="仿宋"/>
          <w:color w:val="auto"/>
          <w:sz w:val="24"/>
          <w:highlight w:val="none"/>
        </w:rPr>
        <w:t>法定代表人必须在授权委托书上亲笔签字或者盖章，</w:t>
      </w:r>
      <w:bookmarkEnd w:id="146"/>
      <w:r>
        <w:rPr>
          <w:rFonts w:hint="eastAsia" w:ascii="仿宋" w:hAnsi="仿宋" w:eastAsia="仿宋" w:cs="仿宋"/>
          <w:color w:val="auto"/>
          <w:sz w:val="24"/>
          <w:highlight w:val="none"/>
        </w:rPr>
        <w:t>委托代理人必须在授权委托书上亲笔签字，</w:t>
      </w:r>
      <w:r>
        <w:rPr>
          <w:rFonts w:hint="eastAsia" w:ascii="仿宋" w:hAnsi="仿宋" w:eastAsia="仿宋" w:cs="仿宋"/>
          <w:b/>
          <w:bCs/>
          <w:color w:val="auto"/>
          <w:sz w:val="24"/>
          <w:highlight w:val="none"/>
        </w:rPr>
        <w:t>否则按无效投标处理</w:t>
      </w:r>
      <w:r>
        <w:rPr>
          <w:rFonts w:hint="eastAsia" w:ascii="仿宋" w:hAnsi="仿宋" w:eastAsia="仿宋" w:cs="仿宋"/>
          <w:color w:val="auto"/>
          <w:sz w:val="24"/>
          <w:highlight w:val="none"/>
        </w:rPr>
        <w:t>；</w:t>
      </w:r>
      <w:bookmarkEnd w:id="147"/>
    </w:p>
    <w:p w14:paraId="0BDD1BF8">
      <w:pPr>
        <w:spacing w:line="44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2.法人、其他组织投标时“我方”是指“我单位”，自然人投标时“我方”是指“本人”。</w:t>
      </w:r>
    </w:p>
    <w:p w14:paraId="3C86B7F6">
      <w:pPr>
        <w:snapToGrid w:val="0"/>
        <w:spacing w:before="166" w:beforeLines="50" w:after="50"/>
        <w:jc w:val="center"/>
        <w:rPr>
          <w:rFonts w:ascii="仿宋" w:hAnsi="仿宋" w:eastAsia="仿宋" w:cs="仿宋"/>
          <w:b/>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32"/>
          <w:szCs w:val="32"/>
          <w:highlight w:val="none"/>
        </w:rPr>
        <w:t>授权委托书</w:t>
      </w:r>
    </w:p>
    <w:p w14:paraId="174C1B0E">
      <w:pPr>
        <w:snapToGrid w:val="0"/>
        <w:spacing w:before="166" w:beforeLines="50" w:after="5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（联合体投标格式）</w:t>
      </w:r>
    </w:p>
    <w:p w14:paraId="5DB6B4E3">
      <w:pPr>
        <w:snapToGrid w:val="0"/>
        <w:spacing w:before="166" w:beforeLines="50" w:after="50"/>
        <w:jc w:val="center"/>
        <w:rPr>
          <w:rFonts w:ascii="仿宋" w:hAnsi="仿宋" w:eastAsia="仿宋" w:cs="仿宋"/>
          <w:color w:val="auto"/>
          <w:sz w:val="24"/>
          <w:highlight w:val="none"/>
        </w:rPr>
      </w:pPr>
      <w:r>
        <w:rPr>
          <w:rFonts w:hint="eastAsia" w:ascii="仿宋" w:hAnsi="仿宋" w:eastAsia="仿宋" w:cs="仿宋"/>
          <w:color w:val="auto"/>
          <w:sz w:val="32"/>
          <w:szCs w:val="32"/>
          <w:highlight w:val="none"/>
        </w:rPr>
        <w:t>（如有委托时）</w:t>
      </w:r>
    </w:p>
    <w:p w14:paraId="45464946">
      <w:pPr>
        <w:spacing w:line="360" w:lineRule="auto"/>
        <w:contextualSpacing/>
        <w:jc w:val="left"/>
        <w:rPr>
          <w:rFonts w:ascii="仿宋" w:hAnsi="仿宋" w:eastAsia="仿宋" w:cs="仿宋"/>
          <w:color w:val="auto"/>
          <w:sz w:val="24"/>
          <w:highlight w:val="none"/>
        </w:rPr>
      </w:pPr>
      <w:r>
        <w:rPr>
          <w:rFonts w:hint="eastAsia" w:ascii="仿宋" w:hAnsi="仿宋" w:eastAsia="仿宋" w:cs="仿宋"/>
          <w:bCs/>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3475CFFB">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根据 </w:t>
      </w:r>
      <w:r>
        <w:rPr>
          <w:rFonts w:hint="eastAsia" w:ascii="仿宋" w:hAnsi="仿宋" w:eastAsia="仿宋" w:cs="仿宋"/>
          <w:color w:val="auto"/>
          <w:sz w:val="24"/>
          <w:highlight w:val="none"/>
          <w:u w:val="single"/>
        </w:rPr>
        <w:t xml:space="preserve"> （牵头人名称）</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u w:val="single"/>
        </w:rPr>
        <w:t>（联合体其他成员名称）</w:t>
      </w:r>
      <w:r>
        <w:rPr>
          <w:rFonts w:hint="eastAsia" w:ascii="仿宋" w:hAnsi="仿宋" w:eastAsia="仿宋" w:cs="仿宋"/>
          <w:color w:val="auto"/>
          <w:sz w:val="24"/>
          <w:highlight w:val="none"/>
        </w:rPr>
        <w:t>签订的《联合体投标协议书》的内容，</w:t>
      </w:r>
      <w:r>
        <w:rPr>
          <w:rFonts w:hint="eastAsia" w:ascii="仿宋" w:hAnsi="仿宋" w:eastAsia="仿宋" w:cs="仿宋"/>
          <w:color w:val="auto"/>
          <w:sz w:val="24"/>
          <w:highlight w:val="none"/>
          <w:u w:val="single"/>
        </w:rPr>
        <w:t>（牵头人名称）</w:t>
      </w:r>
      <w:r>
        <w:rPr>
          <w:rFonts w:hint="eastAsia" w:ascii="仿宋" w:hAnsi="仿宋" w:eastAsia="仿宋" w:cs="仿宋"/>
          <w:color w:val="auto"/>
          <w:sz w:val="24"/>
          <w:highlight w:val="none"/>
        </w:rPr>
        <w:t>的法定代表人</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项目的投标活动，并代表我方全权办理针对上述项目的所有采购程序和环节的具体事务和签署相关文件。</w:t>
      </w:r>
    </w:p>
    <w:p w14:paraId="26B8A9F3">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我方对委托代理人的签字事项负全部责任。</w:t>
      </w:r>
    </w:p>
    <w:p w14:paraId="155C99FC">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1C8C0FB2">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4442ED84">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附：牵头人法定代表人身份证明及委托代理人有效身份证正反面复印件</w:t>
      </w:r>
    </w:p>
    <w:p w14:paraId="569EB03A">
      <w:pPr>
        <w:spacing w:line="360" w:lineRule="auto"/>
        <w:ind w:firstLine="566" w:firstLineChars="236"/>
        <w:contextualSpacing/>
        <w:rPr>
          <w:rFonts w:ascii="仿宋" w:hAnsi="仿宋" w:eastAsia="仿宋" w:cs="仿宋"/>
          <w:color w:val="auto"/>
          <w:sz w:val="24"/>
          <w:highlight w:val="none"/>
        </w:rPr>
      </w:pPr>
    </w:p>
    <w:p w14:paraId="20DB81A8">
      <w:pPr>
        <w:spacing w:line="360" w:lineRule="auto"/>
        <w:ind w:firstLine="566" w:firstLineChars="236"/>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牵头人法定代表人（签字）：</w:t>
      </w:r>
      <w:r>
        <w:rPr>
          <w:rFonts w:hint="eastAsia" w:ascii="仿宋" w:hAnsi="仿宋" w:eastAsia="仿宋" w:cs="仿宋"/>
          <w:color w:val="auto"/>
          <w:sz w:val="24"/>
          <w:highlight w:val="none"/>
          <w:u w:val="single"/>
        </w:rPr>
        <w:t xml:space="preserve">         </w:t>
      </w:r>
    </w:p>
    <w:p w14:paraId="2009C2AE">
      <w:pPr>
        <w:spacing w:line="360" w:lineRule="auto"/>
        <w:ind w:firstLine="566" w:firstLineChars="236"/>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牵头人（公章）：</w:t>
      </w:r>
      <w:r>
        <w:rPr>
          <w:rFonts w:hint="eastAsia" w:ascii="仿宋" w:hAnsi="仿宋" w:eastAsia="仿宋" w:cs="仿宋"/>
          <w:color w:val="auto"/>
          <w:sz w:val="24"/>
          <w:highlight w:val="none"/>
          <w:u w:val="single"/>
        </w:rPr>
        <w:t xml:space="preserve">         </w:t>
      </w:r>
    </w:p>
    <w:p w14:paraId="317E4CFA">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55BDC66">
      <w:pPr>
        <w:spacing w:line="360" w:lineRule="auto"/>
        <w:ind w:firstLine="566" w:firstLineChars="236"/>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被授权人（签字）：</w:t>
      </w:r>
      <w:r>
        <w:rPr>
          <w:rFonts w:hint="eastAsia" w:ascii="仿宋" w:hAnsi="仿宋" w:eastAsia="仿宋" w:cs="仿宋"/>
          <w:color w:val="auto"/>
          <w:sz w:val="24"/>
          <w:highlight w:val="none"/>
          <w:u w:val="single"/>
        </w:rPr>
        <w:t xml:space="preserve">              </w:t>
      </w:r>
    </w:p>
    <w:p w14:paraId="40231D21">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E21604B">
      <w:pPr>
        <w:pStyle w:val="2"/>
        <w:rPr>
          <w:rFonts w:ascii="仿宋" w:hAnsi="仿宋" w:eastAsia="仿宋" w:cs="仿宋"/>
          <w:color w:val="auto"/>
          <w:highlight w:val="none"/>
        </w:rPr>
      </w:pPr>
    </w:p>
    <w:p w14:paraId="0177E6E8">
      <w:pPr>
        <w:spacing w:line="360" w:lineRule="auto"/>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6FE1F499">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1.法定代表人必须在授权委托书上亲笔签字或者盖章，委托代理人必须在授权委托书上亲笔签字，</w:t>
      </w:r>
      <w:r>
        <w:rPr>
          <w:rFonts w:hint="eastAsia" w:ascii="仿宋" w:hAnsi="仿宋" w:eastAsia="仿宋" w:cs="仿宋"/>
          <w:b/>
          <w:bCs/>
          <w:color w:val="auto"/>
          <w:sz w:val="24"/>
          <w:highlight w:val="none"/>
        </w:rPr>
        <w:t>否则按无效投标处理</w:t>
      </w:r>
      <w:r>
        <w:rPr>
          <w:rFonts w:hint="eastAsia" w:ascii="仿宋" w:hAnsi="仿宋" w:eastAsia="仿宋" w:cs="仿宋"/>
          <w:color w:val="auto"/>
          <w:sz w:val="24"/>
          <w:highlight w:val="none"/>
        </w:rPr>
        <w:t>；</w:t>
      </w:r>
    </w:p>
    <w:p w14:paraId="4A7172C4">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2.本授权委托书应由联合体牵头人的法定代表人按上述规定签字。</w:t>
      </w:r>
    </w:p>
    <w:p w14:paraId="7D4C9EB1">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3.法人、其他组织投标时“我方”是指“我单位”，自然人投标时“我方”是指“本人”。</w:t>
      </w:r>
    </w:p>
    <w:p w14:paraId="219F3671">
      <w:pPr>
        <w:snapToGrid w:val="0"/>
        <w:spacing w:before="50" w:after="166" w:afterLines="50" w:line="360" w:lineRule="auto"/>
        <w:ind w:firstLine="480" w:firstLineChars="200"/>
        <w:jc w:val="left"/>
        <w:rPr>
          <w:rFonts w:ascii="仿宋" w:hAnsi="仿宋" w:eastAsia="仿宋" w:cs="仿宋"/>
          <w:color w:val="auto"/>
          <w:sz w:val="24"/>
          <w:highlight w:val="none"/>
        </w:rPr>
        <w:sectPr>
          <w:footerReference r:id="rId8" w:type="first"/>
          <w:headerReference r:id="rId5" w:type="default"/>
          <w:footerReference r:id="rId6" w:type="default"/>
          <w:footerReference r:id="rId7" w:type="even"/>
          <w:pgSz w:w="11906" w:h="16838"/>
          <w:pgMar w:top="1417" w:right="1417" w:bottom="1417" w:left="1417" w:header="720" w:footer="720" w:gutter="0"/>
          <w:cols w:space="0" w:num="1"/>
          <w:docGrid w:type="lines" w:linePitch="333" w:charSpace="0"/>
        </w:sectPr>
      </w:pPr>
    </w:p>
    <w:p w14:paraId="73F86397">
      <w:pPr>
        <w:rPr>
          <w:rFonts w:ascii="仿宋" w:hAnsi="仿宋" w:eastAsia="仿宋" w:cs="仿宋"/>
          <w:color w:val="auto"/>
          <w:sz w:val="24"/>
          <w:highlight w:val="none"/>
        </w:rPr>
      </w:pPr>
    </w:p>
    <w:p w14:paraId="1B119031">
      <w:pPr>
        <w:rPr>
          <w:rFonts w:ascii="仿宋" w:hAnsi="仿宋" w:eastAsia="仿宋" w:cs="仿宋"/>
          <w:b/>
          <w:color w:val="auto"/>
          <w:sz w:val="24"/>
          <w:szCs w:val="20"/>
          <w:highlight w:val="none"/>
        </w:rPr>
      </w:pPr>
      <w:r>
        <w:rPr>
          <w:rFonts w:hint="eastAsia" w:ascii="仿宋" w:hAnsi="仿宋" w:eastAsia="仿宋" w:cs="仿宋"/>
          <w:b/>
          <w:color w:val="auto"/>
          <w:sz w:val="24"/>
          <w:highlight w:val="none"/>
        </w:rPr>
        <w:t>6.商务要求偏离表格式（注：按采购需求具体项目修改）</w:t>
      </w:r>
    </w:p>
    <w:p w14:paraId="0BD576B4">
      <w:pPr>
        <w:snapToGrid w:val="0"/>
        <w:spacing w:before="50"/>
        <w:jc w:val="left"/>
        <w:rPr>
          <w:rFonts w:ascii="仿宋" w:hAnsi="仿宋" w:eastAsia="仿宋" w:cs="仿宋"/>
          <w:color w:val="auto"/>
          <w:sz w:val="24"/>
          <w:highlight w:val="none"/>
        </w:rPr>
      </w:pPr>
    </w:p>
    <w:p w14:paraId="17379522">
      <w:pPr>
        <w:pStyle w:val="25"/>
        <w:jc w:val="center"/>
        <w:rPr>
          <w:rFonts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商务要求偏离表</w:t>
      </w:r>
    </w:p>
    <w:p w14:paraId="4A61069A">
      <w:pPr>
        <w:snapToGrid w:val="0"/>
        <w:spacing w:before="50" w:after="50" w:line="360" w:lineRule="auto"/>
        <w:rPr>
          <w:rFonts w:ascii="仿宋" w:hAnsi="仿宋" w:eastAsia="仿宋" w:cs="仿宋"/>
          <w:color w:val="auto"/>
          <w:sz w:val="24"/>
          <w:highlight w:val="none"/>
        </w:rPr>
      </w:pPr>
    </w:p>
    <w:p w14:paraId="07472634">
      <w:pPr>
        <w:snapToGrid w:val="0"/>
        <w:spacing w:before="50" w:after="5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分标：</w:t>
      </w:r>
      <w:r>
        <w:rPr>
          <w:rFonts w:hint="eastAsia" w:ascii="仿宋" w:hAnsi="仿宋" w:eastAsia="仿宋" w:cs="仿宋"/>
          <w:color w:val="auto"/>
          <w:sz w:val="24"/>
          <w:highlight w:val="none"/>
          <w:u w:val="single"/>
        </w:rPr>
        <w:t xml:space="preserve">  </w:t>
      </w:r>
    </w:p>
    <w:p w14:paraId="4F914DB7">
      <w:pPr>
        <w:pStyle w:val="25"/>
        <w:rPr>
          <w:rFonts w:ascii="仿宋" w:hAnsi="仿宋" w:eastAsia="仿宋" w:cs="仿宋"/>
          <w:color w:val="auto"/>
          <w:sz w:val="24"/>
          <w:szCs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45F417F">
      <w:pPr>
        <w:snapToGrid w:val="0"/>
        <w:spacing w:before="50"/>
        <w:jc w:val="left"/>
        <w:rPr>
          <w:rFonts w:ascii="仿宋" w:hAnsi="仿宋" w:eastAsia="仿宋" w:cs="仿宋"/>
          <w:color w:val="auto"/>
          <w:sz w:val="24"/>
          <w:highlight w:val="none"/>
          <w:u w:val="single"/>
        </w:rPr>
      </w:pPr>
    </w:p>
    <w:tbl>
      <w:tblPr>
        <w:tblStyle w:val="49"/>
        <w:tblW w:w="9438"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9"/>
        <w:gridCol w:w="3645"/>
        <w:gridCol w:w="1922"/>
        <w:gridCol w:w="2222"/>
      </w:tblGrid>
      <w:tr w14:paraId="3B5E4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49" w:type="dxa"/>
            <w:tcBorders>
              <w:top w:val="single" w:color="auto" w:sz="4" w:space="0"/>
              <w:left w:val="single" w:color="auto" w:sz="4" w:space="0"/>
              <w:bottom w:val="single" w:color="auto" w:sz="4" w:space="0"/>
              <w:right w:val="single" w:color="auto" w:sz="4" w:space="0"/>
            </w:tcBorders>
          </w:tcPr>
          <w:p w14:paraId="25605AB6">
            <w:pPr>
              <w:snapToGrid w:val="0"/>
              <w:spacing w:before="16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3645" w:type="dxa"/>
            <w:tcBorders>
              <w:top w:val="single" w:color="auto" w:sz="4" w:space="0"/>
              <w:left w:val="single" w:color="auto" w:sz="4" w:space="0"/>
              <w:bottom w:val="single" w:color="auto" w:sz="4" w:space="0"/>
              <w:right w:val="single" w:color="auto" w:sz="4" w:space="0"/>
            </w:tcBorders>
          </w:tcPr>
          <w:p w14:paraId="7C84CD15">
            <w:pPr>
              <w:snapToGrid w:val="0"/>
              <w:spacing w:before="16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招标文件商务要求</w:t>
            </w:r>
          </w:p>
        </w:tc>
        <w:tc>
          <w:tcPr>
            <w:tcW w:w="1922" w:type="dxa"/>
            <w:tcBorders>
              <w:top w:val="single" w:color="auto" w:sz="4" w:space="0"/>
              <w:left w:val="single" w:color="auto" w:sz="4" w:space="0"/>
              <w:bottom w:val="single" w:color="auto" w:sz="4" w:space="0"/>
              <w:right w:val="single" w:color="auto" w:sz="4" w:space="0"/>
            </w:tcBorders>
          </w:tcPr>
          <w:p w14:paraId="0DBC9E16">
            <w:pPr>
              <w:snapToGrid w:val="0"/>
              <w:spacing w:before="16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投标人的承诺</w:t>
            </w:r>
          </w:p>
        </w:tc>
        <w:tc>
          <w:tcPr>
            <w:tcW w:w="2222" w:type="dxa"/>
            <w:tcBorders>
              <w:top w:val="single" w:color="auto" w:sz="4" w:space="0"/>
              <w:left w:val="single" w:color="auto" w:sz="4" w:space="0"/>
              <w:bottom w:val="single" w:color="auto" w:sz="4" w:space="0"/>
              <w:right w:val="single" w:color="auto" w:sz="4" w:space="0"/>
            </w:tcBorders>
          </w:tcPr>
          <w:p w14:paraId="1809646C">
            <w:pPr>
              <w:snapToGrid w:val="0"/>
              <w:spacing w:before="16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4364E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49" w:type="dxa"/>
            <w:tcBorders>
              <w:top w:val="single" w:color="auto" w:sz="4" w:space="0"/>
              <w:left w:val="single" w:color="auto" w:sz="4" w:space="0"/>
              <w:bottom w:val="single" w:color="auto" w:sz="4" w:space="0"/>
              <w:right w:val="single" w:color="auto" w:sz="4" w:space="0"/>
            </w:tcBorders>
            <w:vAlign w:val="center"/>
          </w:tcPr>
          <w:p w14:paraId="29CD05A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645" w:type="dxa"/>
            <w:tcBorders>
              <w:top w:val="single" w:color="auto" w:sz="4" w:space="0"/>
              <w:left w:val="single" w:color="auto" w:sz="4" w:space="0"/>
              <w:bottom w:val="single" w:color="auto" w:sz="4" w:space="0"/>
              <w:right w:val="single" w:color="auto" w:sz="4" w:space="0"/>
            </w:tcBorders>
          </w:tcPr>
          <w:p w14:paraId="395D941B">
            <w:pPr>
              <w:snapToGrid w:val="0"/>
              <w:spacing w:before="166" w:beforeLines="50"/>
              <w:jc w:val="center"/>
              <w:rPr>
                <w:rFonts w:ascii="仿宋" w:hAnsi="仿宋" w:eastAsia="仿宋" w:cs="仿宋"/>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tcPr>
          <w:p w14:paraId="5607A680">
            <w:pPr>
              <w:snapToGrid w:val="0"/>
              <w:spacing w:before="166" w:beforeLines="50"/>
              <w:jc w:val="center"/>
              <w:rPr>
                <w:rFonts w:ascii="仿宋" w:hAnsi="仿宋" w:eastAsia="仿宋" w:cs="仿宋"/>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tcPr>
          <w:p w14:paraId="7E8B5C68">
            <w:pPr>
              <w:snapToGrid w:val="0"/>
              <w:spacing w:before="166" w:beforeLines="50"/>
              <w:jc w:val="center"/>
              <w:rPr>
                <w:rFonts w:ascii="仿宋" w:hAnsi="仿宋" w:eastAsia="仿宋" w:cs="仿宋"/>
                <w:color w:val="auto"/>
                <w:sz w:val="24"/>
                <w:highlight w:val="none"/>
              </w:rPr>
            </w:pPr>
          </w:p>
        </w:tc>
      </w:tr>
      <w:tr w14:paraId="64FCA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49" w:type="dxa"/>
            <w:tcBorders>
              <w:top w:val="single" w:color="auto" w:sz="4" w:space="0"/>
              <w:left w:val="single" w:color="auto" w:sz="4" w:space="0"/>
              <w:bottom w:val="single" w:color="auto" w:sz="4" w:space="0"/>
              <w:right w:val="single" w:color="auto" w:sz="4" w:space="0"/>
            </w:tcBorders>
            <w:vAlign w:val="center"/>
          </w:tcPr>
          <w:p w14:paraId="122A136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645" w:type="dxa"/>
            <w:tcBorders>
              <w:top w:val="single" w:color="auto" w:sz="4" w:space="0"/>
              <w:left w:val="single" w:color="auto" w:sz="4" w:space="0"/>
              <w:bottom w:val="single" w:color="auto" w:sz="4" w:space="0"/>
              <w:right w:val="single" w:color="auto" w:sz="4" w:space="0"/>
            </w:tcBorders>
          </w:tcPr>
          <w:p w14:paraId="73372397">
            <w:pPr>
              <w:snapToGrid w:val="0"/>
              <w:spacing w:before="166" w:beforeLines="50"/>
              <w:rPr>
                <w:rFonts w:ascii="仿宋" w:hAnsi="仿宋" w:eastAsia="仿宋" w:cs="仿宋"/>
                <w:color w:val="auto"/>
                <w:sz w:val="24"/>
                <w:highlight w:val="none"/>
                <w:u w:val="single"/>
              </w:rPr>
            </w:pPr>
          </w:p>
        </w:tc>
        <w:tc>
          <w:tcPr>
            <w:tcW w:w="1922" w:type="dxa"/>
            <w:tcBorders>
              <w:top w:val="single" w:color="auto" w:sz="4" w:space="0"/>
              <w:left w:val="single" w:color="auto" w:sz="4" w:space="0"/>
              <w:bottom w:val="single" w:color="auto" w:sz="4" w:space="0"/>
              <w:right w:val="single" w:color="auto" w:sz="4" w:space="0"/>
            </w:tcBorders>
          </w:tcPr>
          <w:p w14:paraId="255D5B82">
            <w:pPr>
              <w:snapToGrid w:val="0"/>
              <w:spacing w:before="166" w:beforeLines="50"/>
              <w:ind w:left="43"/>
              <w:jc w:val="center"/>
              <w:rPr>
                <w:rFonts w:ascii="仿宋" w:hAnsi="仿宋" w:eastAsia="仿宋" w:cs="仿宋"/>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tcPr>
          <w:p w14:paraId="098C4340">
            <w:pPr>
              <w:snapToGrid w:val="0"/>
              <w:spacing w:before="166" w:beforeLines="50"/>
              <w:ind w:left="43"/>
              <w:jc w:val="center"/>
              <w:rPr>
                <w:rFonts w:ascii="仿宋" w:hAnsi="仿宋" w:eastAsia="仿宋" w:cs="仿宋"/>
                <w:color w:val="auto"/>
                <w:sz w:val="24"/>
                <w:highlight w:val="none"/>
              </w:rPr>
            </w:pPr>
          </w:p>
        </w:tc>
      </w:tr>
      <w:tr w14:paraId="1F2AD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649" w:type="dxa"/>
            <w:tcBorders>
              <w:top w:val="single" w:color="auto" w:sz="4" w:space="0"/>
              <w:left w:val="single" w:color="auto" w:sz="4" w:space="0"/>
              <w:bottom w:val="single" w:color="auto" w:sz="4" w:space="0"/>
              <w:right w:val="single" w:color="auto" w:sz="4" w:space="0"/>
            </w:tcBorders>
          </w:tcPr>
          <w:p w14:paraId="4C257F1C">
            <w:pPr>
              <w:snapToGrid w:val="0"/>
              <w:spacing w:before="16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3645" w:type="dxa"/>
            <w:tcBorders>
              <w:top w:val="single" w:color="auto" w:sz="4" w:space="0"/>
              <w:left w:val="single" w:color="auto" w:sz="4" w:space="0"/>
              <w:bottom w:val="single" w:color="auto" w:sz="4" w:space="0"/>
              <w:right w:val="single" w:color="auto" w:sz="4" w:space="0"/>
            </w:tcBorders>
          </w:tcPr>
          <w:p w14:paraId="558A3F1F">
            <w:pPr>
              <w:snapToGrid w:val="0"/>
              <w:spacing w:before="166" w:beforeLines="50"/>
              <w:jc w:val="center"/>
              <w:rPr>
                <w:rFonts w:ascii="仿宋" w:hAnsi="仿宋" w:eastAsia="仿宋" w:cs="仿宋"/>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tcPr>
          <w:p w14:paraId="33A45BF5">
            <w:pPr>
              <w:snapToGrid w:val="0"/>
              <w:spacing w:before="166" w:beforeLines="50"/>
              <w:jc w:val="center"/>
              <w:rPr>
                <w:rFonts w:ascii="仿宋" w:hAnsi="仿宋" w:eastAsia="仿宋" w:cs="仿宋"/>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tcPr>
          <w:p w14:paraId="43689BB9">
            <w:pPr>
              <w:snapToGrid w:val="0"/>
              <w:spacing w:before="166" w:beforeLines="50"/>
              <w:jc w:val="center"/>
              <w:rPr>
                <w:rFonts w:ascii="仿宋" w:hAnsi="仿宋" w:eastAsia="仿宋" w:cs="仿宋"/>
                <w:color w:val="auto"/>
                <w:sz w:val="24"/>
                <w:highlight w:val="none"/>
              </w:rPr>
            </w:pPr>
          </w:p>
        </w:tc>
      </w:tr>
    </w:tbl>
    <w:p w14:paraId="4A03C57B">
      <w:pPr>
        <w:pStyle w:val="18"/>
        <w:rPr>
          <w:rFonts w:ascii="仿宋" w:hAnsi="仿宋" w:eastAsia="仿宋" w:cs="仿宋"/>
          <w:color w:val="auto"/>
          <w:highlight w:val="none"/>
        </w:rPr>
      </w:pPr>
    </w:p>
    <w:p w14:paraId="0DBBDFAC">
      <w:pPr>
        <w:pStyle w:val="18"/>
        <w:rPr>
          <w:rFonts w:ascii="仿宋" w:hAnsi="仿宋" w:eastAsia="仿宋" w:cs="仿宋"/>
          <w:color w:val="auto"/>
          <w:highlight w:val="none"/>
        </w:rPr>
      </w:pPr>
      <w:r>
        <w:rPr>
          <w:rFonts w:hint="eastAsia" w:ascii="仿宋" w:hAnsi="仿宋" w:eastAsia="仿宋" w:cs="仿宋"/>
          <w:color w:val="auto"/>
          <w:highlight w:val="none"/>
        </w:rPr>
        <w:t>注：</w:t>
      </w:r>
    </w:p>
    <w:p w14:paraId="7B8070BE">
      <w:pPr>
        <w:pStyle w:val="20"/>
        <w:spacing w:line="520" w:lineRule="exact"/>
        <w:ind w:firstLine="480" w:firstLineChars="200"/>
        <w:rPr>
          <w:rFonts w:ascii="仿宋" w:hAnsi="仿宋" w:eastAsia="仿宋" w:cs="仿宋"/>
          <w:color w:val="auto"/>
          <w:szCs w:val="32"/>
          <w:highlight w:val="none"/>
        </w:rPr>
      </w:pPr>
      <w:r>
        <w:rPr>
          <w:rFonts w:hint="eastAsia" w:ascii="仿宋" w:hAnsi="仿宋" w:eastAsia="仿宋" w:cs="仿宋"/>
          <w:color w:val="auto"/>
          <w:sz w:val="24"/>
          <w:szCs w:val="24"/>
          <w:highlight w:val="none"/>
        </w:rPr>
        <w:t>1.说明：应对照招标文件“第二章 采购需求”中的商务要求逐条作明确的投标响应，并作出偏离说明。</w:t>
      </w:r>
    </w:p>
    <w:p w14:paraId="0972301F">
      <w:pPr>
        <w:pStyle w:val="18"/>
        <w:ind w:firstLine="480" w:firstLineChars="200"/>
        <w:rPr>
          <w:rFonts w:ascii="仿宋" w:hAnsi="仿宋" w:eastAsia="仿宋" w:cs="仿宋"/>
          <w:b w:val="0"/>
          <w:bCs w:val="0"/>
          <w:color w:val="auto"/>
          <w:highlight w:val="none"/>
        </w:rPr>
      </w:pPr>
      <w:r>
        <w:rPr>
          <w:rFonts w:hint="eastAsia" w:ascii="仿宋" w:hAnsi="仿宋" w:eastAsia="仿宋" w:cs="仿宋"/>
          <w:b w:val="0"/>
          <w:bCs w:val="0"/>
          <w:color w:val="auto"/>
          <w:highlight w:val="none"/>
        </w:rPr>
        <w:t>2.投标人应根据自身的承诺，对照招标文件要求在“偏离说明”中注明“</w:t>
      </w:r>
      <w:r>
        <w:rPr>
          <w:rFonts w:hint="eastAsia" w:ascii="仿宋" w:hAnsi="仿宋" w:eastAsia="仿宋" w:cs="仿宋"/>
          <w:color w:val="auto"/>
          <w:highlight w:val="none"/>
        </w:rPr>
        <w:t>正偏离</w:t>
      </w:r>
      <w:r>
        <w:rPr>
          <w:rFonts w:hint="eastAsia" w:ascii="仿宋" w:hAnsi="仿宋" w:eastAsia="仿宋" w:cs="仿宋"/>
          <w:b w:val="0"/>
          <w:bCs w:val="0"/>
          <w:color w:val="auto"/>
          <w:highlight w:val="none"/>
        </w:rPr>
        <w:t>”、“</w:t>
      </w:r>
      <w:r>
        <w:rPr>
          <w:rFonts w:hint="eastAsia" w:ascii="仿宋" w:hAnsi="仿宋" w:eastAsia="仿宋" w:cs="仿宋"/>
          <w:color w:val="auto"/>
          <w:highlight w:val="none"/>
        </w:rPr>
        <w:t>负偏离</w:t>
      </w:r>
      <w:r>
        <w:rPr>
          <w:rFonts w:hint="eastAsia" w:ascii="仿宋" w:hAnsi="仿宋" w:eastAsia="仿宋" w:cs="仿宋"/>
          <w:b w:val="0"/>
          <w:bCs w:val="0"/>
          <w:color w:val="auto"/>
          <w:highlight w:val="none"/>
        </w:rPr>
        <w:t>”或者“</w:t>
      </w:r>
      <w:r>
        <w:rPr>
          <w:rFonts w:hint="eastAsia" w:ascii="仿宋" w:hAnsi="仿宋" w:eastAsia="仿宋" w:cs="仿宋"/>
          <w:color w:val="auto"/>
          <w:highlight w:val="none"/>
        </w:rPr>
        <w:t>无偏离</w:t>
      </w:r>
      <w:r>
        <w:rPr>
          <w:rFonts w:hint="eastAsia" w:ascii="仿宋" w:hAnsi="仿宋" w:eastAsia="仿宋" w:cs="仿宋"/>
          <w:b w:val="0"/>
          <w:bCs w:val="0"/>
          <w:color w:val="auto"/>
          <w:highlight w:val="none"/>
        </w:rPr>
        <w:t>”。既不属于“</w:t>
      </w:r>
      <w:r>
        <w:rPr>
          <w:rFonts w:hint="eastAsia" w:ascii="仿宋" w:hAnsi="仿宋" w:eastAsia="仿宋" w:cs="仿宋"/>
          <w:color w:val="auto"/>
          <w:highlight w:val="none"/>
        </w:rPr>
        <w:t>正偏离</w:t>
      </w:r>
      <w:r>
        <w:rPr>
          <w:rFonts w:hint="eastAsia" w:ascii="仿宋" w:hAnsi="仿宋" w:eastAsia="仿宋" w:cs="仿宋"/>
          <w:b w:val="0"/>
          <w:bCs w:val="0"/>
          <w:color w:val="auto"/>
          <w:highlight w:val="none"/>
        </w:rPr>
        <w:t>”也不属于“</w:t>
      </w:r>
      <w:r>
        <w:rPr>
          <w:rFonts w:hint="eastAsia" w:ascii="仿宋" w:hAnsi="仿宋" w:eastAsia="仿宋" w:cs="仿宋"/>
          <w:color w:val="auto"/>
          <w:highlight w:val="none"/>
        </w:rPr>
        <w:t>负偏离</w:t>
      </w:r>
      <w:r>
        <w:rPr>
          <w:rFonts w:hint="eastAsia" w:ascii="仿宋" w:hAnsi="仿宋" w:eastAsia="仿宋" w:cs="仿宋"/>
          <w:b w:val="0"/>
          <w:bCs w:val="0"/>
          <w:color w:val="auto"/>
          <w:highlight w:val="none"/>
        </w:rPr>
        <w:t>”即为“</w:t>
      </w:r>
      <w:r>
        <w:rPr>
          <w:rFonts w:hint="eastAsia" w:ascii="仿宋" w:hAnsi="仿宋" w:eastAsia="仿宋" w:cs="仿宋"/>
          <w:color w:val="auto"/>
          <w:highlight w:val="none"/>
        </w:rPr>
        <w:t>无偏离</w:t>
      </w:r>
      <w:r>
        <w:rPr>
          <w:rFonts w:hint="eastAsia" w:ascii="仿宋" w:hAnsi="仿宋" w:eastAsia="仿宋" w:cs="仿宋"/>
          <w:b w:val="0"/>
          <w:bCs w:val="0"/>
          <w:color w:val="auto"/>
          <w:highlight w:val="none"/>
        </w:rPr>
        <w:t>”。</w:t>
      </w:r>
    </w:p>
    <w:p w14:paraId="7CACDBEA">
      <w:pPr>
        <w:snapToGrid w:val="0"/>
        <w:spacing w:before="50" w:after="50"/>
        <w:rPr>
          <w:rFonts w:ascii="仿宋" w:hAnsi="仿宋" w:eastAsia="仿宋" w:cs="仿宋"/>
          <w:color w:val="auto"/>
          <w:sz w:val="24"/>
          <w:highlight w:val="none"/>
        </w:rPr>
      </w:pPr>
    </w:p>
    <w:p w14:paraId="0E7DAB3A">
      <w:pPr>
        <w:pStyle w:val="2"/>
        <w:rPr>
          <w:rFonts w:ascii="仿宋" w:hAnsi="仿宋" w:eastAsia="仿宋" w:cs="仿宋"/>
          <w:color w:val="auto"/>
          <w:highlight w:val="none"/>
        </w:rPr>
      </w:pPr>
    </w:p>
    <w:p w14:paraId="061E9648">
      <w:pPr>
        <w:snapToGrid w:val="0"/>
        <w:spacing w:before="50" w:after="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法定代表人或者委托代理人（签字）：</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5E780333">
      <w:pPr>
        <w:snapToGrid w:val="0"/>
        <w:spacing w:before="166" w:beforeLines="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投标人（公章）：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3D1F9A76">
      <w:pPr>
        <w:snapToGrid w:val="0"/>
        <w:spacing w:before="166" w:beforeLines="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00758008">
      <w:pPr>
        <w:snapToGrid w:val="0"/>
        <w:spacing w:before="166" w:beforeLines="50"/>
        <w:ind w:firstLine="2640" w:firstLineChars="1100"/>
        <w:jc w:val="left"/>
        <w:rPr>
          <w:rFonts w:ascii="仿宋" w:hAnsi="仿宋" w:eastAsia="仿宋" w:cs="仿宋"/>
          <w:color w:val="auto"/>
          <w:sz w:val="24"/>
          <w:szCs w:val="20"/>
          <w:highlight w:val="none"/>
        </w:rPr>
      </w:pPr>
    </w:p>
    <w:p w14:paraId="36BD5A3F">
      <w:pPr>
        <w:snapToGrid w:val="0"/>
        <w:spacing w:before="166" w:beforeLines="50"/>
        <w:rPr>
          <w:rFonts w:ascii="仿宋" w:hAnsi="仿宋" w:eastAsia="仿宋" w:cs="仿宋"/>
          <w:color w:val="auto"/>
          <w:sz w:val="24"/>
          <w:szCs w:val="20"/>
          <w:highlight w:val="none"/>
        </w:rPr>
      </w:pPr>
    </w:p>
    <w:p w14:paraId="193BE43A">
      <w:pPr>
        <w:snapToGrid w:val="0"/>
        <w:spacing w:before="166" w:beforeLines="50" w:after="50"/>
        <w:jc w:val="left"/>
        <w:rPr>
          <w:rFonts w:ascii="仿宋" w:hAnsi="仿宋" w:eastAsia="仿宋" w:cs="仿宋"/>
          <w:color w:val="auto"/>
          <w:sz w:val="24"/>
          <w:szCs w:val="20"/>
          <w:highlight w:val="none"/>
        </w:rPr>
      </w:pPr>
    </w:p>
    <w:p w14:paraId="29AF52FF">
      <w:pPr>
        <w:pStyle w:val="35"/>
        <w:numPr>
          <w:ilvl w:val="0"/>
          <w:numId w:val="6"/>
        </w:numPr>
        <w:snapToGrid w:val="0"/>
        <w:ind w:left="480" w:hanging="480"/>
        <w:rPr>
          <w:rFonts w:ascii="仿宋" w:hAnsi="仿宋" w:eastAsia="仿宋" w:cs="仿宋"/>
          <w:b/>
          <w:bCs/>
          <w:color w:val="auto"/>
          <w:sz w:val="24"/>
          <w:highlight w:val="none"/>
        </w:rPr>
      </w:pPr>
      <w:r>
        <w:rPr>
          <w:rFonts w:hint="eastAsia" w:ascii="仿宋" w:hAnsi="仿宋" w:eastAsia="仿宋" w:cs="仿宋"/>
          <w:color w:val="auto"/>
          <w:sz w:val="24"/>
          <w:szCs w:val="20"/>
          <w:highlight w:val="none"/>
        </w:rPr>
        <w:br w:type="page"/>
      </w:r>
      <w:r>
        <w:rPr>
          <w:rFonts w:hint="eastAsia" w:ascii="仿宋" w:hAnsi="仿宋" w:eastAsia="仿宋" w:cs="仿宋"/>
          <w:b/>
          <w:bCs/>
          <w:color w:val="auto"/>
          <w:sz w:val="24"/>
          <w:highlight w:val="none"/>
        </w:rPr>
        <w:t xml:space="preserve">投标人业绩及证明材料： </w:t>
      </w:r>
    </w:p>
    <w:p w14:paraId="460FD6E1">
      <w:pPr>
        <w:pStyle w:val="35"/>
        <w:snapToGrid w:val="0"/>
        <w:ind w:left="-420" w:leftChars="-200" w:firstLine="0" w:firstLineChars="0"/>
        <w:rPr>
          <w:rFonts w:ascii="仿宋" w:hAnsi="仿宋" w:eastAsia="仿宋" w:cs="仿宋"/>
          <w:b/>
          <w:bCs/>
          <w:color w:val="auto"/>
          <w:sz w:val="24"/>
          <w:highlight w:val="none"/>
        </w:rPr>
      </w:pPr>
    </w:p>
    <w:p w14:paraId="68B35233">
      <w:pPr>
        <w:pStyle w:val="35"/>
        <w:snapToGrid w:val="0"/>
        <w:ind w:left="-420" w:leftChars="-20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投标人业绩情况一览表</w:t>
      </w:r>
    </w:p>
    <w:p w14:paraId="42654DE9">
      <w:pPr>
        <w:pStyle w:val="35"/>
        <w:snapToGrid w:val="0"/>
        <w:ind w:left="-420" w:leftChars="-200" w:firstLine="0" w:firstLineChars="0"/>
        <w:jc w:val="center"/>
        <w:rPr>
          <w:rFonts w:ascii="仿宋" w:hAnsi="仿宋" w:eastAsia="仿宋" w:cs="仿宋"/>
          <w:b/>
          <w:bCs/>
          <w:color w:val="auto"/>
          <w:sz w:val="24"/>
          <w:highlight w:val="none"/>
        </w:rPr>
      </w:pPr>
    </w:p>
    <w:p w14:paraId="436AC640">
      <w:pPr>
        <w:snapToGrid w:val="0"/>
        <w:spacing w:before="50" w:after="5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分标：</w:t>
      </w:r>
      <w:r>
        <w:rPr>
          <w:rFonts w:hint="eastAsia" w:ascii="仿宋" w:hAnsi="仿宋" w:eastAsia="仿宋" w:cs="仿宋"/>
          <w:color w:val="auto"/>
          <w:sz w:val="24"/>
          <w:highlight w:val="none"/>
          <w:u w:val="single"/>
        </w:rPr>
        <w:t xml:space="preserve">  </w:t>
      </w:r>
    </w:p>
    <w:p w14:paraId="72446096">
      <w:pPr>
        <w:pStyle w:val="25"/>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43A4471">
      <w:pPr>
        <w:pStyle w:val="35"/>
        <w:snapToGrid w:val="0"/>
        <w:ind w:left="-420" w:leftChars="-200" w:firstLine="0" w:firstLineChars="0"/>
        <w:jc w:val="center"/>
        <w:rPr>
          <w:rFonts w:ascii="仿宋" w:hAnsi="仿宋" w:eastAsia="仿宋" w:cs="仿宋"/>
          <w:b/>
          <w:bCs/>
          <w:color w:val="auto"/>
          <w:sz w:val="24"/>
          <w:highlight w:val="none"/>
        </w:rPr>
      </w:pPr>
    </w:p>
    <w:p w14:paraId="0A6076C0">
      <w:pPr>
        <w:pStyle w:val="35"/>
        <w:snapToGrid w:val="0"/>
        <w:ind w:left="-420" w:leftChars="-200" w:firstLine="0" w:firstLineChars="0"/>
        <w:jc w:val="center"/>
        <w:rPr>
          <w:rFonts w:ascii="仿宋" w:hAnsi="仿宋" w:eastAsia="仿宋" w:cs="仿宋"/>
          <w:b/>
          <w:bCs/>
          <w:color w:val="auto"/>
          <w:sz w:val="24"/>
          <w:highlight w:val="none"/>
        </w:rPr>
      </w:pPr>
    </w:p>
    <w:tbl>
      <w:tblPr>
        <w:tblStyle w:val="49"/>
        <w:tblW w:w="101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335"/>
        <w:gridCol w:w="1938"/>
        <w:gridCol w:w="1938"/>
        <w:gridCol w:w="3127"/>
      </w:tblGrid>
      <w:tr w14:paraId="1AE86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1B8531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335" w:type="dxa"/>
            <w:tcBorders>
              <w:top w:val="single" w:color="auto" w:sz="4" w:space="0"/>
              <w:left w:val="single" w:color="auto" w:sz="4" w:space="0"/>
              <w:bottom w:val="single" w:color="auto" w:sz="4" w:space="0"/>
              <w:right w:val="single" w:color="auto" w:sz="4" w:space="0"/>
            </w:tcBorders>
            <w:vAlign w:val="center"/>
          </w:tcPr>
          <w:p w14:paraId="075904DC">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1938" w:type="dxa"/>
            <w:tcBorders>
              <w:top w:val="single" w:color="auto" w:sz="4" w:space="0"/>
              <w:left w:val="single" w:color="auto" w:sz="4" w:space="0"/>
              <w:bottom w:val="single" w:color="auto" w:sz="4" w:space="0"/>
              <w:right w:val="single" w:color="auto" w:sz="4" w:space="0"/>
            </w:tcBorders>
            <w:vAlign w:val="center"/>
          </w:tcPr>
          <w:p w14:paraId="7D1C1B6C">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938" w:type="dxa"/>
            <w:tcBorders>
              <w:top w:val="single" w:color="auto" w:sz="4" w:space="0"/>
              <w:left w:val="single" w:color="auto" w:sz="4" w:space="0"/>
              <w:bottom w:val="single" w:color="auto" w:sz="4" w:space="0"/>
              <w:right w:val="single" w:color="auto" w:sz="4" w:space="0"/>
            </w:tcBorders>
            <w:vAlign w:val="center"/>
          </w:tcPr>
          <w:p w14:paraId="3A55049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合同金额</w:t>
            </w:r>
          </w:p>
          <w:p w14:paraId="6A9D95D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（人民币万元）</w:t>
            </w:r>
          </w:p>
        </w:tc>
        <w:tc>
          <w:tcPr>
            <w:tcW w:w="3127" w:type="dxa"/>
            <w:tcBorders>
              <w:top w:val="single" w:color="auto" w:sz="4" w:space="0"/>
              <w:left w:val="single" w:color="auto" w:sz="4" w:space="0"/>
              <w:bottom w:val="single" w:color="auto" w:sz="4" w:space="0"/>
              <w:right w:val="single" w:color="auto" w:sz="4" w:space="0"/>
            </w:tcBorders>
            <w:vAlign w:val="center"/>
          </w:tcPr>
          <w:p w14:paraId="3A89CDB8">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采购人联系人及</w:t>
            </w:r>
          </w:p>
          <w:p w14:paraId="53A5CE4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14:paraId="4BD24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817" w:type="dxa"/>
            <w:tcBorders>
              <w:top w:val="single" w:color="auto" w:sz="4" w:space="0"/>
              <w:left w:val="single" w:color="auto" w:sz="4" w:space="0"/>
              <w:bottom w:val="single" w:color="auto" w:sz="4" w:space="0"/>
              <w:right w:val="single" w:color="auto" w:sz="4" w:space="0"/>
            </w:tcBorders>
          </w:tcPr>
          <w:p w14:paraId="60680863">
            <w:pPr>
              <w:snapToGrid w:val="0"/>
              <w:spacing w:line="240" w:lineRule="exact"/>
              <w:jc w:val="left"/>
              <w:rPr>
                <w:rFonts w:ascii="仿宋" w:hAnsi="仿宋" w:eastAsia="仿宋" w:cs="仿宋"/>
                <w:color w:val="auto"/>
                <w:sz w:val="24"/>
                <w:highlight w:val="none"/>
              </w:rPr>
            </w:pPr>
          </w:p>
        </w:tc>
        <w:tc>
          <w:tcPr>
            <w:tcW w:w="2335" w:type="dxa"/>
            <w:tcBorders>
              <w:top w:val="single" w:color="auto" w:sz="4" w:space="0"/>
              <w:left w:val="single" w:color="auto" w:sz="4" w:space="0"/>
              <w:bottom w:val="single" w:color="auto" w:sz="4" w:space="0"/>
              <w:right w:val="single" w:color="auto" w:sz="4" w:space="0"/>
            </w:tcBorders>
          </w:tcPr>
          <w:p w14:paraId="1216B0C2">
            <w:pPr>
              <w:snapToGrid w:val="0"/>
              <w:spacing w:line="240" w:lineRule="exact"/>
              <w:jc w:val="left"/>
              <w:rPr>
                <w:rFonts w:ascii="仿宋" w:hAnsi="仿宋" w:eastAsia="仿宋" w:cs="仿宋"/>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0B87C072">
            <w:pPr>
              <w:snapToGrid w:val="0"/>
              <w:spacing w:line="240" w:lineRule="exact"/>
              <w:jc w:val="left"/>
              <w:rPr>
                <w:rFonts w:ascii="仿宋" w:hAnsi="仿宋" w:eastAsia="仿宋" w:cs="仿宋"/>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71EE9134">
            <w:pPr>
              <w:snapToGrid w:val="0"/>
              <w:spacing w:line="360" w:lineRule="auto"/>
              <w:jc w:val="left"/>
              <w:rPr>
                <w:rFonts w:ascii="仿宋" w:hAnsi="仿宋" w:eastAsia="仿宋" w:cs="仿宋"/>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tcPr>
          <w:p w14:paraId="68457625">
            <w:pPr>
              <w:snapToGrid w:val="0"/>
              <w:spacing w:line="360" w:lineRule="auto"/>
              <w:jc w:val="left"/>
              <w:rPr>
                <w:rFonts w:ascii="仿宋" w:hAnsi="仿宋" w:eastAsia="仿宋" w:cs="仿宋"/>
                <w:color w:val="auto"/>
                <w:sz w:val="24"/>
                <w:highlight w:val="none"/>
              </w:rPr>
            </w:pPr>
          </w:p>
        </w:tc>
      </w:tr>
      <w:tr w14:paraId="172F9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817" w:type="dxa"/>
            <w:tcBorders>
              <w:top w:val="single" w:color="auto" w:sz="4" w:space="0"/>
              <w:left w:val="single" w:color="auto" w:sz="4" w:space="0"/>
              <w:bottom w:val="single" w:color="auto" w:sz="4" w:space="0"/>
              <w:right w:val="single" w:color="auto" w:sz="4" w:space="0"/>
            </w:tcBorders>
          </w:tcPr>
          <w:p w14:paraId="5CCDAE6E">
            <w:pPr>
              <w:snapToGrid w:val="0"/>
              <w:spacing w:before="50" w:after="166" w:afterLines="50" w:line="400" w:lineRule="exact"/>
              <w:jc w:val="left"/>
              <w:rPr>
                <w:rFonts w:ascii="仿宋" w:hAnsi="仿宋" w:eastAsia="仿宋" w:cs="仿宋"/>
                <w:color w:val="auto"/>
                <w:sz w:val="24"/>
                <w:highlight w:val="none"/>
              </w:rPr>
            </w:pPr>
          </w:p>
        </w:tc>
        <w:tc>
          <w:tcPr>
            <w:tcW w:w="2335" w:type="dxa"/>
            <w:tcBorders>
              <w:top w:val="single" w:color="auto" w:sz="4" w:space="0"/>
              <w:left w:val="single" w:color="auto" w:sz="4" w:space="0"/>
              <w:bottom w:val="single" w:color="auto" w:sz="4" w:space="0"/>
              <w:right w:val="single" w:color="auto" w:sz="4" w:space="0"/>
            </w:tcBorders>
          </w:tcPr>
          <w:p w14:paraId="59A998B0">
            <w:pPr>
              <w:snapToGrid w:val="0"/>
              <w:spacing w:before="50" w:after="166" w:afterLines="50" w:line="400" w:lineRule="exact"/>
              <w:jc w:val="left"/>
              <w:rPr>
                <w:rFonts w:ascii="仿宋" w:hAnsi="仿宋" w:eastAsia="仿宋" w:cs="仿宋"/>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5A5372E6">
            <w:pPr>
              <w:snapToGrid w:val="0"/>
              <w:spacing w:before="50" w:after="166" w:afterLines="50" w:line="400" w:lineRule="exact"/>
              <w:jc w:val="left"/>
              <w:rPr>
                <w:rFonts w:ascii="仿宋" w:hAnsi="仿宋" w:eastAsia="仿宋" w:cs="仿宋"/>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4E6BCF06">
            <w:pPr>
              <w:snapToGrid w:val="0"/>
              <w:spacing w:before="50" w:after="166" w:afterLines="50" w:line="400" w:lineRule="exact"/>
              <w:jc w:val="left"/>
              <w:rPr>
                <w:rFonts w:ascii="仿宋" w:hAnsi="仿宋" w:eastAsia="仿宋" w:cs="仿宋"/>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tcPr>
          <w:p w14:paraId="18F2017C">
            <w:pPr>
              <w:snapToGrid w:val="0"/>
              <w:spacing w:before="50" w:after="166" w:afterLines="50" w:line="400" w:lineRule="exact"/>
              <w:jc w:val="left"/>
              <w:rPr>
                <w:rFonts w:ascii="仿宋" w:hAnsi="仿宋" w:eastAsia="仿宋" w:cs="仿宋"/>
                <w:color w:val="auto"/>
                <w:sz w:val="24"/>
                <w:highlight w:val="none"/>
              </w:rPr>
            </w:pPr>
          </w:p>
        </w:tc>
      </w:tr>
      <w:tr w14:paraId="76190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817" w:type="dxa"/>
            <w:tcBorders>
              <w:top w:val="single" w:color="auto" w:sz="4" w:space="0"/>
              <w:left w:val="single" w:color="auto" w:sz="4" w:space="0"/>
              <w:bottom w:val="single" w:color="auto" w:sz="4" w:space="0"/>
              <w:right w:val="single" w:color="auto" w:sz="4" w:space="0"/>
            </w:tcBorders>
          </w:tcPr>
          <w:p w14:paraId="1907E1B3">
            <w:pPr>
              <w:snapToGrid w:val="0"/>
              <w:spacing w:before="50" w:after="166" w:afterLines="50" w:line="400" w:lineRule="exact"/>
              <w:jc w:val="left"/>
              <w:rPr>
                <w:rFonts w:ascii="仿宋" w:hAnsi="仿宋" w:eastAsia="仿宋" w:cs="仿宋"/>
                <w:color w:val="auto"/>
                <w:sz w:val="24"/>
                <w:highlight w:val="none"/>
              </w:rPr>
            </w:pPr>
          </w:p>
        </w:tc>
        <w:tc>
          <w:tcPr>
            <w:tcW w:w="2335" w:type="dxa"/>
            <w:tcBorders>
              <w:top w:val="single" w:color="auto" w:sz="4" w:space="0"/>
              <w:left w:val="single" w:color="auto" w:sz="4" w:space="0"/>
              <w:bottom w:val="single" w:color="auto" w:sz="4" w:space="0"/>
              <w:right w:val="single" w:color="auto" w:sz="4" w:space="0"/>
            </w:tcBorders>
          </w:tcPr>
          <w:p w14:paraId="5E6A59D5">
            <w:pPr>
              <w:snapToGrid w:val="0"/>
              <w:spacing w:before="50" w:after="166" w:afterLines="50" w:line="400" w:lineRule="exact"/>
              <w:jc w:val="left"/>
              <w:rPr>
                <w:rFonts w:ascii="仿宋" w:hAnsi="仿宋" w:eastAsia="仿宋" w:cs="仿宋"/>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310516FF">
            <w:pPr>
              <w:snapToGrid w:val="0"/>
              <w:spacing w:before="50" w:after="166" w:afterLines="50" w:line="400" w:lineRule="exact"/>
              <w:jc w:val="left"/>
              <w:rPr>
                <w:rFonts w:ascii="仿宋" w:hAnsi="仿宋" w:eastAsia="仿宋" w:cs="仿宋"/>
                <w:color w:val="auto"/>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2B500D94">
            <w:pPr>
              <w:snapToGrid w:val="0"/>
              <w:spacing w:before="50" w:after="166" w:afterLines="50" w:line="400" w:lineRule="exact"/>
              <w:jc w:val="left"/>
              <w:rPr>
                <w:rFonts w:ascii="仿宋" w:hAnsi="仿宋" w:eastAsia="仿宋" w:cs="仿宋"/>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tcPr>
          <w:p w14:paraId="3925B18B">
            <w:pPr>
              <w:snapToGrid w:val="0"/>
              <w:spacing w:before="50" w:after="166" w:afterLines="50" w:line="400" w:lineRule="exact"/>
              <w:jc w:val="left"/>
              <w:rPr>
                <w:rFonts w:ascii="仿宋" w:hAnsi="仿宋" w:eastAsia="仿宋" w:cs="仿宋"/>
                <w:color w:val="auto"/>
                <w:sz w:val="24"/>
                <w:highlight w:val="none"/>
              </w:rPr>
            </w:pPr>
          </w:p>
        </w:tc>
      </w:tr>
    </w:tbl>
    <w:p w14:paraId="3907118D">
      <w:pPr>
        <w:pStyle w:val="15"/>
        <w:spacing w:before="0" w:after="0" w:line="360" w:lineRule="auto"/>
        <w:contextualSpacing/>
        <w:rPr>
          <w:rFonts w:ascii="仿宋" w:hAnsi="仿宋" w:eastAsia="仿宋" w:cs="仿宋"/>
          <w:color w:val="auto"/>
          <w:sz w:val="24"/>
          <w:szCs w:val="24"/>
          <w:highlight w:val="none"/>
        </w:rPr>
      </w:pPr>
    </w:p>
    <w:p w14:paraId="5F391DDF">
      <w:pPr>
        <w:pStyle w:val="15"/>
        <w:spacing w:before="0" w:after="0" w:line="360" w:lineRule="auto"/>
        <w:contextualSpacing/>
        <w:rPr>
          <w:rFonts w:ascii="仿宋" w:hAnsi="仿宋" w:eastAsia="仿宋" w:cs="仿宋"/>
          <w:color w:val="auto"/>
          <w:sz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highlight w:val="none"/>
        </w:rPr>
        <w:t>投标人根据评标标准具体要求附业绩证明材料。</w:t>
      </w:r>
    </w:p>
    <w:p w14:paraId="2D3BD113">
      <w:pPr>
        <w:rPr>
          <w:rFonts w:ascii="仿宋" w:hAnsi="仿宋" w:eastAsia="仿宋" w:cs="仿宋"/>
          <w:color w:val="auto"/>
          <w:highlight w:val="none"/>
        </w:rPr>
      </w:pPr>
    </w:p>
    <w:p w14:paraId="6AD0904E">
      <w:pPr>
        <w:snapToGrid w:val="0"/>
        <w:spacing w:before="50" w:after="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法定代表人或者委托代理人（签字）：</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5E3CE856">
      <w:pPr>
        <w:snapToGrid w:val="0"/>
        <w:spacing w:before="166" w:beforeLines="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投标人（公章）：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1AA0993">
      <w:pPr>
        <w:snapToGrid w:val="0"/>
        <w:spacing w:before="166" w:beforeLines="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533E408A">
      <w:pPr>
        <w:snapToGrid w:val="0"/>
        <w:spacing w:before="50"/>
        <w:ind w:firstLine="480" w:firstLineChars="200"/>
        <w:jc w:val="left"/>
        <w:rPr>
          <w:rFonts w:ascii="仿宋" w:hAnsi="仿宋" w:eastAsia="仿宋" w:cs="仿宋"/>
          <w:color w:val="auto"/>
          <w:sz w:val="24"/>
          <w:szCs w:val="20"/>
          <w:highlight w:val="none"/>
        </w:rPr>
      </w:pPr>
    </w:p>
    <w:p w14:paraId="163EDCCE">
      <w:pPr>
        <w:snapToGrid w:val="0"/>
        <w:spacing w:before="50"/>
        <w:jc w:val="left"/>
        <w:rPr>
          <w:rFonts w:ascii="仿宋" w:hAnsi="仿宋" w:eastAsia="仿宋" w:cs="仿宋"/>
          <w:color w:val="auto"/>
          <w:sz w:val="24"/>
          <w:highlight w:val="none"/>
        </w:rPr>
      </w:pPr>
    </w:p>
    <w:p w14:paraId="04A9892E">
      <w:pPr>
        <w:snapToGrid w:val="0"/>
        <w:spacing w:before="166" w:beforeLines="50"/>
        <w:rPr>
          <w:rFonts w:ascii="仿宋" w:hAnsi="仿宋" w:eastAsia="仿宋" w:cs="仿宋"/>
          <w:b/>
          <w:bCs/>
          <w:color w:val="auto"/>
          <w:sz w:val="24"/>
          <w:highlight w:val="none"/>
        </w:rPr>
      </w:pPr>
      <w:r>
        <w:rPr>
          <w:rFonts w:hint="eastAsia" w:ascii="仿宋" w:hAnsi="仿宋" w:eastAsia="仿宋" w:cs="仿宋"/>
          <w:b/>
          <w:bCs/>
          <w:color w:val="auto"/>
          <w:sz w:val="24"/>
          <w:highlight w:val="none"/>
        </w:rPr>
        <w:t>8.投标产品业绩一览表（格式自拟）</w:t>
      </w:r>
    </w:p>
    <w:p w14:paraId="770061FB">
      <w:pPr>
        <w:snapToGrid w:val="0"/>
        <w:spacing w:before="166" w:beforeLines="50"/>
        <w:rPr>
          <w:rFonts w:ascii="仿宋" w:hAnsi="仿宋" w:eastAsia="仿宋" w:cs="仿宋"/>
          <w:b/>
          <w:bCs/>
          <w:color w:val="auto"/>
          <w:sz w:val="24"/>
          <w:highlight w:val="none"/>
        </w:rPr>
        <w:sectPr>
          <w:pgSz w:w="11906" w:h="16838"/>
          <w:pgMar w:top="1417" w:right="1417" w:bottom="1417" w:left="1417" w:header="720" w:footer="720" w:gutter="0"/>
          <w:cols w:space="0" w:num="1"/>
          <w:docGrid w:type="lines" w:linePitch="333" w:charSpace="0"/>
        </w:sectPr>
      </w:pPr>
      <w:r>
        <w:rPr>
          <w:rFonts w:hint="eastAsia" w:ascii="仿宋" w:hAnsi="仿宋" w:eastAsia="仿宋" w:cs="仿宋"/>
          <w:b/>
          <w:bCs/>
          <w:color w:val="auto"/>
          <w:sz w:val="24"/>
          <w:highlight w:val="none"/>
        </w:rPr>
        <w:t>9.投标产品信誉一览表（格式自拟）</w:t>
      </w:r>
    </w:p>
    <w:p w14:paraId="64BBC3D5">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四、技术文件格式</w:t>
      </w:r>
    </w:p>
    <w:p w14:paraId="1254A091">
      <w:pPr>
        <w:snapToGrid w:val="0"/>
        <w:spacing w:before="166"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1. 技术文件封面格式： </w:t>
      </w:r>
    </w:p>
    <w:p w14:paraId="53A09A84">
      <w:pPr>
        <w:snapToGrid w:val="0"/>
        <w:spacing w:before="166" w:beforeLines="50" w:after="50"/>
        <w:rPr>
          <w:rFonts w:ascii="仿宋" w:hAnsi="仿宋" w:eastAsia="仿宋" w:cs="仿宋"/>
          <w:b/>
          <w:bCs/>
          <w:color w:val="auto"/>
          <w:sz w:val="32"/>
          <w:szCs w:val="20"/>
          <w:highlight w:val="none"/>
        </w:rPr>
      </w:pPr>
      <w:r>
        <w:rPr>
          <w:rFonts w:hint="eastAsia" w:ascii="仿宋" w:hAnsi="仿宋" w:eastAsia="仿宋" w:cs="仿宋"/>
          <w:color w:val="auto"/>
          <w:sz w:val="24"/>
          <w:highlight w:val="none"/>
        </w:rPr>
        <w:t xml:space="preserve">                                                   </w:t>
      </w:r>
    </w:p>
    <w:p w14:paraId="53548A80">
      <w:pPr>
        <w:snapToGrid w:val="0"/>
        <w:spacing w:before="166" w:beforeLines="50" w:after="50"/>
        <w:rPr>
          <w:rFonts w:ascii="仿宋" w:hAnsi="仿宋" w:eastAsia="仿宋" w:cs="仿宋"/>
          <w:color w:val="auto"/>
          <w:sz w:val="24"/>
          <w:szCs w:val="20"/>
          <w:highlight w:val="none"/>
        </w:rPr>
      </w:pPr>
    </w:p>
    <w:p w14:paraId="6D523474">
      <w:pPr>
        <w:snapToGrid w:val="0"/>
        <w:spacing w:before="166" w:beforeLines="50" w:after="50"/>
        <w:rPr>
          <w:rFonts w:ascii="仿宋" w:hAnsi="仿宋" w:eastAsia="仿宋" w:cs="仿宋"/>
          <w:color w:val="auto"/>
          <w:sz w:val="24"/>
          <w:szCs w:val="20"/>
          <w:highlight w:val="none"/>
        </w:rPr>
      </w:pPr>
    </w:p>
    <w:p w14:paraId="05B32BD2">
      <w:pPr>
        <w:snapToGrid w:val="0"/>
        <w:spacing w:before="166" w:beforeLines="50" w:after="50"/>
        <w:jc w:val="center"/>
        <w:rPr>
          <w:rFonts w:ascii="仿宋" w:hAnsi="仿宋" w:eastAsia="仿宋" w:cs="仿宋"/>
          <w:color w:val="auto"/>
          <w:sz w:val="84"/>
          <w:szCs w:val="84"/>
          <w:highlight w:val="none"/>
        </w:rPr>
      </w:pPr>
      <w:r>
        <w:rPr>
          <w:rFonts w:hint="eastAsia" w:ascii="仿宋" w:hAnsi="仿宋" w:eastAsia="仿宋" w:cs="仿宋"/>
          <w:color w:val="auto"/>
          <w:sz w:val="84"/>
          <w:szCs w:val="84"/>
          <w:highlight w:val="none"/>
        </w:rPr>
        <w:t>投  标  文  件</w:t>
      </w:r>
    </w:p>
    <w:p w14:paraId="45A4DD7F">
      <w:pPr>
        <w:snapToGrid w:val="0"/>
        <w:spacing w:before="166" w:beforeLines="50" w:after="50"/>
        <w:rPr>
          <w:rFonts w:ascii="仿宋" w:hAnsi="仿宋" w:eastAsia="仿宋" w:cs="仿宋"/>
          <w:color w:val="auto"/>
          <w:sz w:val="24"/>
          <w:szCs w:val="20"/>
          <w:highlight w:val="none"/>
        </w:rPr>
      </w:pPr>
    </w:p>
    <w:p w14:paraId="60D2328B">
      <w:pPr>
        <w:snapToGrid w:val="0"/>
        <w:spacing w:before="166" w:beforeLines="50" w:after="50"/>
        <w:rPr>
          <w:rFonts w:ascii="仿宋" w:hAnsi="仿宋" w:eastAsia="仿宋" w:cs="仿宋"/>
          <w:color w:val="auto"/>
          <w:sz w:val="24"/>
          <w:szCs w:val="20"/>
          <w:highlight w:val="none"/>
        </w:rPr>
      </w:pPr>
    </w:p>
    <w:p w14:paraId="7AE9DD6D">
      <w:pPr>
        <w:snapToGrid w:val="0"/>
        <w:spacing w:before="166" w:beforeLines="50" w:after="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  术  文  件</w:t>
      </w:r>
    </w:p>
    <w:p w14:paraId="78E0A41E">
      <w:pPr>
        <w:snapToGrid w:val="0"/>
        <w:spacing w:before="166" w:beforeLines="50" w:after="50"/>
        <w:rPr>
          <w:rFonts w:ascii="仿宋" w:hAnsi="仿宋" w:eastAsia="仿宋" w:cs="仿宋"/>
          <w:bCs/>
          <w:color w:val="auto"/>
          <w:sz w:val="24"/>
          <w:szCs w:val="20"/>
          <w:highlight w:val="none"/>
        </w:rPr>
      </w:pPr>
    </w:p>
    <w:p w14:paraId="5D0506F6">
      <w:pPr>
        <w:snapToGrid w:val="0"/>
        <w:spacing w:before="166" w:beforeLines="50" w:after="50"/>
        <w:ind w:firstLine="645"/>
        <w:jc w:val="center"/>
        <w:rPr>
          <w:rFonts w:ascii="仿宋" w:hAnsi="仿宋" w:eastAsia="仿宋" w:cs="仿宋"/>
          <w:bCs/>
          <w:color w:val="auto"/>
          <w:sz w:val="24"/>
          <w:szCs w:val="20"/>
          <w:highlight w:val="none"/>
        </w:rPr>
      </w:pPr>
    </w:p>
    <w:p w14:paraId="24E8F325">
      <w:pPr>
        <w:snapToGrid w:val="0"/>
        <w:spacing w:before="166" w:beforeLines="50" w:after="50"/>
        <w:ind w:firstLine="1680"/>
        <w:jc w:val="left"/>
        <w:rPr>
          <w:rFonts w:ascii="仿宋" w:hAnsi="仿宋" w:eastAsia="仿宋" w:cs="仿宋"/>
          <w:bCs/>
          <w:color w:val="auto"/>
          <w:sz w:val="24"/>
          <w:szCs w:val="20"/>
          <w:highlight w:val="none"/>
        </w:rPr>
      </w:pPr>
    </w:p>
    <w:p w14:paraId="17C49BE0">
      <w:pPr>
        <w:snapToGrid w:val="0"/>
        <w:spacing w:before="166" w:beforeLines="50" w:after="50"/>
        <w:ind w:firstLine="1680"/>
        <w:jc w:val="left"/>
        <w:rPr>
          <w:rFonts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 xml:space="preserve">项目名称： </w:t>
      </w:r>
    </w:p>
    <w:p w14:paraId="6C9C9426">
      <w:pPr>
        <w:snapToGrid w:val="0"/>
        <w:spacing w:before="166" w:beforeLines="50" w:after="50"/>
        <w:ind w:firstLine="1680"/>
        <w:jc w:val="left"/>
        <w:rPr>
          <w:rFonts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 xml:space="preserve">项目编号： </w:t>
      </w:r>
    </w:p>
    <w:p w14:paraId="4DEC6359">
      <w:pPr>
        <w:snapToGrid w:val="0"/>
        <w:spacing w:before="166" w:beforeLines="50" w:after="50"/>
        <w:ind w:firstLine="1680"/>
        <w:jc w:val="left"/>
        <w:rPr>
          <w:rFonts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所投分标：</w:t>
      </w:r>
    </w:p>
    <w:p w14:paraId="00AC3C9B">
      <w:pPr>
        <w:snapToGrid w:val="0"/>
        <w:spacing w:before="166" w:beforeLines="50" w:after="50"/>
        <w:ind w:firstLine="1680"/>
        <w:jc w:val="left"/>
        <w:rPr>
          <w:rFonts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投标人名称：</w:t>
      </w:r>
    </w:p>
    <w:p w14:paraId="6A9DAFAB">
      <w:pPr>
        <w:snapToGrid w:val="0"/>
        <w:spacing w:before="166" w:beforeLines="50" w:after="50"/>
        <w:ind w:firstLine="1680"/>
        <w:jc w:val="left"/>
        <w:rPr>
          <w:rFonts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投标人地址：</w:t>
      </w:r>
    </w:p>
    <w:p w14:paraId="3E691727">
      <w:pPr>
        <w:snapToGrid w:val="0"/>
        <w:spacing w:before="166" w:beforeLines="50" w:after="50"/>
        <w:ind w:firstLine="1680"/>
        <w:jc w:val="left"/>
        <w:rPr>
          <w:rFonts w:ascii="仿宋" w:hAnsi="仿宋" w:eastAsia="仿宋" w:cs="仿宋"/>
          <w:bCs/>
          <w:color w:val="auto"/>
          <w:sz w:val="24"/>
          <w:szCs w:val="20"/>
          <w:highlight w:val="none"/>
        </w:rPr>
      </w:pPr>
    </w:p>
    <w:p w14:paraId="60AA04EA">
      <w:pPr>
        <w:snapToGrid w:val="0"/>
        <w:spacing w:before="166" w:beforeLines="50" w:after="50"/>
        <w:ind w:firstLine="1680"/>
        <w:jc w:val="left"/>
        <w:rPr>
          <w:rFonts w:ascii="仿宋" w:hAnsi="仿宋" w:eastAsia="仿宋" w:cs="仿宋"/>
          <w:color w:val="auto"/>
          <w:sz w:val="24"/>
          <w:szCs w:val="20"/>
          <w:highlight w:val="none"/>
        </w:rPr>
      </w:pPr>
      <w:r>
        <w:rPr>
          <w:rFonts w:hint="eastAsia" w:ascii="仿宋" w:hAnsi="仿宋" w:eastAsia="仿宋" w:cs="仿宋"/>
          <w:bCs/>
          <w:color w:val="auto"/>
          <w:sz w:val="24"/>
          <w:szCs w:val="20"/>
          <w:highlight w:val="none"/>
        </w:rPr>
        <w:t xml:space="preserve">                 年  月  日</w:t>
      </w:r>
    </w:p>
    <w:p w14:paraId="758B655D">
      <w:pPr>
        <w:snapToGrid w:val="0"/>
        <w:spacing w:before="166" w:beforeLines="50" w:after="50"/>
        <w:ind w:left="142"/>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2.技术文件目录</w:t>
      </w:r>
    </w:p>
    <w:p w14:paraId="7FBC9140">
      <w:pPr>
        <w:snapToGrid w:val="0"/>
        <w:spacing w:before="50" w:after="166" w:afterLines="5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根据招标文件规定及投标人提供的材料自行编写目录。</w:t>
      </w:r>
    </w:p>
    <w:p w14:paraId="001D36D2">
      <w:pPr>
        <w:snapToGrid w:val="0"/>
        <w:spacing w:before="166"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 设备性能配置清单格式</w:t>
      </w:r>
    </w:p>
    <w:p w14:paraId="7BCCBF6C">
      <w:pPr>
        <w:snapToGrid w:val="0"/>
        <w:spacing w:before="166" w:beforeLines="50" w:after="50"/>
        <w:ind w:left="142"/>
        <w:jc w:val="left"/>
        <w:rPr>
          <w:rFonts w:ascii="仿宋" w:hAnsi="仿宋" w:eastAsia="仿宋" w:cs="仿宋"/>
          <w:b/>
          <w:color w:val="auto"/>
          <w:sz w:val="24"/>
          <w:highlight w:val="none"/>
        </w:rPr>
      </w:pPr>
    </w:p>
    <w:p w14:paraId="78D887B8">
      <w:pPr>
        <w:pStyle w:val="8"/>
        <w:overflowPunct w:val="0"/>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设备性能配置清单</w:t>
      </w:r>
    </w:p>
    <w:p w14:paraId="25DBA53E">
      <w:pPr>
        <w:snapToGrid w:val="0"/>
        <w:spacing w:before="50" w:after="50" w:line="360" w:lineRule="auto"/>
        <w:rPr>
          <w:rFonts w:ascii="仿宋" w:hAnsi="仿宋" w:eastAsia="仿宋" w:cs="仿宋"/>
          <w:color w:val="auto"/>
          <w:sz w:val="24"/>
          <w:highlight w:val="none"/>
        </w:rPr>
      </w:pPr>
    </w:p>
    <w:p w14:paraId="765EF7B0">
      <w:pPr>
        <w:snapToGrid w:val="0"/>
        <w:spacing w:before="50" w:after="5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分标：</w:t>
      </w:r>
      <w:r>
        <w:rPr>
          <w:rFonts w:hint="eastAsia" w:ascii="仿宋" w:hAnsi="仿宋" w:eastAsia="仿宋" w:cs="仿宋"/>
          <w:color w:val="auto"/>
          <w:sz w:val="24"/>
          <w:highlight w:val="none"/>
          <w:u w:val="single"/>
        </w:rPr>
        <w:t xml:space="preserve">  </w:t>
      </w:r>
    </w:p>
    <w:p w14:paraId="345115AC">
      <w:pPr>
        <w:pStyle w:val="25"/>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5B92F31">
      <w:pPr>
        <w:pStyle w:val="25"/>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tbl>
      <w:tblPr>
        <w:tblStyle w:val="49"/>
        <w:tblW w:w="87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7"/>
        <w:gridCol w:w="1042"/>
        <w:gridCol w:w="749"/>
        <w:gridCol w:w="1494"/>
        <w:gridCol w:w="1042"/>
        <w:gridCol w:w="616"/>
        <w:gridCol w:w="642"/>
        <w:gridCol w:w="783"/>
        <w:gridCol w:w="1731"/>
      </w:tblGrid>
      <w:tr w14:paraId="4E5C9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C543E1F">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042" w:type="dxa"/>
            <w:tcBorders>
              <w:top w:val="single" w:color="auto" w:sz="4" w:space="0"/>
              <w:left w:val="single" w:color="auto" w:sz="4" w:space="0"/>
              <w:bottom w:val="single" w:color="auto" w:sz="4" w:space="0"/>
              <w:right w:val="single" w:color="auto" w:sz="4" w:space="0"/>
            </w:tcBorders>
            <w:vAlign w:val="center"/>
          </w:tcPr>
          <w:p w14:paraId="56E00480">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w:t>
            </w:r>
          </w:p>
          <w:p w14:paraId="6B198926">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749" w:type="dxa"/>
            <w:tcBorders>
              <w:top w:val="single" w:color="auto" w:sz="4" w:space="0"/>
              <w:left w:val="single" w:color="auto" w:sz="4" w:space="0"/>
              <w:bottom w:val="single" w:color="auto" w:sz="4" w:space="0"/>
              <w:right w:val="single" w:color="auto" w:sz="4" w:space="0"/>
            </w:tcBorders>
            <w:vAlign w:val="center"/>
          </w:tcPr>
          <w:p w14:paraId="4DAF7129">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494" w:type="dxa"/>
            <w:tcBorders>
              <w:top w:val="single" w:color="auto" w:sz="4" w:space="0"/>
              <w:left w:val="single" w:color="auto" w:sz="4" w:space="0"/>
              <w:bottom w:val="single" w:color="auto" w:sz="4" w:space="0"/>
              <w:right w:val="single" w:color="auto" w:sz="4" w:space="0"/>
            </w:tcBorders>
            <w:vAlign w:val="center"/>
          </w:tcPr>
          <w:p w14:paraId="5E95238F">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1042" w:type="dxa"/>
            <w:tcBorders>
              <w:top w:val="single" w:color="auto" w:sz="4" w:space="0"/>
              <w:left w:val="single" w:color="auto" w:sz="4" w:space="0"/>
              <w:bottom w:val="single" w:color="auto" w:sz="4" w:space="0"/>
              <w:right w:val="single" w:color="auto" w:sz="4" w:space="0"/>
            </w:tcBorders>
            <w:vAlign w:val="center"/>
          </w:tcPr>
          <w:p w14:paraId="1A8213D8">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生产厂家</w:t>
            </w:r>
          </w:p>
        </w:tc>
        <w:tc>
          <w:tcPr>
            <w:tcW w:w="616" w:type="dxa"/>
            <w:tcBorders>
              <w:top w:val="single" w:color="auto" w:sz="4" w:space="0"/>
              <w:left w:val="single" w:color="auto" w:sz="4" w:space="0"/>
              <w:bottom w:val="single" w:color="auto" w:sz="4" w:space="0"/>
              <w:right w:val="single" w:color="auto" w:sz="4" w:space="0"/>
            </w:tcBorders>
            <w:vAlign w:val="center"/>
          </w:tcPr>
          <w:p w14:paraId="0B4018B8">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产地</w:t>
            </w:r>
          </w:p>
        </w:tc>
        <w:tc>
          <w:tcPr>
            <w:tcW w:w="642" w:type="dxa"/>
            <w:tcBorders>
              <w:top w:val="single" w:color="auto" w:sz="4" w:space="0"/>
              <w:left w:val="single" w:color="auto" w:sz="4" w:space="0"/>
              <w:bottom w:val="single" w:color="auto" w:sz="4" w:space="0"/>
              <w:right w:val="single" w:color="auto" w:sz="4" w:space="0"/>
            </w:tcBorders>
            <w:vAlign w:val="center"/>
          </w:tcPr>
          <w:p w14:paraId="3500F6C1">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83" w:type="dxa"/>
            <w:tcBorders>
              <w:top w:val="single" w:color="auto" w:sz="4" w:space="0"/>
              <w:left w:val="single" w:color="auto" w:sz="4" w:space="0"/>
              <w:bottom w:val="single" w:color="auto" w:sz="4" w:space="0"/>
              <w:right w:val="single" w:color="auto" w:sz="4" w:space="0"/>
            </w:tcBorders>
            <w:vAlign w:val="center"/>
          </w:tcPr>
          <w:p w14:paraId="01070E87">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731" w:type="dxa"/>
            <w:tcBorders>
              <w:top w:val="single" w:color="auto" w:sz="4" w:space="0"/>
              <w:left w:val="single" w:color="auto" w:sz="4" w:space="0"/>
              <w:bottom w:val="single" w:color="auto" w:sz="4" w:space="0"/>
              <w:right w:val="single" w:color="auto" w:sz="4" w:space="0"/>
            </w:tcBorders>
            <w:vAlign w:val="center"/>
          </w:tcPr>
          <w:p w14:paraId="06C4FE4E">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参数性能、指标及配置</w:t>
            </w:r>
          </w:p>
        </w:tc>
      </w:tr>
      <w:tr w14:paraId="1C1F7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24200E0">
            <w:pPr>
              <w:snapToGrid w:val="0"/>
              <w:spacing w:before="50" w:after="50"/>
              <w:jc w:val="center"/>
              <w:rPr>
                <w:rFonts w:ascii="仿宋" w:hAnsi="仿宋" w:eastAsia="仿宋" w:cs="仿宋"/>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4928758E">
            <w:pPr>
              <w:snapToGrid w:val="0"/>
              <w:spacing w:before="50" w:after="50"/>
              <w:jc w:val="center"/>
              <w:rPr>
                <w:rFonts w:ascii="仿宋" w:hAnsi="仿宋" w:eastAsia="仿宋" w:cs="仿宋"/>
                <w:color w:val="auto"/>
                <w:sz w:val="24"/>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30329CCE">
            <w:pPr>
              <w:snapToGrid w:val="0"/>
              <w:spacing w:before="50" w:after="50"/>
              <w:jc w:val="center"/>
              <w:rPr>
                <w:rFonts w:ascii="仿宋" w:hAnsi="仿宋" w:eastAsia="仿宋" w:cs="仿宋"/>
                <w:color w:val="auto"/>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20B66AF9">
            <w:pPr>
              <w:snapToGrid w:val="0"/>
              <w:spacing w:before="50" w:after="50"/>
              <w:jc w:val="center"/>
              <w:rPr>
                <w:rFonts w:ascii="仿宋" w:hAnsi="仿宋" w:eastAsia="仿宋" w:cs="仿宋"/>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113287A9">
            <w:pPr>
              <w:snapToGrid w:val="0"/>
              <w:spacing w:before="50" w:after="50"/>
              <w:jc w:val="center"/>
              <w:rPr>
                <w:rFonts w:ascii="仿宋" w:hAnsi="仿宋" w:eastAsia="仿宋" w:cs="仿宋"/>
                <w:color w:val="auto"/>
                <w:sz w:val="24"/>
                <w:highlight w:val="none"/>
              </w:rPr>
            </w:pPr>
          </w:p>
        </w:tc>
        <w:tc>
          <w:tcPr>
            <w:tcW w:w="616" w:type="dxa"/>
            <w:tcBorders>
              <w:top w:val="single" w:color="auto" w:sz="4" w:space="0"/>
              <w:left w:val="single" w:color="auto" w:sz="4" w:space="0"/>
              <w:bottom w:val="single" w:color="auto" w:sz="4" w:space="0"/>
              <w:right w:val="single" w:color="auto" w:sz="4" w:space="0"/>
            </w:tcBorders>
            <w:vAlign w:val="center"/>
          </w:tcPr>
          <w:p w14:paraId="5A8B1085">
            <w:pPr>
              <w:snapToGrid w:val="0"/>
              <w:spacing w:before="50" w:after="50"/>
              <w:jc w:val="center"/>
              <w:rPr>
                <w:rFonts w:ascii="仿宋" w:hAnsi="仿宋" w:eastAsia="仿宋" w:cs="仿宋"/>
                <w:color w:val="auto"/>
                <w:sz w:val="24"/>
                <w:highlight w:val="none"/>
              </w:rPr>
            </w:pPr>
          </w:p>
        </w:tc>
        <w:tc>
          <w:tcPr>
            <w:tcW w:w="642" w:type="dxa"/>
            <w:tcBorders>
              <w:top w:val="single" w:color="auto" w:sz="4" w:space="0"/>
              <w:left w:val="single" w:color="auto" w:sz="4" w:space="0"/>
              <w:bottom w:val="single" w:color="auto" w:sz="4" w:space="0"/>
              <w:right w:val="single" w:color="auto" w:sz="4" w:space="0"/>
            </w:tcBorders>
          </w:tcPr>
          <w:p w14:paraId="2405AC03">
            <w:pPr>
              <w:snapToGrid w:val="0"/>
              <w:spacing w:before="50" w:after="50"/>
              <w:jc w:val="center"/>
              <w:rPr>
                <w:rFonts w:ascii="仿宋" w:hAnsi="仿宋" w:eastAsia="仿宋" w:cs="仿宋"/>
                <w:color w:val="auto"/>
                <w:sz w:val="24"/>
                <w:highlight w:val="none"/>
              </w:rPr>
            </w:pPr>
          </w:p>
        </w:tc>
        <w:tc>
          <w:tcPr>
            <w:tcW w:w="783" w:type="dxa"/>
            <w:tcBorders>
              <w:top w:val="single" w:color="auto" w:sz="4" w:space="0"/>
              <w:left w:val="single" w:color="auto" w:sz="4" w:space="0"/>
              <w:bottom w:val="single" w:color="auto" w:sz="4" w:space="0"/>
              <w:right w:val="single" w:color="auto" w:sz="4" w:space="0"/>
            </w:tcBorders>
          </w:tcPr>
          <w:p w14:paraId="08A4C5EF">
            <w:pPr>
              <w:snapToGrid w:val="0"/>
              <w:spacing w:before="50" w:after="50"/>
              <w:jc w:val="center"/>
              <w:rPr>
                <w:rFonts w:ascii="仿宋" w:hAnsi="仿宋" w:eastAsia="仿宋" w:cs="仿宋"/>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344A294F">
            <w:pPr>
              <w:snapToGrid w:val="0"/>
              <w:spacing w:before="50" w:after="50"/>
              <w:jc w:val="center"/>
              <w:rPr>
                <w:rFonts w:ascii="仿宋" w:hAnsi="仿宋" w:eastAsia="仿宋" w:cs="仿宋"/>
                <w:color w:val="auto"/>
                <w:sz w:val="24"/>
                <w:highlight w:val="none"/>
              </w:rPr>
            </w:pPr>
          </w:p>
        </w:tc>
      </w:tr>
      <w:tr w14:paraId="10200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E9C9022">
            <w:pPr>
              <w:snapToGrid w:val="0"/>
              <w:spacing w:before="50" w:after="50"/>
              <w:jc w:val="center"/>
              <w:rPr>
                <w:rFonts w:ascii="仿宋" w:hAnsi="仿宋" w:eastAsia="仿宋" w:cs="仿宋"/>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5752743E">
            <w:pPr>
              <w:snapToGrid w:val="0"/>
              <w:spacing w:before="50" w:after="50"/>
              <w:jc w:val="center"/>
              <w:rPr>
                <w:rFonts w:ascii="仿宋" w:hAnsi="仿宋" w:eastAsia="仿宋" w:cs="仿宋"/>
                <w:color w:val="auto"/>
                <w:sz w:val="24"/>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11424D29">
            <w:pPr>
              <w:snapToGrid w:val="0"/>
              <w:spacing w:before="50" w:after="50"/>
              <w:jc w:val="center"/>
              <w:rPr>
                <w:rFonts w:ascii="仿宋" w:hAnsi="仿宋" w:eastAsia="仿宋" w:cs="仿宋"/>
                <w:color w:val="auto"/>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3796E12E">
            <w:pPr>
              <w:snapToGrid w:val="0"/>
              <w:spacing w:before="50" w:after="50"/>
              <w:jc w:val="center"/>
              <w:rPr>
                <w:rFonts w:ascii="仿宋" w:hAnsi="仿宋" w:eastAsia="仿宋" w:cs="仿宋"/>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32497FE6">
            <w:pPr>
              <w:snapToGrid w:val="0"/>
              <w:spacing w:before="50" w:after="50"/>
              <w:jc w:val="center"/>
              <w:rPr>
                <w:rFonts w:ascii="仿宋" w:hAnsi="仿宋" w:eastAsia="仿宋" w:cs="仿宋"/>
                <w:color w:val="auto"/>
                <w:sz w:val="24"/>
                <w:highlight w:val="none"/>
              </w:rPr>
            </w:pPr>
          </w:p>
        </w:tc>
        <w:tc>
          <w:tcPr>
            <w:tcW w:w="616" w:type="dxa"/>
            <w:tcBorders>
              <w:top w:val="single" w:color="auto" w:sz="4" w:space="0"/>
              <w:left w:val="single" w:color="auto" w:sz="4" w:space="0"/>
              <w:bottom w:val="single" w:color="auto" w:sz="4" w:space="0"/>
              <w:right w:val="single" w:color="auto" w:sz="4" w:space="0"/>
            </w:tcBorders>
            <w:vAlign w:val="center"/>
          </w:tcPr>
          <w:p w14:paraId="48BC5A65">
            <w:pPr>
              <w:snapToGrid w:val="0"/>
              <w:spacing w:before="50" w:after="50"/>
              <w:jc w:val="center"/>
              <w:rPr>
                <w:rFonts w:ascii="仿宋" w:hAnsi="仿宋" w:eastAsia="仿宋" w:cs="仿宋"/>
                <w:color w:val="auto"/>
                <w:sz w:val="24"/>
                <w:highlight w:val="none"/>
              </w:rPr>
            </w:pPr>
          </w:p>
        </w:tc>
        <w:tc>
          <w:tcPr>
            <w:tcW w:w="642" w:type="dxa"/>
            <w:tcBorders>
              <w:top w:val="single" w:color="auto" w:sz="4" w:space="0"/>
              <w:left w:val="single" w:color="auto" w:sz="4" w:space="0"/>
              <w:bottom w:val="single" w:color="auto" w:sz="4" w:space="0"/>
              <w:right w:val="single" w:color="auto" w:sz="4" w:space="0"/>
            </w:tcBorders>
          </w:tcPr>
          <w:p w14:paraId="7CE4A53C">
            <w:pPr>
              <w:snapToGrid w:val="0"/>
              <w:spacing w:before="50" w:after="50"/>
              <w:jc w:val="center"/>
              <w:rPr>
                <w:rFonts w:ascii="仿宋" w:hAnsi="仿宋" w:eastAsia="仿宋" w:cs="仿宋"/>
                <w:color w:val="auto"/>
                <w:sz w:val="24"/>
                <w:highlight w:val="none"/>
              </w:rPr>
            </w:pPr>
          </w:p>
        </w:tc>
        <w:tc>
          <w:tcPr>
            <w:tcW w:w="783" w:type="dxa"/>
            <w:tcBorders>
              <w:top w:val="single" w:color="auto" w:sz="4" w:space="0"/>
              <w:left w:val="single" w:color="auto" w:sz="4" w:space="0"/>
              <w:bottom w:val="single" w:color="auto" w:sz="4" w:space="0"/>
              <w:right w:val="single" w:color="auto" w:sz="4" w:space="0"/>
            </w:tcBorders>
          </w:tcPr>
          <w:p w14:paraId="6AA3F91D">
            <w:pPr>
              <w:snapToGrid w:val="0"/>
              <w:spacing w:before="50" w:after="50"/>
              <w:jc w:val="center"/>
              <w:rPr>
                <w:rFonts w:ascii="仿宋" w:hAnsi="仿宋" w:eastAsia="仿宋" w:cs="仿宋"/>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2F98B337">
            <w:pPr>
              <w:snapToGrid w:val="0"/>
              <w:spacing w:before="50" w:after="50"/>
              <w:jc w:val="center"/>
              <w:rPr>
                <w:rFonts w:ascii="仿宋" w:hAnsi="仿宋" w:eastAsia="仿宋" w:cs="仿宋"/>
                <w:color w:val="auto"/>
                <w:sz w:val="24"/>
                <w:highlight w:val="none"/>
              </w:rPr>
            </w:pPr>
          </w:p>
        </w:tc>
      </w:tr>
      <w:tr w14:paraId="1C00D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85731F9">
            <w:pPr>
              <w:snapToGrid w:val="0"/>
              <w:spacing w:before="50" w:after="50"/>
              <w:jc w:val="center"/>
              <w:rPr>
                <w:rFonts w:ascii="仿宋" w:hAnsi="仿宋" w:eastAsia="仿宋" w:cs="仿宋"/>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04250084">
            <w:pPr>
              <w:snapToGrid w:val="0"/>
              <w:spacing w:before="50" w:after="50"/>
              <w:jc w:val="center"/>
              <w:rPr>
                <w:rFonts w:ascii="仿宋" w:hAnsi="仿宋" w:eastAsia="仿宋" w:cs="仿宋"/>
                <w:color w:val="auto"/>
                <w:sz w:val="24"/>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1A918060">
            <w:pPr>
              <w:snapToGrid w:val="0"/>
              <w:spacing w:before="50" w:after="50"/>
              <w:jc w:val="center"/>
              <w:rPr>
                <w:rFonts w:ascii="仿宋" w:hAnsi="仿宋" w:eastAsia="仿宋" w:cs="仿宋"/>
                <w:color w:val="auto"/>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5AF6B419">
            <w:pPr>
              <w:snapToGrid w:val="0"/>
              <w:spacing w:before="50" w:after="50"/>
              <w:jc w:val="center"/>
              <w:rPr>
                <w:rFonts w:ascii="仿宋" w:hAnsi="仿宋" w:eastAsia="仿宋" w:cs="仿宋"/>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4567F906">
            <w:pPr>
              <w:snapToGrid w:val="0"/>
              <w:spacing w:before="50" w:after="50"/>
              <w:jc w:val="center"/>
              <w:rPr>
                <w:rFonts w:ascii="仿宋" w:hAnsi="仿宋" w:eastAsia="仿宋" w:cs="仿宋"/>
                <w:color w:val="auto"/>
                <w:sz w:val="24"/>
                <w:highlight w:val="none"/>
              </w:rPr>
            </w:pPr>
          </w:p>
        </w:tc>
        <w:tc>
          <w:tcPr>
            <w:tcW w:w="616" w:type="dxa"/>
            <w:tcBorders>
              <w:top w:val="single" w:color="auto" w:sz="4" w:space="0"/>
              <w:left w:val="single" w:color="auto" w:sz="4" w:space="0"/>
              <w:bottom w:val="single" w:color="auto" w:sz="4" w:space="0"/>
              <w:right w:val="single" w:color="auto" w:sz="4" w:space="0"/>
            </w:tcBorders>
            <w:vAlign w:val="center"/>
          </w:tcPr>
          <w:p w14:paraId="40C94222">
            <w:pPr>
              <w:snapToGrid w:val="0"/>
              <w:spacing w:before="50" w:after="50"/>
              <w:jc w:val="center"/>
              <w:rPr>
                <w:rFonts w:ascii="仿宋" w:hAnsi="仿宋" w:eastAsia="仿宋" w:cs="仿宋"/>
                <w:color w:val="auto"/>
                <w:sz w:val="24"/>
                <w:highlight w:val="none"/>
              </w:rPr>
            </w:pPr>
          </w:p>
        </w:tc>
        <w:tc>
          <w:tcPr>
            <w:tcW w:w="642" w:type="dxa"/>
            <w:tcBorders>
              <w:top w:val="single" w:color="auto" w:sz="4" w:space="0"/>
              <w:left w:val="single" w:color="auto" w:sz="4" w:space="0"/>
              <w:bottom w:val="single" w:color="auto" w:sz="4" w:space="0"/>
              <w:right w:val="single" w:color="auto" w:sz="4" w:space="0"/>
            </w:tcBorders>
          </w:tcPr>
          <w:p w14:paraId="03FADBDC">
            <w:pPr>
              <w:snapToGrid w:val="0"/>
              <w:spacing w:before="50" w:after="50"/>
              <w:jc w:val="center"/>
              <w:rPr>
                <w:rFonts w:ascii="仿宋" w:hAnsi="仿宋" w:eastAsia="仿宋" w:cs="仿宋"/>
                <w:color w:val="auto"/>
                <w:sz w:val="24"/>
                <w:highlight w:val="none"/>
              </w:rPr>
            </w:pPr>
          </w:p>
        </w:tc>
        <w:tc>
          <w:tcPr>
            <w:tcW w:w="783" w:type="dxa"/>
            <w:tcBorders>
              <w:top w:val="single" w:color="auto" w:sz="4" w:space="0"/>
              <w:left w:val="single" w:color="auto" w:sz="4" w:space="0"/>
              <w:bottom w:val="single" w:color="auto" w:sz="4" w:space="0"/>
              <w:right w:val="single" w:color="auto" w:sz="4" w:space="0"/>
            </w:tcBorders>
          </w:tcPr>
          <w:p w14:paraId="49D141AA">
            <w:pPr>
              <w:snapToGrid w:val="0"/>
              <w:spacing w:before="50" w:after="50"/>
              <w:jc w:val="center"/>
              <w:rPr>
                <w:rFonts w:ascii="仿宋" w:hAnsi="仿宋" w:eastAsia="仿宋" w:cs="仿宋"/>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7BD1002E">
            <w:pPr>
              <w:snapToGrid w:val="0"/>
              <w:spacing w:before="50" w:after="50"/>
              <w:jc w:val="center"/>
              <w:rPr>
                <w:rFonts w:ascii="仿宋" w:hAnsi="仿宋" w:eastAsia="仿宋" w:cs="仿宋"/>
                <w:color w:val="auto"/>
                <w:sz w:val="24"/>
                <w:highlight w:val="none"/>
              </w:rPr>
            </w:pPr>
          </w:p>
        </w:tc>
      </w:tr>
    </w:tbl>
    <w:p w14:paraId="66DF7342">
      <w:pPr>
        <w:spacing w:line="360" w:lineRule="auto"/>
        <w:contextualSpacing/>
        <w:rPr>
          <w:rFonts w:ascii="仿宋" w:hAnsi="仿宋" w:eastAsia="仿宋" w:cs="仿宋"/>
          <w:color w:val="auto"/>
          <w:sz w:val="24"/>
          <w:highlight w:val="none"/>
        </w:rPr>
      </w:pPr>
    </w:p>
    <w:p w14:paraId="2555A0C4">
      <w:pPr>
        <w:spacing w:line="360" w:lineRule="auto"/>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14:paraId="6105475B">
      <w:pPr>
        <w:spacing w:line="360" w:lineRule="auto"/>
        <w:ind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以上设备性能配置清单中“标的名称、数量及单位、品牌、规格型号、制造商、原产地、参数性能、指标及配置”必须如实填写完整，定制产品在型号栏中填写“定制”。填写有缺漏</w:t>
      </w:r>
      <w:r>
        <w:rPr>
          <w:rFonts w:hint="eastAsia" w:ascii="仿宋" w:hAnsi="仿宋" w:eastAsia="仿宋" w:cs="仿宋"/>
          <w:bCs/>
          <w:color w:val="auto"/>
          <w:sz w:val="24"/>
          <w:highlight w:val="none"/>
        </w:rPr>
        <w:t>的，</w:t>
      </w:r>
      <w:r>
        <w:rPr>
          <w:rFonts w:hint="eastAsia" w:ascii="仿宋" w:hAnsi="仿宋" w:eastAsia="仿宋" w:cs="仿宋"/>
          <w:b/>
          <w:color w:val="auto"/>
          <w:sz w:val="24"/>
          <w:highlight w:val="none"/>
        </w:rPr>
        <w:t>作无效投标处理。</w:t>
      </w:r>
      <w:r>
        <w:rPr>
          <w:rFonts w:hint="eastAsia" w:ascii="仿宋" w:hAnsi="仿宋" w:eastAsia="仿宋" w:cs="仿宋"/>
          <w:color w:val="auto"/>
          <w:sz w:val="24"/>
          <w:highlight w:val="none"/>
        </w:rPr>
        <w:t>标的名称、数量、单位、品牌等必须与“开标一览表”一致，</w:t>
      </w:r>
      <w:r>
        <w:rPr>
          <w:rFonts w:hint="eastAsia" w:ascii="仿宋" w:hAnsi="仿宋" w:eastAsia="仿宋" w:cs="仿宋"/>
          <w:b/>
          <w:color w:val="auto"/>
          <w:sz w:val="24"/>
          <w:highlight w:val="none"/>
        </w:rPr>
        <w:t>否则按无效投标处理。</w:t>
      </w:r>
    </w:p>
    <w:p w14:paraId="228F6B31">
      <w:pPr>
        <w:spacing w:line="360" w:lineRule="auto"/>
        <w:ind w:firstLine="480" w:firstLineChars="200"/>
        <w:contextualSpacing/>
        <w:rPr>
          <w:rFonts w:ascii="仿宋" w:hAnsi="仿宋" w:eastAsia="仿宋" w:cs="仿宋"/>
          <w:color w:val="auto"/>
          <w:sz w:val="24"/>
          <w:highlight w:val="none"/>
        </w:rPr>
      </w:pPr>
    </w:p>
    <w:p w14:paraId="730FF750">
      <w:pPr>
        <w:snapToGrid w:val="0"/>
        <w:spacing w:before="50" w:after="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法定代表人或者委托代理人（签字）：</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468FA0F6">
      <w:pPr>
        <w:snapToGrid w:val="0"/>
        <w:spacing w:before="166" w:beforeLines="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投标人（公章）：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F1EE299">
      <w:pPr>
        <w:snapToGrid w:val="0"/>
        <w:spacing w:before="166" w:beforeLines="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2EE7CA45">
      <w:pPr>
        <w:snapToGrid w:val="0"/>
        <w:spacing w:before="50" w:after="166" w:afterLines="50"/>
        <w:jc w:val="left"/>
        <w:rPr>
          <w:rFonts w:ascii="仿宋" w:hAnsi="仿宋" w:eastAsia="仿宋" w:cs="仿宋"/>
          <w:color w:val="auto"/>
          <w:sz w:val="24"/>
          <w:szCs w:val="20"/>
          <w:highlight w:val="none"/>
        </w:rPr>
      </w:pPr>
    </w:p>
    <w:p w14:paraId="0D4785DF">
      <w:pPr>
        <w:snapToGrid w:val="0"/>
        <w:spacing w:before="50" w:after="166" w:afterLines="50"/>
        <w:jc w:val="left"/>
        <w:rPr>
          <w:rFonts w:ascii="仿宋" w:hAnsi="仿宋" w:eastAsia="仿宋" w:cs="仿宋"/>
          <w:color w:val="auto"/>
          <w:sz w:val="24"/>
          <w:szCs w:val="20"/>
          <w:highlight w:val="none"/>
        </w:rPr>
      </w:pPr>
    </w:p>
    <w:p w14:paraId="0BE77676">
      <w:pPr>
        <w:snapToGrid w:val="0"/>
        <w:spacing w:before="166"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4. 技术要求偏离表格式（注：按采购需求具体项目修改）</w:t>
      </w:r>
    </w:p>
    <w:p w14:paraId="49B8340E">
      <w:pPr>
        <w:snapToGrid w:val="0"/>
        <w:spacing w:before="166" w:beforeLines="50" w:after="50"/>
        <w:ind w:left="142"/>
        <w:jc w:val="left"/>
        <w:rPr>
          <w:rFonts w:ascii="仿宋" w:hAnsi="仿宋" w:eastAsia="仿宋" w:cs="仿宋"/>
          <w:b/>
          <w:color w:val="auto"/>
          <w:sz w:val="24"/>
          <w:highlight w:val="none"/>
        </w:rPr>
      </w:pPr>
    </w:p>
    <w:p w14:paraId="3AB1D6DA">
      <w:pPr>
        <w:pStyle w:val="8"/>
        <w:overflowPunct w:val="0"/>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技术要求偏离表</w:t>
      </w:r>
    </w:p>
    <w:p w14:paraId="538C33E6">
      <w:pPr>
        <w:snapToGrid w:val="0"/>
        <w:spacing w:before="50" w:after="50" w:line="360" w:lineRule="auto"/>
        <w:rPr>
          <w:rFonts w:ascii="仿宋" w:hAnsi="仿宋" w:eastAsia="仿宋" w:cs="仿宋"/>
          <w:color w:val="auto"/>
          <w:sz w:val="24"/>
          <w:highlight w:val="none"/>
        </w:rPr>
      </w:pPr>
    </w:p>
    <w:p w14:paraId="44AFDC11">
      <w:pPr>
        <w:snapToGrid w:val="0"/>
        <w:spacing w:before="50" w:after="5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分标：</w:t>
      </w:r>
      <w:r>
        <w:rPr>
          <w:rFonts w:hint="eastAsia" w:ascii="仿宋" w:hAnsi="仿宋" w:eastAsia="仿宋" w:cs="仿宋"/>
          <w:color w:val="auto"/>
          <w:sz w:val="24"/>
          <w:highlight w:val="none"/>
          <w:u w:val="single"/>
        </w:rPr>
        <w:t xml:space="preserve">  </w:t>
      </w:r>
    </w:p>
    <w:p w14:paraId="299A4607">
      <w:pPr>
        <w:pStyle w:val="25"/>
        <w:rPr>
          <w:rFonts w:ascii="仿宋" w:hAnsi="仿宋" w:eastAsia="仿宋" w:cs="仿宋"/>
          <w:color w:val="auto"/>
          <w:sz w:val="24"/>
          <w:szCs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E7D49D2">
      <w:pPr>
        <w:snapToGrid w:val="0"/>
        <w:spacing w:before="50"/>
        <w:jc w:val="left"/>
        <w:rPr>
          <w:rFonts w:ascii="仿宋" w:hAnsi="仿宋" w:eastAsia="仿宋" w:cs="仿宋"/>
          <w:color w:val="auto"/>
          <w:sz w:val="24"/>
          <w:highlight w:val="none"/>
          <w:u w:val="single"/>
        </w:rPr>
      </w:pPr>
    </w:p>
    <w:p w14:paraId="4785B782">
      <w:pPr>
        <w:pStyle w:val="25"/>
        <w:rPr>
          <w:rFonts w:ascii="仿宋" w:hAnsi="仿宋" w:eastAsia="仿宋" w:cs="仿宋"/>
          <w:color w:val="auto"/>
          <w:sz w:val="24"/>
          <w:szCs w:val="24"/>
          <w:highlight w:val="none"/>
        </w:rPr>
      </w:pPr>
    </w:p>
    <w:tbl>
      <w:tblPr>
        <w:tblStyle w:val="4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32"/>
        <w:gridCol w:w="2289"/>
        <w:gridCol w:w="2150"/>
        <w:gridCol w:w="1907"/>
      </w:tblGrid>
      <w:tr w14:paraId="15EC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0" w:type="dxa"/>
            <w:vAlign w:val="center"/>
          </w:tcPr>
          <w:p w14:paraId="6FDDD53C">
            <w:pPr>
              <w:pStyle w:val="25"/>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1632" w:type="dxa"/>
            <w:vAlign w:val="center"/>
          </w:tcPr>
          <w:p w14:paraId="2C4A44ED">
            <w:pPr>
              <w:pStyle w:val="25"/>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标的名称</w:t>
            </w:r>
          </w:p>
        </w:tc>
        <w:tc>
          <w:tcPr>
            <w:tcW w:w="2289" w:type="dxa"/>
            <w:vAlign w:val="center"/>
          </w:tcPr>
          <w:p w14:paraId="384301C1">
            <w:pPr>
              <w:pStyle w:val="25"/>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技术要求</w:t>
            </w:r>
          </w:p>
        </w:tc>
        <w:tc>
          <w:tcPr>
            <w:tcW w:w="2150" w:type="dxa"/>
            <w:vAlign w:val="center"/>
          </w:tcPr>
          <w:p w14:paraId="7DA711CA">
            <w:pPr>
              <w:pStyle w:val="25"/>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投标响应</w:t>
            </w:r>
          </w:p>
        </w:tc>
        <w:tc>
          <w:tcPr>
            <w:tcW w:w="1907" w:type="dxa"/>
            <w:vAlign w:val="center"/>
          </w:tcPr>
          <w:p w14:paraId="0D6279EE">
            <w:pPr>
              <w:pStyle w:val="25"/>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偏离说明</w:t>
            </w:r>
          </w:p>
        </w:tc>
      </w:tr>
      <w:tr w14:paraId="5C74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299AABCE">
            <w:pPr>
              <w:pStyle w:val="25"/>
              <w:spacing w:line="600" w:lineRule="exact"/>
              <w:jc w:val="center"/>
              <w:rPr>
                <w:rFonts w:ascii="仿宋" w:hAnsi="仿宋" w:eastAsia="仿宋" w:cs="仿宋"/>
                <w:color w:val="auto"/>
                <w:kern w:val="2"/>
                <w:sz w:val="24"/>
                <w:szCs w:val="24"/>
                <w:highlight w:val="none"/>
              </w:rPr>
            </w:pPr>
          </w:p>
        </w:tc>
        <w:tc>
          <w:tcPr>
            <w:tcW w:w="1632" w:type="dxa"/>
            <w:vAlign w:val="center"/>
          </w:tcPr>
          <w:p w14:paraId="2DBDC64B">
            <w:pPr>
              <w:pStyle w:val="25"/>
              <w:spacing w:line="600" w:lineRule="exact"/>
              <w:jc w:val="center"/>
              <w:rPr>
                <w:rFonts w:ascii="仿宋" w:hAnsi="仿宋" w:eastAsia="仿宋" w:cs="仿宋"/>
                <w:color w:val="auto"/>
                <w:kern w:val="2"/>
                <w:sz w:val="24"/>
                <w:szCs w:val="24"/>
                <w:highlight w:val="none"/>
              </w:rPr>
            </w:pPr>
          </w:p>
        </w:tc>
        <w:tc>
          <w:tcPr>
            <w:tcW w:w="2289" w:type="dxa"/>
            <w:vAlign w:val="center"/>
          </w:tcPr>
          <w:p w14:paraId="646CF785">
            <w:pPr>
              <w:pStyle w:val="25"/>
              <w:spacing w:line="600" w:lineRule="exact"/>
              <w:jc w:val="center"/>
              <w:rPr>
                <w:rFonts w:ascii="仿宋" w:hAnsi="仿宋" w:eastAsia="仿宋" w:cs="仿宋"/>
                <w:color w:val="auto"/>
                <w:kern w:val="2"/>
                <w:sz w:val="24"/>
                <w:szCs w:val="24"/>
                <w:highlight w:val="none"/>
              </w:rPr>
            </w:pPr>
          </w:p>
        </w:tc>
        <w:tc>
          <w:tcPr>
            <w:tcW w:w="2150" w:type="dxa"/>
            <w:vAlign w:val="center"/>
          </w:tcPr>
          <w:p w14:paraId="4360A612">
            <w:pPr>
              <w:pStyle w:val="25"/>
              <w:spacing w:line="600" w:lineRule="exact"/>
              <w:jc w:val="center"/>
              <w:rPr>
                <w:rFonts w:ascii="仿宋" w:hAnsi="仿宋" w:eastAsia="仿宋" w:cs="仿宋"/>
                <w:color w:val="auto"/>
                <w:kern w:val="2"/>
                <w:sz w:val="24"/>
                <w:szCs w:val="24"/>
                <w:highlight w:val="none"/>
              </w:rPr>
            </w:pPr>
          </w:p>
        </w:tc>
        <w:tc>
          <w:tcPr>
            <w:tcW w:w="1907" w:type="dxa"/>
            <w:vAlign w:val="center"/>
          </w:tcPr>
          <w:p w14:paraId="6DCFEAEF">
            <w:pPr>
              <w:pStyle w:val="25"/>
              <w:spacing w:line="600" w:lineRule="exact"/>
              <w:jc w:val="center"/>
              <w:rPr>
                <w:rFonts w:ascii="仿宋" w:hAnsi="仿宋" w:eastAsia="仿宋" w:cs="仿宋"/>
                <w:color w:val="auto"/>
                <w:kern w:val="2"/>
                <w:sz w:val="24"/>
                <w:szCs w:val="24"/>
                <w:highlight w:val="none"/>
              </w:rPr>
            </w:pPr>
          </w:p>
        </w:tc>
      </w:tr>
      <w:tr w14:paraId="4ECF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086909F3">
            <w:pPr>
              <w:pStyle w:val="25"/>
              <w:spacing w:line="600" w:lineRule="exact"/>
              <w:rPr>
                <w:rFonts w:ascii="仿宋" w:hAnsi="仿宋" w:eastAsia="仿宋" w:cs="仿宋"/>
                <w:color w:val="auto"/>
                <w:kern w:val="2"/>
                <w:sz w:val="24"/>
                <w:szCs w:val="24"/>
                <w:highlight w:val="none"/>
              </w:rPr>
            </w:pPr>
          </w:p>
        </w:tc>
        <w:tc>
          <w:tcPr>
            <w:tcW w:w="1632" w:type="dxa"/>
          </w:tcPr>
          <w:p w14:paraId="40AF642D">
            <w:pPr>
              <w:pStyle w:val="25"/>
              <w:spacing w:line="600" w:lineRule="exact"/>
              <w:rPr>
                <w:rFonts w:ascii="仿宋" w:hAnsi="仿宋" w:eastAsia="仿宋" w:cs="仿宋"/>
                <w:color w:val="auto"/>
                <w:kern w:val="2"/>
                <w:sz w:val="24"/>
                <w:szCs w:val="24"/>
                <w:highlight w:val="none"/>
              </w:rPr>
            </w:pPr>
          </w:p>
        </w:tc>
        <w:tc>
          <w:tcPr>
            <w:tcW w:w="2289" w:type="dxa"/>
          </w:tcPr>
          <w:p w14:paraId="23A2F554">
            <w:pPr>
              <w:pStyle w:val="25"/>
              <w:spacing w:line="600" w:lineRule="exact"/>
              <w:rPr>
                <w:rFonts w:ascii="仿宋" w:hAnsi="仿宋" w:eastAsia="仿宋" w:cs="仿宋"/>
                <w:color w:val="auto"/>
                <w:kern w:val="2"/>
                <w:sz w:val="24"/>
                <w:szCs w:val="24"/>
                <w:highlight w:val="none"/>
              </w:rPr>
            </w:pPr>
          </w:p>
        </w:tc>
        <w:tc>
          <w:tcPr>
            <w:tcW w:w="2150" w:type="dxa"/>
          </w:tcPr>
          <w:p w14:paraId="3DAA6F55">
            <w:pPr>
              <w:pStyle w:val="25"/>
              <w:spacing w:line="600" w:lineRule="exact"/>
              <w:rPr>
                <w:rFonts w:ascii="仿宋" w:hAnsi="仿宋" w:eastAsia="仿宋" w:cs="仿宋"/>
                <w:color w:val="auto"/>
                <w:kern w:val="2"/>
                <w:sz w:val="24"/>
                <w:szCs w:val="24"/>
                <w:highlight w:val="none"/>
              </w:rPr>
            </w:pPr>
          </w:p>
        </w:tc>
        <w:tc>
          <w:tcPr>
            <w:tcW w:w="1907" w:type="dxa"/>
          </w:tcPr>
          <w:p w14:paraId="4E7DE539">
            <w:pPr>
              <w:pStyle w:val="25"/>
              <w:spacing w:line="600" w:lineRule="exact"/>
              <w:rPr>
                <w:rFonts w:ascii="仿宋" w:hAnsi="仿宋" w:eastAsia="仿宋" w:cs="仿宋"/>
                <w:color w:val="auto"/>
                <w:kern w:val="2"/>
                <w:sz w:val="24"/>
                <w:szCs w:val="24"/>
                <w:highlight w:val="none"/>
              </w:rPr>
            </w:pPr>
          </w:p>
        </w:tc>
      </w:tr>
      <w:tr w14:paraId="61B7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0C0514E8">
            <w:pPr>
              <w:pStyle w:val="25"/>
              <w:spacing w:line="600" w:lineRule="exact"/>
              <w:rPr>
                <w:rFonts w:ascii="仿宋" w:hAnsi="仿宋" w:eastAsia="仿宋" w:cs="仿宋"/>
                <w:color w:val="auto"/>
                <w:kern w:val="2"/>
                <w:sz w:val="24"/>
                <w:szCs w:val="24"/>
                <w:highlight w:val="none"/>
              </w:rPr>
            </w:pPr>
          </w:p>
        </w:tc>
        <w:tc>
          <w:tcPr>
            <w:tcW w:w="1632" w:type="dxa"/>
          </w:tcPr>
          <w:p w14:paraId="39FFC007">
            <w:pPr>
              <w:pStyle w:val="25"/>
              <w:spacing w:line="600" w:lineRule="exact"/>
              <w:rPr>
                <w:rFonts w:ascii="仿宋" w:hAnsi="仿宋" w:eastAsia="仿宋" w:cs="仿宋"/>
                <w:color w:val="auto"/>
                <w:kern w:val="2"/>
                <w:sz w:val="24"/>
                <w:szCs w:val="24"/>
                <w:highlight w:val="none"/>
              </w:rPr>
            </w:pPr>
          </w:p>
        </w:tc>
        <w:tc>
          <w:tcPr>
            <w:tcW w:w="2289" w:type="dxa"/>
          </w:tcPr>
          <w:p w14:paraId="2376ABC7">
            <w:pPr>
              <w:pStyle w:val="25"/>
              <w:spacing w:line="600" w:lineRule="exact"/>
              <w:rPr>
                <w:rFonts w:ascii="仿宋" w:hAnsi="仿宋" w:eastAsia="仿宋" w:cs="仿宋"/>
                <w:color w:val="auto"/>
                <w:kern w:val="2"/>
                <w:sz w:val="24"/>
                <w:szCs w:val="24"/>
                <w:highlight w:val="none"/>
              </w:rPr>
            </w:pPr>
          </w:p>
        </w:tc>
        <w:tc>
          <w:tcPr>
            <w:tcW w:w="2150" w:type="dxa"/>
          </w:tcPr>
          <w:p w14:paraId="1AA8C5F7">
            <w:pPr>
              <w:pStyle w:val="25"/>
              <w:spacing w:line="600" w:lineRule="exact"/>
              <w:rPr>
                <w:rFonts w:ascii="仿宋" w:hAnsi="仿宋" w:eastAsia="仿宋" w:cs="仿宋"/>
                <w:color w:val="auto"/>
                <w:kern w:val="2"/>
                <w:sz w:val="24"/>
                <w:szCs w:val="24"/>
                <w:highlight w:val="none"/>
              </w:rPr>
            </w:pPr>
          </w:p>
        </w:tc>
        <w:tc>
          <w:tcPr>
            <w:tcW w:w="1907" w:type="dxa"/>
          </w:tcPr>
          <w:p w14:paraId="57BF51F2">
            <w:pPr>
              <w:pStyle w:val="25"/>
              <w:spacing w:line="600" w:lineRule="exact"/>
              <w:rPr>
                <w:rFonts w:ascii="仿宋" w:hAnsi="仿宋" w:eastAsia="仿宋" w:cs="仿宋"/>
                <w:color w:val="auto"/>
                <w:kern w:val="2"/>
                <w:sz w:val="24"/>
                <w:szCs w:val="24"/>
                <w:highlight w:val="none"/>
              </w:rPr>
            </w:pPr>
          </w:p>
        </w:tc>
      </w:tr>
    </w:tbl>
    <w:p w14:paraId="5BA02546">
      <w:pPr>
        <w:pStyle w:val="18"/>
        <w:rPr>
          <w:rFonts w:ascii="仿宋" w:hAnsi="仿宋" w:eastAsia="仿宋" w:cs="仿宋"/>
          <w:color w:val="auto"/>
          <w:highlight w:val="none"/>
        </w:rPr>
      </w:pPr>
      <w:r>
        <w:rPr>
          <w:rFonts w:hint="eastAsia" w:ascii="仿宋" w:hAnsi="仿宋" w:eastAsia="仿宋" w:cs="仿宋"/>
          <w:color w:val="auto"/>
          <w:highlight w:val="none"/>
        </w:rPr>
        <w:t>注：</w:t>
      </w:r>
    </w:p>
    <w:p w14:paraId="29C2C6FF">
      <w:pPr>
        <w:pStyle w:val="20"/>
        <w:spacing w:line="360" w:lineRule="auto"/>
        <w:ind w:firstLine="480" w:firstLineChars="200"/>
        <w:rPr>
          <w:rFonts w:ascii="仿宋" w:hAnsi="仿宋" w:eastAsia="仿宋" w:cs="仿宋"/>
          <w:color w:val="auto"/>
          <w:szCs w:val="32"/>
          <w:highlight w:val="none"/>
        </w:rPr>
      </w:pPr>
      <w:r>
        <w:rPr>
          <w:rFonts w:hint="eastAsia" w:ascii="仿宋" w:hAnsi="仿宋" w:eastAsia="仿宋" w:cs="仿宋"/>
          <w:color w:val="auto"/>
          <w:sz w:val="24"/>
          <w:szCs w:val="24"/>
          <w:highlight w:val="none"/>
        </w:rPr>
        <w:t>1.说明：应对照招标文件“第二章 采购需求”中的“技术参数及性能（配置）要求”逐条作明确的投标响应，并作出偏离说明。</w:t>
      </w:r>
    </w:p>
    <w:p w14:paraId="3058F2F0">
      <w:pPr>
        <w:pStyle w:val="18"/>
        <w:spacing w:line="360" w:lineRule="auto"/>
        <w:ind w:firstLine="480" w:firstLineChars="200"/>
        <w:rPr>
          <w:rFonts w:ascii="仿宋" w:hAnsi="仿宋" w:eastAsia="仿宋" w:cs="仿宋"/>
          <w:b w:val="0"/>
          <w:bCs w:val="0"/>
          <w:color w:val="auto"/>
          <w:highlight w:val="none"/>
        </w:rPr>
      </w:pPr>
      <w:r>
        <w:rPr>
          <w:rFonts w:hint="eastAsia" w:ascii="仿宋" w:hAnsi="仿宋" w:eastAsia="仿宋" w:cs="仿宋"/>
          <w:b w:val="0"/>
          <w:bCs w:val="0"/>
          <w:color w:val="auto"/>
          <w:highlight w:val="none"/>
        </w:rPr>
        <w:t>2.投标人根据投标货物的性能指标，对照招标文件的“技术参数及性能（配置）要求”，在“偏离说明”中注明“</w:t>
      </w:r>
      <w:r>
        <w:rPr>
          <w:rFonts w:hint="eastAsia" w:ascii="仿宋" w:hAnsi="仿宋" w:eastAsia="仿宋" w:cs="仿宋"/>
          <w:color w:val="auto"/>
          <w:highlight w:val="none"/>
        </w:rPr>
        <w:t>正偏离</w:t>
      </w:r>
      <w:r>
        <w:rPr>
          <w:rFonts w:hint="eastAsia" w:ascii="仿宋" w:hAnsi="仿宋" w:eastAsia="仿宋" w:cs="仿宋"/>
          <w:b w:val="0"/>
          <w:bCs w:val="0"/>
          <w:color w:val="auto"/>
          <w:highlight w:val="none"/>
        </w:rPr>
        <w:t>”、“</w:t>
      </w:r>
      <w:r>
        <w:rPr>
          <w:rFonts w:hint="eastAsia" w:ascii="仿宋" w:hAnsi="仿宋" w:eastAsia="仿宋" w:cs="仿宋"/>
          <w:color w:val="auto"/>
          <w:highlight w:val="none"/>
        </w:rPr>
        <w:t>负偏离</w:t>
      </w:r>
      <w:r>
        <w:rPr>
          <w:rFonts w:hint="eastAsia" w:ascii="仿宋" w:hAnsi="仿宋" w:eastAsia="仿宋" w:cs="仿宋"/>
          <w:b w:val="0"/>
          <w:bCs w:val="0"/>
          <w:color w:val="auto"/>
          <w:highlight w:val="none"/>
        </w:rPr>
        <w:t>”或者“</w:t>
      </w:r>
      <w:r>
        <w:rPr>
          <w:rFonts w:hint="eastAsia" w:ascii="仿宋" w:hAnsi="仿宋" w:eastAsia="仿宋" w:cs="仿宋"/>
          <w:color w:val="auto"/>
          <w:highlight w:val="none"/>
        </w:rPr>
        <w:t>无偏离</w:t>
      </w:r>
      <w:r>
        <w:rPr>
          <w:rFonts w:hint="eastAsia" w:ascii="仿宋" w:hAnsi="仿宋" w:eastAsia="仿宋" w:cs="仿宋"/>
          <w:b w:val="0"/>
          <w:bCs w:val="0"/>
          <w:color w:val="auto"/>
          <w:highlight w:val="none"/>
        </w:rPr>
        <w:t>”。既不属于“</w:t>
      </w:r>
      <w:r>
        <w:rPr>
          <w:rFonts w:hint="eastAsia" w:ascii="仿宋" w:hAnsi="仿宋" w:eastAsia="仿宋" w:cs="仿宋"/>
          <w:color w:val="auto"/>
          <w:highlight w:val="none"/>
        </w:rPr>
        <w:t>正偏离</w:t>
      </w:r>
      <w:r>
        <w:rPr>
          <w:rFonts w:hint="eastAsia" w:ascii="仿宋" w:hAnsi="仿宋" w:eastAsia="仿宋" w:cs="仿宋"/>
          <w:b w:val="0"/>
          <w:bCs w:val="0"/>
          <w:color w:val="auto"/>
          <w:highlight w:val="none"/>
        </w:rPr>
        <w:t>”也不属于“</w:t>
      </w:r>
      <w:r>
        <w:rPr>
          <w:rFonts w:hint="eastAsia" w:ascii="仿宋" w:hAnsi="仿宋" w:eastAsia="仿宋" w:cs="仿宋"/>
          <w:color w:val="auto"/>
          <w:highlight w:val="none"/>
        </w:rPr>
        <w:t>负偏离</w:t>
      </w:r>
      <w:r>
        <w:rPr>
          <w:rFonts w:hint="eastAsia" w:ascii="仿宋" w:hAnsi="仿宋" w:eastAsia="仿宋" w:cs="仿宋"/>
          <w:b w:val="0"/>
          <w:bCs w:val="0"/>
          <w:color w:val="auto"/>
          <w:highlight w:val="none"/>
        </w:rPr>
        <w:t>”即为“</w:t>
      </w:r>
      <w:r>
        <w:rPr>
          <w:rFonts w:hint="eastAsia" w:ascii="仿宋" w:hAnsi="仿宋" w:eastAsia="仿宋" w:cs="仿宋"/>
          <w:color w:val="auto"/>
          <w:highlight w:val="none"/>
        </w:rPr>
        <w:t>无偏离</w:t>
      </w:r>
      <w:r>
        <w:rPr>
          <w:rFonts w:hint="eastAsia" w:ascii="仿宋" w:hAnsi="仿宋" w:eastAsia="仿宋" w:cs="仿宋"/>
          <w:b w:val="0"/>
          <w:bCs w:val="0"/>
          <w:color w:val="auto"/>
          <w:highlight w:val="none"/>
        </w:rPr>
        <w:t>”。</w:t>
      </w:r>
    </w:p>
    <w:p w14:paraId="5F6CB3E8">
      <w:pPr>
        <w:pStyle w:val="2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683EB980">
      <w:pPr>
        <w:pStyle w:val="2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4.如技术要求偏离表中的投标响应与佐证材料不一致的，以佐证材料为准。</w:t>
      </w:r>
    </w:p>
    <w:p w14:paraId="495F44C2">
      <w:pPr>
        <w:snapToGrid w:val="0"/>
        <w:spacing w:before="50" w:after="50" w:line="360" w:lineRule="auto"/>
        <w:rPr>
          <w:rFonts w:ascii="仿宋" w:hAnsi="仿宋" w:eastAsia="仿宋" w:cs="仿宋"/>
          <w:color w:val="auto"/>
          <w:sz w:val="24"/>
          <w:highlight w:val="none"/>
        </w:rPr>
      </w:pPr>
    </w:p>
    <w:p w14:paraId="66DD9779">
      <w:pPr>
        <w:snapToGrid w:val="0"/>
        <w:spacing w:before="50" w:after="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法定代表人或者委托代理人（签字）：</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5E08E45B">
      <w:pPr>
        <w:snapToGrid w:val="0"/>
        <w:spacing w:before="166" w:beforeLines="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投标人（公章）：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162D6A60">
      <w:pPr>
        <w:snapToGrid w:val="0"/>
        <w:spacing w:before="166" w:beforeLines="50"/>
        <w:ind w:firstLine="3360" w:firstLineChars="1400"/>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 xml:space="preserve">日  期：   </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6756AD41">
      <w:pPr>
        <w:snapToGrid w:val="0"/>
        <w:spacing w:before="166"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5. 项目实施人员一览表格式</w:t>
      </w:r>
    </w:p>
    <w:p w14:paraId="0341824A">
      <w:pPr>
        <w:snapToGrid w:val="0"/>
        <w:spacing w:before="166" w:beforeLines="50" w:after="50"/>
        <w:ind w:left="142"/>
        <w:jc w:val="left"/>
        <w:rPr>
          <w:rFonts w:ascii="仿宋" w:hAnsi="仿宋" w:eastAsia="仿宋" w:cs="仿宋"/>
          <w:b/>
          <w:color w:val="auto"/>
          <w:sz w:val="24"/>
          <w:highlight w:val="none"/>
        </w:rPr>
      </w:pPr>
    </w:p>
    <w:p w14:paraId="03300509">
      <w:pPr>
        <w:pStyle w:val="8"/>
        <w:overflowPunct w:val="0"/>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项目实施人员一览表</w:t>
      </w:r>
    </w:p>
    <w:p w14:paraId="643DEDEE">
      <w:pPr>
        <w:snapToGrid w:val="0"/>
        <w:spacing w:before="50" w:after="50" w:line="360" w:lineRule="auto"/>
        <w:rPr>
          <w:rFonts w:ascii="仿宋" w:hAnsi="仿宋" w:eastAsia="仿宋" w:cs="仿宋"/>
          <w:color w:val="auto"/>
          <w:sz w:val="24"/>
          <w:highlight w:val="none"/>
        </w:rPr>
      </w:pPr>
    </w:p>
    <w:p w14:paraId="36DDB520">
      <w:pPr>
        <w:snapToGrid w:val="0"/>
        <w:spacing w:before="50" w:after="5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分标：</w:t>
      </w:r>
      <w:r>
        <w:rPr>
          <w:rFonts w:hint="eastAsia" w:ascii="仿宋" w:hAnsi="仿宋" w:eastAsia="仿宋" w:cs="仿宋"/>
          <w:color w:val="auto"/>
          <w:sz w:val="24"/>
          <w:highlight w:val="none"/>
          <w:u w:val="single"/>
        </w:rPr>
        <w:t xml:space="preserve">  </w:t>
      </w:r>
    </w:p>
    <w:p w14:paraId="727A4D83">
      <w:pPr>
        <w:pStyle w:val="25"/>
        <w:rPr>
          <w:rFonts w:ascii="仿宋" w:hAnsi="仿宋" w:eastAsia="仿宋" w:cs="仿宋"/>
          <w:color w:val="auto"/>
          <w:sz w:val="24"/>
          <w:szCs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8FC7FF7">
      <w:pPr>
        <w:pStyle w:val="25"/>
        <w:rPr>
          <w:rFonts w:ascii="仿宋" w:hAnsi="仿宋" w:eastAsia="仿宋" w:cs="仿宋"/>
          <w:color w:val="auto"/>
          <w:sz w:val="24"/>
          <w:szCs w:val="24"/>
          <w:highlight w:val="none"/>
        </w:rPr>
      </w:pPr>
    </w:p>
    <w:tbl>
      <w:tblPr>
        <w:tblStyle w:val="49"/>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2CDD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915" w:type="dxa"/>
            <w:vAlign w:val="center"/>
          </w:tcPr>
          <w:p w14:paraId="69C61DCA">
            <w:pPr>
              <w:snapToGrid w:val="0"/>
              <w:spacing w:before="50" w:after="166"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姓名</w:t>
            </w:r>
          </w:p>
        </w:tc>
        <w:tc>
          <w:tcPr>
            <w:tcW w:w="794" w:type="dxa"/>
            <w:vAlign w:val="center"/>
          </w:tcPr>
          <w:p w14:paraId="7071C045">
            <w:pPr>
              <w:snapToGrid w:val="0"/>
              <w:spacing w:before="50" w:after="166"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职务</w:t>
            </w:r>
          </w:p>
        </w:tc>
        <w:tc>
          <w:tcPr>
            <w:tcW w:w="1907" w:type="dxa"/>
            <w:vAlign w:val="center"/>
          </w:tcPr>
          <w:p w14:paraId="56EA1ADD">
            <w:pPr>
              <w:snapToGrid w:val="0"/>
              <w:spacing w:before="50" w:after="166"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专业技术资格（职称）或者职业资格或者执业资格证或者其他证书</w:t>
            </w:r>
          </w:p>
        </w:tc>
        <w:tc>
          <w:tcPr>
            <w:tcW w:w="1592" w:type="dxa"/>
            <w:vAlign w:val="center"/>
          </w:tcPr>
          <w:p w14:paraId="6E157D9A">
            <w:pPr>
              <w:snapToGrid w:val="0"/>
              <w:spacing w:before="50" w:after="166"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证书编号</w:t>
            </w:r>
          </w:p>
        </w:tc>
        <w:tc>
          <w:tcPr>
            <w:tcW w:w="1903" w:type="dxa"/>
            <w:vAlign w:val="center"/>
          </w:tcPr>
          <w:p w14:paraId="49807DAC">
            <w:pPr>
              <w:snapToGrid w:val="0"/>
              <w:spacing w:before="50" w:after="166"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参加本单位</w:t>
            </w:r>
          </w:p>
          <w:p w14:paraId="61620B92">
            <w:pPr>
              <w:snapToGrid w:val="0"/>
              <w:spacing w:before="50" w:after="166"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工作时间</w:t>
            </w:r>
          </w:p>
        </w:tc>
        <w:tc>
          <w:tcPr>
            <w:tcW w:w="2066" w:type="dxa"/>
            <w:vAlign w:val="center"/>
          </w:tcPr>
          <w:p w14:paraId="0962C2F3">
            <w:pPr>
              <w:snapToGrid w:val="0"/>
              <w:spacing w:before="50" w:after="166"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劳动合同编号</w:t>
            </w:r>
          </w:p>
        </w:tc>
      </w:tr>
      <w:tr w14:paraId="0419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15" w:type="dxa"/>
            <w:vAlign w:val="center"/>
          </w:tcPr>
          <w:p w14:paraId="4ABAA84E">
            <w:pPr>
              <w:snapToGrid w:val="0"/>
              <w:spacing w:before="50" w:after="166" w:afterLines="50"/>
              <w:jc w:val="center"/>
              <w:rPr>
                <w:rFonts w:ascii="仿宋" w:hAnsi="仿宋" w:eastAsia="仿宋" w:cs="仿宋"/>
                <w:color w:val="auto"/>
                <w:sz w:val="24"/>
                <w:szCs w:val="20"/>
                <w:highlight w:val="none"/>
              </w:rPr>
            </w:pPr>
          </w:p>
        </w:tc>
        <w:tc>
          <w:tcPr>
            <w:tcW w:w="794" w:type="dxa"/>
            <w:vAlign w:val="center"/>
          </w:tcPr>
          <w:p w14:paraId="75D78D87">
            <w:pPr>
              <w:snapToGrid w:val="0"/>
              <w:spacing w:before="50" w:after="166" w:afterLines="50"/>
              <w:jc w:val="center"/>
              <w:rPr>
                <w:rFonts w:ascii="仿宋" w:hAnsi="仿宋" w:eastAsia="仿宋" w:cs="仿宋"/>
                <w:color w:val="auto"/>
                <w:sz w:val="24"/>
                <w:szCs w:val="20"/>
                <w:highlight w:val="none"/>
              </w:rPr>
            </w:pPr>
          </w:p>
        </w:tc>
        <w:tc>
          <w:tcPr>
            <w:tcW w:w="1907" w:type="dxa"/>
            <w:vAlign w:val="center"/>
          </w:tcPr>
          <w:p w14:paraId="695D6209">
            <w:pPr>
              <w:snapToGrid w:val="0"/>
              <w:spacing w:before="50" w:after="166" w:afterLines="50"/>
              <w:jc w:val="center"/>
              <w:rPr>
                <w:rFonts w:ascii="仿宋" w:hAnsi="仿宋" w:eastAsia="仿宋" w:cs="仿宋"/>
                <w:color w:val="auto"/>
                <w:sz w:val="24"/>
                <w:szCs w:val="20"/>
                <w:highlight w:val="none"/>
              </w:rPr>
            </w:pPr>
          </w:p>
        </w:tc>
        <w:tc>
          <w:tcPr>
            <w:tcW w:w="1592" w:type="dxa"/>
            <w:vAlign w:val="center"/>
          </w:tcPr>
          <w:p w14:paraId="3E86E5FC">
            <w:pPr>
              <w:snapToGrid w:val="0"/>
              <w:spacing w:before="50" w:after="166" w:afterLines="50"/>
              <w:jc w:val="center"/>
              <w:rPr>
                <w:rFonts w:ascii="仿宋" w:hAnsi="仿宋" w:eastAsia="仿宋" w:cs="仿宋"/>
                <w:color w:val="auto"/>
                <w:sz w:val="24"/>
                <w:szCs w:val="20"/>
                <w:highlight w:val="none"/>
              </w:rPr>
            </w:pPr>
          </w:p>
        </w:tc>
        <w:tc>
          <w:tcPr>
            <w:tcW w:w="1903" w:type="dxa"/>
            <w:vAlign w:val="center"/>
          </w:tcPr>
          <w:p w14:paraId="5831D1E8">
            <w:pPr>
              <w:snapToGrid w:val="0"/>
              <w:spacing w:before="50" w:after="166" w:afterLines="50"/>
              <w:jc w:val="center"/>
              <w:rPr>
                <w:rFonts w:ascii="仿宋" w:hAnsi="仿宋" w:eastAsia="仿宋" w:cs="仿宋"/>
                <w:color w:val="auto"/>
                <w:sz w:val="24"/>
                <w:szCs w:val="20"/>
                <w:highlight w:val="none"/>
              </w:rPr>
            </w:pPr>
          </w:p>
        </w:tc>
        <w:tc>
          <w:tcPr>
            <w:tcW w:w="2066" w:type="dxa"/>
            <w:vAlign w:val="center"/>
          </w:tcPr>
          <w:p w14:paraId="0A4E9790">
            <w:pPr>
              <w:snapToGrid w:val="0"/>
              <w:spacing w:before="50" w:after="166" w:afterLines="50"/>
              <w:jc w:val="center"/>
              <w:rPr>
                <w:rFonts w:ascii="仿宋" w:hAnsi="仿宋" w:eastAsia="仿宋" w:cs="仿宋"/>
                <w:color w:val="auto"/>
                <w:sz w:val="24"/>
                <w:szCs w:val="20"/>
                <w:highlight w:val="none"/>
              </w:rPr>
            </w:pPr>
          </w:p>
        </w:tc>
      </w:tr>
      <w:tr w14:paraId="19D9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15" w:type="dxa"/>
            <w:vAlign w:val="center"/>
          </w:tcPr>
          <w:p w14:paraId="52FF5510">
            <w:pPr>
              <w:snapToGrid w:val="0"/>
              <w:spacing w:before="50" w:after="166" w:afterLines="50"/>
              <w:jc w:val="center"/>
              <w:rPr>
                <w:rFonts w:ascii="仿宋" w:hAnsi="仿宋" w:eastAsia="仿宋" w:cs="仿宋"/>
                <w:color w:val="auto"/>
                <w:sz w:val="24"/>
                <w:szCs w:val="20"/>
                <w:highlight w:val="none"/>
              </w:rPr>
            </w:pPr>
          </w:p>
        </w:tc>
        <w:tc>
          <w:tcPr>
            <w:tcW w:w="794" w:type="dxa"/>
            <w:vAlign w:val="center"/>
          </w:tcPr>
          <w:p w14:paraId="286F2CDE">
            <w:pPr>
              <w:snapToGrid w:val="0"/>
              <w:spacing w:before="50" w:after="166" w:afterLines="50"/>
              <w:jc w:val="center"/>
              <w:rPr>
                <w:rFonts w:ascii="仿宋" w:hAnsi="仿宋" w:eastAsia="仿宋" w:cs="仿宋"/>
                <w:color w:val="auto"/>
                <w:sz w:val="24"/>
                <w:szCs w:val="20"/>
                <w:highlight w:val="none"/>
              </w:rPr>
            </w:pPr>
          </w:p>
        </w:tc>
        <w:tc>
          <w:tcPr>
            <w:tcW w:w="1907" w:type="dxa"/>
            <w:vAlign w:val="center"/>
          </w:tcPr>
          <w:p w14:paraId="4C190342">
            <w:pPr>
              <w:snapToGrid w:val="0"/>
              <w:spacing w:before="50" w:after="166" w:afterLines="50"/>
              <w:jc w:val="center"/>
              <w:rPr>
                <w:rFonts w:ascii="仿宋" w:hAnsi="仿宋" w:eastAsia="仿宋" w:cs="仿宋"/>
                <w:color w:val="auto"/>
                <w:sz w:val="24"/>
                <w:szCs w:val="20"/>
                <w:highlight w:val="none"/>
              </w:rPr>
            </w:pPr>
          </w:p>
        </w:tc>
        <w:tc>
          <w:tcPr>
            <w:tcW w:w="1592" w:type="dxa"/>
            <w:vAlign w:val="center"/>
          </w:tcPr>
          <w:p w14:paraId="769EE72C">
            <w:pPr>
              <w:snapToGrid w:val="0"/>
              <w:spacing w:before="50" w:after="166" w:afterLines="50"/>
              <w:jc w:val="center"/>
              <w:rPr>
                <w:rFonts w:ascii="仿宋" w:hAnsi="仿宋" w:eastAsia="仿宋" w:cs="仿宋"/>
                <w:color w:val="auto"/>
                <w:sz w:val="24"/>
                <w:szCs w:val="20"/>
                <w:highlight w:val="none"/>
              </w:rPr>
            </w:pPr>
          </w:p>
        </w:tc>
        <w:tc>
          <w:tcPr>
            <w:tcW w:w="1903" w:type="dxa"/>
            <w:vAlign w:val="center"/>
          </w:tcPr>
          <w:p w14:paraId="491767EA">
            <w:pPr>
              <w:snapToGrid w:val="0"/>
              <w:spacing w:before="50" w:after="166" w:afterLines="50"/>
              <w:jc w:val="center"/>
              <w:rPr>
                <w:rFonts w:ascii="仿宋" w:hAnsi="仿宋" w:eastAsia="仿宋" w:cs="仿宋"/>
                <w:color w:val="auto"/>
                <w:sz w:val="24"/>
                <w:szCs w:val="20"/>
                <w:highlight w:val="none"/>
              </w:rPr>
            </w:pPr>
          </w:p>
        </w:tc>
        <w:tc>
          <w:tcPr>
            <w:tcW w:w="2066" w:type="dxa"/>
            <w:vAlign w:val="center"/>
          </w:tcPr>
          <w:p w14:paraId="21FA4943">
            <w:pPr>
              <w:snapToGrid w:val="0"/>
              <w:spacing w:before="50" w:after="166" w:afterLines="50"/>
              <w:jc w:val="center"/>
              <w:rPr>
                <w:rFonts w:ascii="仿宋" w:hAnsi="仿宋" w:eastAsia="仿宋" w:cs="仿宋"/>
                <w:color w:val="auto"/>
                <w:sz w:val="24"/>
                <w:szCs w:val="20"/>
                <w:highlight w:val="none"/>
              </w:rPr>
            </w:pPr>
          </w:p>
        </w:tc>
      </w:tr>
      <w:tr w14:paraId="2764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15" w:type="dxa"/>
            <w:vAlign w:val="center"/>
          </w:tcPr>
          <w:p w14:paraId="4074AB9F">
            <w:pPr>
              <w:snapToGrid w:val="0"/>
              <w:spacing w:before="50" w:after="166" w:afterLines="50"/>
              <w:jc w:val="center"/>
              <w:rPr>
                <w:rFonts w:ascii="仿宋" w:hAnsi="仿宋" w:eastAsia="仿宋" w:cs="仿宋"/>
                <w:color w:val="auto"/>
                <w:sz w:val="24"/>
                <w:szCs w:val="20"/>
                <w:highlight w:val="none"/>
              </w:rPr>
            </w:pPr>
          </w:p>
        </w:tc>
        <w:tc>
          <w:tcPr>
            <w:tcW w:w="794" w:type="dxa"/>
            <w:vAlign w:val="center"/>
          </w:tcPr>
          <w:p w14:paraId="56E8CEC6">
            <w:pPr>
              <w:snapToGrid w:val="0"/>
              <w:spacing w:before="50" w:after="166" w:afterLines="50"/>
              <w:jc w:val="center"/>
              <w:rPr>
                <w:rFonts w:ascii="仿宋" w:hAnsi="仿宋" w:eastAsia="仿宋" w:cs="仿宋"/>
                <w:color w:val="auto"/>
                <w:sz w:val="24"/>
                <w:szCs w:val="20"/>
                <w:highlight w:val="none"/>
              </w:rPr>
            </w:pPr>
          </w:p>
        </w:tc>
        <w:tc>
          <w:tcPr>
            <w:tcW w:w="1907" w:type="dxa"/>
            <w:vAlign w:val="center"/>
          </w:tcPr>
          <w:p w14:paraId="3C515DDE">
            <w:pPr>
              <w:snapToGrid w:val="0"/>
              <w:spacing w:before="50" w:after="166" w:afterLines="50"/>
              <w:jc w:val="center"/>
              <w:rPr>
                <w:rFonts w:ascii="仿宋" w:hAnsi="仿宋" w:eastAsia="仿宋" w:cs="仿宋"/>
                <w:color w:val="auto"/>
                <w:sz w:val="24"/>
                <w:szCs w:val="20"/>
                <w:highlight w:val="none"/>
              </w:rPr>
            </w:pPr>
          </w:p>
        </w:tc>
        <w:tc>
          <w:tcPr>
            <w:tcW w:w="1592" w:type="dxa"/>
            <w:vAlign w:val="center"/>
          </w:tcPr>
          <w:p w14:paraId="188AE29F">
            <w:pPr>
              <w:snapToGrid w:val="0"/>
              <w:spacing w:before="50" w:after="166" w:afterLines="50"/>
              <w:jc w:val="center"/>
              <w:rPr>
                <w:rFonts w:ascii="仿宋" w:hAnsi="仿宋" w:eastAsia="仿宋" w:cs="仿宋"/>
                <w:color w:val="auto"/>
                <w:sz w:val="24"/>
                <w:szCs w:val="20"/>
                <w:highlight w:val="none"/>
              </w:rPr>
            </w:pPr>
          </w:p>
        </w:tc>
        <w:tc>
          <w:tcPr>
            <w:tcW w:w="1903" w:type="dxa"/>
            <w:vAlign w:val="center"/>
          </w:tcPr>
          <w:p w14:paraId="2324A07E">
            <w:pPr>
              <w:snapToGrid w:val="0"/>
              <w:spacing w:before="50" w:after="166" w:afterLines="50"/>
              <w:jc w:val="center"/>
              <w:rPr>
                <w:rFonts w:ascii="仿宋" w:hAnsi="仿宋" w:eastAsia="仿宋" w:cs="仿宋"/>
                <w:color w:val="auto"/>
                <w:sz w:val="24"/>
                <w:szCs w:val="20"/>
                <w:highlight w:val="none"/>
              </w:rPr>
            </w:pPr>
          </w:p>
        </w:tc>
        <w:tc>
          <w:tcPr>
            <w:tcW w:w="2066" w:type="dxa"/>
            <w:vAlign w:val="center"/>
          </w:tcPr>
          <w:p w14:paraId="4F2DB420">
            <w:pPr>
              <w:snapToGrid w:val="0"/>
              <w:spacing w:before="50" w:after="166" w:afterLines="50"/>
              <w:jc w:val="center"/>
              <w:rPr>
                <w:rFonts w:ascii="仿宋" w:hAnsi="仿宋" w:eastAsia="仿宋" w:cs="仿宋"/>
                <w:color w:val="auto"/>
                <w:sz w:val="24"/>
                <w:szCs w:val="20"/>
                <w:highlight w:val="none"/>
              </w:rPr>
            </w:pPr>
          </w:p>
        </w:tc>
      </w:tr>
    </w:tbl>
    <w:p w14:paraId="4427E7C4">
      <w:pPr>
        <w:snapToGrid w:val="0"/>
        <w:spacing w:before="50" w:after="166" w:afterLines="50"/>
        <w:jc w:val="left"/>
        <w:rPr>
          <w:rFonts w:ascii="仿宋" w:hAnsi="仿宋" w:eastAsia="仿宋" w:cs="仿宋"/>
          <w:color w:val="auto"/>
          <w:sz w:val="24"/>
          <w:szCs w:val="20"/>
          <w:highlight w:val="none"/>
        </w:rPr>
      </w:pPr>
    </w:p>
    <w:p w14:paraId="49F312CF">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注：</w:t>
      </w:r>
    </w:p>
    <w:p w14:paraId="0D25696B">
      <w:pPr>
        <w:spacing w:line="360" w:lineRule="auto"/>
        <w:ind w:firstLine="480" w:firstLineChars="200"/>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1.在填写时，如本表格不适合投标单位的实际情况，可根据本表格式自行制表填写。</w:t>
      </w:r>
    </w:p>
    <w:p w14:paraId="6F49D5A8">
      <w:pPr>
        <w:spacing w:line="360" w:lineRule="auto"/>
        <w:ind w:firstLine="480" w:firstLineChars="200"/>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2.投标人应当附本表所列证书的复印件并加盖投标人公章。</w:t>
      </w:r>
    </w:p>
    <w:p w14:paraId="7E96792D">
      <w:pPr>
        <w:snapToGrid w:val="0"/>
        <w:spacing w:before="50" w:after="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法定代表人或者委托代理人（签字）：</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DB3A9CF">
      <w:pPr>
        <w:snapToGrid w:val="0"/>
        <w:spacing w:before="166" w:beforeLines="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投标人（公章）：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20864AC9">
      <w:pPr>
        <w:snapToGrid w:val="0"/>
        <w:spacing w:before="166" w:beforeLines="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5AEFB9BD">
      <w:pPr>
        <w:snapToGrid w:val="0"/>
        <w:spacing w:before="50" w:after="166" w:afterLines="50"/>
        <w:jc w:val="left"/>
        <w:rPr>
          <w:rFonts w:ascii="仿宋" w:hAnsi="仿宋" w:eastAsia="仿宋" w:cs="仿宋"/>
          <w:color w:val="auto"/>
          <w:sz w:val="24"/>
          <w:szCs w:val="20"/>
          <w:highlight w:val="none"/>
        </w:rPr>
      </w:pPr>
    </w:p>
    <w:p w14:paraId="39B574C2">
      <w:pPr>
        <w:snapToGrid w:val="0"/>
        <w:spacing w:before="166"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6. 选配件、专用耗材、售后服务优惠表格式（注：按项目需求表具体项目修改）</w:t>
      </w:r>
    </w:p>
    <w:p w14:paraId="014CFBF0">
      <w:pPr>
        <w:snapToGrid w:val="0"/>
        <w:spacing w:before="166" w:beforeLines="50" w:after="50"/>
        <w:ind w:left="142"/>
        <w:jc w:val="left"/>
        <w:rPr>
          <w:rFonts w:ascii="仿宋" w:hAnsi="仿宋" w:eastAsia="仿宋" w:cs="仿宋"/>
          <w:b/>
          <w:color w:val="auto"/>
          <w:sz w:val="24"/>
          <w:highlight w:val="none"/>
        </w:rPr>
      </w:pPr>
    </w:p>
    <w:p w14:paraId="0169E847">
      <w:pPr>
        <w:snapToGrid w:val="0"/>
        <w:spacing w:before="166" w:beforeLines="50" w:after="50"/>
        <w:ind w:left="142"/>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选配件、专用耗材、售后服务优惠表</w:t>
      </w:r>
    </w:p>
    <w:p w14:paraId="5700A736">
      <w:pPr>
        <w:snapToGrid w:val="0"/>
        <w:spacing w:before="50" w:after="50" w:line="360" w:lineRule="auto"/>
        <w:rPr>
          <w:rFonts w:ascii="仿宋" w:hAnsi="仿宋" w:eastAsia="仿宋" w:cs="仿宋"/>
          <w:color w:val="auto"/>
          <w:sz w:val="24"/>
          <w:highlight w:val="none"/>
        </w:rPr>
      </w:pPr>
    </w:p>
    <w:p w14:paraId="4F1BA987">
      <w:pPr>
        <w:snapToGrid w:val="0"/>
        <w:spacing w:before="50" w:after="5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分标：</w:t>
      </w:r>
      <w:r>
        <w:rPr>
          <w:rFonts w:hint="eastAsia" w:ascii="仿宋" w:hAnsi="仿宋" w:eastAsia="仿宋" w:cs="仿宋"/>
          <w:color w:val="auto"/>
          <w:sz w:val="24"/>
          <w:highlight w:val="none"/>
          <w:u w:val="single"/>
        </w:rPr>
        <w:t xml:space="preserve">  </w:t>
      </w:r>
    </w:p>
    <w:p w14:paraId="734388A4">
      <w:pPr>
        <w:pStyle w:val="25"/>
        <w:rPr>
          <w:rFonts w:ascii="仿宋" w:hAnsi="仿宋" w:eastAsia="仿宋" w:cs="仿宋"/>
          <w:color w:val="auto"/>
          <w:sz w:val="24"/>
          <w:szCs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0DDEB4D">
      <w:pPr>
        <w:snapToGrid w:val="0"/>
        <w:spacing w:before="50"/>
        <w:jc w:val="left"/>
        <w:rPr>
          <w:rFonts w:ascii="仿宋" w:hAnsi="仿宋" w:eastAsia="仿宋" w:cs="仿宋"/>
          <w:color w:val="auto"/>
          <w:sz w:val="24"/>
          <w:highlight w:val="none"/>
          <w:u w:val="single"/>
        </w:rPr>
      </w:pPr>
    </w:p>
    <w:p w14:paraId="5C9895DA">
      <w:pPr>
        <w:pStyle w:val="25"/>
        <w:rPr>
          <w:rFonts w:ascii="仿宋" w:hAnsi="仿宋" w:eastAsia="仿宋" w:cs="仿宋"/>
          <w:color w:val="auto"/>
          <w:sz w:val="24"/>
          <w:szCs w:val="24"/>
          <w:highlight w:val="none"/>
        </w:rPr>
      </w:pPr>
    </w:p>
    <w:tbl>
      <w:tblPr>
        <w:tblStyle w:val="49"/>
        <w:tblW w:w="84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8"/>
        <w:gridCol w:w="2639"/>
        <w:gridCol w:w="1407"/>
        <w:gridCol w:w="1407"/>
        <w:gridCol w:w="2287"/>
      </w:tblGrid>
      <w:tr w14:paraId="48956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7" w:hRule="atLeast"/>
        </w:trPr>
        <w:tc>
          <w:tcPr>
            <w:tcW w:w="7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B9C4D4">
            <w:pPr>
              <w:pStyle w:val="25"/>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2639" w:type="dxa"/>
            <w:tcBorders>
              <w:top w:val="single" w:color="auto" w:sz="4" w:space="0"/>
              <w:left w:val="single" w:color="auto" w:sz="4" w:space="0"/>
              <w:bottom w:val="single" w:color="auto" w:sz="2" w:space="0"/>
              <w:right w:val="single" w:color="auto" w:sz="4" w:space="0"/>
            </w:tcBorders>
            <w:vAlign w:val="center"/>
          </w:tcPr>
          <w:p w14:paraId="45C0EF41">
            <w:pPr>
              <w:pStyle w:val="25"/>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优惠内容</w:t>
            </w:r>
          </w:p>
        </w:tc>
        <w:tc>
          <w:tcPr>
            <w:tcW w:w="1407" w:type="dxa"/>
            <w:tcBorders>
              <w:top w:val="single" w:color="auto" w:sz="4" w:space="0"/>
              <w:left w:val="single" w:color="auto" w:sz="4" w:space="0"/>
              <w:bottom w:val="single" w:color="auto" w:sz="2" w:space="0"/>
              <w:right w:val="single" w:color="auto" w:sz="4" w:space="0"/>
            </w:tcBorders>
            <w:vAlign w:val="center"/>
          </w:tcPr>
          <w:p w14:paraId="15A75C38">
            <w:pPr>
              <w:pStyle w:val="25"/>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适用机型</w:t>
            </w:r>
          </w:p>
        </w:tc>
        <w:tc>
          <w:tcPr>
            <w:tcW w:w="1407"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0898E62">
            <w:pPr>
              <w:pStyle w:val="25"/>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单价（人民币元）</w:t>
            </w:r>
          </w:p>
        </w:tc>
        <w:tc>
          <w:tcPr>
            <w:tcW w:w="2287" w:type="dxa"/>
            <w:tcBorders>
              <w:top w:val="single" w:color="auto" w:sz="4" w:space="0"/>
              <w:left w:val="single" w:color="auto" w:sz="4" w:space="0"/>
              <w:bottom w:val="single" w:color="auto" w:sz="2" w:space="0"/>
              <w:right w:val="single" w:color="auto" w:sz="4" w:space="0"/>
            </w:tcBorders>
            <w:vAlign w:val="center"/>
          </w:tcPr>
          <w:p w14:paraId="48282EBA">
            <w:pPr>
              <w:pStyle w:val="25"/>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比市场价优惠率</w:t>
            </w:r>
          </w:p>
        </w:tc>
      </w:tr>
      <w:tr w14:paraId="3732D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6"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6F70B4B">
            <w:pPr>
              <w:pStyle w:val="25"/>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2639" w:type="dxa"/>
            <w:tcBorders>
              <w:top w:val="single" w:color="auto" w:sz="2" w:space="0"/>
              <w:left w:val="single" w:color="auto" w:sz="2" w:space="0"/>
              <w:bottom w:val="single" w:color="auto" w:sz="6" w:space="0"/>
              <w:right w:val="single" w:color="auto" w:sz="4" w:space="0"/>
            </w:tcBorders>
            <w:vAlign w:val="center"/>
          </w:tcPr>
          <w:p w14:paraId="6E790A2B">
            <w:pPr>
              <w:pStyle w:val="25"/>
              <w:snapToGrid w:val="0"/>
              <w:spacing w:before="295" w:after="295"/>
              <w:jc w:val="center"/>
              <w:rPr>
                <w:rFonts w:ascii="仿宋" w:hAnsi="仿宋" w:eastAsia="仿宋" w:cs="仿宋"/>
                <w:color w:val="auto"/>
                <w:kern w:val="2"/>
                <w:sz w:val="24"/>
                <w:szCs w:val="24"/>
                <w:highlight w:val="none"/>
              </w:rPr>
            </w:pPr>
          </w:p>
        </w:tc>
        <w:tc>
          <w:tcPr>
            <w:tcW w:w="1407" w:type="dxa"/>
            <w:tcBorders>
              <w:top w:val="single" w:color="auto" w:sz="2" w:space="0"/>
              <w:left w:val="single" w:color="auto" w:sz="4" w:space="0"/>
              <w:bottom w:val="single" w:color="auto" w:sz="6" w:space="0"/>
              <w:right w:val="single" w:color="auto" w:sz="6" w:space="0"/>
            </w:tcBorders>
            <w:vAlign w:val="center"/>
          </w:tcPr>
          <w:p w14:paraId="3488103A">
            <w:pPr>
              <w:pStyle w:val="25"/>
              <w:snapToGrid w:val="0"/>
              <w:spacing w:before="295" w:after="295"/>
              <w:jc w:val="center"/>
              <w:rPr>
                <w:rFonts w:ascii="仿宋" w:hAnsi="仿宋" w:eastAsia="仿宋" w:cs="仿宋"/>
                <w:color w:val="auto"/>
                <w:kern w:val="2"/>
                <w:sz w:val="24"/>
                <w:szCs w:val="24"/>
                <w:highlight w:val="none"/>
              </w:rPr>
            </w:pPr>
          </w:p>
        </w:tc>
        <w:tc>
          <w:tcPr>
            <w:tcW w:w="1407"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62E35D9B">
            <w:pPr>
              <w:pStyle w:val="25"/>
              <w:snapToGrid w:val="0"/>
              <w:spacing w:before="295" w:after="295"/>
              <w:jc w:val="center"/>
              <w:rPr>
                <w:rFonts w:ascii="仿宋" w:hAnsi="仿宋" w:eastAsia="仿宋" w:cs="仿宋"/>
                <w:color w:val="auto"/>
                <w:kern w:val="2"/>
                <w:sz w:val="24"/>
                <w:szCs w:val="24"/>
                <w:highlight w:val="none"/>
              </w:rPr>
            </w:pPr>
          </w:p>
        </w:tc>
        <w:tc>
          <w:tcPr>
            <w:tcW w:w="2287" w:type="dxa"/>
            <w:tcBorders>
              <w:top w:val="single" w:color="auto" w:sz="2" w:space="0"/>
              <w:left w:val="single" w:color="auto" w:sz="6" w:space="0"/>
              <w:bottom w:val="single" w:color="auto" w:sz="6" w:space="0"/>
              <w:right w:val="single" w:color="auto" w:sz="2" w:space="0"/>
            </w:tcBorders>
            <w:vAlign w:val="center"/>
          </w:tcPr>
          <w:p w14:paraId="478AE9A9">
            <w:pPr>
              <w:pStyle w:val="25"/>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w:t>
            </w:r>
          </w:p>
        </w:tc>
      </w:tr>
      <w:tr w14:paraId="32CC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1"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46A5174">
            <w:pPr>
              <w:pStyle w:val="25"/>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2639" w:type="dxa"/>
            <w:tcBorders>
              <w:top w:val="single" w:color="auto" w:sz="6" w:space="0"/>
              <w:left w:val="single" w:color="auto" w:sz="2" w:space="0"/>
              <w:bottom w:val="single" w:color="auto" w:sz="6" w:space="0"/>
              <w:right w:val="single" w:color="auto" w:sz="4" w:space="0"/>
            </w:tcBorders>
            <w:vAlign w:val="center"/>
          </w:tcPr>
          <w:p w14:paraId="6DC38F34">
            <w:pPr>
              <w:pStyle w:val="25"/>
              <w:snapToGrid w:val="0"/>
              <w:spacing w:before="295" w:after="295"/>
              <w:jc w:val="center"/>
              <w:rPr>
                <w:rFonts w:ascii="仿宋" w:hAnsi="仿宋" w:eastAsia="仿宋" w:cs="仿宋"/>
                <w:color w:val="auto"/>
                <w:kern w:val="2"/>
                <w:sz w:val="24"/>
                <w:szCs w:val="24"/>
                <w:highlight w:val="none"/>
              </w:rPr>
            </w:pPr>
          </w:p>
        </w:tc>
        <w:tc>
          <w:tcPr>
            <w:tcW w:w="1407" w:type="dxa"/>
            <w:tcBorders>
              <w:top w:val="single" w:color="auto" w:sz="6" w:space="0"/>
              <w:left w:val="single" w:color="auto" w:sz="4" w:space="0"/>
              <w:bottom w:val="single" w:color="auto" w:sz="6" w:space="0"/>
              <w:right w:val="single" w:color="auto" w:sz="6" w:space="0"/>
            </w:tcBorders>
            <w:vAlign w:val="center"/>
          </w:tcPr>
          <w:p w14:paraId="0259A359">
            <w:pPr>
              <w:pStyle w:val="25"/>
              <w:snapToGrid w:val="0"/>
              <w:spacing w:before="295" w:after="295"/>
              <w:jc w:val="center"/>
              <w:rPr>
                <w:rFonts w:ascii="仿宋" w:hAnsi="仿宋" w:eastAsia="仿宋" w:cs="仿宋"/>
                <w:color w:val="auto"/>
                <w:kern w:val="2"/>
                <w:sz w:val="24"/>
                <w:szCs w:val="24"/>
                <w:highlight w:val="none"/>
              </w:rPr>
            </w:pPr>
          </w:p>
        </w:tc>
        <w:tc>
          <w:tcPr>
            <w:tcW w:w="140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3DC3E8F">
            <w:pPr>
              <w:pStyle w:val="25"/>
              <w:snapToGrid w:val="0"/>
              <w:spacing w:before="295" w:after="295"/>
              <w:jc w:val="center"/>
              <w:rPr>
                <w:rFonts w:ascii="仿宋" w:hAnsi="仿宋" w:eastAsia="仿宋" w:cs="仿宋"/>
                <w:color w:val="auto"/>
                <w:kern w:val="2"/>
                <w:sz w:val="24"/>
                <w:szCs w:val="24"/>
                <w:highlight w:val="none"/>
              </w:rPr>
            </w:pPr>
          </w:p>
        </w:tc>
        <w:tc>
          <w:tcPr>
            <w:tcW w:w="2287" w:type="dxa"/>
            <w:tcBorders>
              <w:top w:val="single" w:color="auto" w:sz="6" w:space="0"/>
              <w:left w:val="single" w:color="auto" w:sz="6" w:space="0"/>
              <w:bottom w:val="single" w:color="auto" w:sz="6" w:space="0"/>
              <w:right w:val="single" w:color="auto" w:sz="2" w:space="0"/>
            </w:tcBorders>
            <w:vAlign w:val="center"/>
          </w:tcPr>
          <w:p w14:paraId="7358DAC0">
            <w:pPr>
              <w:pStyle w:val="25"/>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w:t>
            </w:r>
          </w:p>
        </w:tc>
      </w:tr>
      <w:tr w14:paraId="4A34B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5"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B3A49DB">
            <w:pPr>
              <w:pStyle w:val="25"/>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2639" w:type="dxa"/>
            <w:tcBorders>
              <w:top w:val="single" w:color="auto" w:sz="6" w:space="0"/>
              <w:left w:val="single" w:color="auto" w:sz="2" w:space="0"/>
              <w:bottom w:val="single" w:color="auto" w:sz="6" w:space="0"/>
              <w:right w:val="single" w:color="auto" w:sz="4" w:space="0"/>
            </w:tcBorders>
            <w:vAlign w:val="center"/>
          </w:tcPr>
          <w:p w14:paraId="06304010">
            <w:pPr>
              <w:pStyle w:val="25"/>
              <w:snapToGrid w:val="0"/>
              <w:spacing w:before="295" w:after="295"/>
              <w:jc w:val="center"/>
              <w:rPr>
                <w:rFonts w:ascii="仿宋" w:hAnsi="仿宋" w:eastAsia="仿宋" w:cs="仿宋"/>
                <w:color w:val="auto"/>
                <w:kern w:val="2"/>
                <w:sz w:val="24"/>
                <w:szCs w:val="24"/>
                <w:highlight w:val="none"/>
              </w:rPr>
            </w:pPr>
          </w:p>
        </w:tc>
        <w:tc>
          <w:tcPr>
            <w:tcW w:w="1407" w:type="dxa"/>
            <w:tcBorders>
              <w:top w:val="single" w:color="auto" w:sz="6" w:space="0"/>
              <w:left w:val="single" w:color="auto" w:sz="4" w:space="0"/>
              <w:bottom w:val="single" w:color="auto" w:sz="6" w:space="0"/>
              <w:right w:val="single" w:color="auto" w:sz="6" w:space="0"/>
            </w:tcBorders>
            <w:vAlign w:val="center"/>
          </w:tcPr>
          <w:p w14:paraId="04164FB4">
            <w:pPr>
              <w:pStyle w:val="25"/>
              <w:snapToGrid w:val="0"/>
              <w:spacing w:before="295" w:after="295"/>
              <w:jc w:val="center"/>
              <w:rPr>
                <w:rFonts w:ascii="仿宋" w:hAnsi="仿宋" w:eastAsia="仿宋" w:cs="仿宋"/>
                <w:color w:val="auto"/>
                <w:kern w:val="2"/>
                <w:sz w:val="24"/>
                <w:szCs w:val="24"/>
                <w:highlight w:val="none"/>
              </w:rPr>
            </w:pPr>
          </w:p>
        </w:tc>
        <w:tc>
          <w:tcPr>
            <w:tcW w:w="140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6FC4E1B">
            <w:pPr>
              <w:pStyle w:val="25"/>
              <w:snapToGrid w:val="0"/>
              <w:spacing w:before="295" w:after="295"/>
              <w:jc w:val="center"/>
              <w:rPr>
                <w:rFonts w:ascii="仿宋" w:hAnsi="仿宋" w:eastAsia="仿宋" w:cs="仿宋"/>
                <w:color w:val="auto"/>
                <w:kern w:val="2"/>
                <w:sz w:val="24"/>
                <w:szCs w:val="24"/>
                <w:highlight w:val="none"/>
              </w:rPr>
            </w:pPr>
          </w:p>
        </w:tc>
        <w:tc>
          <w:tcPr>
            <w:tcW w:w="2287" w:type="dxa"/>
            <w:tcBorders>
              <w:top w:val="single" w:color="auto" w:sz="6" w:space="0"/>
              <w:left w:val="single" w:color="auto" w:sz="6" w:space="0"/>
              <w:bottom w:val="single" w:color="auto" w:sz="6" w:space="0"/>
              <w:right w:val="single" w:color="auto" w:sz="2" w:space="0"/>
            </w:tcBorders>
            <w:vAlign w:val="center"/>
          </w:tcPr>
          <w:p w14:paraId="784D57F8">
            <w:pPr>
              <w:pStyle w:val="25"/>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w:t>
            </w:r>
          </w:p>
        </w:tc>
      </w:tr>
    </w:tbl>
    <w:p w14:paraId="62544AE1">
      <w:pPr>
        <w:spacing w:line="360" w:lineRule="auto"/>
        <w:contextualSpacing/>
        <w:rPr>
          <w:rFonts w:ascii="仿宋" w:hAnsi="仿宋" w:eastAsia="仿宋" w:cs="仿宋"/>
          <w:color w:val="auto"/>
          <w:sz w:val="24"/>
          <w:highlight w:val="none"/>
        </w:rPr>
      </w:pPr>
    </w:p>
    <w:p w14:paraId="56C9827D">
      <w:pPr>
        <w:snapToGrid w:val="0"/>
        <w:spacing w:before="50" w:after="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法定代表人或者委托代理人（签字）：</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B9FCCB5">
      <w:pPr>
        <w:snapToGrid w:val="0"/>
        <w:spacing w:before="166" w:beforeLines="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投标人（公章）：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C7CE053">
      <w:pPr>
        <w:snapToGrid w:val="0"/>
        <w:spacing w:before="166" w:beforeLines="50"/>
        <w:ind w:firstLine="3360" w:firstLineChars="14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2DB675D8">
      <w:pPr>
        <w:snapToGrid w:val="0"/>
        <w:spacing w:before="50" w:after="166" w:afterLines="50"/>
        <w:jc w:val="left"/>
        <w:rPr>
          <w:rFonts w:ascii="仿宋" w:hAnsi="仿宋" w:eastAsia="仿宋" w:cs="仿宋"/>
          <w:color w:val="auto"/>
          <w:sz w:val="24"/>
          <w:szCs w:val="20"/>
          <w:highlight w:val="none"/>
        </w:rPr>
      </w:pPr>
    </w:p>
    <w:p w14:paraId="4BD3A0F5">
      <w:pPr>
        <w:rPr>
          <w:rFonts w:ascii="仿宋" w:hAnsi="仿宋" w:eastAsia="仿宋" w:cs="仿宋"/>
          <w:b/>
          <w:color w:val="auto"/>
          <w:sz w:val="28"/>
          <w:szCs w:val="28"/>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sz w:val="28"/>
          <w:szCs w:val="28"/>
          <w:highlight w:val="none"/>
        </w:rPr>
        <w:t>五、其他文书、文件格式</w:t>
      </w:r>
    </w:p>
    <w:p w14:paraId="10D2A768">
      <w:pPr>
        <w:snapToGrid w:val="0"/>
        <w:spacing w:before="166" w:beforeLines="50" w:after="50"/>
        <w:ind w:left="142"/>
        <w:jc w:val="left"/>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1.联合投标协议书格式</w:t>
      </w:r>
    </w:p>
    <w:p w14:paraId="7C6CF06F">
      <w:pPr>
        <w:snapToGrid w:val="0"/>
        <w:spacing w:before="166" w:beforeLines="50" w:after="50"/>
        <w:ind w:left="142"/>
        <w:jc w:val="left"/>
        <w:rPr>
          <w:rFonts w:ascii="仿宋" w:hAnsi="仿宋" w:eastAsia="仿宋" w:cs="仿宋"/>
          <w:b/>
          <w:color w:val="auto"/>
          <w:spacing w:val="20"/>
          <w:sz w:val="24"/>
          <w:highlight w:val="none"/>
        </w:rPr>
      </w:pPr>
    </w:p>
    <w:p w14:paraId="7A50C03E">
      <w:pPr>
        <w:pStyle w:val="8"/>
        <w:overflowPunct w:val="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联合体协议书</w:t>
      </w:r>
    </w:p>
    <w:p w14:paraId="06EBF659">
      <w:pPr>
        <w:pStyle w:val="8"/>
        <w:overflowPunct w:val="0"/>
        <w:rPr>
          <w:rFonts w:ascii="仿宋" w:hAnsi="仿宋" w:eastAsia="仿宋" w:cs="仿宋"/>
          <w:color w:val="auto"/>
          <w:sz w:val="24"/>
          <w:highlight w:val="none"/>
        </w:rPr>
      </w:pPr>
    </w:p>
    <w:p w14:paraId="2556767F">
      <w:pPr>
        <w:pStyle w:val="8"/>
        <w:overflowPunct w:val="0"/>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（所有成员单位名称）自愿组成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（联合体名称）联合体，共同参加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（项</w:t>
      </w:r>
      <w:r>
        <w:rPr>
          <w:rFonts w:hint="eastAsia" w:ascii="仿宋" w:hAnsi="仿宋" w:eastAsia="仿宋" w:cs="仿宋"/>
          <w:color w:val="auto"/>
          <w:sz w:val="24"/>
          <w:highlight w:val="none"/>
        </w:rPr>
        <w:t>目名称）采购招标项目投标。现就联合体投标事宜订立如下协议。</w:t>
      </w:r>
    </w:p>
    <w:p w14:paraId="010CA887">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（某成员单位名称）为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（联合体名称）牵头人。</w:t>
      </w:r>
    </w:p>
    <w:p w14:paraId="5DA9F3F8">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5C016263">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3.联合体牵头人在本项目中签署和盖章的一切文件和处理的一切事宜，联合体各成员均予以承认。 联合体各成员将严格按照招标文件、投标文件和合同的要求全面履行义务，并向甲方承担连带责任。</w:t>
      </w:r>
    </w:p>
    <w:p w14:paraId="3C28477B">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4.联合体各成员单位内部的职责分工如下：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w:t>
      </w:r>
    </w:p>
    <w:p w14:paraId="704B1984">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5.本协议书自所有成员单位法定代表人或者其委托代理人签字或者盖公章之日起生效，合同履行完毕后自动失效。</w:t>
      </w:r>
    </w:p>
    <w:p w14:paraId="0C1EC302">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6.本协议书一式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份，联合体成员和甲方各执壹份。</w:t>
      </w:r>
    </w:p>
    <w:p w14:paraId="132BE657">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注：本协议书由法定代表人签字的，应附法定代表人身份证明；由委托代理人签字的，应附授权委托书。</w:t>
      </w:r>
    </w:p>
    <w:p w14:paraId="16305D71">
      <w:pPr>
        <w:pStyle w:val="8"/>
        <w:overflowPunct w:val="0"/>
        <w:spacing w:line="360" w:lineRule="auto"/>
        <w:ind w:firstLineChars="175"/>
        <w:contextualSpacing/>
        <w:rPr>
          <w:rFonts w:ascii="仿宋" w:hAnsi="仿宋" w:eastAsia="仿宋" w:cs="仿宋"/>
          <w:color w:val="auto"/>
          <w:sz w:val="24"/>
          <w:highlight w:val="none"/>
        </w:rPr>
      </w:pPr>
    </w:p>
    <w:p w14:paraId="587D769D">
      <w:pPr>
        <w:pStyle w:val="8"/>
        <w:overflowPunct w:val="0"/>
        <w:spacing w:line="360" w:lineRule="auto"/>
        <w:ind w:firstLineChars="175"/>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联合体牵头人名称（公章）：</w:t>
      </w:r>
      <w:r>
        <w:rPr>
          <w:rFonts w:hint="eastAsia" w:ascii="仿宋" w:hAnsi="仿宋" w:eastAsia="仿宋" w:cs="仿宋"/>
          <w:color w:val="auto"/>
          <w:sz w:val="24"/>
          <w:highlight w:val="none"/>
          <w:u w:val="single"/>
        </w:rPr>
        <w:t xml:space="preserve">                  </w:t>
      </w:r>
    </w:p>
    <w:p w14:paraId="603C5893">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法定代表人或者其委托代理人（签字）：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ab/>
      </w:r>
    </w:p>
    <w:p w14:paraId="061EDCB1">
      <w:pPr>
        <w:pStyle w:val="8"/>
        <w:overflowPunct w:val="0"/>
        <w:spacing w:line="360" w:lineRule="auto"/>
        <w:ind w:firstLineChars="175"/>
        <w:contextualSpacing/>
        <w:rPr>
          <w:rFonts w:ascii="仿宋" w:hAnsi="仿宋" w:eastAsia="仿宋" w:cs="仿宋"/>
          <w:color w:val="auto"/>
          <w:sz w:val="24"/>
          <w:highlight w:val="none"/>
        </w:rPr>
      </w:pPr>
    </w:p>
    <w:p w14:paraId="69052B3E">
      <w:pPr>
        <w:pStyle w:val="8"/>
        <w:overflowPunct w:val="0"/>
        <w:spacing w:line="360" w:lineRule="auto"/>
        <w:ind w:firstLineChars="175"/>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联合体成员名称（公章）：</w:t>
      </w:r>
      <w:r>
        <w:rPr>
          <w:rFonts w:hint="eastAsia" w:ascii="仿宋" w:hAnsi="仿宋" w:eastAsia="仿宋" w:cs="仿宋"/>
          <w:color w:val="auto"/>
          <w:sz w:val="24"/>
          <w:highlight w:val="none"/>
          <w:u w:val="single"/>
        </w:rPr>
        <w:t xml:space="preserve">                     </w:t>
      </w:r>
    </w:p>
    <w:p w14:paraId="0658EB87">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法定代表人或者其委托代理人（签字）：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ab/>
      </w:r>
    </w:p>
    <w:p w14:paraId="1C505324">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50924F4A">
      <w:pPr>
        <w:pStyle w:val="8"/>
        <w:overflowPunct w:val="0"/>
        <w:spacing w:line="360" w:lineRule="auto"/>
        <w:ind w:firstLineChars="175"/>
        <w:contextualSpacing/>
        <w:rPr>
          <w:rFonts w:ascii="仿宋" w:hAnsi="仿宋" w:eastAsia="仿宋" w:cs="仿宋"/>
          <w:color w:val="auto"/>
          <w:sz w:val="24"/>
          <w:highlight w:val="none"/>
        </w:rPr>
      </w:pPr>
    </w:p>
    <w:p w14:paraId="17F8A11A">
      <w:pPr>
        <w:pStyle w:val="8"/>
        <w:overflowPunct w:val="0"/>
        <w:spacing w:line="360" w:lineRule="auto"/>
        <w:ind w:right="720" w:firstLineChars="175"/>
        <w:contextualSpacing/>
        <w:jc w:val="right"/>
        <w:rPr>
          <w:rFonts w:ascii="仿宋" w:hAnsi="仿宋" w:eastAsia="仿宋" w:cs="仿宋"/>
          <w:b/>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日</w:t>
      </w:r>
    </w:p>
    <w:p w14:paraId="38492668">
      <w:pPr>
        <w:snapToGrid w:val="0"/>
        <w:spacing w:before="166" w:beforeLines="50" w:after="50"/>
        <w:jc w:val="left"/>
        <w:rPr>
          <w:rFonts w:ascii="仿宋" w:hAnsi="仿宋" w:eastAsia="仿宋" w:cs="仿宋"/>
          <w:b/>
          <w:color w:val="auto"/>
          <w:sz w:val="24"/>
          <w:highlight w:val="none"/>
        </w:rPr>
      </w:pPr>
    </w:p>
    <w:p w14:paraId="695333F4">
      <w:pPr>
        <w:snapToGrid w:val="0"/>
        <w:spacing w:before="166" w:beforeLines="50" w:after="50"/>
        <w:jc w:val="left"/>
        <w:rPr>
          <w:rFonts w:ascii="仿宋" w:hAnsi="仿宋" w:eastAsia="仿宋" w:cs="仿宋"/>
          <w:color w:val="auto"/>
          <w:highlight w:val="none"/>
        </w:rPr>
      </w:pPr>
      <w:r>
        <w:rPr>
          <w:rFonts w:hint="eastAsia" w:ascii="仿宋" w:hAnsi="仿宋" w:eastAsia="仿宋" w:cs="仿宋"/>
          <w:b/>
          <w:color w:val="auto"/>
          <w:sz w:val="24"/>
          <w:highlight w:val="none"/>
        </w:rPr>
        <w:t>2.中小企业声明函格式</w:t>
      </w:r>
    </w:p>
    <w:p w14:paraId="37FCFF1E">
      <w:pPr>
        <w:rPr>
          <w:rFonts w:ascii="仿宋" w:hAnsi="仿宋" w:eastAsia="仿宋" w:cs="仿宋"/>
          <w:color w:val="auto"/>
          <w:highlight w:val="none"/>
        </w:rPr>
      </w:pPr>
    </w:p>
    <w:p w14:paraId="7FD3F5D1">
      <w:pPr>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中小企业声明函（货物）</w:t>
      </w:r>
    </w:p>
    <w:p w14:paraId="018A3D8E">
      <w:pPr>
        <w:spacing w:before="2" w:line="500" w:lineRule="exact"/>
        <w:rPr>
          <w:rFonts w:ascii="仿宋" w:hAnsi="仿宋" w:eastAsia="仿宋" w:cs="仿宋"/>
          <w:b/>
          <w:bCs/>
          <w:color w:val="auto"/>
          <w:sz w:val="27"/>
          <w:szCs w:val="27"/>
          <w:highlight w:val="none"/>
        </w:rPr>
      </w:pPr>
    </w:p>
    <w:p w14:paraId="2F680FFB">
      <w:pPr>
        <w:pStyle w:val="19"/>
        <w:spacing w:line="360" w:lineRule="auto"/>
        <w:ind w:left="-426" w:leftChars="-203" w:right="142" w:firstLine="480" w:firstLineChars="200"/>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24"/>
          <w:highlight w:val="none"/>
          <w:u w:val="single"/>
        </w:rPr>
        <w:t>（单位名称）</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u w:val="single"/>
        </w:rPr>
        <w:t>（项目名称）</w:t>
      </w:r>
      <w:r>
        <w:rPr>
          <w:rFonts w:hint="eastAsia" w:ascii="仿宋" w:hAnsi="仿宋" w:eastAsia="仿宋" w:cs="仿宋"/>
          <w:color w:val="auto"/>
          <w:kern w:val="24"/>
          <w:highlight w:val="none"/>
        </w:rPr>
        <w:t>采购活动，提供的货物全部由符合政策要求的中小企业制造。相关企业（含联合体中的中小企业、签订分包意向协议的中小企业）的具体情况如下：</w:t>
      </w:r>
    </w:p>
    <w:p w14:paraId="4639EE25">
      <w:pPr>
        <w:tabs>
          <w:tab w:val="left" w:pos="1384"/>
          <w:tab w:val="left" w:pos="4562"/>
          <w:tab w:val="left" w:pos="6803"/>
        </w:tabs>
        <w:spacing w:line="360" w:lineRule="auto"/>
        <w:ind w:left="-426" w:right="-58" w:firstLine="655"/>
        <w:contextualSpacing/>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1.</w:t>
      </w:r>
      <w:r>
        <w:rPr>
          <w:rFonts w:hint="eastAsia" w:ascii="仿宋" w:hAnsi="仿宋" w:eastAsia="仿宋" w:cs="仿宋"/>
          <w:color w:val="auto"/>
          <w:kern w:val="24"/>
          <w:sz w:val="24"/>
          <w:highlight w:val="none"/>
          <w:u w:val="single"/>
        </w:rPr>
        <w:t>（标的名称）</w:t>
      </w:r>
      <w:r>
        <w:rPr>
          <w:rFonts w:hint="eastAsia" w:ascii="仿宋" w:hAnsi="仿宋" w:eastAsia="仿宋" w:cs="仿宋"/>
          <w:color w:val="auto"/>
          <w:kern w:val="24"/>
          <w:sz w:val="24"/>
          <w:highlight w:val="none"/>
        </w:rPr>
        <w:t>，属于</w:t>
      </w:r>
      <w:r>
        <w:rPr>
          <w:rFonts w:hint="eastAsia" w:ascii="仿宋" w:hAnsi="仿宋" w:eastAsia="仿宋" w:cs="仿宋"/>
          <w:color w:val="auto"/>
          <w:kern w:val="24"/>
          <w:sz w:val="24"/>
          <w:highlight w:val="none"/>
          <w:u w:val="single"/>
        </w:rPr>
        <w:t>（采购文件中明确的所属行业）</w:t>
      </w:r>
      <w:r>
        <w:rPr>
          <w:rFonts w:hint="eastAsia" w:ascii="仿宋" w:hAnsi="仿宋" w:eastAsia="仿宋" w:cs="仿宋"/>
          <w:color w:val="auto"/>
          <w:kern w:val="24"/>
          <w:sz w:val="24"/>
          <w:highlight w:val="none"/>
        </w:rPr>
        <w:t>行业；制造商为</w:t>
      </w:r>
      <w:r>
        <w:rPr>
          <w:rFonts w:hint="eastAsia" w:ascii="仿宋" w:hAnsi="仿宋" w:eastAsia="仿宋" w:cs="仿宋"/>
          <w:color w:val="auto"/>
          <w:kern w:val="24"/>
          <w:sz w:val="24"/>
          <w:highlight w:val="none"/>
          <w:u w:val="single"/>
        </w:rPr>
        <w:t>（企业名称）</w:t>
      </w:r>
      <w:r>
        <w:rPr>
          <w:rFonts w:hint="eastAsia" w:ascii="仿宋" w:hAnsi="仿宋" w:eastAsia="仿宋" w:cs="仿宋"/>
          <w:color w:val="auto"/>
          <w:kern w:val="24"/>
          <w:sz w:val="24"/>
          <w:highlight w:val="none"/>
        </w:rPr>
        <w:t>，从业人员</w:t>
      </w:r>
      <w:r>
        <w:rPr>
          <w:rFonts w:hint="eastAsia" w:ascii="仿宋" w:hAnsi="仿宋" w:eastAsia="仿宋" w:cs="仿宋"/>
          <w:color w:val="auto"/>
          <w:kern w:val="24"/>
          <w:sz w:val="24"/>
          <w:highlight w:val="none"/>
          <w:u w:val="single"/>
        </w:rPr>
        <w:t xml:space="preserve">      </w:t>
      </w:r>
      <w:r>
        <w:rPr>
          <w:rFonts w:hint="eastAsia" w:ascii="仿宋" w:hAnsi="仿宋" w:eastAsia="仿宋" w:cs="仿宋"/>
          <w:color w:val="auto"/>
          <w:kern w:val="24"/>
          <w:sz w:val="24"/>
          <w:highlight w:val="none"/>
        </w:rPr>
        <w:t>人，营业收入为</w:t>
      </w:r>
      <w:r>
        <w:rPr>
          <w:rFonts w:hint="eastAsia" w:ascii="仿宋" w:hAnsi="仿宋" w:eastAsia="仿宋" w:cs="仿宋"/>
          <w:color w:val="auto"/>
          <w:kern w:val="24"/>
          <w:sz w:val="24"/>
          <w:highlight w:val="none"/>
          <w:u w:val="single"/>
        </w:rPr>
        <w:t xml:space="preserve">      </w:t>
      </w:r>
      <w:r>
        <w:rPr>
          <w:rFonts w:hint="eastAsia" w:ascii="仿宋" w:hAnsi="仿宋" w:eastAsia="仿宋" w:cs="仿宋"/>
          <w:color w:val="auto"/>
          <w:kern w:val="24"/>
          <w:sz w:val="24"/>
          <w:highlight w:val="none"/>
        </w:rPr>
        <w:t>万元，资产总额为</w:t>
      </w:r>
      <w:r>
        <w:rPr>
          <w:rFonts w:hint="eastAsia" w:ascii="仿宋" w:hAnsi="仿宋" w:eastAsia="仿宋" w:cs="仿宋"/>
          <w:color w:val="auto"/>
          <w:kern w:val="24"/>
          <w:sz w:val="24"/>
          <w:highlight w:val="none"/>
          <w:u w:val="single"/>
        </w:rPr>
        <w:t xml:space="preserve">      </w:t>
      </w:r>
      <w:r>
        <w:rPr>
          <w:rFonts w:hint="eastAsia" w:ascii="仿宋" w:hAnsi="仿宋" w:eastAsia="仿宋" w:cs="仿宋"/>
          <w:color w:val="auto"/>
          <w:kern w:val="24"/>
          <w:sz w:val="24"/>
          <w:highlight w:val="none"/>
        </w:rPr>
        <w:t>万元，属于</w:t>
      </w:r>
      <w:r>
        <w:rPr>
          <w:rFonts w:hint="eastAsia" w:ascii="仿宋" w:hAnsi="仿宋" w:eastAsia="仿宋" w:cs="仿宋"/>
          <w:color w:val="auto"/>
          <w:kern w:val="24"/>
          <w:sz w:val="24"/>
          <w:highlight w:val="none"/>
          <w:u w:val="single"/>
        </w:rPr>
        <w:t>（中型企业、小型企业、微型企业）</w:t>
      </w:r>
      <w:r>
        <w:rPr>
          <w:rFonts w:hint="eastAsia" w:ascii="仿宋" w:hAnsi="仿宋" w:eastAsia="仿宋" w:cs="仿宋"/>
          <w:color w:val="auto"/>
          <w:kern w:val="24"/>
          <w:sz w:val="24"/>
          <w:highlight w:val="none"/>
        </w:rPr>
        <w:t>；</w:t>
      </w:r>
    </w:p>
    <w:p w14:paraId="3771DE3E">
      <w:pPr>
        <w:tabs>
          <w:tab w:val="left" w:pos="1065"/>
          <w:tab w:val="left" w:pos="6477"/>
        </w:tabs>
        <w:spacing w:line="360" w:lineRule="auto"/>
        <w:ind w:left="-426" w:right="-58" w:firstLine="655"/>
        <w:contextualSpacing/>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w:t>
      </w:r>
      <w:r>
        <w:rPr>
          <w:rFonts w:hint="eastAsia" w:ascii="仿宋" w:hAnsi="仿宋" w:eastAsia="仿宋" w:cs="仿宋"/>
          <w:color w:val="auto"/>
          <w:kern w:val="24"/>
          <w:sz w:val="24"/>
          <w:highlight w:val="none"/>
          <w:u w:val="single"/>
        </w:rPr>
        <w:t>（标的名称）</w:t>
      </w:r>
      <w:r>
        <w:rPr>
          <w:rFonts w:hint="eastAsia" w:ascii="仿宋" w:hAnsi="仿宋" w:eastAsia="仿宋" w:cs="仿宋"/>
          <w:color w:val="auto"/>
          <w:kern w:val="24"/>
          <w:sz w:val="24"/>
          <w:highlight w:val="none"/>
        </w:rPr>
        <w:t>，属于</w:t>
      </w:r>
      <w:r>
        <w:rPr>
          <w:rFonts w:hint="eastAsia" w:ascii="仿宋" w:hAnsi="仿宋" w:eastAsia="仿宋" w:cs="仿宋"/>
          <w:color w:val="auto"/>
          <w:kern w:val="24"/>
          <w:sz w:val="24"/>
          <w:highlight w:val="none"/>
          <w:u w:val="single"/>
        </w:rPr>
        <w:t>（采购文件中明确的所属行业）</w:t>
      </w:r>
      <w:r>
        <w:rPr>
          <w:rFonts w:hint="eastAsia" w:ascii="仿宋" w:hAnsi="仿宋" w:eastAsia="仿宋" w:cs="仿宋"/>
          <w:color w:val="auto"/>
          <w:kern w:val="24"/>
          <w:sz w:val="24"/>
          <w:highlight w:val="none"/>
        </w:rPr>
        <w:t>行业；制造商为</w:t>
      </w:r>
      <w:r>
        <w:rPr>
          <w:rFonts w:hint="eastAsia" w:ascii="仿宋" w:hAnsi="仿宋" w:eastAsia="仿宋" w:cs="仿宋"/>
          <w:color w:val="auto"/>
          <w:kern w:val="24"/>
          <w:sz w:val="24"/>
          <w:highlight w:val="none"/>
          <w:u w:val="single"/>
        </w:rPr>
        <w:t>（企业名称）</w:t>
      </w:r>
      <w:r>
        <w:rPr>
          <w:rFonts w:hint="eastAsia" w:ascii="仿宋" w:hAnsi="仿宋" w:eastAsia="仿宋" w:cs="仿宋"/>
          <w:color w:val="auto"/>
          <w:kern w:val="24"/>
          <w:sz w:val="24"/>
          <w:highlight w:val="none"/>
        </w:rPr>
        <w:t>，从业人员</w:t>
      </w:r>
      <w:r>
        <w:rPr>
          <w:rFonts w:hint="eastAsia" w:ascii="仿宋" w:hAnsi="仿宋" w:eastAsia="仿宋" w:cs="仿宋"/>
          <w:color w:val="auto"/>
          <w:kern w:val="24"/>
          <w:sz w:val="24"/>
          <w:highlight w:val="none"/>
          <w:u w:val="single"/>
        </w:rPr>
        <w:t xml:space="preserve">      </w:t>
      </w:r>
      <w:r>
        <w:rPr>
          <w:rFonts w:hint="eastAsia" w:ascii="仿宋" w:hAnsi="仿宋" w:eastAsia="仿宋" w:cs="仿宋"/>
          <w:color w:val="auto"/>
          <w:kern w:val="24"/>
          <w:sz w:val="24"/>
          <w:highlight w:val="none"/>
        </w:rPr>
        <w:t>人，营业收入为</w:t>
      </w:r>
      <w:r>
        <w:rPr>
          <w:rFonts w:hint="eastAsia" w:ascii="仿宋" w:hAnsi="仿宋" w:eastAsia="仿宋" w:cs="仿宋"/>
          <w:color w:val="auto"/>
          <w:kern w:val="24"/>
          <w:sz w:val="24"/>
          <w:highlight w:val="none"/>
          <w:u w:val="single"/>
        </w:rPr>
        <w:t xml:space="preserve">      </w:t>
      </w:r>
      <w:r>
        <w:rPr>
          <w:rFonts w:hint="eastAsia" w:ascii="仿宋" w:hAnsi="仿宋" w:eastAsia="仿宋" w:cs="仿宋"/>
          <w:color w:val="auto"/>
          <w:kern w:val="24"/>
          <w:sz w:val="24"/>
          <w:highlight w:val="none"/>
        </w:rPr>
        <w:t>万元，资产总额为</w:t>
      </w:r>
      <w:r>
        <w:rPr>
          <w:rFonts w:hint="eastAsia" w:ascii="仿宋" w:hAnsi="仿宋" w:eastAsia="仿宋" w:cs="仿宋"/>
          <w:color w:val="auto"/>
          <w:kern w:val="24"/>
          <w:sz w:val="24"/>
          <w:highlight w:val="none"/>
          <w:u w:val="single"/>
        </w:rPr>
        <w:t xml:space="preserve">      </w:t>
      </w:r>
      <w:r>
        <w:rPr>
          <w:rFonts w:hint="eastAsia" w:ascii="仿宋" w:hAnsi="仿宋" w:eastAsia="仿宋" w:cs="仿宋"/>
          <w:color w:val="auto"/>
          <w:kern w:val="24"/>
          <w:sz w:val="24"/>
          <w:highlight w:val="none"/>
        </w:rPr>
        <w:t>万元，属于</w:t>
      </w:r>
      <w:r>
        <w:rPr>
          <w:rFonts w:hint="eastAsia" w:ascii="仿宋" w:hAnsi="仿宋" w:eastAsia="仿宋" w:cs="仿宋"/>
          <w:color w:val="auto"/>
          <w:kern w:val="24"/>
          <w:sz w:val="24"/>
          <w:highlight w:val="none"/>
          <w:u w:val="single"/>
        </w:rPr>
        <w:t>（中型企业、小型企业、微型企业）</w:t>
      </w:r>
      <w:r>
        <w:rPr>
          <w:rFonts w:hint="eastAsia" w:ascii="仿宋" w:hAnsi="仿宋" w:eastAsia="仿宋" w:cs="仿宋"/>
          <w:color w:val="auto"/>
          <w:kern w:val="24"/>
          <w:sz w:val="24"/>
          <w:highlight w:val="none"/>
        </w:rPr>
        <w:t>；</w:t>
      </w:r>
    </w:p>
    <w:p w14:paraId="2667B5C2">
      <w:pPr>
        <w:pStyle w:val="19"/>
        <w:spacing w:line="360" w:lineRule="auto"/>
        <w:ind w:left="142" w:right="142"/>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 xml:space="preserve">…… </w:t>
      </w:r>
    </w:p>
    <w:p w14:paraId="73B4A705">
      <w:pPr>
        <w:pStyle w:val="19"/>
        <w:spacing w:line="360" w:lineRule="auto"/>
        <w:ind w:left="-405" w:leftChars="-193" w:right="142" w:firstLine="453" w:firstLineChars="189"/>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以上企业，不属于大企业的分支机构，不存在控股股东为大企业的情形，也不存在与大企业的负责人为同一人的情形。</w:t>
      </w:r>
    </w:p>
    <w:p w14:paraId="747858F5">
      <w:pPr>
        <w:pStyle w:val="19"/>
        <w:spacing w:line="360" w:lineRule="auto"/>
        <w:ind w:left="-426" w:right="142" w:firstLine="567"/>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本企业对上述声明内容的真实性负责。如有虚假，将依法承担相应责任。</w:t>
      </w:r>
    </w:p>
    <w:p w14:paraId="47F9AFA8">
      <w:pPr>
        <w:pStyle w:val="19"/>
        <w:spacing w:line="360" w:lineRule="auto"/>
        <w:ind w:left="3960" w:right="1808"/>
        <w:contextualSpacing/>
        <w:rPr>
          <w:rFonts w:ascii="仿宋" w:hAnsi="仿宋" w:eastAsia="仿宋" w:cs="仿宋"/>
          <w:color w:val="auto"/>
          <w:kern w:val="24"/>
          <w:highlight w:val="none"/>
        </w:rPr>
      </w:pPr>
    </w:p>
    <w:p w14:paraId="50D49539">
      <w:pPr>
        <w:pStyle w:val="19"/>
        <w:spacing w:line="360" w:lineRule="auto"/>
        <w:ind w:left="3960" w:right="1808"/>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企业名称（公章）：</w:t>
      </w:r>
      <w:r>
        <w:rPr>
          <w:rFonts w:hint="eastAsia" w:ascii="仿宋" w:hAnsi="仿宋" w:eastAsia="仿宋" w:cs="仿宋"/>
          <w:color w:val="auto"/>
          <w:kern w:val="24"/>
          <w:highlight w:val="none"/>
          <w:u w:val="single"/>
        </w:rPr>
        <w:t xml:space="preserve">          </w:t>
      </w:r>
      <w:r>
        <w:rPr>
          <w:rFonts w:hint="eastAsia" w:ascii="仿宋" w:hAnsi="仿宋" w:eastAsia="仿宋" w:cs="仿宋"/>
          <w:color w:val="auto"/>
          <w:kern w:val="24"/>
          <w:highlight w:val="none"/>
        </w:rPr>
        <w:t xml:space="preserve"> </w:t>
      </w:r>
    </w:p>
    <w:p w14:paraId="066D99B5">
      <w:pPr>
        <w:pStyle w:val="19"/>
        <w:spacing w:line="360" w:lineRule="auto"/>
        <w:ind w:left="3960" w:right="1808"/>
        <w:contextualSpacing/>
        <w:rPr>
          <w:rFonts w:ascii="仿宋" w:hAnsi="仿宋" w:eastAsia="仿宋" w:cs="仿宋"/>
          <w:color w:val="auto"/>
          <w:kern w:val="24"/>
          <w:highlight w:val="none"/>
        </w:rPr>
      </w:pPr>
      <w:r>
        <w:rPr>
          <w:rFonts w:hint="eastAsia" w:ascii="仿宋" w:hAnsi="仿宋" w:eastAsia="仿宋" w:cs="仿宋"/>
          <w:color w:val="auto"/>
          <w:spacing w:val="20"/>
          <w:highlight w:val="none"/>
        </w:rPr>
        <w:t>日 期：</w:t>
      </w:r>
      <w:r>
        <w:rPr>
          <w:rFonts w:hint="eastAsia" w:ascii="仿宋" w:hAnsi="仿宋" w:eastAsia="仿宋" w:cs="仿宋"/>
          <w:color w:val="auto"/>
          <w:spacing w:val="20"/>
          <w:highlight w:val="none"/>
          <w:u w:val="single"/>
        </w:rPr>
        <w:t xml:space="preserve">     </w:t>
      </w:r>
      <w:r>
        <w:rPr>
          <w:rFonts w:hint="eastAsia" w:ascii="仿宋" w:hAnsi="仿宋" w:eastAsia="仿宋" w:cs="仿宋"/>
          <w:color w:val="auto"/>
          <w:spacing w:val="20"/>
          <w:highlight w:val="none"/>
        </w:rPr>
        <w:t>年</w:t>
      </w:r>
      <w:r>
        <w:rPr>
          <w:rFonts w:hint="eastAsia" w:ascii="仿宋" w:hAnsi="仿宋" w:eastAsia="仿宋" w:cs="仿宋"/>
          <w:color w:val="auto"/>
          <w:spacing w:val="20"/>
          <w:highlight w:val="none"/>
          <w:u w:val="single"/>
        </w:rPr>
        <w:t xml:space="preserve">  </w:t>
      </w:r>
      <w:r>
        <w:rPr>
          <w:rFonts w:hint="eastAsia" w:ascii="仿宋" w:hAnsi="仿宋" w:eastAsia="仿宋" w:cs="仿宋"/>
          <w:color w:val="auto"/>
          <w:spacing w:val="20"/>
          <w:highlight w:val="none"/>
        </w:rPr>
        <w:t>月</w:t>
      </w:r>
      <w:r>
        <w:rPr>
          <w:rFonts w:hint="eastAsia" w:ascii="仿宋" w:hAnsi="仿宋" w:eastAsia="仿宋" w:cs="仿宋"/>
          <w:color w:val="auto"/>
          <w:spacing w:val="20"/>
          <w:highlight w:val="none"/>
          <w:u w:val="single"/>
        </w:rPr>
        <w:t xml:space="preserve">  </w:t>
      </w:r>
      <w:r>
        <w:rPr>
          <w:rFonts w:hint="eastAsia" w:ascii="仿宋" w:hAnsi="仿宋" w:eastAsia="仿宋" w:cs="仿宋"/>
          <w:color w:val="auto"/>
          <w:spacing w:val="20"/>
          <w:highlight w:val="none"/>
        </w:rPr>
        <w:t>日</w:t>
      </w:r>
    </w:p>
    <w:p w14:paraId="35AE5ABE">
      <w:pPr>
        <w:pStyle w:val="19"/>
        <w:spacing w:line="360" w:lineRule="auto"/>
        <w:ind w:left="3960" w:right="1808"/>
        <w:contextualSpacing/>
        <w:rPr>
          <w:rFonts w:ascii="仿宋" w:hAnsi="仿宋" w:eastAsia="仿宋" w:cs="仿宋"/>
          <w:color w:val="auto"/>
          <w:kern w:val="24"/>
          <w:highlight w:val="none"/>
        </w:rPr>
      </w:pPr>
    </w:p>
    <w:p w14:paraId="7CDC0861">
      <w:pPr>
        <w:pStyle w:val="19"/>
        <w:spacing w:line="360" w:lineRule="auto"/>
        <w:ind w:left="-426" w:right="142" w:firstLine="567"/>
        <w:contextualSpacing/>
        <w:rPr>
          <w:rFonts w:ascii="仿宋" w:hAnsi="仿宋" w:eastAsia="仿宋" w:cs="仿宋"/>
          <w:b/>
          <w:color w:val="auto"/>
          <w:kern w:val="24"/>
          <w:highlight w:val="none"/>
        </w:rPr>
      </w:pPr>
      <w:r>
        <w:rPr>
          <w:rFonts w:hint="eastAsia" w:ascii="仿宋" w:hAnsi="仿宋" w:eastAsia="仿宋" w:cs="仿宋"/>
          <w:b/>
          <w:color w:val="auto"/>
          <w:kern w:val="24"/>
          <w:highlight w:val="none"/>
        </w:rPr>
        <w:t>注：</w:t>
      </w:r>
    </w:p>
    <w:p w14:paraId="203A7DE2">
      <w:pPr>
        <w:pStyle w:val="19"/>
        <w:spacing w:line="360" w:lineRule="auto"/>
        <w:ind w:left="-426" w:right="142" w:firstLine="567"/>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EFBF853">
      <w:pPr>
        <w:snapToGrid w:val="0"/>
        <w:spacing w:before="166" w:beforeLines="50" w:after="50"/>
        <w:ind w:left="142"/>
        <w:jc w:val="left"/>
        <w:rPr>
          <w:rFonts w:ascii="仿宋" w:hAnsi="仿宋" w:eastAsia="仿宋" w:cs="仿宋"/>
          <w:b/>
          <w:color w:val="auto"/>
          <w:sz w:val="24"/>
          <w:highlight w:val="none"/>
        </w:rPr>
      </w:pPr>
    </w:p>
    <w:p w14:paraId="23729552">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DD7265B">
      <w:pPr>
        <w:snapToGrid w:val="0"/>
        <w:spacing w:before="166"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t>3.残疾人福利性单位声明函格式</w:t>
      </w:r>
    </w:p>
    <w:p w14:paraId="41E75A68">
      <w:pPr>
        <w:spacing w:line="588" w:lineRule="exact"/>
        <w:jc w:val="center"/>
        <w:rPr>
          <w:rFonts w:ascii="仿宋" w:hAnsi="仿宋" w:eastAsia="仿宋" w:cs="仿宋"/>
          <w:b/>
          <w:color w:val="auto"/>
          <w:spacing w:val="6"/>
          <w:sz w:val="32"/>
          <w:szCs w:val="32"/>
          <w:highlight w:val="none"/>
        </w:rPr>
      </w:pPr>
    </w:p>
    <w:p w14:paraId="63843074">
      <w:pPr>
        <w:spacing w:line="588" w:lineRule="exact"/>
        <w:jc w:val="center"/>
        <w:rPr>
          <w:rFonts w:ascii="仿宋" w:hAnsi="仿宋" w:eastAsia="仿宋" w:cs="仿宋"/>
          <w:bCs/>
          <w:color w:val="auto"/>
          <w:spacing w:val="6"/>
          <w:sz w:val="44"/>
          <w:szCs w:val="44"/>
          <w:highlight w:val="none"/>
        </w:rPr>
      </w:pPr>
      <w:r>
        <w:rPr>
          <w:rFonts w:hint="eastAsia" w:ascii="仿宋" w:hAnsi="仿宋" w:eastAsia="仿宋" w:cs="仿宋"/>
          <w:bCs/>
          <w:color w:val="auto"/>
          <w:spacing w:val="6"/>
          <w:sz w:val="44"/>
          <w:szCs w:val="44"/>
          <w:highlight w:val="none"/>
        </w:rPr>
        <w:t>残疾人福利性单位声明函</w:t>
      </w:r>
    </w:p>
    <w:p w14:paraId="6143C8D3">
      <w:pPr>
        <w:spacing w:line="360" w:lineRule="auto"/>
        <w:contextualSpacing/>
        <w:rPr>
          <w:rFonts w:ascii="仿宋" w:hAnsi="仿宋" w:eastAsia="仿宋" w:cs="仿宋"/>
          <w:bCs/>
          <w:color w:val="auto"/>
          <w:spacing w:val="6"/>
          <w:sz w:val="30"/>
          <w:szCs w:val="30"/>
          <w:highlight w:val="none"/>
        </w:rPr>
      </w:pPr>
    </w:p>
    <w:p w14:paraId="007C3C12">
      <w:pPr>
        <w:spacing w:line="360" w:lineRule="auto"/>
        <w:ind w:firstLine="504" w:firstLineChars="200"/>
        <w:contextualSpacing/>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s="仿宋"/>
          <w:color w:val="auto"/>
          <w:spacing w:val="-6"/>
          <w:sz w:val="24"/>
          <w:highlight w:val="none"/>
        </w:rPr>
        <w:t>疾人福利性单位制造的货物（不包括使用非残疾人福利性单位注册商标的货物）。</w:t>
      </w:r>
    </w:p>
    <w:p w14:paraId="391923DB">
      <w:pPr>
        <w:spacing w:line="360" w:lineRule="auto"/>
        <w:ind w:firstLine="504" w:firstLineChars="200"/>
        <w:contextualSpacing/>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14814D92">
      <w:pPr>
        <w:spacing w:line="360" w:lineRule="auto"/>
        <w:ind w:firstLine="504" w:firstLineChars="200"/>
        <w:contextualSpacing/>
        <w:rPr>
          <w:rFonts w:ascii="仿宋" w:hAnsi="仿宋" w:eastAsia="仿宋" w:cs="仿宋"/>
          <w:color w:val="auto"/>
          <w:spacing w:val="6"/>
          <w:sz w:val="24"/>
          <w:highlight w:val="none"/>
        </w:rPr>
      </w:pPr>
    </w:p>
    <w:p w14:paraId="3F89A425">
      <w:pPr>
        <w:spacing w:line="360" w:lineRule="auto"/>
        <w:ind w:firstLine="504" w:firstLineChars="200"/>
        <w:contextualSpacing/>
        <w:rPr>
          <w:rFonts w:ascii="仿宋" w:hAnsi="仿宋" w:eastAsia="仿宋" w:cs="仿宋"/>
          <w:color w:val="auto"/>
          <w:spacing w:val="6"/>
          <w:sz w:val="24"/>
          <w:highlight w:val="none"/>
        </w:rPr>
      </w:pPr>
    </w:p>
    <w:p w14:paraId="1E6AEB92">
      <w:pPr>
        <w:tabs>
          <w:tab w:val="left" w:pos="4860"/>
        </w:tabs>
        <w:spacing w:line="360" w:lineRule="auto"/>
        <w:ind w:right="1560" w:firstLine="504" w:firstLineChars="200"/>
        <w:contextualSpacing/>
        <w:jc w:val="center"/>
        <w:rPr>
          <w:rFonts w:ascii="仿宋" w:hAnsi="仿宋" w:eastAsia="仿宋" w:cs="仿宋"/>
          <w:color w:val="auto"/>
          <w:spacing w:val="6"/>
          <w:sz w:val="24"/>
          <w:highlight w:val="none"/>
          <w:u w:val="single"/>
        </w:rPr>
      </w:pPr>
      <w:r>
        <w:rPr>
          <w:rFonts w:hint="eastAsia" w:ascii="仿宋" w:hAnsi="仿宋" w:eastAsia="仿宋" w:cs="仿宋"/>
          <w:color w:val="auto"/>
          <w:spacing w:val="6"/>
          <w:sz w:val="24"/>
          <w:highlight w:val="none"/>
        </w:rPr>
        <w:t>单位名称（公章）：</w:t>
      </w:r>
      <w:r>
        <w:rPr>
          <w:rFonts w:hint="eastAsia" w:ascii="仿宋" w:hAnsi="仿宋" w:eastAsia="仿宋" w:cs="仿宋"/>
          <w:color w:val="auto"/>
          <w:spacing w:val="6"/>
          <w:sz w:val="24"/>
          <w:highlight w:val="none"/>
          <w:u w:val="single"/>
        </w:rPr>
        <w:t xml:space="preserve">               </w:t>
      </w:r>
    </w:p>
    <w:p w14:paraId="06DC0880">
      <w:pPr>
        <w:spacing w:line="360" w:lineRule="auto"/>
        <w:contextualSpacing/>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                  日 期：</w:t>
      </w:r>
      <w:r>
        <w:rPr>
          <w:rFonts w:hint="eastAsia" w:ascii="仿宋" w:hAnsi="仿宋" w:eastAsia="仿宋" w:cs="仿宋"/>
          <w:b/>
          <w:color w:val="auto"/>
          <w:spacing w:val="20"/>
          <w:sz w:val="24"/>
          <w:highlight w:val="none"/>
          <w:u w:val="single"/>
        </w:rPr>
        <w:t xml:space="preserve">     </w:t>
      </w:r>
      <w:r>
        <w:rPr>
          <w:rFonts w:hint="eastAsia" w:ascii="仿宋" w:hAnsi="仿宋" w:eastAsia="仿宋" w:cs="仿宋"/>
          <w:color w:val="auto"/>
          <w:spacing w:val="20"/>
          <w:sz w:val="24"/>
          <w:highlight w:val="none"/>
        </w:rPr>
        <w:t>年</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月</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日</w:t>
      </w:r>
    </w:p>
    <w:p w14:paraId="423EBC6A">
      <w:pPr>
        <w:spacing w:line="360" w:lineRule="auto"/>
        <w:contextualSpacing/>
        <w:rPr>
          <w:rFonts w:ascii="仿宋" w:hAnsi="仿宋" w:eastAsia="仿宋" w:cs="仿宋"/>
          <w:color w:val="auto"/>
          <w:sz w:val="24"/>
          <w:highlight w:val="none"/>
        </w:rPr>
      </w:pPr>
    </w:p>
    <w:p w14:paraId="7BCF04E6">
      <w:pPr>
        <w:spacing w:line="360" w:lineRule="auto"/>
        <w:contextualSpacing/>
        <w:rPr>
          <w:rFonts w:ascii="仿宋" w:hAnsi="仿宋" w:eastAsia="仿宋" w:cs="仿宋"/>
          <w:color w:val="auto"/>
          <w:sz w:val="24"/>
          <w:highlight w:val="none"/>
        </w:rPr>
      </w:pPr>
    </w:p>
    <w:p w14:paraId="4FFBD5F4">
      <w:pPr>
        <w:spacing w:line="360" w:lineRule="auto"/>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0B4BC8C9">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请根据自己的真实情况出具《残疾人福利性单位声明函》。依法享受中小企业优惠政策的，采购人或者采购代理机构在公告中标结果时，同时公告其《残疾人福利性单位声明函》，接受社会监督。</w:t>
      </w: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4.质疑函格式</w:t>
      </w:r>
    </w:p>
    <w:p w14:paraId="75628402">
      <w:pPr>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质疑函</w:t>
      </w:r>
    </w:p>
    <w:p w14:paraId="5F6F3B62">
      <w:pPr>
        <w:pStyle w:val="25"/>
        <w:snapToGrid w:val="0"/>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一、质疑供应商基本信息：</w:t>
      </w:r>
    </w:p>
    <w:p w14:paraId="494605C7">
      <w:pPr>
        <w:pStyle w:val="25"/>
        <w:snapToGrid w:val="0"/>
        <w:spacing w:line="40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质疑供应商：</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E5881B4">
      <w:pPr>
        <w:pStyle w:val="25"/>
        <w:snapToGrid w:val="0"/>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474AB22">
      <w:pPr>
        <w:pStyle w:val="25"/>
        <w:snapToGrid w:val="0"/>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4AD621E6">
      <w:pPr>
        <w:pStyle w:val="25"/>
        <w:snapToGrid w:val="0"/>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u w:val="single"/>
        </w:rPr>
        <w:t xml:space="preserve">                      </w:t>
      </w:r>
    </w:p>
    <w:p w14:paraId="13DF59A3">
      <w:pPr>
        <w:pStyle w:val="25"/>
        <w:snapToGrid w:val="0"/>
        <w:spacing w:line="40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7A7E76F6">
      <w:pPr>
        <w:pStyle w:val="25"/>
        <w:snapToGrid w:val="0"/>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60A6B6C6">
      <w:pPr>
        <w:pStyle w:val="25"/>
        <w:snapToGrid w:val="0"/>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二、质疑项目基本情况：</w:t>
      </w:r>
    </w:p>
    <w:p w14:paraId="76BEAA0F">
      <w:pPr>
        <w:pStyle w:val="25"/>
        <w:spacing w:line="40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项目的名称：</w:t>
      </w:r>
      <w:r>
        <w:rPr>
          <w:rFonts w:hint="eastAsia" w:ascii="仿宋" w:hAnsi="仿宋" w:eastAsia="仿宋" w:cs="仿宋"/>
          <w:bCs/>
          <w:color w:val="auto"/>
          <w:sz w:val="24"/>
          <w:szCs w:val="24"/>
          <w:highlight w:val="none"/>
          <w:u w:val="single"/>
        </w:rPr>
        <w:t xml:space="preserve">                                     </w:t>
      </w:r>
    </w:p>
    <w:p w14:paraId="0B8F0361">
      <w:pPr>
        <w:pStyle w:val="25"/>
        <w:spacing w:line="40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项目的编号：</w:t>
      </w:r>
      <w:r>
        <w:rPr>
          <w:rFonts w:hint="eastAsia" w:ascii="仿宋" w:hAnsi="仿宋" w:eastAsia="仿宋" w:cs="仿宋"/>
          <w:bCs/>
          <w:color w:val="auto"/>
          <w:sz w:val="24"/>
          <w:szCs w:val="24"/>
          <w:highlight w:val="none"/>
          <w:u w:val="single"/>
        </w:rPr>
        <w:t xml:space="preserve">                                     </w:t>
      </w:r>
    </w:p>
    <w:p w14:paraId="0881525E">
      <w:pPr>
        <w:pStyle w:val="25"/>
        <w:spacing w:line="40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u w:val="single"/>
        </w:rPr>
        <w:t xml:space="preserve">                                         </w:t>
      </w:r>
    </w:p>
    <w:p w14:paraId="6441A77A">
      <w:pPr>
        <w:pStyle w:val="25"/>
        <w:spacing w:line="40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w:t>
      </w:r>
    </w:p>
    <w:p w14:paraId="45C2F087">
      <w:pPr>
        <w:pStyle w:val="25"/>
        <w:spacing w:line="400" w:lineRule="exact"/>
        <w:ind w:left="25" w:leftChars="12"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   招标文件获取日期：</w:t>
      </w:r>
      <w:r>
        <w:rPr>
          <w:rFonts w:hint="eastAsia" w:ascii="仿宋" w:hAnsi="仿宋" w:eastAsia="仿宋" w:cs="仿宋"/>
          <w:bCs/>
          <w:color w:val="auto"/>
          <w:sz w:val="24"/>
          <w:szCs w:val="24"/>
          <w:highlight w:val="none"/>
          <w:u w:val="single"/>
        </w:rPr>
        <w:t xml:space="preserve">                                   </w:t>
      </w:r>
    </w:p>
    <w:p w14:paraId="62923286">
      <w:pPr>
        <w:pStyle w:val="25"/>
        <w:spacing w:line="400" w:lineRule="exact"/>
        <w:ind w:left="25" w:leftChars="12"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□采购过程   </w:t>
      </w:r>
    </w:p>
    <w:p w14:paraId="1DA92376">
      <w:pPr>
        <w:pStyle w:val="25"/>
        <w:spacing w:line="400" w:lineRule="exact"/>
        <w:ind w:left="25" w:leftChars="12" w:firstLine="352" w:firstLineChars="14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□中标结果   </w:t>
      </w:r>
    </w:p>
    <w:p w14:paraId="7CC2251A">
      <w:pPr>
        <w:pStyle w:val="25"/>
        <w:spacing w:line="400" w:lineRule="exact"/>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三、质疑事项具体内容</w:t>
      </w:r>
    </w:p>
    <w:p w14:paraId="3F166256">
      <w:pPr>
        <w:pStyle w:val="25"/>
        <w:spacing w:line="40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w:t>
      </w:r>
      <w:r>
        <w:rPr>
          <w:rFonts w:hint="eastAsia" w:ascii="仿宋" w:hAnsi="仿宋" w:eastAsia="仿宋" w:cs="仿宋"/>
          <w:bCs/>
          <w:color w:val="auto"/>
          <w:sz w:val="24"/>
          <w:szCs w:val="24"/>
          <w:highlight w:val="none"/>
          <w:u w:val="single"/>
        </w:rPr>
        <w:t xml:space="preserve">                                                                    </w:t>
      </w:r>
    </w:p>
    <w:p w14:paraId="58C75BE0">
      <w:pPr>
        <w:pStyle w:val="25"/>
        <w:spacing w:line="40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bCs/>
          <w:color w:val="auto"/>
          <w:sz w:val="24"/>
          <w:szCs w:val="24"/>
          <w:highlight w:val="none"/>
          <w:u w:val="single"/>
        </w:rPr>
        <w:t xml:space="preserve">                                                                      </w:t>
      </w:r>
    </w:p>
    <w:p w14:paraId="731C8A05">
      <w:pPr>
        <w:pStyle w:val="25"/>
        <w:spacing w:line="40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p>
    <w:p w14:paraId="28E7E65E">
      <w:pPr>
        <w:pStyle w:val="25"/>
        <w:spacing w:line="40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w:t>
      </w:r>
    </w:p>
    <w:p w14:paraId="637D640F">
      <w:pPr>
        <w:pStyle w:val="25"/>
        <w:spacing w:line="40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C749154">
      <w:pPr>
        <w:pStyle w:val="25"/>
        <w:spacing w:line="40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14:paraId="7EF82358">
      <w:pPr>
        <w:pStyle w:val="25"/>
        <w:spacing w:line="40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bCs/>
          <w:color w:val="auto"/>
          <w:sz w:val="24"/>
          <w:szCs w:val="24"/>
          <w:highlight w:val="none"/>
          <w:u w:val="single"/>
        </w:rPr>
        <w:t xml:space="preserve">                                                                </w:t>
      </w:r>
    </w:p>
    <w:p w14:paraId="1070F363">
      <w:pPr>
        <w:pStyle w:val="25"/>
        <w:spacing w:line="400" w:lineRule="exact"/>
        <w:ind w:left="25" w:leftChars="12" w:firstLine="352" w:firstLineChars="147"/>
        <w:rPr>
          <w:rFonts w:ascii="仿宋" w:hAnsi="仿宋" w:eastAsia="仿宋" w:cs="仿宋"/>
          <w:color w:val="auto"/>
          <w:sz w:val="24"/>
          <w:szCs w:val="24"/>
          <w:highlight w:val="none"/>
        </w:rPr>
      </w:pPr>
    </w:p>
    <w:p w14:paraId="5835DF93">
      <w:pPr>
        <w:pStyle w:val="25"/>
        <w:spacing w:line="400" w:lineRule="exact"/>
        <w:ind w:left="25" w:leftChars="12" w:firstLine="4792" w:firstLineChars="19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 字（签章）：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5CEF69A">
      <w:pPr>
        <w:pStyle w:val="25"/>
        <w:spacing w:line="400" w:lineRule="exact"/>
        <w:ind w:left="25" w:leftChars="12" w:firstLine="4792" w:firstLineChars="1997"/>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公 章：</w:t>
      </w:r>
      <w:r>
        <w:rPr>
          <w:rFonts w:hint="eastAsia" w:ascii="仿宋" w:hAnsi="仿宋" w:eastAsia="仿宋" w:cs="仿宋"/>
          <w:color w:val="auto"/>
          <w:sz w:val="24"/>
          <w:szCs w:val="24"/>
          <w:highlight w:val="none"/>
          <w:u w:val="single"/>
        </w:rPr>
        <w:t xml:space="preserve">                   </w:t>
      </w:r>
    </w:p>
    <w:p w14:paraId="0FD73084">
      <w:pPr>
        <w:spacing w:line="400" w:lineRule="exact"/>
        <w:ind w:firstLine="4800" w:firstLineChars="2000"/>
        <w:contextualSpacing/>
        <w:rPr>
          <w:rFonts w:ascii="仿宋" w:hAnsi="仿宋" w:eastAsia="仿宋" w:cs="仿宋"/>
          <w:color w:val="auto"/>
          <w:sz w:val="24"/>
          <w:szCs w:val="20"/>
          <w:highlight w:val="none"/>
        </w:rPr>
      </w:pPr>
      <w:r>
        <w:rPr>
          <w:rFonts w:hint="eastAsia" w:ascii="仿宋" w:hAnsi="仿宋" w:eastAsia="仿宋" w:cs="仿宋"/>
          <w:color w:val="auto"/>
          <w:sz w:val="24"/>
          <w:highlight w:val="none"/>
        </w:rPr>
        <w:t>日 期：</w:t>
      </w:r>
      <w:r>
        <w:rPr>
          <w:rFonts w:hint="eastAsia" w:ascii="仿宋" w:hAnsi="仿宋" w:eastAsia="仿宋" w:cs="仿宋"/>
          <w:b/>
          <w:color w:val="auto"/>
          <w:spacing w:val="20"/>
          <w:sz w:val="24"/>
          <w:highlight w:val="none"/>
          <w:u w:val="single"/>
        </w:rPr>
        <w:t xml:space="preserve">     </w:t>
      </w:r>
      <w:r>
        <w:rPr>
          <w:rFonts w:hint="eastAsia" w:ascii="仿宋" w:hAnsi="仿宋" w:eastAsia="仿宋" w:cs="仿宋"/>
          <w:color w:val="auto"/>
          <w:spacing w:val="20"/>
          <w:sz w:val="24"/>
          <w:highlight w:val="none"/>
        </w:rPr>
        <w:t>年</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月</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日</w:t>
      </w:r>
    </w:p>
    <w:p w14:paraId="4D6CDEC4">
      <w:pPr>
        <w:pStyle w:val="25"/>
        <w:snapToGrid w:val="0"/>
        <w:spacing w:line="360" w:lineRule="auto"/>
        <w:rPr>
          <w:rFonts w:ascii="仿宋" w:hAnsi="仿宋" w:eastAsia="仿宋" w:cs="仿宋"/>
          <w:b/>
          <w:color w:val="auto"/>
          <w:sz w:val="24"/>
          <w:szCs w:val="24"/>
          <w:highlight w:val="none"/>
        </w:rPr>
      </w:pPr>
    </w:p>
    <w:p w14:paraId="64AAE27D">
      <w:pPr>
        <w:pStyle w:val="25"/>
        <w:snapToGrid w:val="0"/>
        <w:spacing w:line="360" w:lineRule="auto"/>
        <w:rPr>
          <w:rFonts w:ascii="仿宋" w:hAnsi="仿宋" w:eastAsia="仿宋" w:cs="仿宋"/>
          <w:b/>
          <w:color w:val="auto"/>
          <w:sz w:val="24"/>
          <w:szCs w:val="24"/>
          <w:highlight w:val="none"/>
        </w:rPr>
      </w:pPr>
    </w:p>
    <w:p w14:paraId="0ABFB4B9">
      <w:pPr>
        <w:pStyle w:val="25"/>
        <w:snapToGrid w:val="0"/>
        <w:spacing w:line="360" w:lineRule="auto"/>
        <w:rPr>
          <w:rFonts w:ascii="仿宋" w:hAnsi="仿宋" w:eastAsia="仿宋" w:cs="仿宋"/>
          <w:b/>
          <w:color w:val="auto"/>
          <w:sz w:val="24"/>
          <w:szCs w:val="24"/>
          <w:highlight w:val="none"/>
        </w:rPr>
      </w:pPr>
    </w:p>
    <w:p w14:paraId="7784D27A">
      <w:pPr>
        <w:pStyle w:val="25"/>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3D8B9825">
      <w:pPr>
        <w:pStyle w:val="25"/>
        <w:spacing w:line="360" w:lineRule="auto"/>
        <w:ind w:left="25" w:leftChars="12" w:firstLine="354" w:firstLineChars="147"/>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1.供应商提出质疑时，应提交质疑函和必要的证明材料</w:t>
      </w:r>
      <w:r>
        <w:rPr>
          <w:rFonts w:hint="eastAsia" w:ascii="仿宋" w:hAnsi="仿宋" w:eastAsia="仿宋" w:cs="仿宋"/>
          <w:b/>
          <w:bCs/>
          <w:color w:val="auto"/>
          <w:sz w:val="24"/>
          <w:szCs w:val="24"/>
          <w:highlight w:val="none"/>
        </w:rPr>
        <w:t>。</w:t>
      </w:r>
    </w:p>
    <w:p w14:paraId="2F5886A7">
      <w:pPr>
        <w:pStyle w:val="25"/>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328BE2">
      <w:pPr>
        <w:pStyle w:val="25"/>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3.质疑函的质疑事项应具体、明确，并有必要的事实依据和法律依据。</w:t>
      </w:r>
    </w:p>
    <w:p w14:paraId="182D476D">
      <w:pPr>
        <w:pStyle w:val="25"/>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4.质疑函的质疑请求应与质疑事项相关。</w:t>
      </w:r>
    </w:p>
    <w:p w14:paraId="1C19F0D9">
      <w:pPr>
        <w:pStyle w:val="25"/>
        <w:spacing w:line="360" w:lineRule="auto"/>
        <w:ind w:left="25" w:leftChars="12" w:firstLine="354" w:firstLineChars="147"/>
        <w:rPr>
          <w:rFonts w:ascii="仿宋" w:hAnsi="仿宋" w:eastAsia="仿宋" w:cs="仿宋"/>
          <w:b/>
          <w:color w:val="auto"/>
          <w:highlight w:val="none"/>
        </w:rPr>
      </w:pPr>
      <w:r>
        <w:rPr>
          <w:rFonts w:hint="eastAsia" w:ascii="仿宋" w:hAnsi="仿宋" w:eastAsia="仿宋" w:cs="仿宋"/>
          <w:b/>
          <w:color w:val="auto"/>
          <w:sz w:val="24"/>
          <w:szCs w:val="24"/>
          <w:highlight w:val="none"/>
        </w:rPr>
        <w:t>5.质疑供应商为法人或者其他组织的，质疑函应由法定代表人、主要负责人，或者其授权代表签字或者盖章，并加盖公章。</w:t>
      </w:r>
    </w:p>
    <w:p w14:paraId="2A397CEA">
      <w:pPr>
        <w:pStyle w:val="25"/>
        <w:snapToGrid w:val="0"/>
        <w:rPr>
          <w:rFonts w:ascii="仿宋" w:hAnsi="仿宋" w:eastAsia="仿宋" w:cs="仿宋"/>
          <w:b/>
          <w:color w:val="auto"/>
          <w:sz w:val="24"/>
          <w:szCs w:val="24"/>
          <w:highlight w:val="none"/>
        </w:rPr>
      </w:pPr>
    </w:p>
    <w:p w14:paraId="7A79ECCE">
      <w:pPr>
        <w:spacing w:line="360" w:lineRule="auto"/>
        <w:jc w:val="left"/>
        <w:rPr>
          <w:rFonts w:ascii="仿宋" w:hAnsi="仿宋" w:eastAsia="仿宋" w:cs="仿宋"/>
          <w:b/>
          <w:bCs/>
          <w:color w:val="auto"/>
          <w:sz w:val="32"/>
          <w:szCs w:val="32"/>
          <w:highlight w:val="none"/>
        </w:rPr>
      </w:pPr>
      <w:r>
        <w:rPr>
          <w:rFonts w:hint="eastAsia" w:ascii="仿宋" w:hAnsi="仿宋" w:eastAsia="仿宋" w:cs="仿宋"/>
          <w:color w:val="auto"/>
          <w:sz w:val="44"/>
          <w:highlight w:val="none"/>
        </w:rPr>
        <w:br w:type="page"/>
      </w:r>
      <w:r>
        <w:rPr>
          <w:rFonts w:hint="eastAsia" w:ascii="仿宋" w:hAnsi="仿宋" w:eastAsia="仿宋" w:cs="仿宋"/>
          <w:b/>
          <w:color w:val="auto"/>
          <w:sz w:val="24"/>
          <w:highlight w:val="none"/>
        </w:rPr>
        <w:t>5.投诉书格式</w:t>
      </w:r>
    </w:p>
    <w:p w14:paraId="327E85D6">
      <w:pPr>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投诉书</w:t>
      </w:r>
    </w:p>
    <w:p w14:paraId="3AE124E8">
      <w:pPr>
        <w:pStyle w:val="25"/>
        <w:snapToGrid w:val="0"/>
        <w:spacing w:line="440" w:lineRule="exact"/>
        <w:ind w:firstLine="482" w:firstLineChars="200"/>
        <w:rPr>
          <w:rFonts w:ascii="仿宋" w:hAnsi="仿宋" w:eastAsia="仿宋" w:cs="仿宋"/>
          <w:b/>
          <w:bCs/>
          <w:color w:val="auto"/>
          <w:sz w:val="24"/>
          <w:szCs w:val="24"/>
          <w:highlight w:val="none"/>
        </w:rPr>
      </w:pPr>
    </w:p>
    <w:p w14:paraId="6A519AAA">
      <w:pPr>
        <w:pStyle w:val="25"/>
        <w:snapToGrid w:val="0"/>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一、投诉相关主体基本情况：</w:t>
      </w:r>
    </w:p>
    <w:p w14:paraId="57A76969">
      <w:pPr>
        <w:pStyle w:val="25"/>
        <w:snapToGrid w:val="0"/>
        <w:spacing w:line="440" w:lineRule="exact"/>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投标人：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C83D270">
      <w:pPr>
        <w:pStyle w:val="25"/>
        <w:snapToGrid w:val="0"/>
        <w:spacing w:line="44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782CDEBD">
      <w:pPr>
        <w:pStyle w:val="25"/>
        <w:snapToGrid w:val="0"/>
        <w:spacing w:line="440" w:lineRule="exact"/>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法定代表人/主要负责人：</w:t>
      </w:r>
      <w:r>
        <w:rPr>
          <w:rFonts w:hint="eastAsia" w:ascii="仿宋" w:hAnsi="仿宋" w:eastAsia="仿宋" w:cs="仿宋"/>
          <w:bCs/>
          <w:color w:val="auto"/>
          <w:sz w:val="24"/>
          <w:szCs w:val="24"/>
          <w:highlight w:val="none"/>
          <w:u w:val="single"/>
        </w:rPr>
        <w:t xml:space="preserve">                                                         </w:t>
      </w:r>
    </w:p>
    <w:p w14:paraId="6C69E082">
      <w:pPr>
        <w:pStyle w:val="25"/>
        <w:snapToGrid w:val="0"/>
        <w:spacing w:line="44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34D6D1FD">
      <w:pPr>
        <w:pStyle w:val="25"/>
        <w:snapToGrid w:val="0"/>
        <w:spacing w:line="440" w:lineRule="exact"/>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3042AD01">
      <w:pPr>
        <w:pStyle w:val="25"/>
        <w:snapToGrid w:val="0"/>
        <w:spacing w:line="440" w:lineRule="exact"/>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p>
    <w:p w14:paraId="08F3CDE4">
      <w:pPr>
        <w:pStyle w:val="25"/>
        <w:snapToGrid w:val="0"/>
        <w:spacing w:line="44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0C2E6518">
      <w:pPr>
        <w:pStyle w:val="25"/>
        <w:snapToGrid w:val="0"/>
        <w:spacing w:line="44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被投诉人1：</w:t>
      </w:r>
    </w:p>
    <w:p w14:paraId="6AE90536">
      <w:pPr>
        <w:pStyle w:val="25"/>
        <w:snapToGrid w:val="0"/>
        <w:spacing w:line="440" w:lineRule="exact"/>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p>
    <w:p w14:paraId="0879CB00">
      <w:pPr>
        <w:pStyle w:val="25"/>
        <w:snapToGrid w:val="0"/>
        <w:spacing w:line="44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36D8582">
      <w:pPr>
        <w:pStyle w:val="25"/>
        <w:snapToGrid w:val="0"/>
        <w:spacing w:line="440" w:lineRule="exact"/>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5BA7A324">
      <w:pPr>
        <w:pStyle w:val="25"/>
        <w:snapToGrid w:val="0"/>
        <w:spacing w:line="44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被投诉人2：</w:t>
      </w:r>
    </w:p>
    <w:p w14:paraId="492A90E4">
      <w:pPr>
        <w:pStyle w:val="25"/>
        <w:snapToGrid w:val="0"/>
        <w:spacing w:line="44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01055B7D">
      <w:pPr>
        <w:pStyle w:val="25"/>
        <w:snapToGrid w:val="0"/>
        <w:spacing w:line="440" w:lineRule="exact"/>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相关供应商：</w:t>
      </w:r>
      <w:r>
        <w:rPr>
          <w:rFonts w:hint="eastAsia" w:ascii="仿宋" w:hAnsi="仿宋" w:eastAsia="仿宋" w:cs="仿宋"/>
          <w:bCs/>
          <w:color w:val="auto"/>
          <w:sz w:val="24"/>
          <w:szCs w:val="24"/>
          <w:highlight w:val="none"/>
          <w:u w:val="single"/>
        </w:rPr>
        <w:t xml:space="preserve">                                                                       </w:t>
      </w:r>
    </w:p>
    <w:p w14:paraId="45938A06">
      <w:pPr>
        <w:pStyle w:val="25"/>
        <w:snapToGrid w:val="0"/>
        <w:spacing w:line="440" w:lineRule="exact"/>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p>
    <w:p w14:paraId="4822EA30">
      <w:pPr>
        <w:pStyle w:val="25"/>
        <w:snapToGrid w:val="0"/>
        <w:spacing w:line="44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7E7F08DA">
      <w:pPr>
        <w:pStyle w:val="25"/>
        <w:snapToGrid w:val="0"/>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二、投诉项目基本情况：</w:t>
      </w:r>
    </w:p>
    <w:p w14:paraId="6A839618">
      <w:pPr>
        <w:pStyle w:val="25"/>
        <w:spacing w:line="44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项目的名称：</w:t>
      </w:r>
      <w:r>
        <w:rPr>
          <w:rFonts w:hint="eastAsia" w:ascii="仿宋" w:hAnsi="仿宋" w:eastAsia="仿宋" w:cs="仿宋"/>
          <w:bCs/>
          <w:color w:val="auto"/>
          <w:sz w:val="24"/>
          <w:szCs w:val="24"/>
          <w:highlight w:val="none"/>
          <w:u w:val="single"/>
        </w:rPr>
        <w:t xml:space="preserve">                                                                   </w:t>
      </w:r>
    </w:p>
    <w:p w14:paraId="5521FD25">
      <w:pPr>
        <w:pStyle w:val="25"/>
        <w:spacing w:line="44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项目的编号：</w:t>
      </w:r>
      <w:r>
        <w:rPr>
          <w:rFonts w:hint="eastAsia" w:ascii="仿宋" w:hAnsi="仿宋" w:eastAsia="仿宋" w:cs="仿宋"/>
          <w:bCs/>
          <w:color w:val="auto"/>
          <w:sz w:val="24"/>
          <w:szCs w:val="24"/>
          <w:highlight w:val="none"/>
          <w:u w:val="single"/>
        </w:rPr>
        <w:t xml:space="preserve">                                                        </w:t>
      </w:r>
    </w:p>
    <w:p w14:paraId="13F959E6">
      <w:pPr>
        <w:pStyle w:val="25"/>
        <w:spacing w:line="440" w:lineRule="exact"/>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u w:val="single"/>
        </w:rPr>
        <w:t xml:space="preserve">                                                                        </w:t>
      </w:r>
    </w:p>
    <w:p w14:paraId="5FFA7DC8">
      <w:pPr>
        <w:pStyle w:val="25"/>
        <w:spacing w:line="440" w:lineRule="exact"/>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bCs/>
          <w:color w:val="auto"/>
          <w:sz w:val="24"/>
          <w:szCs w:val="24"/>
          <w:highlight w:val="none"/>
          <w:u w:val="single"/>
        </w:rPr>
        <w:t xml:space="preserve">                                                                      </w:t>
      </w:r>
    </w:p>
    <w:p w14:paraId="27B84876">
      <w:pPr>
        <w:pStyle w:val="25"/>
        <w:spacing w:line="440" w:lineRule="exact"/>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招标文件公告：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u w:val="single"/>
        </w:rPr>
        <w:t xml:space="preserve">                                                       </w:t>
      </w:r>
    </w:p>
    <w:p w14:paraId="63C0926F">
      <w:pPr>
        <w:pStyle w:val="25"/>
        <w:spacing w:line="440" w:lineRule="exact"/>
        <w:ind w:left="25" w:leftChars="12" w:firstLine="472" w:firstLineChars="197"/>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采购结果公告：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u w:val="single"/>
        </w:rPr>
        <w:t xml:space="preserve">                                                       </w:t>
      </w:r>
    </w:p>
    <w:p w14:paraId="6DBE95AC">
      <w:pPr>
        <w:pStyle w:val="25"/>
        <w:spacing w:line="440" w:lineRule="exact"/>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三、质疑基本情况</w:t>
      </w:r>
    </w:p>
    <w:p w14:paraId="4380D029">
      <w:pPr>
        <w:pStyle w:val="25"/>
        <w:spacing w:line="440" w:lineRule="exact"/>
        <w:ind w:left="25" w:leftChars="12" w:firstLine="480" w:firstLineChars="200"/>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bCs/>
          <w:color w:val="auto"/>
          <w:sz w:val="24"/>
          <w:szCs w:val="24"/>
          <w:highlight w:val="none"/>
          <w:u w:val="single"/>
        </w:rPr>
        <w:t xml:space="preserve">                                                                                      </w:t>
      </w:r>
    </w:p>
    <w:p w14:paraId="3FBE854B">
      <w:pPr>
        <w:pStyle w:val="25"/>
        <w:spacing w:line="440" w:lineRule="exac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 xml:space="preserve">                                                                                      </w:t>
      </w:r>
    </w:p>
    <w:p w14:paraId="0B0C6444">
      <w:pPr>
        <w:pStyle w:val="25"/>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采购人/代理机构</w:t>
      </w:r>
      <w:r>
        <w:rPr>
          <w:rFonts w:hint="eastAsia" w:ascii="仿宋" w:hAnsi="仿宋" w:eastAsia="仿宋" w:cs="仿宋"/>
          <w:bCs/>
          <w:color w:val="auto"/>
          <w:sz w:val="24"/>
          <w:szCs w:val="24"/>
          <w:highlight w:val="none"/>
        </w:rPr>
        <w:t>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bCs/>
          <w:color w:val="auto"/>
          <w:sz w:val="24"/>
          <w:szCs w:val="24"/>
          <w:highlight w:val="none"/>
        </w:rPr>
        <w:t xml:space="preserve">就质疑事项作出了答复/没有在法定期限内作出答复。                                                                                             </w:t>
      </w:r>
    </w:p>
    <w:p w14:paraId="756F4C42">
      <w:pPr>
        <w:pStyle w:val="25"/>
        <w:spacing w:line="440" w:lineRule="exact"/>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四、投诉事项具体内容</w:t>
      </w:r>
    </w:p>
    <w:p w14:paraId="49CD6BB9">
      <w:pPr>
        <w:pStyle w:val="25"/>
        <w:spacing w:line="440" w:lineRule="exact"/>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投诉事项1：</w:t>
      </w:r>
      <w:r>
        <w:rPr>
          <w:rFonts w:hint="eastAsia" w:ascii="仿宋" w:hAnsi="仿宋" w:eastAsia="仿宋" w:cs="仿宋"/>
          <w:bCs/>
          <w:color w:val="auto"/>
          <w:sz w:val="24"/>
          <w:szCs w:val="24"/>
          <w:highlight w:val="none"/>
          <w:u w:val="single"/>
        </w:rPr>
        <w:t xml:space="preserve">                                                                           </w:t>
      </w:r>
    </w:p>
    <w:p w14:paraId="68AA79B0">
      <w:pPr>
        <w:pStyle w:val="25"/>
        <w:spacing w:line="44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事实依据：</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6F0B3AD6">
      <w:pPr>
        <w:pStyle w:val="25"/>
        <w:spacing w:line="44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 xml:space="preserve">                                                                                        </w:t>
      </w:r>
    </w:p>
    <w:p w14:paraId="1CDD2525">
      <w:pPr>
        <w:pStyle w:val="25"/>
        <w:spacing w:line="44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法律依据：</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6AE6CA97">
      <w:pPr>
        <w:pStyle w:val="25"/>
        <w:spacing w:line="440" w:lineRule="exact"/>
        <w:ind w:left="25" w:leftChars="12" w:firstLine="352" w:firstLineChars="147"/>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32F6EE01">
      <w:pPr>
        <w:pStyle w:val="25"/>
        <w:spacing w:line="440" w:lineRule="exact"/>
        <w:ind w:left="25" w:leftChars="12" w:firstLine="472" w:firstLineChars="197"/>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投诉事项2  </w:t>
      </w:r>
      <w:r>
        <w:rPr>
          <w:rFonts w:hint="eastAsia" w:ascii="仿宋" w:hAnsi="仿宋" w:eastAsia="仿宋" w:cs="仿宋"/>
          <w:bCs/>
          <w:color w:val="auto"/>
          <w:sz w:val="24"/>
          <w:szCs w:val="24"/>
          <w:highlight w:val="none"/>
        </w:rPr>
        <w:t xml:space="preserve">   </w:t>
      </w:r>
    </w:p>
    <w:p w14:paraId="46156C76">
      <w:pPr>
        <w:pStyle w:val="25"/>
        <w:spacing w:line="440" w:lineRule="exact"/>
        <w:ind w:left="25" w:leftChars="12" w:firstLine="472" w:firstLineChars="197"/>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3EEECB60">
      <w:pPr>
        <w:pStyle w:val="25"/>
        <w:spacing w:line="440" w:lineRule="exact"/>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五、与投诉事项相关的投诉请求：</w:t>
      </w:r>
    </w:p>
    <w:p w14:paraId="69FCF9EA">
      <w:pPr>
        <w:pStyle w:val="25"/>
        <w:spacing w:line="44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bCs/>
          <w:color w:val="auto"/>
          <w:sz w:val="24"/>
          <w:szCs w:val="24"/>
          <w:highlight w:val="none"/>
          <w:u w:val="single"/>
        </w:rPr>
        <w:t xml:space="preserve">                                                                                 </w:t>
      </w:r>
    </w:p>
    <w:p w14:paraId="290C7042">
      <w:pPr>
        <w:pStyle w:val="25"/>
        <w:spacing w:line="440" w:lineRule="exact"/>
        <w:ind w:left="25" w:leftChars="12" w:firstLine="352" w:firstLineChars="147"/>
        <w:rPr>
          <w:rFonts w:ascii="仿宋" w:hAnsi="仿宋" w:eastAsia="仿宋" w:cs="仿宋"/>
          <w:color w:val="auto"/>
          <w:sz w:val="24"/>
          <w:szCs w:val="24"/>
          <w:highlight w:val="none"/>
        </w:rPr>
      </w:pPr>
    </w:p>
    <w:p w14:paraId="5D3B5D2E">
      <w:pPr>
        <w:pStyle w:val="25"/>
        <w:spacing w:line="360" w:lineRule="auto"/>
        <w:ind w:left="25" w:leftChars="12" w:firstLine="4792" w:firstLineChars="19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 字（签章）：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972994F">
      <w:pPr>
        <w:pStyle w:val="25"/>
        <w:spacing w:line="360" w:lineRule="auto"/>
        <w:ind w:left="25" w:leftChars="12" w:firstLine="4792" w:firstLineChars="1997"/>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公 章：</w:t>
      </w:r>
      <w:r>
        <w:rPr>
          <w:rFonts w:hint="eastAsia" w:ascii="仿宋" w:hAnsi="仿宋" w:eastAsia="仿宋" w:cs="仿宋"/>
          <w:color w:val="auto"/>
          <w:sz w:val="24"/>
          <w:szCs w:val="24"/>
          <w:highlight w:val="none"/>
          <w:u w:val="single"/>
        </w:rPr>
        <w:t xml:space="preserve">                </w:t>
      </w:r>
    </w:p>
    <w:p w14:paraId="4C703F3E">
      <w:pPr>
        <w:spacing w:line="360" w:lineRule="auto"/>
        <w:ind w:firstLine="4800" w:firstLineChars="2000"/>
        <w:contextualSpacing/>
        <w:rPr>
          <w:rFonts w:ascii="仿宋" w:hAnsi="仿宋" w:eastAsia="仿宋" w:cs="仿宋"/>
          <w:color w:val="auto"/>
          <w:sz w:val="24"/>
          <w:szCs w:val="20"/>
          <w:highlight w:val="none"/>
        </w:rPr>
      </w:pPr>
      <w:r>
        <w:rPr>
          <w:rFonts w:hint="eastAsia" w:ascii="仿宋" w:hAnsi="仿宋" w:eastAsia="仿宋" w:cs="仿宋"/>
          <w:color w:val="auto"/>
          <w:sz w:val="24"/>
          <w:highlight w:val="none"/>
        </w:rPr>
        <w:t>日 期：</w:t>
      </w:r>
      <w:r>
        <w:rPr>
          <w:rFonts w:hint="eastAsia" w:ascii="仿宋" w:hAnsi="仿宋" w:eastAsia="仿宋" w:cs="仿宋"/>
          <w:b/>
          <w:color w:val="auto"/>
          <w:spacing w:val="20"/>
          <w:sz w:val="24"/>
          <w:highlight w:val="none"/>
          <w:u w:val="single"/>
        </w:rPr>
        <w:t xml:space="preserve">     </w:t>
      </w:r>
      <w:r>
        <w:rPr>
          <w:rFonts w:hint="eastAsia" w:ascii="仿宋" w:hAnsi="仿宋" w:eastAsia="仿宋" w:cs="仿宋"/>
          <w:color w:val="auto"/>
          <w:spacing w:val="20"/>
          <w:sz w:val="24"/>
          <w:highlight w:val="none"/>
        </w:rPr>
        <w:t>年</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月</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日</w:t>
      </w:r>
    </w:p>
    <w:p w14:paraId="09371BAC">
      <w:pPr>
        <w:pStyle w:val="25"/>
        <w:spacing w:line="440" w:lineRule="exact"/>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p>
    <w:p w14:paraId="222D4969">
      <w:pPr>
        <w:pStyle w:val="25"/>
        <w:snapToGrid w:val="0"/>
        <w:spacing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3E661643">
      <w:pPr>
        <w:pStyle w:val="25"/>
        <w:spacing w:line="440" w:lineRule="exact"/>
        <w:ind w:left="25" w:leftChars="12" w:firstLine="354" w:firstLineChars="147"/>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4"/>
          <w:szCs w:val="24"/>
          <w:highlight w:val="none"/>
        </w:rPr>
        <w:t>。</w:t>
      </w:r>
    </w:p>
    <w:p w14:paraId="6D70EF5D">
      <w:pPr>
        <w:pStyle w:val="25"/>
        <w:spacing w:line="440" w:lineRule="exact"/>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09BB9A0">
      <w:pPr>
        <w:pStyle w:val="25"/>
        <w:spacing w:line="440" w:lineRule="exact"/>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3.投诉书应简要列明质疑事项，质疑函、质疑答复等作为附件材料提供。</w:t>
      </w:r>
    </w:p>
    <w:p w14:paraId="112CE5C0">
      <w:pPr>
        <w:pStyle w:val="25"/>
        <w:spacing w:line="440" w:lineRule="exact"/>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4.投诉书的投诉事项应具体、明确，并有必要的事实依据和法律依据。</w:t>
      </w:r>
    </w:p>
    <w:p w14:paraId="0276BA31">
      <w:pPr>
        <w:pStyle w:val="25"/>
        <w:spacing w:line="440" w:lineRule="exact"/>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5.投诉书的投诉请求应与投诉事项相关。</w:t>
      </w:r>
    </w:p>
    <w:p w14:paraId="1FD18933">
      <w:pPr>
        <w:pStyle w:val="25"/>
        <w:spacing w:line="440" w:lineRule="exact"/>
        <w:ind w:left="25" w:leftChars="12" w:firstLine="354" w:firstLineChars="147"/>
        <w:rPr>
          <w:rFonts w:ascii="仿宋" w:hAnsi="仿宋" w:eastAsia="仿宋" w:cs="仿宋"/>
          <w:b/>
          <w:color w:val="auto"/>
          <w:highlight w:val="none"/>
        </w:rPr>
      </w:pPr>
      <w:r>
        <w:rPr>
          <w:rFonts w:hint="eastAsia" w:ascii="仿宋" w:hAnsi="仿宋" w:eastAsia="仿宋" w:cs="仿宋"/>
          <w:b/>
          <w:color w:val="auto"/>
          <w:sz w:val="24"/>
          <w:szCs w:val="24"/>
          <w:highlight w:val="none"/>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17" w:right="1417" w:bottom="1417" w:left="1417" w:header="720" w:footer="720" w:gutter="0"/>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8E4ACCE-A789-4481-BAFE-C11199DFB27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267A6DE9-B724-4381-B277-FCE0A28C4C34}"/>
  </w:font>
  <w:font w:name="Calibri">
    <w:panose1 w:val="020F0502020204030204"/>
    <w:charset w:val="00"/>
    <w:family w:val="swiss"/>
    <w:pitch w:val="default"/>
    <w:sig w:usb0="E4002EFF" w:usb1="C000247B" w:usb2="00000009" w:usb3="00000000" w:csb0="200001FF" w:csb1="00000000"/>
  </w:font>
  <w:font w:name="FangSong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55F2EE87-736D-48E4-8455-8401031A6E07}"/>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_x000B__x000C_">
    <w:altName w:val="Times New Roman"/>
    <w:panose1 w:val="020B0604020202020204"/>
    <w:charset w:val="00"/>
    <w:family w:val="roman"/>
    <w:pitch w:val="default"/>
    <w:sig w:usb0="00000000" w:usb1="00000000" w:usb2="00000000" w:usb3="00000000" w:csb0="00040001" w:csb1="00000000"/>
  </w:font>
  <w:font w:name="方正书宋_GBK">
    <w:altName w:val="微软雅黑"/>
    <w:panose1 w:val="020B0604020202020204"/>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4D"/>
    <w:family w:val="decorative"/>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671A">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67DF0">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9867DF0">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712A">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0FF02">
                          <w:pPr>
                            <w:pStyle w:val="3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B0FF02">
                    <w:pPr>
                      <w:pStyle w:val="3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1DEB">
    <w:pPr>
      <w:pStyle w:val="3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E9FF2">
                          <w:pPr>
                            <w:pStyle w:val="3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FDE9FF2">
                    <w:pPr>
                      <w:pStyle w:val="31"/>
                    </w:pPr>
                    <w:r>
                      <w:fldChar w:fldCharType="begin"/>
                    </w:r>
                    <w:r>
                      <w:instrText xml:space="preserve"> PAGE  \* MERGEFORMAT </w:instrText>
                    </w:r>
                    <w:r>
                      <w:fldChar w:fldCharType="separate"/>
                    </w:r>
                    <w:r>
                      <w:t>91</w:t>
                    </w:r>
                    <w:r>
                      <w:fldChar w:fldCharType="end"/>
                    </w:r>
                  </w:p>
                </w:txbxContent>
              </v:textbox>
            </v:shape>
          </w:pict>
        </mc:Fallback>
      </mc:AlternateContent>
    </w:r>
  </w:p>
  <w:p w14:paraId="2AAAE33A">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27CD">
    <w:pPr>
      <w:pStyle w:val="31"/>
      <w:framePr w:wrap="around" w:vAnchor="text" w:hAnchor="margin" w:xAlign="center" w:y="1"/>
      <w:rPr>
        <w:rStyle w:val="53"/>
      </w:rPr>
    </w:pPr>
    <w:r>
      <w:fldChar w:fldCharType="begin"/>
    </w:r>
    <w:r>
      <w:rPr>
        <w:rStyle w:val="53"/>
      </w:rPr>
      <w:instrText xml:space="preserve">PAGE  </w:instrText>
    </w:r>
    <w:r>
      <w:fldChar w:fldCharType="end"/>
    </w:r>
  </w:p>
  <w:p w14:paraId="6303BE0F">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B1DB">
    <w:pPr>
      <w:pStyle w:val="3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03B81">
                          <w:pPr>
                            <w:pStyle w:val="3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8A03B81">
                    <w:pPr>
                      <w:pStyle w:val="31"/>
                    </w:pPr>
                    <w:r>
                      <w:fldChar w:fldCharType="begin"/>
                    </w:r>
                    <w:r>
                      <w:instrText xml:space="preserve"> PAGE  \* MERGEFORMAT </w:instrText>
                    </w:r>
                    <w:r>
                      <w:fldChar w:fldCharType="separate"/>
                    </w:r>
                    <w:r>
                      <w:t>90</w:t>
                    </w:r>
                    <w:r>
                      <w:fldChar w:fldCharType="end"/>
                    </w:r>
                  </w:p>
                </w:txbxContent>
              </v:textbox>
            </v:shape>
          </w:pict>
        </mc:Fallback>
      </mc:AlternateContent>
    </w:r>
  </w:p>
  <w:p w14:paraId="4617AB90">
    <w:pPr>
      <w:pStyle w:val="31"/>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3D434">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98B2E">
                          <w:pPr>
                            <w:pStyle w:val="31"/>
                            <w:jc w:val="center"/>
                          </w:pPr>
                          <w:r>
                            <w:fldChar w:fldCharType="begin"/>
                          </w:r>
                          <w:r>
                            <w:instrText xml:space="preserve"> PAGE   \* MERGEFORMAT </w:instrText>
                          </w:r>
                          <w:r>
                            <w:fldChar w:fldCharType="separate"/>
                          </w:r>
                          <w:r>
                            <w:rPr>
                              <w:lang w:val="zh-CN"/>
                            </w:rP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B798B2E">
                    <w:pPr>
                      <w:pStyle w:val="31"/>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70DD3DEC">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E0B1D">
    <w:pPr>
      <w:pStyle w:val="31"/>
      <w:framePr w:wrap="around" w:vAnchor="text" w:hAnchor="margin" w:xAlign="center" w:y="1"/>
      <w:rPr>
        <w:rStyle w:val="53"/>
      </w:rPr>
    </w:pPr>
    <w:r>
      <w:fldChar w:fldCharType="begin"/>
    </w:r>
    <w:r>
      <w:rPr>
        <w:rStyle w:val="53"/>
      </w:rPr>
      <w:instrText xml:space="preserve">PAGE  </w:instrText>
    </w:r>
    <w:r>
      <w:fldChar w:fldCharType="end"/>
    </w:r>
  </w:p>
  <w:p w14:paraId="4A4D0850">
    <w:pPr>
      <w:pStyle w:val="31"/>
    </w:pPr>
  </w:p>
  <w:p w14:paraId="0844C86C"/>
  <w:p w14:paraId="51C9852A"/>
  <w:p w14:paraId="3B0683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8B0EC">
    <w:pPr>
      <w:pStyle w:val="31"/>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D70F">
                          <w:pPr>
                            <w:pStyle w:val="3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8A2D70F">
                    <w:pPr>
                      <w:pStyle w:val="3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BC8FA">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321D">
    <w:pPr>
      <w:pStyle w:val="32"/>
      <w:pBdr>
        <w:bottom w:val="none" w:color="auto" w:sz="0" w:space="0"/>
      </w:pBdr>
    </w:pPr>
  </w:p>
  <w:p w14:paraId="2CE373C1"/>
  <w:p w14:paraId="2CDC7833"/>
  <w:p w14:paraId="20FC02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8170C"/>
    <w:multiLevelType w:val="singleLevel"/>
    <w:tmpl w:val="DF88170C"/>
    <w:lvl w:ilvl="0" w:tentative="0">
      <w:start w:val="7"/>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FangSong_GB2312" w:eastAsia="FangSong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pPr>
        <w:ind w:left="-2"/>
      </w:pPr>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hideSpellingErrors/>
  <w:hideGrammaticalErrors/>
  <w:documentProtection w:enforcement="0"/>
  <w:defaultTabStop w:val="420"/>
  <w:drawingGridHorizontalSpacing w:val="210"/>
  <w:drawingGridVerticalSpacing w:val="167"/>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mYTE0MjdhOWE1ZGE5YzU4MjkxMDYwZjZjMDhhMDgifQ=="/>
    <w:docVar w:name="KSO_WPS_MARK_KEY" w:val="0df5fcb9-ff57-4de4-b15d-250304505817"/>
  </w:docVars>
  <w:rsids>
    <w:rsidRoot w:val="00172A27"/>
    <w:rsid w:val="0000007C"/>
    <w:rsid w:val="0000010C"/>
    <w:rsid w:val="000004FE"/>
    <w:rsid w:val="00000FE0"/>
    <w:rsid w:val="00001068"/>
    <w:rsid w:val="00001117"/>
    <w:rsid w:val="0000114A"/>
    <w:rsid w:val="00001731"/>
    <w:rsid w:val="000017BF"/>
    <w:rsid w:val="00001C2D"/>
    <w:rsid w:val="00001C55"/>
    <w:rsid w:val="00001CA8"/>
    <w:rsid w:val="00001F78"/>
    <w:rsid w:val="00001FAE"/>
    <w:rsid w:val="00002291"/>
    <w:rsid w:val="000024A4"/>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9B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276"/>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68CD"/>
    <w:rsid w:val="00046F8D"/>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8A1"/>
    <w:rsid w:val="00056A2B"/>
    <w:rsid w:val="00056D0F"/>
    <w:rsid w:val="00056DA8"/>
    <w:rsid w:val="00056E37"/>
    <w:rsid w:val="00056EE2"/>
    <w:rsid w:val="00056FE2"/>
    <w:rsid w:val="000570FB"/>
    <w:rsid w:val="0005750E"/>
    <w:rsid w:val="000575B8"/>
    <w:rsid w:val="00060131"/>
    <w:rsid w:val="0006026B"/>
    <w:rsid w:val="00060293"/>
    <w:rsid w:val="00060D40"/>
    <w:rsid w:val="00061341"/>
    <w:rsid w:val="0006197E"/>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2B7"/>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4B52"/>
    <w:rsid w:val="000751DB"/>
    <w:rsid w:val="0007542D"/>
    <w:rsid w:val="0007578F"/>
    <w:rsid w:val="00075E43"/>
    <w:rsid w:val="00077706"/>
    <w:rsid w:val="00077878"/>
    <w:rsid w:val="00077C37"/>
    <w:rsid w:val="00077E81"/>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A71"/>
    <w:rsid w:val="000B0F01"/>
    <w:rsid w:val="000B10D4"/>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11BE"/>
    <w:rsid w:val="000C1B04"/>
    <w:rsid w:val="000C1CB9"/>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F066E"/>
    <w:rsid w:val="000F07ED"/>
    <w:rsid w:val="000F0CF2"/>
    <w:rsid w:val="000F1401"/>
    <w:rsid w:val="000F17E5"/>
    <w:rsid w:val="000F190A"/>
    <w:rsid w:val="000F1A32"/>
    <w:rsid w:val="000F1CC2"/>
    <w:rsid w:val="000F1D15"/>
    <w:rsid w:val="000F270A"/>
    <w:rsid w:val="000F2FA3"/>
    <w:rsid w:val="000F34C8"/>
    <w:rsid w:val="000F38BC"/>
    <w:rsid w:val="000F38C0"/>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44CA"/>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F54"/>
    <w:rsid w:val="00131888"/>
    <w:rsid w:val="00131EE1"/>
    <w:rsid w:val="00131F17"/>
    <w:rsid w:val="00131FBC"/>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71"/>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70E"/>
    <w:rsid w:val="001549BA"/>
    <w:rsid w:val="00154BBF"/>
    <w:rsid w:val="00155099"/>
    <w:rsid w:val="00155C85"/>
    <w:rsid w:val="001560AD"/>
    <w:rsid w:val="00156592"/>
    <w:rsid w:val="001565CE"/>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0F77"/>
    <w:rsid w:val="00171035"/>
    <w:rsid w:val="001713B7"/>
    <w:rsid w:val="00171ADB"/>
    <w:rsid w:val="00171E2C"/>
    <w:rsid w:val="00172029"/>
    <w:rsid w:val="00172A27"/>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4418"/>
    <w:rsid w:val="001845FB"/>
    <w:rsid w:val="00184A86"/>
    <w:rsid w:val="001857FB"/>
    <w:rsid w:val="00185DA6"/>
    <w:rsid w:val="00185F64"/>
    <w:rsid w:val="00186096"/>
    <w:rsid w:val="00186185"/>
    <w:rsid w:val="00186278"/>
    <w:rsid w:val="001862FE"/>
    <w:rsid w:val="001864AC"/>
    <w:rsid w:val="00186A33"/>
    <w:rsid w:val="00187317"/>
    <w:rsid w:val="0018772E"/>
    <w:rsid w:val="00187A94"/>
    <w:rsid w:val="0019029E"/>
    <w:rsid w:val="00190804"/>
    <w:rsid w:val="0019088F"/>
    <w:rsid w:val="00190C51"/>
    <w:rsid w:val="00192F00"/>
    <w:rsid w:val="00193ACC"/>
    <w:rsid w:val="00193BFE"/>
    <w:rsid w:val="00193E72"/>
    <w:rsid w:val="00195322"/>
    <w:rsid w:val="0019560E"/>
    <w:rsid w:val="001958E3"/>
    <w:rsid w:val="00195FFA"/>
    <w:rsid w:val="0019601B"/>
    <w:rsid w:val="00196048"/>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A7FE6"/>
    <w:rsid w:val="001B02F8"/>
    <w:rsid w:val="001B2104"/>
    <w:rsid w:val="001B2263"/>
    <w:rsid w:val="001B2279"/>
    <w:rsid w:val="001B2729"/>
    <w:rsid w:val="001B2866"/>
    <w:rsid w:val="001B2881"/>
    <w:rsid w:val="001B2B7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02"/>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B5C"/>
    <w:rsid w:val="001C7155"/>
    <w:rsid w:val="001C7E48"/>
    <w:rsid w:val="001D0190"/>
    <w:rsid w:val="001D039B"/>
    <w:rsid w:val="001D0849"/>
    <w:rsid w:val="001D0E8D"/>
    <w:rsid w:val="001D1258"/>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BCE"/>
    <w:rsid w:val="001E1E05"/>
    <w:rsid w:val="001E2086"/>
    <w:rsid w:val="001E339F"/>
    <w:rsid w:val="001E3586"/>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AF6"/>
    <w:rsid w:val="001F01B8"/>
    <w:rsid w:val="001F0D19"/>
    <w:rsid w:val="001F0FC3"/>
    <w:rsid w:val="001F1188"/>
    <w:rsid w:val="001F1B8D"/>
    <w:rsid w:val="001F1C50"/>
    <w:rsid w:val="001F274F"/>
    <w:rsid w:val="001F289C"/>
    <w:rsid w:val="001F2BD6"/>
    <w:rsid w:val="001F2BF9"/>
    <w:rsid w:val="001F3AF2"/>
    <w:rsid w:val="001F4BFC"/>
    <w:rsid w:val="001F4DCD"/>
    <w:rsid w:val="001F6008"/>
    <w:rsid w:val="001F604B"/>
    <w:rsid w:val="001F641B"/>
    <w:rsid w:val="001F6D4D"/>
    <w:rsid w:val="001F78EA"/>
    <w:rsid w:val="00200935"/>
    <w:rsid w:val="0020125C"/>
    <w:rsid w:val="0020130D"/>
    <w:rsid w:val="00201916"/>
    <w:rsid w:val="00201D06"/>
    <w:rsid w:val="00201E9F"/>
    <w:rsid w:val="00202A52"/>
    <w:rsid w:val="00202F25"/>
    <w:rsid w:val="002035B3"/>
    <w:rsid w:val="00203929"/>
    <w:rsid w:val="00203CD6"/>
    <w:rsid w:val="00203D01"/>
    <w:rsid w:val="00204460"/>
    <w:rsid w:val="002051EA"/>
    <w:rsid w:val="00205CBC"/>
    <w:rsid w:val="00206259"/>
    <w:rsid w:val="002074B7"/>
    <w:rsid w:val="0020758D"/>
    <w:rsid w:val="0020765E"/>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700"/>
    <w:rsid w:val="002177E2"/>
    <w:rsid w:val="0021783B"/>
    <w:rsid w:val="00217AE0"/>
    <w:rsid w:val="00217B43"/>
    <w:rsid w:val="002205F3"/>
    <w:rsid w:val="0022085B"/>
    <w:rsid w:val="00220E53"/>
    <w:rsid w:val="0022176C"/>
    <w:rsid w:val="00221B69"/>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113"/>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F2"/>
    <w:rsid w:val="00260802"/>
    <w:rsid w:val="002609E3"/>
    <w:rsid w:val="0026116D"/>
    <w:rsid w:val="00261223"/>
    <w:rsid w:val="00261467"/>
    <w:rsid w:val="002617AB"/>
    <w:rsid w:val="00261D08"/>
    <w:rsid w:val="00261DCC"/>
    <w:rsid w:val="002624D0"/>
    <w:rsid w:val="00263572"/>
    <w:rsid w:val="00263EC7"/>
    <w:rsid w:val="0026491B"/>
    <w:rsid w:val="00264A36"/>
    <w:rsid w:val="00264B06"/>
    <w:rsid w:val="00264C1B"/>
    <w:rsid w:val="002657FB"/>
    <w:rsid w:val="00265D10"/>
    <w:rsid w:val="00265E2E"/>
    <w:rsid w:val="00265EF0"/>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A24"/>
    <w:rsid w:val="00272D36"/>
    <w:rsid w:val="00272E48"/>
    <w:rsid w:val="00272FBF"/>
    <w:rsid w:val="002734ED"/>
    <w:rsid w:val="00273A10"/>
    <w:rsid w:val="00273A58"/>
    <w:rsid w:val="00273F42"/>
    <w:rsid w:val="00274C6E"/>
    <w:rsid w:val="00274CAB"/>
    <w:rsid w:val="00274E8A"/>
    <w:rsid w:val="002755A8"/>
    <w:rsid w:val="00275FCE"/>
    <w:rsid w:val="002766B8"/>
    <w:rsid w:val="0027680F"/>
    <w:rsid w:val="002777C0"/>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1B0"/>
    <w:rsid w:val="00285BF2"/>
    <w:rsid w:val="00285C78"/>
    <w:rsid w:val="002863CE"/>
    <w:rsid w:val="00287E20"/>
    <w:rsid w:val="00287EB5"/>
    <w:rsid w:val="0029110F"/>
    <w:rsid w:val="00291492"/>
    <w:rsid w:val="00291527"/>
    <w:rsid w:val="002916B4"/>
    <w:rsid w:val="0029199A"/>
    <w:rsid w:val="00291BBE"/>
    <w:rsid w:val="00291FEB"/>
    <w:rsid w:val="00292174"/>
    <w:rsid w:val="0029264A"/>
    <w:rsid w:val="00292E99"/>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68CB"/>
    <w:rsid w:val="002C7193"/>
    <w:rsid w:val="002C7699"/>
    <w:rsid w:val="002C7A49"/>
    <w:rsid w:val="002D0128"/>
    <w:rsid w:val="002D02FB"/>
    <w:rsid w:val="002D0E85"/>
    <w:rsid w:val="002D0FA7"/>
    <w:rsid w:val="002D12FB"/>
    <w:rsid w:val="002D19D1"/>
    <w:rsid w:val="002D1F35"/>
    <w:rsid w:val="002D1FA3"/>
    <w:rsid w:val="002D20CD"/>
    <w:rsid w:val="002D23C6"/>
    <w:rsid w:val="002D24F0"/>
    <w:rsid w:val="002D25EB"/>
    <w:rsid w:val="002D2623"/>
    <w:rsid w:val="002D29F3"/>
    <w:rsid w:val="002D3126"/>
    <w:rsid w:val="002D3529"/>
    <w:rsid w:val="002D3D0A"/>
    <w:rsid w:val="002D3EF0"/>
    <w:rsid w:val="002D478E"/>
    <w:rsid w:val="002D47AE"/>
    <w:rsid w:val="002D4A94"/>
    <w:rsid w:val="002D4AFE"/>
    <w:rsid w:val="002D5181"/>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4C1A"/>
    <w:rsid w:val="002E51DF"/>
    <w:rsid w:val="002E57B9"/>
    <w:rsid w:val="002E6127"/>
    <w:rsid w:val="002E6885"/>
    <w:rsid w:val="002E728C"/>
    <w:rsid w:val="002E72E4"/>
    <w:rsid w:val="002E739D"/>
    <w:rsid w:val="002F0026"/>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09"/>
    <w:rsid w:val="003061F5"/>
    <w:rsid w:val="00306A49"/>
    <w:rsid w:val="00306CBF"/>
    <w:rsid w:val="00306D27"/>
    <w:rsid w:val="0030739C"/>
    <w:rsid w:val="00310ACB"/>
    <w:rsid w:val="00310D51"/>
    <w:rsid w:val="00311B36"/>
    <w:rsid w:val="00311C53"/>
    <w:rsid w:val="00311C92"/>
    <w:rsid w:val="0031252E"/>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6C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926"/>
    <w:rsid w:val="003310AB"/>
    <w:rsid w:val="003314D2"/>
    <w:rsid w:val="00331712"/>
    <w:rsid w:val="00331A3F"/>
    <w:rsid w:val="00332191"/>
    <w:rsid w:val="00332720"/>
    <w:rsid w:val="00332EED"/>
    <w:rsid w:val="003331E4"/>
    <w:rsid w:val="003334A7"/>
    <w:rsid w:val="003337E8"/>
    <w:rsid w:val="00333A14"/>
    <w:rsid w:val="00333B25"/>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28D"/>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2136"/>
    <w:rsid w:val="003627BD"/>
    <w:rsid w:val="00362997"/>
    <w:rsid w:val="00362B7F"/>
    <w:rsid w:val="00362C59"/>
    <w:rsid w:val="00363040"/>
    <w:rsid w:val="003630B7"/>
    <w:rsid w:val="00363786"/>
    <w:rsid w:val="003638A4"/>
    <w:rsid w:val="003639BF"/>
    <w:rsid w:val="00363E41"/>
    <w:rsid w:val="00363FD2"/>
    <w:rsid w:val="00364653"/>
    <w:rsid w:val="0036572E"/>
    <w:rsid w:val="0036614A"/>
    <w:rsid w:val="00366168"/>
    <w:rsid w:val="003663D9"/>
    <w:rsid w:val="003666BF"/>
    <w:rsid w:val="00366707"/>
    <w:rsid w:val="00366FA9"/>
    <w:rsid w:val="00367B19"/>
    <w:rsid w:val="00367E49"/>
    <w:rsid w:val="003700E6"/>
    <w:rsid w:val="0037017C"/>
    <w:rsid w:val="00370490"/>
    <w:rsid w:val="00371C86"/>
    <w:rsid w:val="00371EB4"/>
    <w:rsid w:val="0037236C"/>
    <w:rsid w:val="003729DE"/>
    <w:rsid w:val="00372EA2"/>
    <w:rsid w:val="003735D3"/>
    <w:rsid w:val="0037386D"/>
    <w:rsid w:val="00373956"/>
    <w:rsid w:val="00374153"/>
    <w:rsid w:val="00374671"/>
    <w:rsid w:val="003750E0"/>
    <w:rsid w:val="00375AF1"/>
    <w:rsid w:val="00375C2F"/>
    <w:rsid w:val="00375FC5"/>
    <w:rsid w:val="003768DC"/>
    <w:rsid w:val="003769BA"/>
    <w:rsid w:val="0037743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0A6"/>
    <w:rsid w:val="00387978"/>
    <w:rsid w:val="00387D30"/>
    <w:rsid w:val="0039168C"/>
    <w:rsid w:val="00391753"/>
    <w:rsid w:val="00391C7F"/>
    <w:rsid w:val="00392454"/>
    <w:rsid w:val="00392C85"/>
    <w:rsid w:val="00392FD8"/>
    <w:rsid w:val="00393E11"/>
    <w:rsid w:val="003942F4"/>
    <w:rsid w:val="00394475"/>
    <w:rsid w:val="0039517A"/>
    <w:rsid w:val="003951DB"/>
    <w:rsid w:val="003954FE"/>
    <w:rsid w:val="00395B51"/>
    <w:rsid w:val="00395C37"/>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2F2A"/>
    <w:rsid w:val="003B3966"/>
    <w:rsid w:val="003B39B7"/>
    <w:rsid w:val="003B4754"/>
    <w:rsid w:val="003B4EB0"/>
    <w:rsid w:val="003B5094"/>
    <w:rsid w:val="003B5310"/>
    <w:rsid w:val="003B552F"/>
    <w:rsid w:val="003B5F6A"/>
    <w:rsid w:val="003B6B23"/>
    <w:rsid w:val="003B6B7F"/>
    <w:rsid w:val="003B7820"/>
    <w:rsid w:val="003C01A4"/>
    <w:rsid w:val="003C0219"/>
    <w:rsid w:val="003C0941"/>
    <w:rsid w:val="003C0B01"/>
    <w:rsid w:val="003C0C12"/>
    <w:rsid w:val="003C0E6B"/>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5956"/>
    <w:rsid w:val="003C60CC"/>
    <w:rsid w:val="003C64F4"/>
    <w:rsid w:val="003C6D4E"/>
    <w:rsid w:val="003C724B"/>
    <w:rsid w:val="003C73DB"/>
    <w:rsid w:val="003D0185"/>
    <w:rsid w:val="003D02CB"/>
    <w:rsid w:val="003D0382"/>
    <w:rsid w:val="003D069C"/>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964"/>
    <w:rsid w:val="003E1A72"/>
    <w:rsid w:val="003E27B8"/>
    <w:rsid w:val="003E2880"/>
    <w:rsid w:val="003E28FB"/>
    <w:rsid w:val="003E2A00"/>
    <w:rsid w:val="003E382C"/>
    <w:rsid w:val="003E3D00"/>
    <w:rsid w:val="003E4487"/>
    <w:rsid w:val="003E4531"/>
    <w:rsid w:val="003E4771"/>
    <w:rsid w:val="003E52E3"/>
    <w:rsid w:val="003E53FC"/>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124"/>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3E6A"/>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3AD4"/>
    <w:rsid w:val="0048423C"/>
    <w:rsid w:val="00484449"/>
    <w:rsid w:val="004852CE"/>
    <w:rsid w:val="0048540C"/>
    <w:rsid w:val="00485F92"/>
    <w:rsid w:val="004860BD"/>
    <w:rsid w:val="004866E1"/>
    <w:rsid w:val="00486C72"/>
    <w:rsid w:val="004870CE"/>
    <w:rsid w:val="00487D3A"/>
    <w:rsid w:val="00490954"/>
    <w:rsid w:val="0049102F"/>
    <w:rsid w:val="0049277A"/>
    <w:rsid w:val="00492B38"/>
    <w:rsid w:val="00492F73"/>
    <w:rsid w:val="00492FE4"/>
    <w:rsid w:val="00493035"/>
    <w:rsid w:val="0049330F"/>
    <w:rsid w:val="00493321"/>
    <w:rsid w:val="004936DE"/>
    <w:rsid w:val="0049490F"/>
    <w:rsid w:val="004949B0"/>
    <w:rsid w:val="00494A50"/>
    <w:rsid w:val="0049544E"/>
    <w:rsid w:val="00495670"/>
    <w:rsid w:val="0049567B"/>
    <w:rsid w:val="0049604B"/>
    <w:rsid w:val="00496636"/>
    <w:rsid w:val="00496666"/>
    <w:rsid w:val="00496AC9"/>
    <w:rsid w:val="004A040E"/>
    <w:rsid w:val="004A042D"/>
    <w:rsid w:val="004A0831"/>
    <w:rsid w:val="004A11E0"/>
    <w:rsid w:val="004A1586"/>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5E21"/>
    <w:rsid w:val="004A66E0"/>
    <w:rsid w:val="004A6980"/>
    <w:rsid w:val="004A7450"/>
    <w:rsid w:val="004A7AAE"/>
    <w:rsid w:val="004A7D49"/>
    <w:rsid w:val="004A7E52"/>
    <w:rsid w:val="004A7F21"/>
    <w:rsid w:val="004B0066"/>
    <w:rsid w:val="004B08DB"/>
    <w:rsid w:val="004B0A4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1"/>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6E"/>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624"/>
    <w:rsid w:val="0053785D"/>
    <w:rsid w:val="00537D97"/>
    <w:rsid w:val="00540A37"/>
    <w:rsid w:val="00540B49"/>
    <w:rsid w:val="005418DB"/>
    <w:rsid w:val="0054230B"/>
    <w:rsid w:val="00542967"/>
    <w:rsid w:val="005434EA"/>
    <w:rsid w:val="0054351E"/>
    <w:rsid w:val="00543A04"/>
    <w:rsid w:val="00544ABA"/>
    <w:rsid w:val="00545D55"/>
    <w:rsid w:val="005461AB"/>
    <w:rsid w:val="0054631D"/>
    <w:rsid w:val="00546C6A"/>
    <w:rsid w:val="00546FBA"/>
    <w:rsid w:val="005478D0"/>
    <w:rsid w:val="00547F04"/>
    <w:rsid w:val="00550924"/>
    <w:rsid w:val="00550D63"/>
    <w:rsid w:val="00550EF1"/>
    <w:rsid w:val="00551075"/>
    <w:rsid w:val="005513C8"/>
    <w:rsid w:val="0055236E"/>
    <w:rsid w:val="0055352C"/>
    <w:rsid w:val="005538A6"/>
    <w:rsid w:val="00554E09"/>
    <w:rsid w:val="00554F94"/>
    <w:rsid w:val="00555161"/>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F55"/>
    <w:rsid w:val="00574070"/>
    <w:rsid w:val="005743B5"/>
    <w:rsid w:val="00575148"/>
    <w:rsid w:val="0057540E"/>
    <w:rsid w:val="005757B6"/>
    <w:rsid w:val="005758D7"/>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A2"/>
    <w:rsid w:val="005A51C9"/>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603"/>
    <w:rsid w:val="005B1B55"/>
    <w:rsid w:val="005B1DBD"/>
    <w:rsid w:val="005B26B0"/>
    <w:rsid w:val="005B3EBD"/>
    <w:rsid w:val="005B3F0C"/>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5FC"/>
    <w:rsid w:val="005C2767"/>
    <w:rsid w:val="005C2922"/>
    <w:rsid w:val="005C2C01"/>
    <w:rsid w:val="005C2F60"/>
    <w:rsid w:val="005C323D"/>
    <w:rsid w:val="005C33F1"/>
    <w:rsid w:val="005C3772"/>
    <w:rsid w:val="005C39C3"/>
    <w:rsid w:val="005C4229"/>
    <w:rsid w:val="005C4580"/>
    <w:rsid w:val="005C5065"/>
    <w:rsid w:val="005C52F3"/>
    <w:rsid w:val="005C564C"/>
    <w:rsid w:val="005C5C2D"/>
    <w:rsid w:val="005C6234"/>
    <w:rsid w:val="005C636F"/>
    <w:rsid w:val="005C64DC"/>
    <w:rsid w:val="005C6605"/>
    <w:rsid w:val="005C6CCB"/>
    <w:rsid w:val="005C71A0"/>
    <w:rsid w:val="005C72EB"/>
    <w:rsid w:val="005C7802"/>
    <w:rsid w:val="005C7B50"/>
    <w:rsid w:val="005D029E"/>
    <w:rsid w:val="005D0427"/>
    <w:rsid w:val="005D0776"/>
    <w:rsid w:val="005D07AE"/>
    <w:rsid w:val="005D08FD"/>
    <w:rsid w:val="005D0AA2"/>
    <w:rsid w:val="005D0C83"/>
    <w:rsid w:val="005D113B"/>
    <w:rsid w:val="005D14CC"/>
    <w:rsid w:val="005D1732"/>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068"/>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285"/>
    <w:rsid w:val="006409EE"/>
    <w:rsid w:val="00640BF7"/>
    <w:rsid w:val="00640F55"/>
    <w:rsid w:val="00640FFF"/>
    <w:rsid w:val="00641761"/>
    <w:rsid w:val="006419AF"/>
    <w:rsid w:val="006425FC"/>
    <w:rsid w:val="00642631"/>
    <w:rsid w:val="00642DF5"/>
    <w:rsid w:val="0064304A"/>
    <w:rsid w:val="006433B1"/>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B6D"/>
    <w:rsid w:val="00647E90"/>
    <w:rsid w:val="00647FA3"/>
    <w:rsid w:val="006500F7"/>
    <w:rsid w:val="00650769"/>
    <w:rsid w:val="0065106D"/>
    <w:rsid w:val="00651197"/>
    <w:rsid w:val="006516B7"/>
    <w:rsid w:val="006518E4"/>
    <w:rsid w:val="006519F4"/>
    <w:rsid w:val="00651DB3"/>
    <w:rsid w:val="00651FB8"/>
    <w:rsid w:val="0065203F"/>
    <w:rsid w:val="006520D5"/>
    <w:rsid w:val="0065239B"/>
    <w:rsid w:val="00652BA0"/>
    <w:rsid w:val="00653045"/>
    <w:rsid w:val="0065349A"/>
    <w:rsid w:val="0065350E"/>
    <w:rsid w:val="00653A25"/>
    <w:rsid w:val="00653D81"/>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CCB"/>
    <w:rsid w:val="00667EFD"/>
    <w:rsid w:val="00670475"/>
    <w:rsid w:val="00670B8C"/>
    <w:rsid w:val="00670C4A"/>
    <w:rsid w:val="006712FE"/>
    <w:rsid w:val="00671F3E"/>
    <w:rsid w:val="0067221D"/>
    <w:rsid w:val="00672482"/>
    <w:rsid w:val="00672A18"/>
    <w:rsid w:val="006735D0"/>
    <w:rsid w:val="00673753"/>
    <w:rsid w:val="00673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090"/>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616"/>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33C"/>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52AC"/>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320"/>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205"/>
    <w:rsid w:val="0070542E"/>
    <w:rsid w:val="0070604A"/>
    <w:rsid w:val="007060D4"/>
    <w:rsid w:val="0070624C"/>
    <w:rsid w:val="00706451"/>
    <w:rsid w:val="007076F6"/>
    <w:rsid w:val="00707B32"/>
    <w:rsid w:val="00707E0F"/>
    <w:rsid w:val="0071068A"/>
    <w:rsid w:val="00710E19"/>
    <w:rsid w:val="00710E52"/>
    <w:rsid w:val="007114C9"/>
    <w:rsid w:val="0071154B"/>
    <w:rsid w:val="0071174F"/>
    <w:rsid w:val="0071196A"/>
    <w:rsid w:val="00711B11"/>
    <w:rsid w:val="00711EE3"/>
    <w:rsid w:val="007131CF"/>
    <w:rsid w:val="007133C0"/>
    <w:rsid w:val="00713613"/>
    <w:rsid w:val="007137C6"/>
    <w:rsid w:val="007138FC"/>
    <w:rsid w:val="0071393D"/>
    <w:rsid w:val="00713CF7"/>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0DDD"/>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4D43"/>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1447"/>
    <w:rsid w:val="007422B3"/>
    <w:rsid w:val="007424BF"/>
    <w:rsid w:val="007435F1"/>
    <w:rsid w:val="00743BC1"/>
    <w:rsid w:val="00743DDD"/>
    <w:rsid w:val="00744625"/>
    <w:rsid w:val="007446BB"/>
    <w:rsid w:val="00744AF1"/>
    <w:rsid w:val="00744F11"/>
    <w:rsid w:val="00745882"/>
    <w:rsid w:val="00745A04"/>
    <w:rsid w:val="00745A0F"/>
    <w:rsid w:val="00745DA7"/>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17D"/>
    <w:rsid w:val="007566FB"/>
    <w:rsid w:val="007567A8"/>
    <w:rsid w:val="00756D6A"/>
    <w:rsid w:val="00757EE2"/>
    <w:rsid w:val="00757F78"/>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343"/>
    <w:rsid w:val="00776416"/>
    <w:rsid w:val="0077673C"/>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757"/>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47C"/>
    <w:rsid w:val="007B15F3"/>
    <w:rsid w:val="007B1701"/>
    <w:rsid w:val="007B1738"/>
    <w:rsid w:val="007B1C32"/>
    <w:rsid w:val="007B1DBB"/>
    <w:rsid w:val="007B2319"/>
    <w:rsid w:val="007B2FBF"/>
    <w:rsid w:val="007B3E13"/>
    <w:rsid w:val="007B4044"/>
    <w:rsid w:val="007B4046"/>
    <w:rsid w:val="007B4300"/>
    <w:rsid w:val="007B565C"/>
    <w:rsid w:val="007B595F"/>
    <w:rsid w:val="007B5B7E"/>
    <w:rsid w:val="007B5D75"/>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88"/>
    <w:rsid w:val="007C44E1"/>
    <w:rsid w:val="007C46EC"/>
    <w:rsid w:val="007C48DD"/>
    <w:rsid w:val="007C4A05"/>
    <w:rsid w:val="007C4F3C"/>
    <w:rsid w:val="007C5711"/>
    <w:rsid w:val="007C57B9"/>
    <w:rsid w:val="007C6325"/>
    <w:rsid w:val="007C73A3"/>
    <w:rsid w:val="007C7975"/>
    <w:rsid w:val="007C7E31"/>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5FFD"/>
    <w:rsid w:val="007D6213"/>
    <w:rsid w:val="007D63B2"/>
    <w:rsid w:val="007D651D"/>
    <w:rsid w:val="007D71B7"/>
    <w:rsid w:val="007D7410"/>
    <w:rsid w:val="007D7C66"/>
    <w:rsid w:val="007D7CF3"/>
    <w:rsid w:val="007E0274"/>
    <w:rsid w:val="007E02A7"/>
    <w:rsid w:val="007E0415"/>
    <w:rsid w:val="007E0991"/>
    <w:rsid w:val="007E0AFE"/>
    <w:rsid w:val="007E0B2C"/>
    <w:rsid w:val="007E0BD1"/>
    <w:rsid w:val="007E107F"/>
    <w:rsid w:val="007E2FD7"/>
    <w:rsid w:val="007E310B"/>
    <w:rsid w:val="007E3722"/>
    <w:rsid w:val="007E38DA"/>
    <w:rsid w:val="007E3D65"/>
    <w:rsid w:val="007E3EE2"/>
    <w:rsid w:val="007E4480"/>
    <w:rsid w:val="007E47E7"/>
    <w:rsid w:val="007E4A68"/>
    <w:rsid w:val="007E4A98"/>
    <w:rsid w:val="007E4EB6"/>
    <w:rsid w:val="007E571F"/>
    <w:rsid w:val="007E5DD7"/>
    <w:rsid w:val="007E6B49"/>
    <w:rsid w:val="007E6FB9"/>
    <w:rsid w:val="007E7139"/>
    <w:rsid w:val="007E7366"/>
    <w:rsid w:val="007E7EA1"/>
    <w:rsid w:val="007E7EA4"/>
    <w:rsid w:val="007F03CE"/>
    <w:rsid w:val="007F04D3"/>
    <w:rsid w:val="007F096F"/>
    <w:rsid w:val="007F137D"/>
    <w:rsid w:val="007F17B5"/>
    <w:rsid w:val="007F245F"/>
    <w:rsid w:val="007F2B6B"/>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53D"/>
    <w:rsid w:val="00801D7A"/>
    <w:rsid w:val="0080220F"/>
    <w:rsid w:val="00802597"/>
    <w:rsid w:val="008026A7"/>
    <w:rsid w:val="00802735"/>
    <w:rsid w:val="008028C2"/>
    <w:rsid w:val="00802DDB"/>
    <w:rsid w:val="0080314A"/>
    <w:rsid w:val="0080379D"/>
    <w:rsid w:val="008037D8"/>
    <w:rsid w:val="00803AE0"/>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276"/>
    <w:rsid w:val="0081574E"/>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6BF"/>
    <w:rsid w:val="008227B7"/>
    <w:rsid w:val="00823BA0"/>
    <w:rsid w:val="008243A8"/>
    <w:rsid w:val="00824925"/>
    <w:rsid w:val="00824C8B"/>
    <w:rsid w:val="008252E8"/>
    <w:rsid w:val="00825BA8"/>
    <w:rsid w:val="00825C14"/>
    <w:rsid w:val="0082641D"/>
    <w:rsid w:val="008267CA"/>
    <w:rsid w:val="00826A52"/>
    <w:rsid w:val="00826E45"/>
    <w:rsid w:val="008270EE"/>
    <w:rsid w:val="0082722B"/>
    <w:rsid w:val="0082745B"/>
    <w:rsid w:val="008279D1"/>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2DE6"/>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50F"/>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26"/>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C1"/>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60D"/>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87A"/>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0767"/>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61C"/>
    <w:rsid w:val="008D4C72"/>
    <w:rsid w:val="008D4CF8"/>
    <w:rsid w:val="008D5054"/>
    <w:rsid w:val="008D5246"/>
    <w:rsid w:val="008D5291"/>
    <w:rsid w:val="008D5368"/>
    <w:rsid w:val="008D561B"/>
    <w:rsid w:val="008D582B"/>
    <w:rsid w:val="008D594D"/>
    <w:rsid w:val="008D5CF9"/>
    <w:rsid w:val="008D5D0A"/>
    <w:rsid w:val="008D6199"/>
    <w:rsid w:val="008D64B9"/>
    <w:rsid w:val="008D6794"/>
    <w:rsid w:val="008D7F65"/>
    <w:rsid w:val="008E0178"/>
    <w:rsid w:val="008E02F8"/>
    <w:rsid w:val="008E12AF"/>
    <w:rsid w:val="008E1342"/>
    <w:rsid w:val="008E1DC9"/>
    <w:rsid w:val="008E211C"/>
    <w:rsid w:val="008E26CB"/>
    <w:rsid w:val="008E28EC"/>
    <w:rsid w:val="008E2BB3"/>
    <w:rsid w:val="008E2BC5"/>
    <w:rsid w:val="008E2C79"/>
    <w:rsid w:val="008E3176"/>
    <w:rsid w:val="008E3564"/>
    <w:rsid w:val="008E3A0B"/>
    <w:rsid w:val="008E3A90"/>
    <w:rsid w:val="008E3AAB"/>
    <w:rsid w:val="008E3F34"/>
    <w:rsid w:val="008E4043"/>
    <w:rsid w:val="008E4520"/>
    <w:rsid w:val="008E47E2"/>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5F0A"/>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43F2"/>
    <w:rsid w:val="0094477F"/>
    <w:rsid w:val="009448F2"/>
    <w:rsid w:val="009451E0"/>
    <w:rsid w:val="0094524B"/>
    <w:rsid w:val="00945591"/>
    <w:rsid w:val="009456E3"/>
    <w:rsid w:val="00945759"/>
    <w:rsid w:val="00945925"/>
    <w:rsid w:val="009466E9"/>
    <w:rsid w:val="009469DD"/>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2E4D"/>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6FCD"/>
    <w:rsid w:val="009678DB"/>
    <w:rsid w:val="00970728"/>
    <w:rsid w:val="009707C9"/>
    <w:rsid w:val="009709F3"/>
    <w:rsid w:val="00971303"/>
    <w:rsid w:val="00971E0B"/>
    <w:rsid w:val="009720AE"/>
    <w:rsid w:val="00972101"/>
    <w:rsid w:val="00972285"/>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8C6"/>
    <w:rsid w:val="00981F74"/>
    <w:rsid w:val="0098237C"/>
    <w:rsid w:val="0098269D"/>
    <w:rsid w:val="009829B3"/>
    <w:rsid w:val="00982C31"/>
    <w:rsid w:val="00982D45"/>
    <w:rsid w:val="00983165"/>
    <w:rsid w:val="00983343"/>
    <w:rsid w:val="009833C4"/>
    <w:rsid w:val="0098347E"/>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2505"/>
    <w:rsid w:val="0099367E"/>
    <w:rsid w:val="00993FE4"/>
    <w:rsid w:val="0099425E"/>
    <w:rsid w:val="00994CDC"/>
    <w:rsid w:val="009969CD"/>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5F20"/>
    <w:rsid w:val="009C61E3"/>
    <w:rsid w:val="009C6B56"/>
    <w:rsid w:val="009C6C52"/>
    <w:rsid w:val="009C7DB8"/>
    <w:rsid w:val="009C7FF0"/>
    <w:rsid w:val="009D010D"/>
    <w:rsid w:val="009D0244"/>
    <w:rsid w:val="009D0F71"/>
    <w:rsid w:val="009D1039"/>
    <w:rsid w:val="009D111C"/>
    <w:rsid w:val="009D1189"/>
    <w:rsid w:val="009D17A0"/>
    <w:rsid w:val="009D1F7A"/>
    <w:rsid w:val="009D2873"/>
    <w:rsid w:val="009D2942"/>
    <w:rsid w:val="009D2BB8"/>
    <w:rsid w:val="009D3A1A"/>
    <w:rsid w:val="009D426A"/>
    <w:rsid w:val="009D4DDF"/>
    <w:rsid w:val="009D5BDB"/>
    <w:rsid w:val="009D6B03"/>
    <w:rsid w:val="009D6B3D"/>
    <w:rsid w:val="009D7422"/>
    <w:rsid w:val="009D78E7"/>
    <w:rsid w:val="009E0742"/>
    <w:rsid w:val="009E0B29"/>
    <w:rsid w:val="009E1291"/>
    <w:rsid w:val="009E12BC"/>
    <w:rsid w:val="009E139D"/>
    <w:rsid w:val="009E224D"/>
    <w:rsid w:val="009E24EF"/>
    <w:rsid w:val="009E26D5"/>
    <w:rsid w:val="009E2A07"/>
    <w:rsid w:val="009E3398"/>
    <w:rsid w:val="009E3577"/>
    <w:rsid w:val="009E37A5"/>
    <w:rsid w:val="009E395B"/>
    <w:rsid w:val="009E3C9E"/>
    <w:rsid w:val="009E3D2B"/>
    <w:rsid w:val="009E3DC2"/>
    <w:rsid w:val="009E3E84"/>
    <w:rsid w:val="009E4053"/>
    <w:rsid w:val="009E4097"/>
    <w:rsid w:val="009E4664"/>
    <w:rsid w:val="009E48DF"/>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745"/>
    <w:rsid w:val="00A16747"/>
    <w:rsid w:val="00A17E93"/>
    <w:rsid w:val="00A17F7F"/>
    <w:rsid w:val="00A20013"/>
    <w:rsid w:val="00A2056F"/>
    <w:rsid w:val="00A20582"/>
    <w:rsid w:val="00A20C65"/>
    <w:rsid w:val="00A21767"/>
    <w:rsid w:val="00A21FD5"/>
    <w:rsid w:val="00A22751"/>
    <w:rsid w:val="00A22940"/>
    <w:rsid w:val="00A22C9A"/>
    <w:rsid w:val="00A23102"/>
    <w:rsid w:val="00A233D8"/>
    <w:rsid w:val="00A2343F"/>
    <w:rsid w:val="00A23505"/>
    <w:rsid w:val="00A23A42"/>
    <w:rsid w:val="00A2428B"/>
    <w:rsid w:val="00A247E5"/>
    <w:rsid w:val="00A248BD"/>
    <w:rsid w:val="00A2493D"/>
    <w:rsid w:val="00A24D81"/>
    <w:rsid w:val="00A24EA5"/>
    <w:rsid w:val="00A25173"/>
    <w:rsid w:val="00A252F0"/>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0EE"/>
    <w:rsid w:val="00A36724"/>
    <w:rsid w:val="00A367AF"/>
    <w:rsid w:val="00A36C13"/>
    <w:rsid w:val="00A377C2"/>
    <w:rsid w:val="00A37A31"/>
    <w:rsid w:val="00A37C56"/>
    <w:rsid w:val="00A40B1F"/>
    <w:rsid w:val="00A40B4D"/>
    <w:rsid w:val="00A40C0C"/>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EDD"/>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9C6"/>
    <w:rsid w:val="00A67E38"/>
    <w:rsid w:val="00A703E4"/>
    <w:rsid w:val="00A704C9"/>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69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A7509"/>
    <w:rsid w:val="00AA7EE7"/>
    <w:rsid w:val="00AB04AB"/>
    <w:rsid w:val="00AB0733"/>
    <w:rsid w:val="00AB0789"/>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0B1"/>
    <w:rsid w:val="00AD7154"/>
    <w:rsid w:val="00AD797D"/>
    <w:rsid w:val="00AD7E02"/>
    <w:rsid w:val="00AE0034"/>
    <w:rsid w:val="00AE02F4"/>
    <w:rsid w:val="00AE0483"/>
    <w:rsid w:val="00AE08DD"/>
    <w:rsid w:val="00AE10B3"/>
    <w:rsid w:val="00AE124F"/>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19A3"/>
    <w:rsid w:val="00AF242F"/>
    <w:rsid w:val="00AF24E7"/>
    <w:rsid w:val="00AF272B"/>
    <w:rsid w:val="00AF2838"/>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7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1FE"/>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20A0"/>
    <w:rsid w:val="00B5257E"/>
    <w:rsid w:val="00B525CE"/>
    <w:rsid w:val="00B52CFD"/>
    <w:rsid w:val="00B545A8"/>
    <w:rsid w:val="00B54CAE"/>
    <w:rsid w:val="00B55782"/>
    <w:rsid w:val="00B55AD4"/>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9E2"/>
    <w:rsid w:val="00B67B97"/>
    <w:rsid w:val="00B67F01"/>
    <w:rsid w:val="00B70329"/>
    <w:rsid w:val="00B70AF1"/>
    <w:rsid w:val="00B711AB"/>
    <w:rsid w:val="00B714F0"/>
    <w:rsid w:val="00B71A40"/>
    <w:rsid w:val="00B71C8C"/>
    <w:rsid w:val="00B71CB4"/>
    <w:rsid w:val="00B71FD7"/>
    <w:rsid w:val="00B725E7"/>
    <w:rsid w:val="00B725F1"/>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5C96"/>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018"/>
    <w:rsid w:val="00BA68D9"/>
    <w:rsid w:val="00BA695F"/>
    <w:rsid w:val="00BA6C65"/>
    <w:rsid w:val="00BA6FD8"/>
    <w:rsid w:val="00BA7172"/>
    <w:rsid w:val="00BA7B01"/>
    <w:rsid w:val="00BB02D7"/>
    <w:rsid w:val="00BB0D9F"/>
    <w:rsid w:val="00BB0DEE"/>
    <w:rsid w:val="00BB0F93"/>
    <w:rsid w:val="00BB1031"/>
    <w:rsid w:val="00BB1805"/>
    <w:rsid w:val="00BB1B33"/>
    <w:rsid w:val="00BB2480"/>
    <w:rsid w:val="00BB27D2"/>
    <w:rsid w:val="00BB27FD"/>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A90"/>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79"/>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FB"/>
    <w:rsid w:val="00BD5076"/>
    <w:rsid w:val="00BD5551"/>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3225"/>
    <w:rsid w:val="00BE4875"/>
    <w:rsid w:val="00BE4CCF"/>
    <w:rsid w:val="00BE5964"/>
    <w:rsid w:val="00BE660B"/>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3CC"/>
    <w:rsid w:val="00BF243F"/>
    <w:rsid w:val="00BF2708"/>
    <w:rsid w:val="00BF3284"/>
    <w:rsid w:val="00BF4C2B"/>
    <w:rsid w:val="00BF507A"/>
    <w:rsid w:val="00BF507C"/>
    <w:rsid w:val="00BF53F1"/>
    <w:rsid w:val="00BF5717"/>
    <w:rsid w:val="00BF5B9D"/>
    <w:rsid w:val="00BF5C45"/>
    <w:rsid w:val="00BF5FA3"/>
    <w:rsid w:val="00BF62F2"/>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477A"/>
    <w:rsid w:val="00C14A62"/>
    <w:rsid w:val="00C158EB"/>
    <w:rsid w:val="00C159A2"/>
    <w:rsid w:val="00C159B1"/>
    <w:rsid w:val="00C15D51"/>
    <w:rsid w:val="00C161F5"/>
    <w:rsid w:val="00C168B4"/>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6170"/>
    <w:rsid w:val="00C26B5A"/>
    <w:rsid w:val="00C26BB1"/>
    <w:rsid w:val="00C26D52"/>
    <w:rsid w:val="00C27F62"/>
    <w:rsid w:val="00C303E4"/>
    <w:rsid w:val="00C30775"/>
    <w:rsid w:val="00C30B8D"/>
    <w:rsid w:val="00C30DBE"/>
    <w:rsid w:val="00C3134E"/>
    <w:rsid w:val="00C315D8"/>
    <w:rsid w:val="00C31B90"/>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51D"/>
    <w:rsid w:val="00C4271C"/>
    <w:rsid w:val="00C42CC0"/>
    <w:rsid w:val="00C42CEF"/>
    <w:rsid w:val="00C42D55"/>
    <w:rsid w:val="00C43080"/>
    <w:rsid w:val="00C4370E"/>
    <w:rsid w:val="00C43823"/>
    <w:rsid w:val="00C4384B"/>
    <w:rsid w:val="00C438D5"/>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200"/>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2105"/>
    <w:rsid w:val="00C74520"/>
    <w:rsid w:val="00C74954"/>
    <w:rsid w:val="00C7557A"/>
    <w:rsid w:val="00C75765"/>
    <w:rsid w:val="00C757AA"/>
    <w:rsid w:val="00C76028"/>
    <w:rsid w:val="00C76184"/>
    <w:rsid w:val="00C76462"/>
    <w:rsid w:val="00C7673D"/>
    <w:rsid w:val="00C76A80"/>
    <w:rsid w:val="00C76C27"/>
    <w:rsid w:val="00C76DE6"/>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9D9"/>
    <w:rsid w:val="00C82A50"/>
    <w:rsid w:val="00C8322A"/>
    <w:rsid w:val="00C83240"/>
    <w:rsid w:val="00C83381"/>
    <w:rsid w:val="00C83607"/>
    <w:rsid w:val="00C83768"/>
    <w:rsid w:val="00C83B18"/>
    <w:rsid w:val="00C840C3"/>
    <w:rsid w:val="00C841B4"/>
    <w:rsid w:val="00C84266"/>
    <w:rsid w:val="00C8466F"/>
    <w:rsid w:val="00C8489E"/>
    <w:rsid w:val="00C849E0"/>
    <w:rsid w:val="00C84B74"/>
    <w:rsid w:val="00C84C7C"/>
    <w:rsid w:val="00C8512A"/>
    <w:rsid w:val="00C85378"/>
    <w:rsid w:val="00C85970"/>
    <w:rsid w:val="00C85E9B"/>
    <w:rsid w:val="00C8738E"/>
    <w:rsid w:val="00C874C8"/>
    <w:rsid w:val="00C90165"/>
    <w:rsid w:val="00C902DA"/>
    <w:rsid w:val="00C90733"/>
    <w:rsid w:val="00C9103C"/>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564"/>
    <w:rsid w:val="00CA165C"/>
    <w:rsid w:val="00CA1C0D"/>
    <w:rsid w:val="00CA1DAE"/>
    <w:rsid w:val="00CA1E62"/>
    <w:rsid w:val="00CA2267"/>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4EA"/>
    <w:rsid w:val="00CB4728"/>
    <w:rsid w:val="00CB59E7"/>
    <w:rsid w:val="00CB5D27"/>
    <w:rsid w:val="00CB5E4A"/>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58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94E"/>
    <w:rsid w:val="00D25AC6"/>
    <w:rsid w:val="00D25BF1"/>
    <w:rsid w:val="00D25FAD"/>
    <w:rsid w:val="00D261D3"/>
    <w:rsid w:val="00D27086"/>
    <w:rsid w:val="00D2775C"/>
    <w:rsid w:val="00D27A4C"/>
    <w:rsid w:val="00D3140A"/>
    <w:rsid w:val="00D317E3"/>
    <w:rsid w:val="00D319DF"/>
    <w:rsid w:val="00D31C02"/>
    <w:rsid w:val="00D3225E"/>
    <w:rsid w:val="00D324BC"/>
    <w:rsid w:val="00D32B9F"/>
    <w:rsid w:val="00D331A5"/>
    <w:rsid w:val="00D33565"/>
    <w:rsid w:val="00D336AE"/>
    <w:rsid w:val="00D33761"/>
    <w:rsid w:val="00D33762"/>
    <w:rsid w:val="00D34BD1"/>
    <w:rsid w:val="00D35177"/>
    <w:rsid w:val="00D35340"/>
    <w:rsid w:val="00D3538E"/>
    <w:rsid w:val="00D356E1"/>
    <w:rsid w:val="00D40609"/>
    <w:rsid w:val="00D40983"/>
    <w:rsid w:val="00D40B3B"/>
    <w:rsid w:val="00D41188"/>
    <w:rsid w:val="00D417D3"/>
    <w:rsid w:val="00D418D5"/>
    <w:rsid w:val="00D41DB1"/>
    <w:rsid w:val="00D4255E"/>
    <w:rsid w:val="00D4276D"/>
    <w:rsid w:val="00D42798"/>
    <w:rsid w:val="00D42970"/>
    <w:rsid w:val="00D43468"/>
    <w:rsid w:val="00D43AED"/>
    <w:rsid w:val="00D44916"/>
    <w:rsid w:val="00D45AE4"/>
    <w:rsid w:val="00D45CA4"/>
    <w:rsid w:val="00D45EA7"/>
    <w:rsid w:val="00D45F22"/>
    <w:rsid w:val="00D4628C"/>
    <w:rsid w:val="00D47178"/>
    <w:rsid w:val="00D4752E"/>
    <w:rsid w:val="00D47842"/>
    <w:rsid w:val="00D47BEF"/>
    <w:rsid w:val="00D50826"/>
    <w:rsid w:val="00D51675"/>
    <w:rsid w:val="00D51F73"/>
    <w:rsid w:val="00D52827"/>
    <w:rsid w:val="00D529BE"/>
    <w:rsid w:val="00D52CF6"/>
    <w:rsid w:val="00D53D3E"/>
    <w:rsid w:val="00D547E0"/>
    <w:rsid w:val="00D548B1"/>
    <w:rsid w:val="00D54992"/>
    <w:rsid w:val="00D55291"/>
    <w:rsid w:val="00D55829"/>
    <w:rsid w:val="00D55C48"/>
    <w:rsid w:val="00D55E47"/>
    <w:rsid w:val="00D56392"/>
    <w:rsid w:val="00D56997"/>
    <w:rsid w:val="00D56BF7"/>
    <w:rsid w:val="00D570E6"/>
    <w:rsid w:val="00D5730F"/>
    <w:rsid w:val="00D5774F"/>
    <w:rsid w:val="00D6006A"/>
    <w:rsid w:val="00D60809"/>
    <w:rsid w:val="00D609BD"/>
    <w:rsid w:val="00D60D7F"/>
    <w:rsid w:val="00D61066"/>
    <w:rsid w:val="00D61C9C"/>
    <w:rsid w:val="00D61E7B"/>
    <w:rsid w:val="00D62111"/>
    <w:rsid w:val="00D62229"/>
    <w:rsid w:val="00D625B8"/>
    <w:rsid w:val="00D626F8"/>
    <w:rsid w:val="00D636DC"/>
    <w:rsid w:val="00D6370C"/>
    <w:rsid w:val="00D63F4C"/>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37F"/>
    <w:rsid w:val="00D9075D"/>
    <w:rsid w:val="00D90959"/>
    <w:rsid w:val="00D91410"/>
    <w:rsid w:val="00D91438"/>
    <w:rsid w:val="00D91594"/>
    <w:rsid w:val="00D91ABE"/>
    <w:rsid w:val="00D91DFB"/>
    <w:rsid w:val="00D921DA"/>
    <w:rsid w:val="00D92A4A"/>
    <w:rsid w:val="00D92C2F"/>
    <w:rsid w:val="00D92F7F"/>
    <w:rsid w:val="00D930AC"/>
    <w:rsid w:val="00D93DED"/>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744"/>
    <w:rsid w:val="00DA0B8C"/>
    <w:rsid w:val="00DA0CF7"/>
    <w:rsid w:val="00DA0E96"/>
    <w:rsid w:val="00DA1203"/>
    <w:rsid w:val="00DA14A0"/>
    <w:rsid w:val="00DA15AC"/>
    <w:rsid w:val="00DA15EB"/>
    <w:rsid w:val="00DA18DA"/>
    <w:rsid w:val="00DA1F0C"/>
    <w:rsid w:val="00DA2A10"/>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64"/>
    <w:rsid w:val="00DB6C99"/>
    <w:rsid w:val="00DB75A3"/>
    <w:rsid w:val="00DC02F5"/>
    <w:rsid w:val="00DC0574"/>
    <w:rsid w:val="00DC0C65"/>
    <w:rsid w:val="00DC10E5"/>
    <w:rsid w:val="00DC16BF"/>
    <w:rsid w:val="00DC16E1"/>
    <w:rsid w:val="00DC16FC"/>
    <w:rsid w:val="00DC1881"/>
    <w:rsid w:val="00DC1ED7"/>
    <w:rsid w:val="00DC294E"/>
    <w:rsid w:val="00DC3921"/>
    <w:rsid w:val="00DC3A6F"/>
    <w:rsid w:val="00DC3D1C"/>
    <w:rsid w:val="00DC43E1"/>
    <w:rsid w:val="00DC48A4"/>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9FC"/>
    <w:rsid w:val="00DD4AE2"/>
    <w:rsid w:val="00DD4B0C"/>
    <w:rsid w:val="00DD4B12"/>
    <w:rsid w:val="00DD4BFA"/>
    <w:rsid w:val="00DD51F8"/>
    <w:rsid w:val="00DD5829"/>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44F4"/>
    <w:rsid w:val="00DF5F13"/>
    <w:rsid w:val="00DF63DD"/>
    <w:rsid w:val="00DF6544"/>
    <w:rsid w:val="00DF6835"/>
    <w:rsid w:val="00DF6B62"/>
    <w:rsid w:val="00DF7BD0"/>
    <w:rsid w:val="00DF7BDF"/>
    <w:rsid w:val="00E00303"/>
    <w:rsid w:val="00E005D1"/>
    <w:rsid w:val="00E00A62"/>
    <w:rsid w:val="00E010A0"/>
    <w:rsid w:val="00E0125E"/>
    <w:rsid w:val="00E01668"/>
    <w:rsid w:val="00E0173A"/>
    <w:rsid w:val="00E01849"/>
    <w:rsid w:val="00E019A0"/>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879"/>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060"/>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6E4F"/>
    <w:rsid w:val="00E270D3"/>
    <w:rsid w:val="00E27FC7"/>
    <w:rsid w:val="00E3050B"/>
    <w:rsid w:val="00E30700"/>
    <w:rsid w:val="00E30BFD"/>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504D6"/>
    <w:rsid w:val="00E50B6F"/>
    <w:rsid w:val="00E50EBE"/>
    <w:rsid w:val="00E50F69"/>
    <w:rsid w:val="00E50FC6"/>
    <w:rsid w:val="00E52372"/>
    <w:rsid w:val="00E5272D"/>
    <w:rsid w:val="00E52786"/>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0B1E"/>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B3E"/>
    <w:rsid w:val="00EA6CAC"/>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5A5"/>
    <w:rsid w:val="00ED1989"/>
    <w:rsid w:val="00ED28F2"/>
    <w:rsid w:val="00ED2F3E"/>
    <w:rsid w:val="00ED3145"/>
    <w:rsid w:val="00ED3309"/>
    <w:rsid w:val="00ED356E"/>
    <w:rsid w:val="00ED3792"/>
    <w:rsid w:val="00ED3BDA"/>
    <w:rsid w:val="00ED5A3B"/>
    <w:rsid w:val="00ED5C30"/>
    <w:rsid w:val="00ED5E02"/>
    <w:rsid w:val="00ED5E19"/>
    <w:rsid w:val="00ED5EED"/>
    <w:rsid w:val="00ED612A"/>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3280"/>
    <w:rsid w:val="00F0362A"/>
    <w:rsid w:val="00F0385C"/>
    <w:rsid w:val="00F03ABE"/>
    <w:rsid w:val="00F03B69"/>
    <w:rsid w:val="00F04345"/>
    <w:rsid w:val="00F0460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858"/>
    <w:rsid w:val="00F13AA1"/>
    <w:rsid w:val="00F13F2A"/>
    <w:rsid w:val="00F142A5"/>
    <w:rsid w:val="00F14D9E"/>
    <w:rsid w:val="00F15097"/>
    <w:rsid w:val="00F153F8"/>
    <w:rsid w:val="00F15671"/>
    <w:rsid w:val="00F1643E"/>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CA6"/>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504"/>
    <w:rsid w:val="00F33550"/>
    <w:rsid w:val="00F33825"/>
    <w:rsid w:val="00F33A8B"/>
    <w:rsid w:val="00F33D3B"/>
    <w:rsid w:val="00F34A96"/>
    <w:rsid w:val="00F34EBF"/>
    <w:rsid w:val="00F34F05"/>
    <w:rsid w:val="00F356D5"/>
    <w:rsid w:val="00F359A5"/>
    <w:rsid w:val="00F3611E"/>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2FE1"/>
    <w:rsid w:val="00F5352D"/>
    <w:rsid w:val="00F53615"/>
    <w:rsid w:val="00F53A91"/>
    <w:rsid w:val="00F53E99"/>
    <w:rsid w:val="00F5441F"/>
    <w:rsid w:val="00F54466"/>
    <w:rsid w:val="00F545B2"/>
    <w:rsid w:val="00F54783"/>
    <w:rsid w:val="00F547E9"/>
    <w:rsid w:val="00F5494E"/>
    <w:rsid w:val="00F54ABE"/>
    <w:rsid w:val="00F55385"/>
    <w:rsid w:val="00F55804"/>
    <w:rsid w:val="00F55F1A"/>
    <w:rsid w:val="00F56310"/>
    <w:rsid w:val="00F5684C"/>
    <w:rsid w:val="00F570D4"/>
    <w:rsid w:val="00F57210"/>
    <w:rsid w:val="00F577FC"/>
    <w:rsid w:val="00F602F0"/>
    <w:rsid w:val="00F60C90"/>
    <w:rsid w:val="00F619EE"/>
    <w:rsid w:val="00F61CF5"/>
    <w:rsid w:val="00F61FF9"/>
    <w:rsid w:val="00F62069"/>
    <w:rsid w:val="00F62159"/>
    <w:rsid w:val="00F62A7C"/>
    <w:rsid w:val="00F62A7D"/>
    <w:rsid w:val="00F62B93"/>
    <w:rsid w:val="00F633CC"/>
    <w:rsid w:val="00F633E5"/>
    <w:rsid w:val="00F63C89"/>
    <w:rsid w:val="00F647EC"/>
    <w:rsid w:val="00F64FAB"/>
    <w:rsid w:val="00F65AC8"/>
    <w:rsid w:val="00F65CEA"/>
    <w:rsid w:val="00F65DE8"/>
    <w:rsid w:val="00F65F15"/>
    <w:rsid w:val="00F66443"/>
    <w:rsid w:val="00F675EA"/>
    <w:rsid w:val="00F677EF"/>
    <w:rsid w:val="00F7073B"/>
    <w:rsid w:val="00F7074A"/>
    <w:rsid w:val="00F70809"/>
    <w:rsid w:val="00F70AD6"/>
    <w:rsid w:val="00F71687"/>
    <w:rsid w:val="00F71708"/>
    <w:rsid w:val="00F717C1"/>
    <w:rsid w:val="00F71AAE"/>
    <w:rsid w:val="00F71CB7"/>
    <w:rsid w:val="00F71CDB"/>
    <w:rsid w:val="00F725D3"/>
    <w:rsid w:val="00F7281E"/>
    <w:rsid w:val="00F72C1A"/>
    <w:rsid w:val="00F72C3D"/>
    <w:rsid w:val="00F737AB"/>
    <w:rsid w:val="00F74216"/>
    <w:rsid w:val="00F74F0F"/>
    <w:rsid w:val="00F75731"/>
    <w:rsid w:val="00F75841"/>
    <w:rsid w:val="00F76333"/>
    <w:rsid w:val="00F7705A"/>
    <w:rsid w:val="00F770C6"/>
    <w:rsid w:val="00F77100"/>
    <w:rsid w:val="00F7742C"/>
    <w:rsid w:val="00F80550"/>
    <w:rsid w:val="00F8090F"/>
    <w:rsid w:val="00F80A8A"/>
    <w:rsid w:val="00F8119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61F"/>
    <w:rsid w:val="00F92A66"/>
    <w:rsid w:val="00F931CF"/>
    <w:rsid w:val="00F93A31"/>
    <w:rsid w:val="00F93D6E"/>
    <w:rsid w:val="00F9423D"/>
    <w:rsid w:val="00F942C2"/>
    <w:rsid w:val="00F9449D"/>
    <w:rsid w:val="00F94609"/>
    <w:rsid w:val="00F94F16"/>
    <w:rsid w:val="00F95182"/>
    <w:rsid w:val="00F957D2"/>
    <w:rsid w:val="00F95D94"/>
    <w:rsid w:val="00F95E86"/>
    <w:rsid w:val="00F96F86"/>
    <w:rsid w:val="00F97A24"/>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3F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8C"/>
    <w:rsid w:val="00FE52B7"/>
    <w:rsid w:val="00FE53C5"/>
    <w:rsid w:val="00FE55C9"/>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05F15"/>
    <w:rsid w:val="015679D0"/>
    <w:rsid w:val="015E0F15"/>
    <w:rsid w:val="01663906"/>
    <w:rsid w:val="01714ECB"/>
    <w:rsid w:val="01901FEF"/>
    <w:rsid w:val="01AA2C10"/>
    <w:rsid w:val="02020D2F"/>
    <w:rsid w:val="024912E2"/>
    <w:rsid w:val="02B56978"/>
    <w:rsid w:val="032D650E"/>
    <w:rsid w:val="03561F09"/>
    <w:rsid w:val="037738D8"/>
    <w:rsid w:val="037D56E7"/>
    <w:rsid w:val="03BC7892"/>
    <w:rsid w:val="03E05C76"/>
    <w:rsid w:val="04272850"/>
    <w:rsid w:val="04644636"/>
    <w:rsid w:val="047B2AA8"/>
    <w:rsid w:val="04C3537C"/>
    <w:rsid w:val="04EE7F1F"/>
    <w:rsid w:val="055659D1"/>
    <w:rsid w:val="05D47A74"/>
    <w:rsid w:val="05DB04A3"/>
    <w:rsid w:val="06197F7E"/>
    <w:rsid w:val="062804A3"/>
    <w:rsid w:val="066E30C6"/>
    <w:rsid w:val="068955F4"/>
    <w:rsid w:val="071B2063"/>
    <w:rsid w:val="075A5BC6"/>
    <w:rsid w:val="075F0692"/>
    <w:rsid w:val="07724080"/>
    <w:rsid w:val="07746E01"/>
    <w:rsid w:val="07935DE5"/>
    <w:rsid w:val="07DB054A"/>
    <w:rsid w:val="080A5EBF"/>
    <w:rsid w:val="081172DC"/>
    <w:rsid w:val="0811786B"/>
    <w:rsid w:val="081964D9"/>
    <w:rsid w:val="083D2AF4"/>
    <w:rsid w:val="08830107"/>
    <w:rsid w:val="089C0830"/>
    <w:rsid w:val="08F53B23"/>
    <w:rsid w:val="09311977"/>
    <w:rsid w:val="09497E1A"/>
    <w:rsid w:val="095F2C1A"/>
    <w:rsid w:val="099A1CEE"/>
    <w:rsid w:val="099F5C8C"/>
    <w:rsid w:val="09AF127F"/>
    <w:rsid w:val="0A053C89"/>
    <w:rsid w:val="0A070656"/>
    <w:rsid w:val="0A374116"/>
    <w:rsid w:val="0A481E7F"/>
    <w:rsid w:val="0A913ED8"/>
    <w:rsid w:val="0ADD4CBE"/>
    <w:rsid w:val="0B1D5DDF"/>
    <w:rsid w:val="0B2034AD"/>
    <w:rsid w:val="0B24171E"/>
    <w:rsid w:val="0B5C3243"/>
    <w:rsid w:val="0B5E59FA"/>
    <w:rsid w:val="0BA80E28"/>
    <w:rsid w:val="0BAD59A4"/>
    <w:rsid w:val="0C274EF7"/>
    <w:rsid w:val="0C2769AC"/>
    <w:rsid w:val="0C325286"/>
    <w:rsid w:val="0C357211"/>
    <w:rsid w:val="0C466B45"/>
    <w:rsid w:val="0C9413AC"/>
    <w:rsid w:val="0D165505"/>
    <w:rsid w:val="0D584403"/>
    <w:rsid w:val="0D735465"/>
    <w:rsid w:val="0DD37EFF"/>
    <w:rsid w:val="0DE30DD2"/>
    <w:rsid w:val="0DEE7765"/>
    <w:rsid w:val="0E263865"/>
    <w:rsid w:val="0E59465B"/>
    <w:rsid w:val="0E652045"/>
    <w:rsid w:val="0E7B66BB"/>
    <w:rsid w:val="0E7F0FC2"/>
    <w:rsid w:val="0E9D6C3E"/>
    <w:rsid w:val="0ED4462A"/>
    <w:rsid w:val="0F067B21"/>
    <w:rsid w:val="0F204221"/>
    <w:rsid w:val="0F2B5D1F"/>
    <w:rsid w:val="0F587009"/>
    <w:rsid w:val="0F6053AB"/>
    <w:rsid w:val="0FA32EBE"/>
    <w:rsid w:val="0FD22848"/>
    <w:rsid w:val="0FE4691A"/>
    <w:rsid w:val="10050347"/>
    <w:rsid w:val="101C0A97"/>
    <w:rsid w:val="10357E4D"/>
    <w:rsid w:val="104572E8"/>
    <w:rsid w:val="10505595"/>
    <w:rsid w:val="10674DD9"/>
    <w:rsid w:val="108E2A27"/>
    <w:rsid w:val="10B20503"/>
    <w:rsid w:val="10C34956"/>
    <w:rsid w:val="10D12354"/>
    <w:rsid w:val="10F67974"/>
    <w:rsid w:val="111807FE"/>
    <w:rsid w:val="11284CC0"/>
    <w:rsid w:val="11AC0F46"/>
    <w:rsid w:val="11F34DC7"/>
    <w:rsid w:val="124D44D7"/>
    <w:rsid w:val="12685FCD"/>
    <w:rsid w:val="126F6D64"/>
    <w:rsid w:val="128D191E"/>
    <w:rsid w:val="12A641A4"/>
    <w:rsid w:val="12B55D00"/>
    <w:rsid w:val="13385187"/>
    <w:rsid w:val="13693592"/>
    <w:rsid w:val="13810255"/>
    <w:rsid w:val="13EF0479"/>
    <w:rsid w:val="13F053CF"/>
    <w:rsid w:val="145324A8"/>
    <w:rsid w:val="14695EAA"/>
    <w:rsid w:val="146F2C7A"/>
    <w:rsid w:val="149E4992"/>
    <w:rsid w:val="14C30A80"/>
    <w:rsid w:val="15B50326"/>
    <w:rsid w:val="15DA2525"/>
    <w:rsid w:val="16170BEA"/>
    <w:rsid w:val="16962C7A"/>
    <w:rsid w:val="16A3101D"/>
    <w:rsid w:val="16CC05DF"/>
    <w:rsid w:val="170E5D26"/>
    <w:rsid w:val="170E7B8E"/>
    <w:rsid w:val="171657DF"/>
    <w:rsid w:val="174F2A9F"/>
    <w:rsid w:val="17694B12"/>
    <w:rsid w:val="17BD71FF"/>
    <w:rsid w:val="17BE59A2"/>
    <w:rsid w:val="17DF39FD"/>
    <w:rsid w:val="18117D55"/>
    <w:rsid w:val="18133235"/>
    <w:rsid w:val="18185849"/>
    <w:rsid w:val="187C781B"/>
    <w:rsid w:val="199B6134"/>
    <w:rsid w:val="199C5D44"/>
    <w:rsid w:val="19DC60C6"/>
    <w:rsid w:val="1A200723"/>
    <w:rsid w:val="1A442DE9"/>
    <w:rsid w:val="1A492984"/>
    <w:rsid w:val="1A695262"/>
    <w:rsid w:val="1A9334AF"/>
    <w:rsid w:val="1AFB2E83"/>
    <w:rsid w:val="1B3121E7"/>
    <w:rsid w:val="1BA64C58"/>
    <w:rsid w:val="1BAA0BEC"/>
    <w:rsid w:val="1BB03EA9"/>
    <w:rsid w:val="1BC305D3"/>
    <w:rsid w:val="1BF679EE"/>
    <w:rsid w:val="1C161DDD"/>
    <w:rsid w:val="1CC63D9B"/>
    <w:rsid w:val="1CD55680"/>
    <w:rsid w:val="1CD7465F"/>
    <w:rsid w:val="1D15446A"/>
    <w:rsid w:val="1D321E13"/>
    <w:rsid w:val="1D4D5CD3"/>
    <w:rsid w:val="1D7E41D9"/>
    <w:rsid w:val="1DA717A4"/>
    <w:rsid w:val="1DB96EC4"/>
    <w:rsid w:val="1DBC044E"/>
    <w:rsid w:val="1DE70498"/>
    <w:rsid w:val="1E287B89"/>
    <w:rsid w:val="1E62130A"/>
    <w:rsid w:val="1E7C51A0"/>
    <w:rsid w:val="1F4849CA"/>
    <w:rsid w:val="1F4A101C"/>
    <w:rsid w:val="1F873477"/>
    <w:rsid w:val="1FE25B40"/>
    <w:rsid w:val="203F6EF4"/>
    <w:rsid w:val="20511755"/>
    <w:rsid w:val="209B180C"/>
    <w:rsid w:val="20A9456C"/>
    <w:rsid w:val="20B00655"/>
    <w:rsid w:val="20DA0C08"/>
    <w:rsid w:val="20DB5C85"/>
    <w:rsid w:val="20EF0E4F"/>
    <w:rsid w:val="2120725A"/>
    <w:rsid w:val="21455F84"/>
    <w:rsid w:val="21717341"/>
    <w:rsid w:val="217D4EBE"/>
    <w:rsid w:val="21B10E65"/>
    <w:rsid w:val="21F5648F"/>
    <w:rsid w:val="21FC7CC7"/>
    <w:rsid w:val="22447D7B"/>
    <w:rsid w:val="22552F34"/>
    <w:rsid w:val="226F0499"/>
    <w:rsid w:val="23062CC1"/>
    <w:rsid w:val="231F75C5"/>
    <w:rsid w:val="232E5C5F"/>
    <w:rsid w:val="23623ADB"/>
    <w:rsid w:val="23675615"/>
    <w:rsid w:val="23842758"/>
    <w:rsid w:val="24131ED5"/>
    <w:rsid w:val="244E7A1E"/>
    <w:rsid w:val="24693AC6"/>
    <w:rsid w:val="24861ACA"/>
    <w:rsid w:val="24977600"/>
    <w:rsid w:val="24B831E2"/>
    <w:rsid w:val="24D74796"/>
    <w:rsid w:val="24DE1906"/>
    <w:rsid w:val="25045F9C"/>
    <w:rsid w:val="25090731"/>
    <w:rsid w:val="250B120F"/>
    <w:rsid w:val="25114D14"/>
    <w:rsid w:val="252C7220"/>
    <w:rsid w:val="256C2A6E"/>
    <w:rsid w:val="25762648"/>
    <w:rsid w:val="25916979"/>
    <w:rsid w:val="25A7117C"/>
    <w:rsid w:val="25B95C6E"/>
    <w:rsid w:val="25F67E5A"/>
    <w:rsid w:val="26152EB1"/>
    <w:rsid w:val="265F6F22"/>
    <w:rsid w:val="26813D30"/>
    <w:rsid w:val="26A50560"/>
    <w:rsid w:val="26E36D60"/>
    <w:rsid w:val="26F947D6"/>
    <w:rsid w:val="26FD2518"/>
    <w:rsid w:val="270858F0"/>
    <w:rsid w:val="270F55EE"/>
    <w:rsid w:val="272F1A96"/>
    <w:rsid w:val="27366201"/>
    <w:rsid w:val="276E48E5"/>
    <w:rsid w:val="278247CB"/>
    <w:rsid w:val="278C0058"/>
    <w:rsid w:val="27A73F02"/>
    <w:rsid w:val="27E6663B"/>
    <w:rsid w:val="27F52753"/>
    <w:rsid w:val="281F201A"/>
    <w:rsid w:val="284035F2"/>
    <w:rsid w:val="28553930"/>
    <w:rsid w:val="288F53F1"/>
    <w:rsid w:val="28B704A4"/>
    <w:rsid w:val="292F5620"/>
    <w:rsid w:val="297B0CF7"/>
    <w:rsid w:val="2A12304A"/>
    <w:rsid w:val="2A4F61EE"/>
    <w:rsid w:val="2A50295E"/>
    <w:rsid w:val="2A9036A3"/>
    <w:rsid w:val="2ACE1666"/>
    <w:rsid w:val="2B117875"/>
    <w:rsid w:val="2B1B3318"/>
    <w:rsid w:val="2B681F2A"/>
    <w:rsid w:val="2B793244"/>
    <w:rsid w:val="2B822DA1"/>
    <w:rsid w:val="2B9845BD"/>
    <w:rsid w:val="2BAA42F0"/>
    <w:rsid w:val="2BE13903"/>
    <w:rsid w:val="2BEE3514"/>
    <w:rsid w:val="2C3D6859"/>
    <w:rsid w:val="2C6E08C2"/>
    <w:rsid w:val="2C8505F4"/>
    <w:rsid w:val="2CAD003C"/>
    <w:rsid w:val="2CF6154A"/>
    <w:rsid w:val="2D2664C7"/>
    <w:rsid w:val="2D2C76B3"/>
    <w:rsid w:val="2D7466E1"/>
    <w:rsid w:val="2DC2217D"/>
    <w:rsid w:val="2DE7275E"/>
    <w:rsid w:val="2DF80479"/>
    <w:rsid w:val="2DFB7085"/>
    <w:rsid w:val="2E222864"/>
    <w:rsid w:val="2E4A5917"/>
    <w:rsid w:val="2E606C4B"/>
    <w:rsid w:val="2E6A6D7F"/>
    <w:rsid w:val="2E7DA6F5"/>
    <w:rsid w:val="2E7E6154"/>
    <w:rsid w:val="2EA133AF"/>
    <w:rsid w:val="2EA63495"/>
    <w:rsid w:val="2EB27532"/>
    <w:rsid w:val="2EC3321A"/>
    <w:rsid w:val="2EDD2DD9"/>
    <w:rsid w:val="2F3D19C5"/>
    <w:rsid w:val="2F723467"/>
    <w:rsid w:val="2F922149"/>
    <w:rsid w:val="2FFF3F13"/>
    <w:rsid w:val="30002B75"/>
    <w:rsid w:val="30405CA0"/>
    <w:rsid w:val="306835D0"/>
    <w:rsid w:val="30B71989"/>
    <w:rsid w:val="30C05895"/>
    <w:rsid w:val="30EF1562"/>
    <w:rsid w:val="30F62005"/>
    <w:rsid w:val="313E0DD8"/>
    <w:rsid w:val="314D19A6"/>
    <w:rsid w:val="31920EFC"/>
    <w:rsid w:val="31DF1C7D"/>
    <w:rsid w:val="31F77B64"/>
    <w:rsid w:val="32153FA4"/>
    <w:rsid w:val="32A0292F"/>
    <w:rsid w:val="32A02B99"/>
    <w:rsid w:val="330F2BAA"/>
    <w:rsid w:val="331D4DE9"/>
    <w:rsid w:val="335450AB"/>
    <w:rsid w:val="3370552D"/>
    <w:rsid w:val="337D5F7B"/>
    <w:rsid w:val="33D414D0"/>
    <w:rsid w:val="33DA5945"/>
    <w:rsid w:val="3411197D"/>
    <w:rsid w:val="342F5CDB"/>
    <w:rsid w:val="34603E67"/>
    <w:rsid w:val="34AD26E7"/>
    <w:rsid w:val="34F82570"/>
    <w:rsid w:val="34F860CC"/>
    <w:rsid w:val="35451EAF"/>
    <w:rsid w:val="357159B3"/>
    <w:rsid w:val="35843E04"/>
    <w:rsid w:val="35CD358A"/>
    <w:rsid w:val="35E23642"/>
    <w:rsid w:val="35F85F84"/>
    <w:rsid w:val="35FD94D1"/>
    <w:rsid w:val="36232DB0"/>
    <w:rsid w:val="362829E1"/>
    <w:rsid w:val="362C0BAC"/>
    <w:rsid w:val="36FD2CC6"/>
    <w:rsid w:val="371B5911"/>
    <w:rsid w:val="371E7831"/>
    <w:rsid w:val="371F01BC"/>
    <w:rsid w:val="372E4027"/>
    <w:rsid w:val="37457E46"/>
    <w:rsid w:val="37AD13F0"/>
    <w:rsid w:val="3800212F"/>
    <w:rsid w:val="385F359C"/>
    <w:rsid w:val="388123BB"/>
    <w:rsid w:val="39184F8F"/>
    <w:rsid w:val="399135F9"/>
    <w:rsid w:val="39B34CB8"/>
    <w:rsid w:val="39FD66A6"/>
    <w:rsid w:val="3A192D6D"/>
    <w:rsid w:val="3AE807D4"/>
    <w:rsid w:val="3AF9494C"/>
    <w:rsid w:val="3B223262"/>
    <w:rsid w:val="3B266C42"/>
    <w:rsid w:val="3B497682"/>
    <w:rsid w:val="3B985F13"/>
    <w:rsid w:val="3BA80B19"/>
    <w:rsid w:val="3BE848C4"/>
    <w:rsid w:val="3C074E47"/>
    <w:rsid w:val="3C3B15E2"/>
    <w:rsid w:val="3C4240EC"/>
    <w:rsid w:val="3C9832C5"/>
    <w:rsid w:val="3CDB69FF"/>
    <w:rsid w:val="3CFA1BCE"/>
    <w:rsid w:val="3D2071A5"/>
    <w:rsid w:val="3D711B40"/>
    <w:rsid w:val="3D7A66EE"/>
    <w:rsid w:val="3DC348D3"/>
    <w:rsid w:val="3DF00289"/>
    <w:rsid w:val="3DF0138D"/>
    <w:rsid w:val="3DF2EE23"/>
    <w:rsid w:val="3DFB1276"/>
    <w:rsid w:val="3E350391"/>
    <w:rsid w:val="3E4958A3"/>
    <w:rsid w:val="3E800AA6"/>
    <w:rsid w:val="3EAF3CA0"/>
    <w:rsid w:val="3EF4725F"/>
    <w:rsid w:val="3EFD6919"/>
    <w:rsid w:val="3F3A1FEB"/>
    <w:rsid w:val="3F3D74FE"/>
    <w:rsid w:val="3F6A726A"/>
    <w:rsid w:val="3F7A2615"/>
    <w:rsid w:val="3FDB2873"/>
    <w:rsid w:val="3FFB4CC3"/>
    <w:rsid w:val="40491ED2"/>
    <w:rsid w:val="406F66EF"/>
    <w:rsid w:val="40750F19"/>
    <w:rsid w:val="40911B0B"/>
    <w:rsid w:val="40A67243"/>
    <w:rsid w:val="40DA4A1A"/>
    <w:rsid w:val="40DE52C8"/>
    <w:rsid w:val="4114603C"/>
    <w:rsid w:val="41322E91"/>
    <w:rsid w:val="41EF130C"/>
    <w:rsid w:val="41F11750"/>
    <w:rsid w:val="420F4F91"/>
    <w:rsid w:val="42253D73"/>
    <w:rsid w:val="422B1286"/>
    <w:rsid w:val="422C7D41"/>
    <w:rsid w:val="425C7848"/>
    <w:rsid w:val="42A15FF5"/>
    <w:rsid w:val="42B0448A"/>
    <w:rsid w:val="42C43A92"/>
    <w:rsid w:val="42D84CBA"/>
    <w:rsid w:val="42F827BF"/>
    <w:rsid w:val="430F2813"/>
    <w:rsid w:val="43E23D6F"/>
    <w:rsid w:val="44095722"/>
    <w:rsid w:val="445A645C"/>
    <w:rsid w:val="44801C3A"/>
    <w:rsid w:val="44D363E7"/>
    <w:rsid w:val="44E4602A"/>
    <w:rsid w:val="45247770"/>
    <w:rsid w:val="45820A65"/>
    <w:rsid w:val="458A55DD"/>
    <w:rsid w:val="45B80788"/>
    <w:rsid w:val="45E86409"/>
    <w:rsid w:val="46181376"/>
    <w:rsid w:val="462C6FB5"/>
    <w:rsid w:val="464A0752"/>
    <w:rsid w:val="46565349"/>
    <w:rsid w:val="467D1647"/>
    <w:rsid w:val="46AE2B8D"/>
    <w:rsid w:val="46B82B55"/>
    <w:rsid w:val="47396296"/>
    <w:rsid w:val="47462CC7"/>
    <w:rsid w:val="475A7802"/>
    <w:rsid w:val="47706F7B"/>
    <w:rsid w:val="477115AD"/>
    <w:rsid w:val="478B706C"/>
    <w:rsid w:val="47D400B1"/>
    <w:rsid w:val="47E9061B"/>
    <w:rsid w:val="47F586A7"/>
    <w:rsid w:val="4800731A"/>
    <w:rsid w:val="482A74E0"/>
    <w:rsid w:val="482C010F"/>
    <w:rsid w:val="484245C7"/>
    <w:rsid w:val="48883BF9"/>
    <w:rsid w:val="488D7CFE"/>
    <w:rsid w:val="4893018E"/>
    <w:rsid w:val="48CD4F68"/>
    <w:rsid w:val="48D12A65"/>
    <w:rsid w:val="49061C83"/>
    <w:rsid w:val="491133E8"/>
    <w:rsid w:val="49323FD7"/>
    <w:rsid w:val="495B5688"/>
    <w:rsid w:val="49A5461D"/>
    <w:rsid w:val="4A0C54A3"/>
    <w:rsid w:val="4AD04C95"/>
    <w:rsid w:val="4AD54A8E"/>
    <w:rsid w:val="4B307AAE"/>
    <w:rsid w:val="4B5C05B0"/>
    <w:rsid w:val="4B7E5A89"/>
    <w:rsid w:val="4B8F3EAC"/>
    <w:rsid w:val="4B916D2A"/>
    <w:rsid w:val="4C12409B"/>
    <w:rsid w:val="4C51283A"/>
    <w:rsid w:val="4C697DD0"/>
    <w:rsid w:val="4C9365CD"/>
    <w:rsid w:val="4C9604BD"/>
    <w:rsid w:val="4CE74F4D"/>
    <w:rsid w:val="4CFFD761"/>
    <w:rsid w:val="4D5601C7"/>
    <w:rsid w:val="4D7725DB"/>
    <w:rsid w:val="4D774028"/>
    <w:rsid w:val="4D84279B"/>
    <w:rsid w:val="4DC31516"/>
    <w:rsid w:val="4E151645"/>
    <w:rsid w:val="4E34228F"/>
    <w:rsid w:val="4E371E70"/>
    <w:rsid w:val="4E412773"/>
    <w:rsid w:val="4E592554"/>
    <w:rsid w:val="4EA85EEE"/>
    <w:rsid w:val="4EAC5711"/>
    <w:rsid w:val="4EBA57DB"/>
    <w:rsid w:val="4F434420"/>
    <w:rsid w:val="4F4E6379"/>
    <w:rsid w:val="4F635DE7"/>
    <w:rsid w:val="4FA87897"/>
    <w:rsid w:val="506C74F2"/>
    <w:rsid w:val="50AC1958"/>
    <w:rsid w:val="50DA7EEA"/>
    <w:rsid w:val="51B2004B"/>
    <w:rsid w:val="51BD7D15"/>
    <w:rsid w:val="527E5A0B"/>
    <w:rsid w:val="52BF6E89"/>
    <w:rsid w:val="534D53DE"/>
    <w:rsid w:val="539834E7"/>
    <w:rsid w:val="53A56FC8"/>
    <w:rsid w:val="53B80B00"/>
    <w:rsid w:val="53BA0CC5"/>
    <w:rsid w:val="53D67233"/>
    <w:rsid w:val="542E520F"/>
    <w:rsid w:val="54556AEA"/>
    <w:rsid w:val="548A4B3B"/>
    <w:rsid w:val="54B7788A"/>
    <w:rsid w:val="55131A57"/>
    <w:rsid w:val="553426D6"/>
    <w:rsid w:val="55622629"/>
    <w:rsid w:val="556A04C9"/>
    <w:rsid w:val="557958E4"/>
    <w:rsid w:val="55CE4EC9"/>
    <w:rsid w:val="55CE626F"/>
    <w:rsid w:val="55DF0EB7"/>
    <w:rsid w:val="563B4C0B"/>
    <w:rsid w:val="564B654C"/>
    <w:rsid w:val="564F94FC"/>
    <w:rsid w:val="568E4DA2"/>
    <w:rsid w:val="56F7131F"/>
    <w:rsid w:val="56F72230"/>
    <w:rsid w:val="56F73FDE"/>
    <w:rsid w:val="570C5CDB"/>
    <w:rsid w:val="57272B15"/>
    <w:rsid w:val="57593CE3"/>
    <w:rsid w:val="577707C0"/>
    <w:rsid w:val="577D71D5"/>
    <w:rsid w:val="5794607D"/>
    <w:rsid w:val="57E44E66"/>
    <w:rsid w:val="582157B7"/>
    <w:rsid w:val="58682DFB"/>
    <w:rsid w:val="58C05D2A"/>
    <w:rsid w:val="59367040"/>
    <w:rsid w:val="594F1EAF"/>
    <w:rsid w:val="598F32A9"/>
    <w:rsid w:val="59BD5424"/>
    <w:rsid w:val="59FF38D6"/>
    <w:rsid w:val="59FF440F"/>
    <w:rsid w:val="5A3A2DDD"/>
    <w:rsid w:val="5A736072"/>
    <w:rsid w:val="5A8A233D"/>
    <w:rsid w:val="5ABB7A77"/>
    <w:rsid w:val="5B3031CA"/>
    <w:rsid w:val="5BD3526B"/>
    <w:rsid w:val="5BE62B50"/>
    <w:rsid w:val="5BF918A2"/>
    <w:rsid w:val="5C37020C"/>
    <w:rsid w:val="5C401F83"/>
    <w:rsid w:val="5C73108E"/>
    <w:rsid w:val="5C9155E0"/>
    <w:rsid w:val="5C936557"/>
    <w:rsid w:val="5D0D6309"/>
    <w:rsid w:val="5D4452E4"/>
    <w:rsid w:val="5D755C5D"/>
    <w:rsid w:val="5D7755DA"/>
    <w:rsid w:val="5DA25CF6"/>
    <w:rsid w:val="5DA30A1C"/>
    <w:rsid w:val="5DD60DF1"/>
    <w:rsid w:val="5DE10EE3"/>
    <w:rsid w:val="5DFB407B"/>
    <w:rsid w:val="5E176F0D"/>
    <w:rsid w:val="5E1EA34E"/>
    <w:rsid w:val="5E41542D"/>
    <w:rsid w:val="5E774D85"/>
    <w:rsid w:val="5EAC049C"/>
    <w:rsid w:val="5ECF820C"/>
    <w:rsid w:val="5F1418BC"/>
    <w:rsid w:val="5F2D089E"/>
    <w:rsid w:val="5F5A15AE"/>
    <w:rsid w:val="5F667D08"/>
    <w:rsid w:val="5FCB7293"/>
    <w:rsid w:val="5FF2318D"/>
    <w:rsid w:val="600452D7"/>
    <w:rsid w:val="60113A80"/>
    <w:rsid w:val="606478FC"/>
    <w:rsid w:val="607448F1"/>
    <w:rsid w:val="60FC6105"/>
    <w:rsid w:val="61045C75"/>
    <w:rsid w:val="615A1C71"/>
    <w:rsid w:val="617B2CF6"/>
    <w:rsid w:val="61BB2F3A"/>
    <w:rsid w:val="61FD5876"/>
    <w:rsid w:val="62093465"/>
    <w:rsid w:val="6212461B"/>
    <w:rsid w:val="62315204"/>
    <w:rsid w:val="62487DE4"/>
    <w:rsid w:val="6279031E"/>
    <w:rsid w:val="62920206"/>
    <w:rsid w:val="62B8336A"/>
    <w:rsid w:val="6300246C"/>
    <w:rsid w:val="632C14B3"/>
    <w:rsid w:val="63382DD7"/>
    <w:rsid w:val="63787C8C"/>
    <w:rsid w:val="63BD2EF1"/>
    <w:rsid w:val="63C60FC0"/>
    <w:rsid w:val="64031D66"/>
    <w:rsid w:val="64337579"/>
    <w:rsid w:val="643A6F91"/>
    <w:rsid w:val="64441196"/>
    <w:rsid w:val="64784540"/>
    <w:rsid w:val="64D4770D"/>
    <w:rsid w:val="64D766B5"/>
    <w:rsid w:val="65077E41"/>
    <w:rsid w:val="65091B75"/>
    <w:rsid w:val="652A1A23"/>
    <w:rsid w:val="657A6506"/>
    <w:rsid w:val="65907AD8"/>
    <w:rsid w:val="65A11F4C"/>
    <w:rsid w:val="65A67D23"/>
    <w:rsid w:val="65A967C6"/>
    <w:rsid w:val="65BC6440"/>
    <w:rsid w:val="65C36E7F"/>
    <w:rsid w:val="65D21A26"/>
    <w:rsid w:val="65EEB344"/>
    <w:rsid w:val="66247356"/>
    <w:rsid w:val="663033C6"/>
    <w:rsid w:val="663B7430"/>
    <w:rsid w:val="668D7D31"/>
    <w:rsid w:val="66AA6977"/>
    <w:rsid w:val="672A0BC3"/>
    <w:rsid w:val="67AF6ADB"/>
    <w:rsid w:val="67AF7FBD"/>
    <w:rsid w:val="67B339ED"/>
    <w:rsid w:val="68456BA0"/>
    <w:rsid w:val="6855284F"/>
    <w:rsid w:val="687775B2"/>
    <w:rsid w:val="68981D0D"/>
    <w:rsid w:val="68994E7E"/>
    <w:rsid w:val="68B919F9"/>
    <w:rsid w:val="69230C63"/>
    <w:rsid w:val="69392B0D"/>
    <w:rsid w:val="69601EB7"/>
    <w:rsid w:val="69714AFC"/>
    <w:rsid w:val="697A2199"/>
    <w:rsid w:val="699B403D"/>
    <w:rsid w:val="69E84DCE"/>
    <w:rsid w:val="6A1B14A7"/>
    <w:rsid w:val="6A5437CA"/>
    <w:rsid w:val="6AB26742"/>
    <w:rsid w:val="6ABA1153"/>
    <w:rsid w:val="6AD32BB4"/>
    <w:rsid w:val="6AE5012B"/>
    <w:rsid w:val="6AF40D47"/>
    <w:rsid w:val="6B0C7ED9"/>
    <w:rsid w:val="6B241A17"/>
    <w:rsid w:val="6B3103BE"/>
    <w:rsid w:val="6B4E5EEE"/>
    <w:rsid w:val="6B511E54"/>
    <w:rsid w:val="6B5B0FEC"/>
    <w:rsid w:val="6B7636D8"/>
    <w:rsid w:val="6BC3530C"/>
    <w:rsid w:val="6BFE2F92"/>
    <w:rsid w:val="6C533BB8"/>
    <w:rsid w:val="6D513FF0"/>
    <w:rsid w:val="6D7D1022"/>
    <w:rsid w:val="6D8F4B19"/>
    <w:rsid w:val="6DF30B28"/>
    <w:rsid w:val="6DFBFC6D"/>
    <w:rsid w:val="6E1148C4"/>
    <w:rsid w:val="6E6023EC"/>
    <w:rsid w:val="6E713CCA"/>
    <w:rsid w:val="6E81596A"/>
    <w:rsid w:val="6E914282"/>
    <w:rsid w:val="6E9C0F6F"/>
    <w:rsid w:val="6E9D475D"/>
    <w:rsid w:val="6EAE7221"/>
    <w:rsid w:val="6EEF1D13"/>
    <w:rsid w:val="6F0E4EC3"/>
    <w:rsid w:val="6F12039C"/>
    <w:rsid w:val="6F215B5F"/>
    <w:rsid w:val="6F4A14F7"/>
    <w:rsid w:val="6F767D3E"/>
    <w:rsid w:val="6F77F104"/>
    <w:rsid w:val="6FC36CFC"/>
    <w:rsid w:val="6FCB013A"/>
    <w:rsid w:val="70324099"/>
    <w:rsid w:val="70557737"/>
    <w:rsid w:val="70714E77"/>
    <w:rsid w:val="70996E8A"/>
    <w:rsid w:val="70B65E36"/>
    <w:rsid w:val="70D80585"/>
    <w:rsid w:val="71946BA2"/>
    <w:rsid w:val="71AD7318"/>
    <w:rsid w:val="71B95A25"/>
    <w:rsid w:val="71C37A53"/>
    <w:rsid w:val="71EA5EF0"/>
    <w:rsid w:val="71F94C57"/>
    <w:rsid w:val="71F9581F"/>
    <w:rsid w:val="72290019"/>
    <w:rsid w:val="722F68CA"/>
    <w:rsid w:val="7242215A"/>
    <w:rsid w:val="72553376"/>
    <w:rsid w:val="726D70E7"/>
    <w:rsid w:val="72750781"/>
    <w:rsid w:val="72A63D8F"/>
    <w:rsid w:val="72BC394B"/>
    <w:rsid w:val="72C76B03"/>
    <w:rsid w:val="72D134E1"/>
    <w:rsid w:val="72D54D7C"/>
    <w:rsid w:val="72E15E16"/>
    <w:rsid w:val="72E32735"/>
    <w:rsid w:val="735760D9"/>
    <w:rsid w:val="7375655F"/>
    <w:rsid w:val="73DFBED8"/>
    <w:rsid w:val="73EF4AFE"/>
    <w:rsid w:val="7427011F"/>
    <w:rsid w:val="747D74F0"/>
    <w:rsid w:val="74837D23"/>
    <w:rsid w:val="749D5D6D"/>
    <w:rsid w:val="74C31ECB"/>
    <w:rsid w:val="74E134D0"/>
    <w:rsid w:val="74F50202"/>
    <w:rsid w:val="74F72F88"/>
    <w:rsid w:val="750F057B"/>
    <w:rsid w:val="7513602F"/>
    <w:rsid w:val="75291445"/>
    <w:rsid w:val="75432EFE"/>
    <w:rsid w:val="7564688B"/>
    <w:rsid w:val="75942919"/>
    <w:rsid w:val="75A24683"/>
    <w:rsid w:val="75D02172"/>
    <w:rsid w:val="75D60ECB"/>
    <w:rsid w:val="75DE10F7"/>
    <w:rsid w:val="75E55000"/>
    <w:rsid w:val="75EF51EB"/>
    <w:rsid w:val="75F45C02"/>
    <w:rsid w:val="76276E68"/>
    <w:rsid w:val="764F12E9"/>
    <w:rsid w:val="7655447D"/>
    <w:rsid w:val="765D3A06"/>
    <w:rsid w:val="766034F6"/>
    <w:rsid w:val="768770D0"/>
    <w:rsid w:val="76BB24DB"/>
    <w:rsid w:val="772207AC"/>
    <w:rsid w:val="773F1421"/>
    <w:rsid w:val="77540081"/>
    <w:rsid w:val="778C04FB"/>
    <w:rsid w:val="77AA57AB"/>
    <w:rsid w:val="77EC7614"/>
    <w:rsid w:val="77FBD57D"/>
    <w:rsid w:val="781A799C"/>
    <w:rsid w:val="78283BA0"/>
    <w:rsid w:val="784B4C85"/>
    <w:rsid w:val="78B13B95"/>
    <w:rsid w:val="78CD4747"/>
    <w:rsid w:val="79004B1D"/>
    <w:rsid w:val="790309D2"/>
    <w:rsid w:val="792C76C0"/>
    <w:rsid w:val="793623C2"/>
    <w:rsid w:val="794539CC"/>
    <w:rsid w:val="794A2D4A"/>
    <w:rsid w:val="796E1A86"/>
    <w:rsid w:val="79723BD2"/>
    <w:rsid w:val="79B17BC5"/>
    <w:rsid w:val="79B6062C"/>
    <w:rsid w:val="79E537AF"/>
    <w:rsid w:val="7A0423EA"/>
    <w:rsid w:val="7A1F7224"/>
    <w:rsid w:val="7A775D34"/>
    <w:rsid w:val="7A85177D"/>
    <w:rsid w:val="7AA4405D"/>
    <w:rsid w:val="7AAA36FF"/>
    <w:rsid w:val="7AF6926D"/>
    <w:rsid w:val="7B1538AF"/>
    <w:rsid w:val="7B302338"/>
    <w:rsid w:val="7B672C31"/>
    <w:rsid w:val="7B690757"/>
    <w:rsid w:val="7C1E3C37"/>
    <w:rsid w:val="7C9C4E59"/>
    <w:rsid w:val="7CBFDFB5"/>
    <w:rsid w:val="7CF16C56"/>
    <w:rsid w:val="7D1A5E32"/>
    <w:rsid w:val="7D327E74"/>
    <w:rsid w:val="7D391B9A"/>
    <w:rsid w:val="7D5176F5"/>
    <w:rsid w:val="7DD79D27"/>
    <w:rsid w:val="7DFA765C"/>
    <w:rsid w:val="7E2F1D63"/>
    <w:rsid w:val="7EB7614E"/>
    <w:rsid w:val="7EE34CC4"/>
    <w:rsid w:val="7EFD3577"/>
    <w:rsid w:val="7F855246"/>
    <w:rsid w:val="7FB9C6E2"/>
    <w:rsid w:val="7FBE1009"/>
    <w:rsid w:val="7FBF1DB0"/>
    <w:rsid w:val="7FDB3BED"/>
    <w:rsid w:val="7FF262F3"/>
    <w:rsid w:val="7FFFD876"/>
    <w:rsid w:val="AB3F3E3F"/>
    <w:rsid w:val="B76BA7F0"/>
    <w:rsid w:val="B76FB068"/>
    <w:rsid w:val="B9BE7CC2"/>
    <w:rsid w:val="B9D6B022"/>
    <w:rsid w:val="BADD95A1"/>
    <w:rsid w:val="BE6D07EE"/>
    <w:rsid w:val="BFF78135"/>
    <w:rsid w:val="BFFBCB9C"/>
    <w:rsid w:val="BFFF6337"/>
    <w:rsid w:val="CFBE13AD"/>
    <w:rsid w:val="D67F5F45"/>
    <w:rsid w:val="D9BF5B9D"/>
    <w:rsid w:val="DB6A8893"/>
    <w:rsid w:val="DBDF30B9"/>
    <w:rsid w:val="DDF6B1D0"/>
    <w:rsid w:val="DE7E0F8C"/>
    <w:rsid w:val="DF7E4D1C"/>
    <w:rsid w:val="DFFD58C8"/>
    <w:rsid w:val="DFFDAD0E"/>
    <w:rsid w:val="E5E00848"/>
    <w:rsid w:val="E7F7799F"/>
    <w:rsid w:val="EB355B11"/>
    <w:rsid w:val="EF5DDEFD"/>
    <w:rsid w:val="EF5E24A7"/>
    <w:rsid w:val="EF9F0286"/>
    <w:rsid w:val="EFFB2E50"/>
    <w:rsid w:val="F5CF09ED"/>
    <w:rsid w:val="F771F843"/>
    <w:rsid w:val="F7DDD477"/>
    <w:rsid w:val="F7FB5F13"/>
    <w:rsid w:val="F97BD97C"/>
    <w:rsid w:val="FA6F3FD9"/>
    <w:rsid w:val="FABF1D58"/>
    <w:rsid w:val="FB3952D0"/>
    <w:rsid w:val="FBF569AD"/>
    <w:rsid w:val="FD36D051"/>
    <w:rsid w:val="FD3E9FCB"/>
    <w:rsid w:val="FEDAFB1E"/>
    <w:rsid w:val="FF9F9C52"/>
    <w:rsid w:val="FFAFD366"/>
    <w:rsid w:val="FFDD518C"/>
    <w:rsid w:val="FFEFEADF"/>
    <w:rsid w:val="FFF7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7"/>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7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9"/>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0"/>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8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82"/>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Title1"/>
    <w:basedOn w:val="1"/>
    <w:next w:val="1"/>
    <w:qFormat/>
    <w:uiPriority w:val="0"/>
    <w:pPr>
      <w:jc w:val="left"/>
      <w:outlineLvl w:val="0"/>
    </w:pPr>
    <w:rPr>
      <w:rFonts w:ascii="Calibri Light" w:hAnsi="Calibri Light" w:eastAsia="Arial Unicode MS"/>
      <w:b/>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3"/>
    <w:unhideWhenUsed/>
    <w:qFormat/>
    <w:uiPriority w:val="0"/>
    <w:pPr>
      <w:shd w:val="clear" w:color="auto" w:fill="000080"/>
    </w:pPr>
    <w:rPr>
      <w:rFonts w:hint="eastAsia" w:ascii="宋体" w:hAnsi="宋体"/>
      <w:kern w:val="0"/>
      <w:sz w:val="20"/>
      <w:szCs w:val="20"/>
    </w:rPr>
  </w:style>
  <w:style w:type="paragraph" w:styleId="17">
    <w:name w:val="annotation text"/>
    <w:basedOn w:val="1"/>
    <w:link w:val="84"/>
    <w:unhideWhenUsed/>
    <w:qFormat/>
    <w:uiPriority w:val="0"/>
    <w:pPr>
      <w:jc w:val="left"/>
    </w:pPr>
  </w:style>
  <w:style w:type="paragraph" w:styleId="18">
    <w:name w:val="Body Text 3"/>
    <w:basedOn w:val="1"/>
    <w:link w:val="85"/>
    <w:qFormat/>
    <w:uiPriority w:val="0"/>
    <w:pPr>
      <w:spacing w:line="500" w:lineRule="exact"/>
    </w:pPr>
    <w:rPr>
      <w:b/>
      <w:bCs/>
      <w:kern w:val="0"/>
      <w:sz w:val="24"/>
    </w:rPr>
  </w:style>
  <w:style w:type="paragraph" w:styleId="19">
    <w:name w:val="Body Text"/>
    <w:basedOn w:val="1"/>
    <w:link w:val="86"/>
    <w:qFormat/>
    <w:uiPriority w:val="99"/>
    <w:pPr>
      <w:spacing w:line="380" w:lineRule="exact"/>
    </w:pPr>
    <w:rPr>
      <w:kern w:val="0"/>
      <w:sz w:val="24"/>
    </w:rPr>
  </w:style>
  <w:style w:type="paragraph" w:styleId="20">
    <w:name w:val="Body Text Indent"/>
    <w:basedOn w:val="1"/>
    <w:link w:val="87"/>
    <w:qFormat/>
    <w:uiPriority w:val="0"/>
    <w:pPr>
      <w:ind w:firstLine="830" w:firstLineChars="352"/>
    </w:pPr>
    <w:rPr>
      <w:rFonts w:ascii="FangSong_GB2312" w:eastAsia="FangSong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6"/>
    <w:link w:val="88"/>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9"/>
    <w:qFormat/>
    <w:uiPriority w:val="0"/>
    <w:pPr>
      <w:ind w:left="100" w:leftChars="2500"/>
    </w:pPr>
    <w:rPr>
      <w:rFonts w:ascii="宋体" w:hAnsi="Courier New"/>
      <w:kern w:val="0"/>
      <w:sz w:val="20"/>
      <w:szCs w:val="21"/>
    </w:rPr>
  </w:style>
  <w:style w:type="paragraph" w:styleId="28">
    <w:name w:val="Body Text Indent 2"/>
    <w:basedOn w:val="1"/>
    <w:link w:val="90"/>
    <w:qFormat/>
    <w:uiPriority w:val="0"/>
    <w:pPr>
      <w:ind w:firstLine="630"/>
    </w:pPr>
    <w:rPr>
      <w:kern w:val="0"/>
      <w:sz w:val="32"/>
      <w:szCs w:val="20"/>
    </w:rPr>
  </w:style>
  <w:style w:type="paragraph" w:styleId="29">
    <w:name w:val="endnote text"/>
    <w:basedOn w:val="1"/>
    <w:link w:val="91"/>
    <w:unhideWhenUsed/>
    <w:qFormat/>
    <w:uiPriority w:val="99"/>
    <w:pPr>
      <w:snapToGrid w:val="0"/>
      <w:jc w:val="left"/>
    </w:pPr>
  </w:style>
  <w:style w:type="paragraph" w:styleId="30">
    <w:name w:val="Balloon Text"/>
    <w:basedOn w:val="1"/>
    <w:link w:val="92"/>
    <w:semiHidden/>
    <w:qFormat/>
    <w:uiPriority w:val="0"/>
    <w:rPr>
      <w:kern w:val="0"/>
      <w:sz w:val="18"/>
      <w:szCs w:val="18"/>
    </w:rPr>
  </w:style>
  <w:style w:type="paragraph" w:styleId="31">
    <w:name w:val="footer"/>
    <w:basedOn w:val="1"/>
    <w:link w:val="93"/>
    <w:unhideWhenUsed/>
    <w:qFormat/>
    <w:uiPriority w:val="99"/>
    <w:pPr>
      <w:tabs>
        <w:tab w:val="center" w:pos="4153"/>
        <w:tab w:val="right" w:pos="8306"/>
      </w:tabs>
      <w:snapToGrid w:val="0"/>
      <w:jc w:val="left"/>
    </w:pPr>
    <w:rPr>
      <w:kern w:val="0"/>
      <w:sz w:val="18"/>
      <w:szCs w:val="18"/>
    </w:rPr>
  </w:style>
  <w:style w:type="paragraph" w:styleId="32">
    <w:name w:val="header"/>
    <w:basedOn w:val="1"/>
    <w:link w:val="94"/>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95"/>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96"/>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97"/>
    <w:qFormat/>
    <w:uiPriority w:val="0"/>
    <w:pPr>
      <w:spacing w:after="120" w:line="480" w:lineRule="auto"/>
    </w:pPr>
    <w:rPr>
      <w:kern w:val="0"/>
      <w:sz w:val="20"/>
    </w:rPr>
  </w:style>
  <w:style w:type="paragraph" w:styleId="4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98"/>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99"/>
    <w:unhideWhenUsed/>
    <w:qFormat/>
    <w:uiPriority w:val="99"/>
    <w:rPr>
      <w:b/>
      <w:bCs/>
    </w:rPr>
  </w:style>
  <w:style w:type="paragraph" w:styleId="47">
    <w:name w:val="Body Text First Indent"/>
    <w:basedOn w:val="19"/>
    <w:next w:val="1"/>
    <w:qFormat/>
    <w:uiPriority w:val="0"/>
    <w:pPr>
      <w:spacing w:after="120" w:line="240" w:lineRule="auto"/>
      <w:ind w:firstLine="420" w:firstLineChars="100"/>
    </w:pPr>
    <w:rPr>
      <w:sz w:val="21"/>
    </w:rPr>
  </w:style>
  <w:style w:type="paragraph" w:styleId="48">
    <w:name w:val="Body Text First Indent 2"/>
    <w:basedOn w:val="20"/>
    <w:next w:val="1"/>
    <w:qFormat/>
    <w:uiPriority w:val="0"/>
    <w:pPr>
      <w:spacing w:after="120"/>
      <w:ind w:left="420" w:leftChars="200" w:firstLine="420" w:firstLineChars="200"/>
    </w:pPr>
    <w:rPr>
      <w:szCs w:val="24"/>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000000"/>
      <w:u w:val="none"/>
    </w:rPr>
  </w:style>
  <w:style w:type="character" w:styleId="55">
    <w:name w:val="Hyperlink"/>
    <w:qFormat/>
    <w:uiPriority w:val="99"/>
    <w:rPr>
      <w:color w:val="000000"/>
      <w:u w:val="none"/>
    </w:rPr>
  </w:style>
  <w:style w:type="character" w:styleId="56">
    <w:name w:val="annotation reference"/>
    <w:basedOn w:val="51"/>
    <w:unhideWhenUsed/>
    <w:qFormat/>
    <w:uiPriority w:val="0"/>
    <w:rPr>
      <w:sz w:val="21"/>
      <w:szCs w:val="21"/>
    </w:rPr>
  </w:style>
  <w:style w:type="character" w:styleId="57">
    <w:name w:val="footnote reference"/>
    <w:unhideWhenUsed/>
    <w:qFormat/>
    <w:uiPriority w:val="99"/>
    <w:rPr>
      <w:vertAlign w:val="superscript"/>
    </w:rPr>
  </w:style>
  <w:style w:type="paragraph" w:customStyle="1" w:styleId="58">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Char1"/>
    <w:basedOn w:val="1"/>
    <w:qFormat/>
    <w:uiPriority w:val="0"/>
    <w:pPr>
      <w:pPrChange w:id="0" w:author="Li Zi-An [2]" w:date="2025-02-24T18:02:00Z">
        <w:pPr>
          <w:widowControl w:val="0"/>
          <w:jc w:val="both"/>
        </w:pPr>
      </w:pPrChange>
    </w:pPr>
    <w:rPr>
      <w:szCs w:val="21"/>
      <w:rPrChange w:id="1" w:author="Li Zi-An [2]" w:date="2025-02-24T18:02:00Z">
        <w:rPr>
          <w:rFonts w:eastAsia="宋体"/>
          <w:kern w:val="2"/>
          <w:sz w:val="21"/>
          <w:szCs w:val="21"/>
          <w:lang w:val="en-US" w:eastAsia="zh-CN" w:bidi="ar-SA"/>
        </w:rPr>
      </w:rPrChange>
    </w:rPr>
  </w:style>
  <w:style w:type="paragraph" w:customStyle="1" w:styleId="60">
    <w:name w:val="_Style 56"/>
    <w:basedOn w:val="1"/>
    <w:qFormat/>
    <w:uiPriority w:val="34"/>
    <w:pPr>
      <w:ind w:firstLine="420" w:firstLineChars="200"/>
    </w:pPr>
  </w:style>
  <w:style w:type="paragraph" w:customStyle="1" w:styleId="6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2">
    <w:name w:val="默认段落字体 Para Char Char Char Char Char Char Char Char Char1 Char Char Char Char"/>
    <w:basedOn w:val="1"/>
    <w:qFormat/>
    <w:uiPriority w:val="0"/>
    <w:rPr>
      <w:rFonts w:ascii="Tahoma" w:hAnsi="Tahoma"/>
      <w:sz w:val="24"/>
      <w:szCs w:val="20"/>
    </w:rPr>
  </w:style>
  <w:style w:type="paragraph" w:customStyle="1" w:styleId="63">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64">
    <w:name w:val="纯文本1"/>
    <w:basedOn w:val="1"/>
    <w:qFormat/>
    <w:uiPriority w:val="0"/>
    <w:rPr>
      <w:rFonts w:ascii="宋体" w:hAnsi="Courier New" w:cs="Century"/>
      <w:szCs w:val="21"/>
    </w:rPr>
  </w:style>
  <w:style w:type="paragraph" w:customStyle="1" w:styleId="65">
    <w:name w:val="Table Paragraph"/>
    <w:basedOn w:val="1"/>
    <w:qFormat/>
    <w:uiPriority w:val="1"/>
    <w:pPr>
      <w:jc w:val="left"/>
    </w:pPr>
    <w:rPr>
      <w:rFonts w:ascii="Calibri" w:hAnsi="Calibri"/>
      <w:kern w:val="0"/>
      <w:sz w:val="22"/>
      <w:szCs w:val="22"/>
      <w:lang w:eastAsia="en-US"/>
    </w:rPr>
  </w:style>
  <w:style w:type="paragraph" w:customStyle="1" w:styleId="66">
    <w:name w:val="表内文字"/>
    <w:basedOn w:val="1"/>
    <w:qFormat/>
    <w:uiPriority w:val="0"/>
    <w:pPr>
      <w:snapToGrid w:val="0"/>
      <w:spacing w:before="50" w:after="50"/>
      <w:jc w:val="center"/>
    </w:pPr>
    <w:rPr>
      <w:rFonts w:ascii="FangSong_GB2312" w:hAnsi="宋体" w:eastAsia="FangSong_GB2312"/>
      <w:b/>
      <w:color w:val="000000"/>
      <w:sz w:val="32"/>
      <w:szCs w:val="32"/>
    </w:rPr>
  </w:style>
  <w:style w:type="paragraph" w:customStyle="1" w:styleId="67">
    <w:name w:val="表格"/>
    <w:basedOn w:val="1"/>
    <w:qFormat/>
    <w:uiPriority w:val="0"/>
    <w:pPr>
      <w:spacing w:line="400" w:lineRule="exact"/>
    </w:pPr>
    <w:rPr>
      <w:sz w:val="24"/>
    </w:rPr>
  </w:style>
  <w:style w:type="paragraph" w:customStyle="1" w:styleId="68">
    <w:name w:val="样式 首行缩进:  2 字符"/>
    <w:basedOn w:val="1"/>
    <w:qFormat/>
    <w:uiPriority w:val="0"/>
    <w:pPr>
      <w:spacing w:line="400" w:lineRule="exact"/>
      <w:ind w:firstLine="200" w:firstLineChars="200"/>
    </w:pPr>
    <w:rPr>
      <w:rFonts w:cs="宋体"/>
      <w:sz w:val="24"/>
    </w:rPr>
  </w:style>
  <w:style w:type="paragraph" w:customStyle="1" w:styleId="6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1">
    <w:name w:val="正文首行缩进两字符"/>
    <w:basedOn w:val="1"/>
    <w:qFormat/>
    <w:uiPriority w:val="0"/>
    <w:pPr>
      <w:spacing w:line="360" w:lineRule="auto"/>
      <w:ind w:firstLine="200" w:firstLineChars="200"/>
    </w:pPr>
  </w:style>
  <w:style w:type="paragraph" w:customStyle="1" w:styleId="72">
    <w:name w:val="正文段"/>
    <w:basedOn w:val="1"/>
    <w:qFormat/>
    <w:uiPriority w:val="0"/>
    <w:pPr>
      <w:widowControl/>
      <w:snapToGrid w:val="0"/>
      <w:spacing w:after="50" w:afterLines="50"/>
      <w:ind w:firstLine="200" w:firstLineChars="200"/>
    </w:pPr>
    <w:rPr>
      <w:kern w:val="0"/>
      <w:sz w:val="24"/>
      <w:szCs w:val="20"/>
    </w:rPr>
  </w:style>
  <w:style w:type="paragraph" w:customStyle="1" w:styleId="73">
    <w:name w:val="列表段落1"/>
    <w:basedOn w:val="1"/>
    <w:qFormat/>
    <w:uiPriority w:val="34"/>
    <w:pPr>
      <w:ind w:firstLine="420" w:firstLineChars="200"/>
    </w:pPr>
  </w:style>
  <w:style w:type="paragraph" w:customStyle="1" w:styleId="7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5">
    <w:name w:val="Heading 1 Char"/>
    <w:link w:val="3"/>
    <w:qFormat/>
    <w:uiPriority w:val="0"/>
    <w:rPr>
      <w:rFonts w:ascii="Times New Roman" w:hAnsi="Times New Roman" w:eastAsia="宋体" w:cs="Times New Roman"/>
      <w:b/>
      <w:bCs/>
      <w:kern w:val="44"/>
      <w:sz w:val="44"/>
      <w:szCs w:val="44"/>
    </w:rPr>
  </w:style>
  <w:style w:type="character" w:customStyle="1" w:styleId="76">
    <w:name w:val="Heading 2 Char"/>
    <w:link w:val="4"/>
    <w:qFormat/>
    <w:uiPriority w:val="0"/>
    <w:rPr>
      <w:rFonts w:ascii="Arial" w:hAnsi="Arial" w:eastAsia="黑体" w:cs="Times New Roman"/>
      <w:b/>
      <w:bCs/>
      <w:sz w:val="32"/>
      <w:szCs w:val="32"/>
    </w:rPr>
  </w:style>
  <w:style w:type="character" w:customStyle="1" w:styleId="77">
    <w:name w:val="Heading 3 Char"/>
    <w:link w:val="5"/>
    <w:qFormat/>
    <w:uiPriority w:val="0"/>
    <w:rPr>
      <w:rFonts w:ascii="Times New Roman" w:hAnsi="Times New Roman" w:eastAsia="宋体" w:cs="Times New Roman"/>
      <w:b/>
      <w:bCs/>
      <w:sz w:val="32"/>
      <w:szCs w:val="32"/>
    </w:rPr>
  </w:style>
  <w:style w:type="character" w:customStyle="1" w:styleId="78">
    <w:name w:val="Heading 5 Char"/>
    <w:link w:val="7"/>
    <w:qFormat/>
    <w:uiPriority w:val="0"/>
    <w:rPr>
      <w:b/>
      <w:kern w:val="2"/>
      <w:sz w:val="28"/>
      <w:szCs w:val="24"/>
    </w:rPr>
  </w:style>
  <w:style w:type="character" w:customStyle="1" w:styleId="79">
    <w:name w:val="Heading 6 Char"/>
    <w:link w:val="9"/>
    <w:qFormat/>
    <w:uiPriority w:val="0"/>
    <w:rPr>
      <w:rFonts w:ascii="Arial" w:hAnsi="Arial" w:eastAsia="黑体"/>
      <w:b/>
      <w:kern w:val="2"/>
      <w:sz w:val="24"/>
      <w:szCs w:val="24"/>
    </w:rPr>
  </w:style>
  <w:style w:type="character" w:customStyle="1" w:styleId="80">
    <w:name w:val="Heading 7 Char"/>
    <w:link w:val="10"/>
    <w:qFormat/>
    <w:uiPriority w:val="0"/>
    <w:rPr>
      <w:rFonts w:ascii="Times New Roman" w:hAnsi="Times New Roman"/>
      <w:b/>
      <w:kern w:val="2"/>
      <w:sz w:val="24"/>
      <w:szCs w:val="24"/>
    </w:rPr>
  </w:style>
  <w:style w:type="character" w:customStyle="1" w:styleId="81">
    <w:name w:val="Heading 8 Char"/>
    <w:link w:val="11"/>
    <w:qFormat/>
    <w:uiPriority w:val="0"/>
    <w:rPr>
      <w:rFonts w:ascii="Arial" w:hAnsi="Arial" w:eastAsia="黑体"/>
      <w:kern w:val="2"/>
      <w:sz w:val="24"/>
      <w:szCs w:val="24"/>
    </w:rPr>
  </w:style>
  <w:style w:type="character" w:customStyle="1" w:styleId="82">
    <w:name w:val="Heading 9 Char"/>
    <w:link w:val="12"/>
    <w:qFormat/>
    <w:uiPriority w:val="0"/>
    <w:rPr>
      <w:rFonts w:ascii="Arial" w:hAnsi="Arial" w:eastAsia="黑体"/>
      <w:kern w:val="2"/>
      <w:sz w:val="21"/>
      <w:szCs w:val="24"/>
    </w:rPr>
  </w:style>
  <w:style w:type="character" w:customStyle="1" w:styleId="83">
    <w:name w:val="Document Map Char"/>
    <w:link w:val="16"/>
    <w:qFormat/>
    <w:uiPriority w:val="0"/>
    <w:rPr>
      <w:rFonts w:hint="eastAsia" w:ascii="宋体" w:hAnsi="宋体" w:eastAsia="宋体" w:cs="宋体"/>
    </w:rPr>
  </w:style>
  <w:style w:type="character" w:customStyle="1" w:styleId="84">
    <w:name w:val="Comment Text Char"/>
    <w:link w:val="17"/>
    <w:qFormat/>
    <w:uiPriority w:val="0"/>
    <w:rPr>
      <w:rFonts w:ascii="Times New Roman" w:hAnsi="Times New Roman"/>
      <w:kern w:val="2"/>
      <w:sz w:val="21"/>
      <w:szCs w:val="24"/>
    </w:rPr>
  </w:style>
  <w:style w:type="character" w:customStyle="1" w:styleId="85">
    <w:name w:val="Body Text 3 Char"/>
    <w:link w:val="18"/>
    <w:qFormat/>
    <w:uiPriority w:val="0"/>
    <w:rPr>
      <w:rFonts w:ascii="Times New Roman" w:hAnsi="Times New Roman" w:eastAsia="宋体" w:cs="Times New Roman"/>
      <w:b/>
      <w:bCs/>
      <w:sz w:val="24"/>
      <w:szCs w:val="24"/>
    </w:rPr>
  </w:style>
  <w:style w:type="character" w:customStyle="1" w:styleId="86">
    <w:name w:val="Body Text Char"/>
    <w:link w:val="19"/>
    <w:qFormat/>
    <w:uiPriority w:val="99"/>
    <w:rPr>
      <w:rFonts w:ascii="Times New Roman" w:hAnsi="Times New Roman" w:eastAsia="宋体" w:cs="Times New Roman"/>
      <w:sz w:val="24"/>
      <w:szCs w:val="24"/>
    </w:rPr>
  </w:style>
  <w:style w:type="character" w:customStyle="1" w:styleId="87">
    <w:name w:val="Body Text Indent Char"/>
    <w:link w:val="20"/>
    <w:qFormat/>
    <w:uiPriority w:val="0"/>
    <w:rPr>
      <w:rFonts w:ascii="FangSong_GB2312" w:hAnsi="Times New Roman" w:eastAsia="FangSong_GB2312" w:cs="Times New Roman"/>
      <w:sz w:val="32"/>
      <w:szCs w:val="20"/>
    </w:rPr>
  </w:style>
  <w:style w:type="character" w:customStyle="1" w:styleId="88">
    <w:name w:val="Plain Text Char"/>
    <w:link w:val="25"/>
    <w:qFormat/>
    <w:uiPriority w:val="0"/>
    <w:rPr>
      <w:rFonts w:ascii="宋体" w:hAnsi="Courier New" w:eastAsia="宋体" w:cs="Courier New"/>
      <w:szCs w:val="21"/>
    </w:rPr>
  </w:style>
  <w:style w:type="character" w:customStyle="1" w:styleId="89">
    <w:name w:val="Date Char"/>
    <w:link w:val="27"/>
    <w:qFormat/>
    <w:uiPriority w:val="0"/>
    <w:rPr>
      <w:rFonts w:ascii="宋体" w:hAnsi="Courier New" w:eastAsia="宋体" w:cs="Courier New"/>
      <w:szCs w:val="21"/>
    </w:rPr>
  </w:style>
  <w:style w:type="character" w:customStyle="1" w:styleId="90">
    <w:name w:val="Body Text Indent 2 Char"/>
    <w:link w:val="28"/>
    <w:qFormat/>
    <w:uiPriority w:val="0"/>
    <w:rPr>
      <w:rFonts w:ascii="Times New Roman" w:hAnsi="Times New Roman" w:eastAsia="宋体" w:cs="Times New Roman"/>
      <w:sz w:val="32"/>
      <w:szCs w:val="20"/>
    </w:rPr>
  </w:style>
  <w:style w:type="character" w:customStyle="1" w:styleId="91">
    <w:name w:val="Endnote Text Char"/>
    <w:link w:val="29"/>
    <w:semiHidden/>
    <w:qFormat/>
    <w:uiPriority w:val="99"/>
    <w:rPr>
      <w:rFonts w:ascii="Times New Roman" w:hAnsi="Times New Roman"/>
      <w:kern w:val="2"/>
      <w:sz w:val="21"/>
      <w:szCs w:val="24"/>
    </w:rPr>
  </w:style>
  <w:style w:type="character" w:customStyle="1" w:styleId="92">
    <w:name w:val="Balloon Text Char"/>
    <w:link w:val="30"/>
    <w:semiHidden/>
    <w:qFormat/>
    <w:uiPriority w:val="0"/>
    <w:rPr>
      <w:rFonts w:ascii="Times New Roman" w:hAnsi="Times New Roman" w:eastAsia="宋体" w:cs="Times New Roman"/>
      <w:sz w:val="18"/>
      <w:szCs w:val="18"/>
    </w:rPr>
  </w:style>
  <w:style w:type="character" w:customStyle="1" w:styleId="93">
    <w:name w:val="Footer Char"/>
    <w:link w:val="31"/>
    <w:qFormat/>
    <w:uiPriority w:val="99"/>
    <w:rPr>
      <w:sz w:val="18"/>
      <w:szCs w:val="18"/>
    </w:rPr>
  </w:style>
  <w:style w:type="character" w:customStyle="1" w:styleId="94">
    <w:name w:val="Header Char"/>
    <w:link w:val="32"/>
    <w:qFormat/>
    <w:uiPriority w:val="99"/>
    <w:rPr>
      <w:rFonts w:ascii="Times New Roman" w:hAnsi="Times New Roman"/>
      <w:kern w:val="2"/>
      <w:sz w:val="18"/>
      <w:szCs w:val="18"/>
    </w:rPr>
  </w:style>
  <w:style w:type="character" w:customStyle="1" w:styleId="95">
    <w:name w:val="Footnote Text Char"/>
    <w:link w:val="36"/>
    <w:semiHidden/>
    <w:qFormat/>
    <w:uiPriority w:val="99"/>
    <w:rPr>
      <w:rFonts w:ascii="Times New Roman" w:hAnsi="Times New Roman"/>
      <w:kern w:val="2"/>
      <w:sz w:val="18"/>
      <w:szCs w:val="18"/>
    </w:rPr>
  </w:style>
  <w:style w:type="character" w:customStyle="1" w:styleId="96">
    <w:name w:val="Body Text Indent 3 Char"/>
    <w:link w:val="38"/>
    <w:qFormat/>
    <w:uiPriority w:val="0"/>
    <w:rPr>
      <w:rFonts w:ascii="Times New Roman" w:hAnsi="Times New Roman" w:eastAsia="宋体" w:cs="Times New Roman"/>
      <w:sz w:val="16"/>
      <w:szCs w:val="16"/>
    </w:rPr>
  </w:style>
  <w:style w:type="character" w:customStyle="1" w:styleId="97">
    <w:name w:val="Body Text 2 Char"/>
    <w:link w:val="41"/>
    <w:qFormat/>
    <w:uiPriority w:val="0"/>
    <w:rPr>
      <w:rFonts w:ascii="Times New Roman" w:hAnsi="Times New Roman" w:eastAsia="宋体" w:cs="Times New Roman"/>
      <w:szCs w:val="24"/>
    </w:rPr>
  </w:style>
  <w:style w:type="character" w:customStyle="1" w:styleId="98">
    <w:name w:val="Title Char"/>
    <w:link w:val="45"/>
    <w:qFormat/>
    <w:uiPriority w:val="10"/>
    <w:rPr>
      <w:rFonts w:ascii="Cambria" w:hAnsi="Cambria" w:cs="Times New Roman"/>
      <w:b/>
      <w:bCs/>
      <w:kern w:val="2"/>
      <w:sz w:val="32"/>
      <w:szCs w:val="32"/>
    </w:rPr>
  </w:style>
  <w:style w:type="character" w:customStyle="1" w:styleId="99">
    <w:name w:val="Comment Subject Char"/>
    <w:link w:val="46"/>
    <w:semiHidden/>
    <w:qFormat/>
    <w:uiPriority w:val="99"/>
    <w:rPr>
      <w:rFonts w:ascii="Times New Roman" w:hAnsi="Times New Roman"/>
      <w:b/>
      <w:bCs/>
      <w:kern w:val="2"/>
      <w:sz w:val="21"/>
      <w:szCs w:val="24"/>
    </w:rPr>
  </w:style>
  <w:style w:type="character" w:customStyle="1" w:styleId="100">
    <w:name w:val="批注文字 Char1"/>
    <w:qFormat/>
    <w:locked/>
    <w:uiPriority w:val="0"/>
    <w:rPr>
      <w:rFonts w:ascii="Times New Roman" w:hAnsi="Times New Roman"/>
      <w:kern w:val="2"/>
      <w:sz w:val="21"/>
      <w:szCs w:val="24"/>
    </w:rPr>
  </w:style>
  <w:style w:type="character" w:customStyle="1" w:styleId="101">
    <w:name w:val="case31"/>
    <w:qFormat/>
    <w:uiPriority w:val="0"/>
    <w:rPr>
      <w:rFonts w:hint="default" w:ascii="_x000B__x000C_" w:hAnsi="_x000B__x000C_"/>
      <w:sz w:val="21"/>
      <w:szCs w:val="21"/>
    </w:rPr>
  </w:style>
  <w:style w:type="character" w:customStyle="1" w:styleId="102">
    <w:name w:val="批注文字 Char"/>
    <w:qFormat/>
    <w:uiPriority w:val="0"/>
    <w:rPr>
      <w:rFonts w:ascii="Times New Roman" w:hAnsi="Times New Roman"/>
      <w:kern w:val="2"/>
      <w:sz w:val="21"/>
      <w:szCs w:val="24"/>
    </w:rPr>
  </w:style>
  <w:style w:type="character" w:customStyle="1" w:styleId="103">
    <w:name w:val="纯文本 Char"/>
    <w:qFormat/>
    <w:uiPriority w:val="0"/>
    <w:rPr>
      <w:rFonts w:ascii="宋体" w:hAnsi="Courier New" w:eastAsia="宋体"/>
      <w:kern w:val="2"/>
      <w:sz w:val="21"/>
      <w:lang w:val="en-US" w:eastAsia="zh-CN" w:bidi="ar-SA"/>
    </w:rPr>
  </w:style>
  <w:style w:type="character" w:customStyle="1" w:styleId="104">
    <w:name w:val="纯文本 字符1"/>
    <w:qFormat/>
    <w:uiPriority w:val="0"/>
    <w:rPr>
      <w:rFonts w:ascii="宋体" w:hAnsi="Courier New"/>
    </w:rPr>
  </w:style>
  <w:style w:type="character" w:customStyle="1" w:styleId="105">
    <w:name w:val="批注文字 字符1"/>
    <w:qFormat/>
    <w:uiPriority w:val="0"/>
    <w:rPr>
      <w:rFonts w:ascii="Times New Roman" w:hAnsi="Times New Roman"/>
      <w:kern w:val="2"/>
      <w:sz w:val="21"/>
      <w:szCs w:val="24"/>
    </w:rPr>
  </w:style>
  <w:style w:type="character" w:customStyle="1" w:styleId="106">
    <w:name w:val="正文文本 Char1"/>
    <w:semiHidden/>
    <w:qFormat/>
    <w:locked/>
    <w:uiPriority w:val="99"/>
    <w:rPr>
      <w:sz w:val="24"/>
      <w:szCs w:val="24"/>
    </w:rPr>
  </w:style>
  <w:style w:type="character" w:customStyle="1" w:styleId="107">
    <w:name w:val="apple-style-span"/>
    <w:qFormat/>
    <w:uiPriority w:val="0"/>
  </w:style>
  <w:style w:type="character" w:customStyle="1" w:styleId="108">
    <w:name w:val="textcontents"/>
    <w:qFormat/>
    <w:uiPriority w:val="0"/>
  </w:style>
  <w:style w:type="character" w:customStyle="1" w:styleId="109">
    <w:name w:val="普通文字 Char Char2"/>
    <w:qFormat/>
    <w:uiPriority w:val="0"/>
    <w:rPr>
      <w:rFonts w:ascii="宋体" w:hAnsi="Courier New" w:eastAsia="宋体"/>
      <w:kern w:val="2"/>
      <w:sz w:val="21"/>
      <w:lang w:val="en-US" w:eastAsia="zh-CN" w:bidi="ar-SA"/>
    </w:rPr>
  </w:style>
  <w:style w:type="character" w:customStyle="1" w:styleId="110">
    <w:name w:val="标题 5 Char"/>
    <w:qFormat/>
    <w:uiPriority w:val="9"/>
    <w:rPr>
      <w:b/>
      <w:kern w:val="2"/>
      <w:sz w:val="28"/>
      <w:szCs w:val="24"/>
    </w:rPr>
  </w:style>
  <w:style w:type="character" w:customStyle="1" w:styleId="111">
    <w:name w:val="批注文字 字符"/>
    <w:qFormat/>
    <w:uiPriority w:val="0"/>
    <w:rPr>
      <w:rFonts w:ascii="Times New Roman" w:hAnsi="Times New Roman"/>
      <w:kern w:val="2"/>
      <w:sz w:val="21"/>
      <w:szCs w:val="24"/>
    </w:rPr>
  </w:style>
  <w:style w:type="character" w:customStyle="1" w:styleId="112">
    <w:name w:val="标题 1 字符"/>
    <w:qFormat/>
    <w:uiPriority w:val="9"/>
    <w:rPr>
      <w:rFonts w:ascii="Times New Roman" w:hAnsi="Times New Roman" w:eastAsia="宋体" w:cs="Times New Roman"/>
      <w:b/>
      <w:bCs/>
      <w:kern w:val="44"/>
      <w:sz w:val="44"/>
      <w:szCs w:val="44"/>
    </w:rPr>
  </w:style>
  <w:style w:type="character" w:customStyle="1" w:styleId="113">
    <w:name w:val="纯文本 字符"/>
    <w:qFormat/>
    <w:uiPriority w:val="0"/>
    <w:rPr>
      <w:rFonts w:ascii="宋体" w:hAnsi="Courier New" w:eastAsia="宋体" w:cs="Courier New"/>
      <w:szCs w:val="21"/>
    </w:rPr>
  </w:style>
  <w:style w:type="character" w:customStyle="1" w:styleId="114">
    <w:name w:val="headline-content4"/>
    <w:qFormat/>
    <w:uiPriority w:val="0"/>
  </w:style>
  <w:style w:type="character" w:customStyle="1" w:styleId="11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6">
    <w:name w:val="正文文本缩进 字符"/>
    <w:qFormat/>
    <w:uiPriority w:val="0"/>
    <w:rPr>
      <w:rFonts w:ascii="FangSong_GB2312" w:hAnsi="Times New Roman" w:eastAsia="FangSong_GB2312" w:cs="Times New Roman"/>
      <w:sz w:val="32"/>
      <w:szCs w:val="20"/>
    </w:rPr>
  </w:style>
  <w:style w:type="character" w:customStyle="1" w:styleId="117">
    <w:name w:val="页脚 字符"/>
    <w:qFormat/>
    <w:uiPriority w:val="99"/>
  </w:style>
  <w:style w:type="character" w:customStyle="1" w:styleId="118">
    <w:name w:val="标题 1 Char1"/>
    <w:qFormat/>
    <w:uiPriority w:val="0"/>
    <w:rPr>
      <w:rFonts w:eastAsia="宋体"/>
      <w:b/>
      <w:bCs/>
      <w:kern w:val="44"/>
      <w:sz w:val="44"/>
      <w:szCs w:val="44"/>
      <w:lang w:val="en-US" w:eastAsia="zh-CN" w:bidi="ar-SA"/>
    </w:rPr>
  </w:style>
  <w:style w:type="character" w:customStyle="1" w:styleId="119">
    <w:name w:val="font31"/>
    <w:qFormat/>
    <w:uiPriority w:val="0"/>
    <w:rPr>
      <w:rFonts w:ascii="方正书宋_GBK" w:hAnsi="方正书宋_GBK" w:eastAsia="方正书宋_GBK" w:cs="方正书宋_GBK"/>
      <w:color w:val="000000"/>
      <w:sz w:val="21"/>
      <w:szCs w:val="21"/>
      <w:u w:val="none"/>
    </w:rPr>
  </w:style>
  <w:style w:type="character" w:customStyle="1" w:styleId="120">
    <w:name w:val="font61"/>
    <w:qFormat/>
    <w:uiPriority w:val="0"/>
    <w:rPr>
      <w:rFonts w:hint="default" w:ascii="Times New Roman" w:hAnsi="Times New Roman" w:cs="Times New Roman"/>
      <w:color w:val="000000"/>
      <w:sz w:val="21"/>
      <w:szCs w:val="21"/>
      <w:u w:val="none"/>
    </w:rPr>
  </w:style>
  <w:style w:type="character" w:customStyle="1" w:styleId="121">
    <w:name w:val="font11"/>
    <w:qFormat/>
    <w:uiPriority w:val="0"/>
    <w:rPr>
      <w:rFonts w:hint="eastAsia" w:ascii="宋体" w:hAnsi="宋体" w:eastAsia="宋体" w:cs="宋体"/>
      <w:color w:val="000000"/>
      <w:sz w:val="21"/>
      <w:szCs w:val="21"/>
      <w:u w:val="none"/>
    </w:rPr>
  </w:style>
  <w:style w:type="table" w:customStyle="1" w:styleId="122">
    <w:name w:val="Table Normal1"/>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styleId="123">
    <w:name w:val="List Paragraph"/>
    <w:basedOn w:val="1"/>
    <w:qFormat/>
    <w:uiPriority w:val="34"/>
    <w:pPr>
      <w:ind w:firstLine="420" w:firstLineChars="200"/>
    </w:pPr>
    <w:rPr>
      <w:szCs w:val="22"/>
    </w:rPr>
  </w:style>
  <w:style w:type="character" w:customStyle="1" w:styleId="124">
    <w:name w:val="font51"/>
    <w:qFormat/>
    <w:uiPriority w:val="0"/>
    <w:rPr>
      <w:rFonts w:hint="default" w:ascii="Times New Roman" w:hAnsi="Times New Roman" w:cs="Times New Roman"/>
      <w:b/>
      <w:color w:val="000000"/>
      <w:sz w:val="18"/>
      <w:szCs w:val="18"/>
      <w:u w:val="none"/>
    </w:rPr>
  </w:style>
  <w:style w:type="paragraph" w:customStyle="1" w:styleId="125">
    <w:name w:val="列表段落2"/>
    <w:basedOn w:val="1"/>
    <w:qFormat/>
    <w:uiPriority w:val="0"/>
    <w:pPr>
      <w:ind w:firstLine="420" w:firstLineChars="200"/>
    </w:pPr>
    <w:rPr>
      <w:rFonts w:ascii="Calibri" w:hAnsi="Calibri"/>
      <w:szCs w:val="22"/>
    </w:rPr>
  </w:style>
  <w:style w:type="character" w:customStyle="1" w:styleId="126">
    <w:name w:val="font21"/>
    <w:qFormat/>
    <w:uiPriority w:val="0"/>
    <w:rPr>
      <w:rFonts w:hint="eastAsia" w:ascii="Courier New" w:hAnsi="Courier New" w:eastAsia="Courier New" w:cs="Courier New"/>
      <w:color w:val="000000"/>
      <w:sz w:val="28"/>
      <w:szCs w:val="28"/>
      <w:u w:val="none"/>
    </w:rPr>
  </w:style>
  <w:style w:type="character" w:customStyle="1" w:styleId="127">
    <w:name w:val="font41"/>
    <w:qFormat/>
    <w:uiPriority w:val="0"/>
    <w:rPr>
      <w:rFonts w:hint="eastAsia" w:ascii="黑体" w:hAnsi="宋体" w:eastAsia="黑体" w:cs="黑体"/>
      <w:color w:val="000000"/>
      <w:sz w:val="18"/>
      <w:szCs w:val="18"/>
      <w:u w:val="none"/>
    </w:rPr>
  </w:style>
  <w:style w:type="paragraph" w:customStyle="1" w:styleId="12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0">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31">
    <w:name w:val="纯文本 Char2"/>
    <w:qFormat/>
    <w:uiPriority w:val="0"/>
    <w:rPr>
      <w:rFonts w:ascii="宋体" w:hAnsi="Courier New" w:eastAsia="宋体" w:cs="Courier New"/>
      <w:szCs w:val="21"/>
    </w:rPr>
  </w:style>
  <w:style w:type="character" w:customStyle="1" w:styleId="132">
    <w:name w:val="标题 1 Char"/>
    <w:qFormat/>
    <w:uiPriority w:val="0"/>
    <w:rPr>
      <w:rFonts w:ascii="Times New Roman" w:hAnsi="Times New Roman" w:eastAsia="宋体" w:cs="Times New Roman"/>
      <w:b/>
      <w:bCs/>
      <w:kern w:val="44"/>
      <w:sz w:val="44"/>
      <w:szCs w:val="44"/>
    </w:rPr>
  </w:style>
  <w:style w:type="character" w:customStyle="1" w:styleId="133">
    <w:name w:val="font71"/>
    <w:basedOn w:val="51"/>
    <w:qFormat/>
    <w:uiPriority w:val="0"/>
    <w:rPr>
      <w:rFonts w:hint="eastAsia" w:ascii="宋体" w:hAnsi="宋体" w:eastAsia="宋体" w:cs="宋体"/>
      <w:color w:val="000000"/>
      <w:sz w:val="24"/>
      <w:szCs w:val="24"/>
      <w:u w:val="none"/>
      <w:vertAlign w:val="superscript"/>
    </w:rPr>
  </w:style>
  <w:style w:type="paragraph" w:customStyle="1" w:styleId="13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35">
    <w:name w:val="font212"/>
    <w:qFormat/>
    <w:uiPriority w:val="0"/>
    <w:rPr>
      <w:rFonts w:hint="eastAsia" w:ascii="宋体" w:hAnsi="宋体" w:eastAsia="宋体" w:cs="宋体"/>
      <w:b/>
      <w:bCs/>
      <w:color w:val="000000"/>
      <w:sz w:val="20"/>
      <w:szCs w:val="20"/>
      <w:u w:val="none"/>
    </w:rPr>
  </w:style>
  <w:style w:type="paragraph" w:customStyle="1" w:styleId="13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37">
    <w:name w:val="null3"/>
    <w:qFormat/>
    <w:uiPriority w:val="0"/>
    <w:rPr>
      <w:rFonts w:hint="eastAsia" w:ascii="Calibri" w:hAnsi="Calibri" w:eastAsia="宋体" w:cs="宋体"/>
      <w:lang w:val="en-US" w:eastAsia="zh-CN" w:bidi="ar-SA"/>
    </w:rPr>
  </w:style>
  <w:style w:type="paragraph" w:customStyle="1" w:styleId="138">
    <w:name w:val="Revision1"/>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116</Pages>
  <Words>15252</Words>
  <Characters>17125</Characters>
  <Lines>502</Lines>
  <Paragraphs>141</Paragraphs>
  <TotalTime>82</TotalTime>
  <ScaleCrop>false</ScaleCrop>
  <LinksUpToDate>false</LinksUpToDate>
  <CharactersWithSpaces>17721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2025-05-26T12:53:00Z</dcterms:created>
  <dc:creator>KWZB</dc:creator>
  <cp:lastModifiedBy>FROM</cp:lastModifiedBy>
  <cp:lastPrinted>2025-05-23T02:52:00Z</cp:lastPrinted>
  <dcterms:modified xsi:type="dcterms:W3CDTF">2025-06-10T07:28:11Z</dcterms:modified>
  <dc:title>公开招标采购文件范本</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619BA8462ADD46949AC24645F57B231C_13</vt:lpwstr>
  </property>
  <property fmtid="{D5CDD505-2E9C-101B-9397-08002B2CF9AE}" pid="4" name="commondata">
    <vt:lpwstr>eyJoZGlkIjoiZDBiOGZhYWQ5NWI3MDgyYTM5NWU2ZGE3NmNjNDlmOGQifQ==</vt:lpwstr>
  </property>
  <property fmtid="{D5CDD505-2E9C-101B-9397-08002B2CF9AE}" pid="5" name="KSOTemplateDocerSaveRecord">
    <vt:lpwstr>eyJoZGlkIjoiY2NmYmNhODQxOWNkODc0ZjYxNTI4MThkY2UxMGM3NzYiLCJ1c2VySWQiOiIyNDM4MzE4OSJ9</vt:lpwstr>
  </property>
</Properties>
</file>