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8C213E2">
      <w:pPr>
        <w:jc w:val="center"/>
        <w:rPr>
          <w:rFonts w:ascii="宋体" w:hAnsi="宋体" w:cs="宋体"/>
          <w:b/>
          <w:bCs/>
          <w:color w:val="auto"/>
          <w:sz w:val="44"/>
          <w:szCs w:val="44"/>
        </w:rPr>
      </w:pPr>
      <w:bookmarkStart w:id="178" w:name="_GoBack"/>
      <w:bookmarkEnd w:id="178"/>
      <w:bookmarkStart w:id="0" w:name="_Toc10319"/>
      <w:bookmarkStart w:id="1" w:name="_Toc7014_WPSOffice_Level1"/>
      <w:r>
        <w:rPr>
          <w:rFonts w:hint="eastAsia" w:ascii="宋体" w:hAnsi="宋体" w:cs="宋体"/>
          <w:b/>
          <w:color w:val="auto"/>
          <w:sz w:val="56"/>
          <w:szCs w:val="56"/>
        </w:rPr>
        <w:t>欧邦工程管理集团有限公司</w:t>
      </w:r>
    </w:p>
    <w:p w14:paraId="3DE799C4">
      <w:pPr>
        <w:pStyle w:val="19"/>
        <w:rPr>
          <w:rFonts w:ascii="宋体" w:hAnsi="宋体" w:cs="宋体"/>
          <w:b/>
          <w:bCs/>
          <w:color w:val="auto"/>
          <w:sz w:val="52"/>
          <w:szCs w:val="52"/>
        </w:rPr>
      </w:pPr>
    </w:p>
    <w:p w14:paraId="22B0EA80">
      <w:pPr>
        <w:pStyle w:val="19"/>
        <w:rPr>
          <w:rFonts w:ascii="宋体" w:hAnsi="宋体" w:cs="宋体"/>
          <w:b/>
          <w:bCs/>
          <w:color w:val="auto"/>
          <w:sz w:val="52"/>
          <w:szCs w:val="52"/>
        </w:rPr>
      </w:pPr>
    </w:p>
    <w:p w14:paraId="0ED3D3A8">
      <w:pPr>
        <w:pStyle w:val="19"/>
        <w:rPr>
          <w:rFonts w:ascii="宋体" w:hAnsi="宋体" w:cs="宋体"/>
          <w:b/>
          <w:bCs/>
          <w:color w:val="auto"/>
          <w:sz w:val="52"/>
          <w:szCs w:val="52"/>
        </w:rPr>
      </w:pPr>
    </w:p>
    <w:p w14:paraId="222EEA69">
      <w:pPr>
        <w:ind w:left="558" w:right="683"/>
        <w:jc w:val="center"/>
        <w:rPr>
          <w:rFonts w:ascii="宋体" w:hAnsi="宋体" w:cs="宋体"/>
          <w:b/>
          <w:color w:val="auto"/>
          <w:sz w:val="56"/>
          <w:szCs w:val="56"/>
        </w:rPr>
      </w:pPr>
      <w:r>
        <w:rPr>
          <w:rFonts w:hint="eastAsia" w:ascii="宋体" w:hAnsi="宋体" w:cs="宋体"/>
          <w:b/>
          <w:color w:val="auto"/>
          <w:spacing w:val="93"/>
          <w:sz w:val="56"/>
          <w:szCs w:val="56"/>
        </w:rPr>
        <w:t>竞争性磋商文件</w:t>
      </w:r>
    </w:p>
    <w:p w14:paraId="2F9687E5">
      <w:pPr>
        <w:jc w:val="center"/>
        <w:rPr>
          <w:rFonts w:ascii="宋体" w:hAnsi="宋体" w:cs="宋体"/>
          <w:b/>
          <w:bCs/>
          <w:color w:val="auto"/>
          <w:sz w:val="52"/>
          <w:szCs w:val="52"/>
        </w:rPr>
      </w:pPr>
    </w:p>
    <w:p w14:paraId="4C6D934A">
      <w:pPr>
        <w:jc w:val="center"/>
        <w:rPr>
          <w:rFonts w:ascii="宋体" w:hAnsi="宋体" w:cs="宋体"/>
          <w:b/>
          <w:bCs/>
          <w:color w:val="auto"/>
          <w:sz w:val="52"/>
          <w:szCs w:val="52"/>
        </w:rPr>
      </w:pPr>
    </w:p>
    <w:p w14:paraId="792AFF77">
      <w:pPr>
        <w:jc w:val="center"/>
        <w:rPr>
          <w:rFonts w:ascii="宋体" w:hAnsi="宋体" w:cs="宋体"/>
          <w:b/>
          <w:bCs/>
          <w:color w:val="auto"/>
          <w:sz w:val="52"/>
          <w:szCs w:val="52"/>
        </w:rPr>
      </w:pPr>
    </w:p>
    <w:p w14:paraId="700AFF25">
      <w:pPr>
        <w:ind w:left="3196" w:leftChars="760" w:hanging="1600" w:hangingChars="500"/>
        <w:jc w:val="left"/>
        <w:rPr>
          <w:rFonts w:ascii="宋体" w:hAnsi="宋体" w:cs="宋体"/>
          <w:color w:val="auto"/>
          <w:sz w:val="32"/>
          <w:szCs w:val="32"/>
        </w:rPr>
      </w:pPr>
      <w:r>
        <w:rPr>
          <w:rFonts w:hint="eastAsia" w:ascii="宋体" w:hAnsi="宋体" w:cs="宋体"/>
          <w:color w:val="auto"/>
          <w:sz w:val="32"/>
          <w:szCs w:val="32"/>
        </w:rPr>
        <w:t>项 目 名 称：医用织物洗涤、租赁服务采购</w:t>
      </w:r>
    </w:p>
    <w:p w14:paraId="648091FD">
      <w:pPr>
        <w:ind w:firstLine="1600" w:firstLineChars="500"/>
        <w:rPr>
          <w:rFonts w:ascii="宋体" w:hAnsi="宋体" w:cs="宋体"/>
          <w:color w:val="auto"/>
          <w:sz w:val="32"/>
          <w:szCs w:val="32"/>
        </w:rPr>
      </w:pPr>
      <w:r>
        <w:rPr>
          <w:rFonts w:hint="eastAsia" w:ascii="宋体" w:hAnsi="宋体" w:cs="宋体"/>
          <w:color w:val="auto"/>
          <w:sz w:val="32"/>
          <w:szCs w:val="32"/>
        </w:rPr>
        <w:t>项 目 编 号：GLZC2025-C3-</w:t>
      </w:r>
      <w:r>
        <w:rPr>
          <w:rFonts w:hint="eastAsia" w:ascii="宋体" w:hAnsi="宋体" w:cs="宋体"/>
          <w:color w:val="auto"/>
          <w:sz w:val="32"/>
          <w:szCs w:val="32"/>
          <w:lang w:eastAsia="zh-CN"/>
        </w:rPr>
        <w:t>990430</w:t>
      </w:r>
      <w:r>
        <w:rPr>
          <w:rFonts w:hint="eastAsia" w:ascii="宋体" w:hAnsi="宋体" w:cs="宋体"/>
          <w:color w:val="auto"/>
          <w:sz w:val="32"/>
          <w:szCs w:val="32"/>
        </w:rPr>
        <w:t>-OBGC</w:t>
      </w:r>
    </w:p>
    <w:p w14:paraId="741CA87A">
      <w:pPr>
        <w:ind w:firstLine="1600" w:firstLineChars="500"/>
        <w:rPr>
          <w:rFonts w:ascii="宋体" w:hAnsi="宋体" w:cs="宋体"/>
          <w:color w:val="auto"/>
          <w:sz w:val="32"/>
          <w:szCs w:val="32"/>
        </w:rPr>
      </w:pPr>
    </w:p>
    <w:p w14:paraId="22E33A78">
      <w:pPr>
        <w:jc w:val="center"/>
        <w:rPr>
          <w:rFonts w:ascii="宋体" w:hAnsi="宋体" w:cs="宋体"/>
          <w:color w:val="auto"/>
          <w:sz w:val="32"/>
          <w:szCs w:val="32"/>
        </w:rPr>
      </w:pPr>
    </w:p>
    <w:p w14:paraId="1E080DD8">
      <w:pPr>
        <w:rPr>
          <w:rFonts w:ascii="宋体" w:hAnsi="宋体" w:cs="宋体"/>
          <w:color w:val="auto"/>
          <w:sz w:val="32"/>
          <w:szCs w:val="32"/>
        </w:rPr>
      </w:pPr>
    </w:p>
    <w:p w14:paraId="73844F3F">
      <w:pPr>
        <w:pStyle w:val="19"/>
        <w:rPr>
          <w:color w:val="auto"/>
        </w:rPr>
      </w:pPr>
    </w:p>
    <w:p w14:paraId="1ECC4376">
      <w:pPr>
        <w:rPr>
          <w:rFonts w:ascii="宋体" w:hAnsi="宋体" w:cs="宋体"/>
          <w:color w:val="auto"/>
          <w:sz w:val="32"/>
          <w:szCs w:val="32"/>
        </w:rPr>
      </w:pPr>
    </w:p>
    <w:p w14:paraId="0C1D774E">
      <w:pPr>
        <w:ind w:firstLine="1600" w:firstLineChars="500"/>
        <w:rPr>
          <w:rFonts w:ascii="宋体" w:hAnsi="宋体" w:cs="宋体"/>
          <w:color w:val="auto"/>
          <w:sz w:val="32"/>
          <w:szCs w:val="32"/>
        </w:rPr>
      </w:pPr>
      <w:r>
        <w:rPr>
          <w:rFonts w:hint="eastAsia" w:ascii="宋体" w:hAnsi="宋体" w:cs="宋体"/>
          <w:color w:val="auto"/>
          <w:sz w:val="32"/>
          <w:szCs w:val="32"/>
        </w:rPr>
        <w:t>采购代理机构：欧邦工程管理集团有限公司</w:t>
      </w:r>
    </w:p>
    <w:p w14:paraId="5F8A99C4">
      <w:pPr>
        <w:pStyle w:val="11"/>
        <w:rPr>
          <w:rFonts w:ascii="宋体" w:hAnsi="宋体" w:cs="宋体"/>
          <w:color w:val="auto"/>
        </w:rPr>
      </w:pPr>
    </w:p>
    <w:p w14:paraId="5975B32D">
      <w:pPr>
        <w:ind w:firstLine="3840" w:firstLineChars="1200"/>
        <w:rPr>
          <w:rFonts w:ascii="宋体" w:hAnsi="宋体" w:cs="宋体"/>
          <w:color w:val="auto"/>
          <w:sz w:val="48"/>
          <w:szCs w:val="48"/>
        </w:rPr>
        <w:sectPr>
          <w:footerReference r:id="rId3" w:type="default"/>
          <w:pgSz w:w="11906" w:h="16838"/>
          <w:pgMar w:top="1440" w:right="935" w:bottom="1440" w:left="777" w:header="851" w:footer="992" w:gutter="0"/>
          <w:pgNumType w:fmt="numberInDash" w:start="1"/>
          <w:cols w:space="720" w:num="1"/>
          <w:docGrid w:type="linesAndChars" w:linePitch="312" w:charSpace="0"/>
        </w:sectPr>
      </w:pPr>
      <w:r>
        <w:rPr>
          <w:rFonts w:hint="eastAsia" w:ascii="宋体" w:hAnsi="宋体" w:cs="宋体"/>
          <w:color w:val="auto"/>
          <w:sz w:val="32"/>
          <w:szCs w:val="32"/>
        </w:rPr>
        <w:t>2025年9月</w:t>
      </w:r>
      <w:r>
        <w:rPr>
          <w:rFonts w:hint="eastAsia" w:ascii="宋体" w:hAnsi="宋体" w:cs="宋体"/>
          <w:color w:val="auto"/>
          <w:sz w:val="32"/>
          <w:szCs w:val="32"/>
          <w:lang w:val="en-US" w:eastAsia="zh-CN"/>
        </w:rPr>
        <w:t>12</w:t>
      </w:r>
      <w:r>
        <w:rPr>
          <w:rFonts w:hint="eastAsia" w:ascii="宋体" w:hAnsi="宋体" w:cs="宋体"/>
          <w:color w:val="auto"/>
          <w:sz w:val="32"/>
          <w:szCs w:val="32"/>
        </w:rPr>
        <w:t>日</w:t>
      </w:r>
    </w:p>
    <w:p w14:paraId="44A38341">
      <w:pPr>
        <w:jc w:val="center"/>
        <w:rPr>
          <w:rFonts w:ascii="宋体" w:hAnsi="宋体" w:cs="宋体"/>
          <w:b/>
          <w:bCs/>
          <w:color w:val="auto"/>
          <w:sz w:val="36"/>
          <w:szCs w:val="36"/>
        </w:rPr>
      </w:pPr>
      <w:r>
        <w:rPr>
          <w:rFonts w:hint="eastAsia" w:ascii="宋体" w:hAnsi="宋体" w:cs="宋体"/>
          <w:b/>
          <w:bCs/>
          <w:color w:val="auto"/>
          <w:sz w:val="36"/>
          <w:szCs w:val="36"/>
          <w:lang w:val="zh-CN"/>
        </w:rPr>
        <w:t>目录</w:t>
      </w:r>
    </w:p>
    <w:p w14:paraId="6BEF3572">
      <w:pPr>
        <w:pStyle w:val="21"/>
        <w:tabs>
          <w:tab w:val="right" w:leader="dot" w:pos="10194"/>
        </w:tabs>
        <w:rPr>
          <w:rFonts w:ascii="宋体" w:hAnsi="宋体" w:cs="宋体"/>
          <w:color w:val="auto"/>
          <w:sz w:val="30"/>
          <w:szCs w:val="30"/>
        </w:rPr>
      </w:pPr>
      <w:r>
        <w:rPr>
          <w:rFonts w:hint="eastAsia" w:ascii="宋体" w:hAnsi="宋体" w:cs="宋体"/>
          <w:b/>
          <w:bCs/>
          <w:color w:val="auto"/>
          <w:sz w:val="30"/>
          <w:szCs w:val="30"/>
        </w:rPr>
        <w:fldChar w:fldCharType="begin"/>
      </w:r>
      <w:r>
        <w:rPr>
          <w:rFonts w:hint="eastAsia" w:ascii="宋体" w:hAnsi="宋体" w:cs="宋体"/>
          <w:b/>
          <w:bCs/>
          <w:color w:val="auto"/>
          <w:sz w:val="30"/>
          <w:szCs w:val="30"/>
        </w:rPr>
        <w:instrText xml:space="preserve">TOC \o "1-1" \h \u </w:instrText>
      </w:r>
      <w:r>
        <w:rPr>
          <w:rFonts w:hint="eastAsia" w:ascii="宋体" w:hAnsi="宋体" w:cs="宋体"/>
          <w:b/>
          <w:bCs/>
          <w:color w:val="auto"/>
          <w:sz w:val="30"/>
          <w:szCs w:val="30"/>
        </w:rPr>
        <w:fldChar w:fldCharType="separate"/>
      </w:r>
      <w:r>
        <w:rPr>
          <w:color w:val="auto"/>
        </w:rPr>
        <w:fldChar w:fldCharType="begin"/>
      </w:r>
      <w:r>
        <w:rPr>
          <w:color w:val="auto"/>
        </w:rPr>
        <w:instrText xml:space="preserve"> HYPERLINK \l "_Toc17502" </w:instrText>
      </w:r>
      <w:r>
        <w:rPr>
          <w:color w:val="auto"/>
        </w:rPr>
        <w:fldChar w:fldCharType="separate"/>
      </w:r>
      <w:r>
        <w:rPr>
          <w:rFonts w:hint="eastAsia" w:ascii="宋体" w:hAnsi="宋体" w:cs="宋体"/>
          <w:color w:val="auto"/>
          <w:sz w:val="30"/>
          <w:szCs w:val="30"/>
        </w:rPr>
        <w:t>第一章 竞争性磋商公告</w:t>
      </w:r>
      <w:r>
        <w:rPr>
          <w:rFonts w:hint="eastAsia" w:ascii="宋体" w:hAnsi="宋体" w:cs="宋体"/>
          <w:color w:val="auto"/>
          <w:sz w:val="30"/>
          <w:szCs w:val="30"/>
        </w:rPr>
        <w:tab/>
      </w:r>
      <w:r>
        <w:rPr>
          <w:rFonts w:hint="eastAsia" w:ascii="宋体" w:hAnsi="宋体" w:cs="宋体"/>
          <w:color w:val="auto"/>
          <w:sz w:val="30"/>
          <w:szCs w:val="30"/>
        </w:rPr>
        <w:fldChar w:fldCharType="begin"/>
      </w:r>
      <w:r>
        <w:rPr>
          <w:rFonts w:hint="eastAsia" w:ascii="宋体" w:hAnsi="宋体" w:cs="宋体"/>
          <w:color w:val="auto"/>
          <w:sz w:val="30"/>
          <w:szCs w:val="30"/>
        </w:rPr>
        <w:instrText xml:space="preserve"> PAGEREF _Toc17502 \h </w:instrText>
      </w:r>
      <w:r>
        <w:rPr>
          <w:rFonts w:hint="eastAsia" w:ascii="宋体" w:hAnsi="宋体" w:cs="宋体"/>
          <w:color w:val="auto"/>
          <w:sz w:val="30"/>
          <w:szCs w:val="30"/>
        </w:rPr>
        <w:fldChar w:fldCharType="separate"/>
      </w:r>
      <w:r>
        <w:rPr>
          <w:rFonts w:hint="eastAsia" w:ascii="宋体" w:hAnsi="宋体" w:cs="宋体"/>
          <w:color w:val="auto"/>
          <w:sz w:val="30"/>
          <w:szCs w:val="30"/>
        </w:rPr>
        <w:t>1</w:t>
      </w:r>
      <w:r>
        <w:rPr>
          <w:rFonts w:hint="eastAsia" w:ascii="宋体" w:hAnsi="宋体" w:cs="宋体"/>
          <w:color w:val="auto"/>
          <w:sz w:val="30"/>
          <w:szCs w:val="30"/>
        </w:rPr>
        <w:fldChar w:fldCharType="end"/>
      </w:r>
      <w:r>
        <w:rPr>
          <w:rFonts w:hint="eastAsia" w:ascii="宋体" w:hAnsi="宋体" w:cs="宋体"/>
          <w:color w:val="auto"/>
          <w:sz w:val="30"/>
          <w:szCs w:val="30"/>
        </w:rPr>
        <w:fldChar w:fldCharType="end"/>
      </w:r>
    </w:p>
    <w:p w14:paraId="037712F9">
      <w:pPr>
        <w:pStyle w:val="21"/>
        <w:tabs>
          <w:tab w:val="right" w:leader="dot" w:pos="10194"/>
        </w:tabs>
        <w:rPr>
          <w:rFonts w:ascii="宋体" w:hAnsi="宋体" w:cs="宋体"/>
          <w:color w:val="auto"/>
          <w:sz w:val="30"/>
          <w:szCs w:val="30"/>
        </w:rPr>
      </w:pPr>
      <w:r>
        <w:rPr>
          <w:color w:val="auto"/>
        </w:rPr>
        <w:fldChar w:fldCharType="begin"/>
      </w:r>
      <w:r>
        <w:rPr>
          <w:color w:val="auto"/>
        </w:rPr>
        <w:instrText xml:space="preserve"> HYPERLINK \l "_Toc8849" </w:instrText>
      </w:r>
      <w:r>
        <w:rPr>
          <w:color w:val="auto"/>
        </w:rPr>
        <w:fldChar w:fldCharType="separate"/>
      </w:r>
      <w:r>
        <w:rPr>
          <w:rFonts w:hint="eastAsia" w:ascii="宋体" w:hAnsi="宋体" w:cs="宋体"/>
          <w:color w:val="auto"/>
          <w:sz w:val="30"/>
          <w:szCs w:val="30"/>
        </w:rPr>
        <w:t>第二章供应商须知</w:t>
      </w:r>
      <w:r>
        <w:rPr>
          <w:rFonts w:hint="eastAsia" w:ascii="宋体" w:hAnsi="宋体" w:cs="宋体"/>
          <w:color w:val="auto"/>
          <w:sz w:val="30"/>
          <w:szCs w:val="30"/>
        </w:rPr>
        <w:tab/>
      </w:r>
      <w:r>
        <w:rPr>
          <w:rFonts w:hint="eastAsia" w:ascii="宋体" w:hAnsi="宋体" w:cs="宋体"/>
          <w:color w:val="auto"/>
          <w:sz w:val="30"/>
          <w:szCs w:val="30"/>
        </w:rPr>
        <w:fldChar w:fldCharType="begin"/>
      </w:r>
      <w:r>
        <w:rPr>
          <w:rFonts w:hint="eastAsia" w:ascii="宋体" w:hAnsi="宋体" w:cs="宋体"/>
          <w:color w:val="auto"/>
          <w:sz w:val="30"/>
          <w:szCs w:val="30"/>
        </w:rPr>
        <w:instrText xml:space="preserve"> PAGEREF _Toc8849 \h </w:instrText>
      </w:r>
      <w:r>
        <w:rPr>
          <w:rFonts w:hint="eastAsia" w:ascii="宋体" w:hAnsi="宋体" w:cs="宋体"/>
          <w:color w:val="auto"/>
          <w:sz w:val="30"/>
          <w:szCs w:val="30"/>
        </w:rPr>
        <w:fldChar w:fldCharType="separate"/>
      </w:r>
      <w:r>
        <w:rPr>
          <w:rFonts w:hint="eastAsia" w:ascii="宋体" w:hAnsi="宋体" w:cs="宋体"/>
          <w:color w:val="auto"/>
          <w:sz w:val="30"/>
          <w:szCs w:val="30"/>
        </w:rPr>
        <w:t>4</w:t>
      </w:r>
      <w:r>
        <w:rPr>
          <w:rFonts w:hint="eastAsia" w:ascii="宋体" w:hAnsi="宋体" w:cs="宋体"/>
          <w:color w:val="auto"/>
          <w:sz w:val="30"/>
          <w:szCs w:val="30"/>
        </w:rPr>
        <w:fldChar w:fldCharType="end"/>
      </w:r>
      <w:r>
        <w:rPr>
          <w:rFonts w:hint="eastAsia" w:ascii="宋体" w:hAnsi="宋体" w:cs="宋体"/>
          <w:color w:val="auto"/>
          <w:sz w:val="30"/>
          <w:szCs w:val="30"/>
        </w:rPr>
        <w:fldChar w:fldCharType="end"/>
      </w:r>
    </w:p>
    <w:p w14:paraId="0B62A921">
      <w:pPr>
        <w:pStyle w:val="21"/>
        <w:tabs>
          <w:tab w:val="right" w:leader="dot" w:pos="10194"/>
        </w:tabs>
        <w:rPr>
          <w:rFonts w:ascii="宋体" w:hAnsi="宋体" w:cs="宋体"/>
          <w:color w:val="auto"/>
          <w:sz w:val="30"/>
          <w:szCs w:val="30"/>
        </w:rPr>
      </w:pPr>
      <w:r>
        <w:rPr>
          <w:color w:val="auto"/>
        </w:rPr>
        <w:fldChar w:fldCharType="begin"/>
      </w:r>
      <w:r>
        <w:rPr>
          <w:color w:val="auto"/>
        </w:rPr>
        <w:instrText xml:space="preserve"> HYPERLINK \l "_Toc10892" </w:instrText>
      </w:r>
      <w:r>
        <w:rPr>
          <w:color w:val="auto"/>
        </w:rPr>
        <w:fldChar w:fldCharType="separate"/>
      </w:r>
      <w:r>
        <w:rPr>
          <w:rFonts w:hint="eastAsia" w:ascii="宋体" w:hAnsi="宋体" w:cs="宋体"/>
          <w:color w:val="auto"/>
          <w:sz w:val="30"/>
          <w:szCs w:val="30"/>
        </w:rPr>
        <w:t>第三章 采购需求</w:t>
      </w:r>
      <w:r>
        <w:rPr>
          <w:rFonts w:hint="eastAsia" w:ascii="宋体" w:hAnsi="宋体" w:cs="宋体"/>
          <w:color w:val="auto"/>
          <w:sz w:val="30"/>
          <w:szCs w:val="30"/>
        </w:rPr>
        <w:tab/>
      </w:r>
      <w:r>
        <w:rPr>
          <w:rFonts w:hint="eastAsia" w:ascii="宋体" w:hAnsi="宋体" w:cs="宋体"/>
          <w:color w:val="auto"/>
          <w:sz w:val="30"/>
          <w:szCs w:val="30"/>
        </w:rPr>
        <w:t>2</w:t>
      </w:r>
      <w:r>
        <w:rPr>
          <w:rFonts w:hint="eastAsia" w:ascii="宋体" w:hAnsi="宋体" w:cs="宋体"/>
          <w:color w:val="auto"/>
          <w:sz w:val="30"/>
          <w:szCs w:val="30"/>
        </w:rPr>
        <w:fldChar w:fldCharType="end"/>
      </w:r>
      <w:r>
        <w:rPr>
          <w:rFonts w:hint="eastAsia" w:ascii="宋体" w:hAnsi="宋体" w:cs="宋体"/>
          <w:color w:val="auto"/>
          <w:sz w:val="30"/>
          <w:szCs w:val="30"/>
        </w:rPr>
        <w:t>5</w:t>
      </w:r>
    </w:p>
    <w:p w14:paraId="04D10465">
      <w:pPr>
        <w:pStyle w:val="21"/>
        <w:tabs>
          <w:tab w:val="right" w:leader="dot" w:pos="10194"/>
        </w:tabs>
        <w:rPr>
          <w:rFonts w:hint="eastAsia" w:ascii="宋体" w:hAnsi="宋体" w:eastAsia="宋体" w:cs="宋体"/>
          <w:color w:val="auto"/>
          <w:sz w:val="30"/>
          <w:szCs w:val="30"/>
          <w:lang w:val="en-US" w:eastAsia="zh-CN"/>
        </w:rPr>
      </w:pPr>
      <w:r>
        <w:rPr>
          <w:color w:val="auto"/>
        </w:rPr>
        <w:fldChar w:fldCharType="begin"/>
      </w:r>
      <w:r>
        <w:rPr>
          <w:color w:val="auto"/>
        </w:rPr>
        <w:instrText xml:space="preserve"> HYPERLINK \l "_Toc24716" </w:instrText>
      </w:r>
      <w:r>
        <w:rPr>
          <w:color w:val="auto"/>
        </w:rPr>
        <w:fldChar w:fldCharType="separate"/>
      </w:r>
      <w:r>
        <w:rPr>
          <w:rFonts w:hint="eastAsia" w:ascii="宋体" w:hAnsi="宋体" w:cs="宋体"/>
          <w:color w:val="auto"/>
          <w:sz w:val="30"/>
          <w:szCs w:val="30"/>
        </w:rPr>
        <w:t>第四章评审办法</w:t>
      </w:r>
      <w:r>
        <w:rPr>
          <w:rFonts w:hint="eastAsia" w:ascii="宋体" w:hAnsi="宋体" w:cs="宋体"/>
          <w:color w:val="auto"/>
          <w:sz w:val="30"/>
          <w:szCs w:val="30"/>
        </w:rPr>
        <w:tab/>
      </w:r>
      <w:r>
        <w:rPr>
          <w:rFonts w:hint="eastAsia" w:ascii="宋体" w:hAnsi="宋体" w:cs="宋体"/>
          <w:color w:val="auto"/>
          <w:sz w:val="30"/>
          <w:szCs w:val="30"/>
        </w:rPr>
        <w:t>2</w:t>
      </w:r>
      <w:r>
        <w:rPr>
          <w:rFonts w:hint="eastAsia" w:ascii="宋体" w:hAnsi="宋体" w:cs="宋体"/>
          <w:color w:val="auto"/>
          <w:sz w:val="30"/>
          <w:szCs w:val="30"/>
        </w:rPr>
        <w:fldChar w:fldCharType="end"/>
      </w:r>
      <w:r>
        <w:rPr>
          <w:rFonts w:hint="eastAsia" w:ascii="宋体" w:hAnsi="宋体" w:cs="宋体"/>
          <w:color w:val="auto"/>
          <w:sz w:val="30"/>
          <w:szCs w:val="30"/>
          <w:lang w:val="en-US" w:eastAsia="zh-CN"/>
        </w:rPr>
        <w:t>9</w:t>
      </w:r>
    </w:p>
    <w:p w14:paraId="0F20BF4F">
      <w:pPr>
        <w:pStyle w:val="21"/>
        <w:tabs>
          <w:tab w:val="right" w:leader="dot" w:pos="10194"/>
        </w:tabs>
        <w:rPr>
          <w:rFonts w:hint="eastAsia" w:ascii="宋体" w:hAnsi="宋体" w:eastAsia="宋体" w:cs="宋体"/>
          <w:color w:val="auto"/>
          <w:sz w:val="30"/>
          <w:szCs w:val="30"/>
          <w:lang w:val="en-US" w:eastAsia="zh-CN"/>
        </w:rPr>
      </w:pPr>
      <w:r>
        <w:rPr>
          <w:color w:val="auto"/>
        </w:rPr>
        <w:fldChar w:fldCharType="begin"/>
      </w:r>
      <w:r>
        <w:rPr>
          <w:color w:val="auto"/>
        </w:rPr>
        <w:instrText xml:space="preserve"> HYPERLINK \l "_Toc25360" </w:instrText>
      </w:r>
      <w:r>
        <w:rPr>
          <w:color w:val="auto"/>
        </w:rPr>
        <w:fldChar w:fldCharType="separate"/>
      </w:r>
      <w:r>
        <w:rPr>
          <w:rFonts w:hint="eastAsia" w:ascii="宋体" w:hAnsi="宋体" w:cs="宋体"/>
          <w:color w:val="auto"/>
          <w:sz w:val="30"/>
          <w:szCs w:val="30"/>
        </w:rPr>
        <w:t>第五章采购合同（合同主要条款及格式）</w:t>
      </w:r>
      <w:r>
        <w:rPr>
          <w:rFonts w:hint="eastAsia" w:ascii="宋体" w:hAnsi="宋体" w:cs="宋体"/>
          <w:color w:val="auto"/>
          <w:sz w:val="30"/>
          <w:szCs w:val="30"/>
        </w:rPr>
        <w:tab/>
      </w:r>
      <w:r>
        <w:rPr>
          <w:rFonts w:hint="eastAsia" w:ascii="宋体" w:hAnsi="宋体" w:cs="宋体"/>
          <w:color w:val="auto"/>
          <w:sz w:val="30"/>
          <w:szCs w:val="30"/>
        </w:rPr>
        <w:fldChar w:fldCharType="end"/>
      </w:r>
      <w:r>
        <w:rPr>
          <w:rFonts w:hint="eastAsia" w:ascii="宋体" w:hAnsi="宋体" w:cs="宋体"/>
          <w:bCs/>
          <w:color w:val="auto"/>
          <w:sz w:val="30"/>
          <w:szCs w:val="30"/>
        </w:rPr>
        <w:t>3</w:t>
      </w:r>
      <w:r>
        <w:rPr>
          <w:rFonts w:hint="eastAsia" w:ascii="宋体" w:hAnsi="宋体" w:cs="宋体"/>
          <w:bCs/>
          <w:color w:val="auto"/>
          <w:sz w:val="30"/>
          <w:szCs w:val="30"/>
          <w:lang w:val="en-US" w:eastAsia="zh-CN"/>
        </w:rPr>
        <w:t>4</w:t>
      </w:r>
    </w:p>
    <w:p w14:paraId="095C4D08">
      <w:pPr>
        <w:pStyle w:val="21"/>
        <w:tabs>
          <w:tab w:val="right" w:leader="dot" w:pos="10194"/>
        </w:tabs>
        <w:rPr>
          <w:rFonts w:hint="default" w:ascii="宋体" w:hAnsi="宋体" w:eastAsia="宋体" w:cs="宋体"/>
          <w:color w:val="auto"/>
          <w:sz w:val="30"/>
          <w:szCs w:val="30"/>
          <w:lang w:val="en-US" w:eastAsia="zh-CN"/>
        </w:rPr>
      </w:pPr>
      <w:r>
        <w:rPr>
          <w:color w:val="auto"/>
        </w:rPr>
        <w:fldChar w:fldCharType="begin"/>
      </w:r>
      <w:r>
        <w:rPr>
          <w:color w:val="auto"/>
        </w:rPr>
        <w:instrText xml:space="preserve"> HYPERLINK \l "_Toc16171" </w:instrText>
      </w:r>
      <w:r>
        <w:rPr>
          <w:color w:val="auto"/>
        </w:rPr>
        <w:fldChar w:fldCharType="separate"/>
      </w:r>
      <w:r>
        <w:rPr>
          <w:rFonts w:hint="eastAsia" w:ascii="宋体" w:hAnsi="宋体" w:cs="宋体"/>
          <w:color w:val="auto"/>
          <w:sz w:val="30"/>
          <w:szCs w:val="30"/>
        </w:rPr>
        <w:t>第六章 响应文件（格式）</w:t>
      </w:r>
      <w:r>
        <w:rPr>
          <w:rFonts w:hint="eastAsia" w:ascii="宋体" w:hAnsi="宋体" w:cs="宋体"/>
          <w:color w:val="auto"/>
          <w:sz w:val="30"/>
          <w:szCs w:val="30"/>
        </w:rPr>
        <w:tab/>
      </w:r>
      <w:r>
        <w:rPr>
          <w:rFonts w:hint="eastAsia" w:ascii="宋体" w:hAnsi="宋体" w:cs="宋体"/>
          <w:color w:val="auto"/>
          <w:sz w:val="30"/>
          <w:szCs w:val="30"/>
        </w:rPr>
        <w:fldChar w:fldCharType="end"/>
      </w:r>
      <w:r>
        <w:rPr>
          <w:rFonts w:hint="eastAsia" w:ascii="宋体" w:hAnsi="宋体" w:cs="宋体"/>
          <w:color w:val="auto"/>
          <w:sz w:val="30"/>
          <w:szCs w:val="30"/>
          <w:lang w:val="en-US" w:eastAsia="zh-CN"/>
        </w:rPr>
        <w:t>41</w:t>
      </w:r>
    </w:p>
    <w:p w14:paraId="79FA1B5F">
      <w:pPr>
        <w:jc w:val="center"/>
        <w:rPr>
          <w:rFonts w:ascii="宋体" w:hAnsi="宋体" w:cs="宋体"/>
          <w:b/>
          <w:bCs/>
          <w:color w:val="auto"/>
          <w:sz w:val="32"/>
          <w:szCs w:val="32"/>
        </w:rPr>
      </w:pPr>
      <w:r>
        <w:rPr>
          <w:rFonts w:hint="eastAsia" w:ascii="宋体" w:hAnsi="宋体" w:cs="宋体"/>
          <w:bCs/>
          <w:color w:val="auto"/>
          <w:sz w:val="30"/>
          <w:szCs w:val="30"/>
        </w:rPr>
        <w:fldChar w:fldCharType="end"/>
      </w:r>
    </w:p>
    <w:p w14:paraId="687DEE11">
      <w:pPr>
        <w:rPr>
          <w:rFonts w:ascii="宋体" w:hAnsi="宋体" w:cs="宋体"/>
          <w:b/>
          <w:bCs/>
          <w:color w:val="auto"/>
          <w:sz w:val="32"/>
          <w:szCs w:val="32"/>
        </w:rPr>
        <w:sectPr>
          <w:footerReference r:id="rId4" w:type="default"/>
          <w:pgSz w:w="11906" w:h="16838"/>
          <w:pgMar w:top="1440" w:right="935" w:bottom="1440" w:left="777" w:header="851" w:footer="992" w:gutter="0"/>
          <w:pgNumType w:fmt="numberInDash"/>
          <w:cols w:space="720" w:num="1"/>
          <w:docGrid w:type="linesAndChars" w:linePitch="312" w:charSpace="0"/>
        </w:sectPr>
      </w:pPr>
    </w:p>
    <w:p w14:paraId="0A2E816F">
      <w:pPr>
        <w:pStyle w:val="2"/>
        <w:numPr>
          <w:ilvl w:val="0"/>
          <w:numId w:val="1"/>
        </w:numPr>
        <w:rPr>
          <w:color w:val="auto"/>
        </w:rPr>
      </w:pPr>
      <w:bookmarkStart w:id="2" w:name="_Toc28359011"/>
      <w:bookmarkStart w:id="3" w:name="_Toc30170"/>
      <w:bookmarkStart w:id="4" w:name="_Toc26809"/>
      <w:bookmarkStart w:id="5" w:name="_Toc35393797"/>
      <w:bookmarkStart w:id="6" w:name="_Toc29067"/>
      <w:bookmarkStart w:id="7" w:name="_Toc17502"/>
      <w:r>
        <w:rPr>
          <w:rFonts w:hint="eastAsia"/>
          <w:color w:val="auto"/>
        </w:rPr>
        <w:t>竞争性磋商公告</w:t>
      </w:r>
      <w:bookmarkEnd w:id="2"/>
      <w:bookmarkEnd w:id="3"/>
      <w:bookmarkEnd w:id="4"/>
      <w:bookmarkEnd w:id="5"/>
      <w:bookmarkEnd w:id="6"/>
      <w:bookmarkEnd w:id="7"/>
    </w:p>
    <w:p w14:paraId="0C3EBCF6">
      <w:pPr>
        <w:spacing w:line="360" w:lineRule="exact"/>
        <w:rPr>
          <w:rFonts w:ascii="宋体" w:hAnsi="宋体" w:cs="宋体"/>
          <w:color w:val="auto"/>
        </w:rPr>
      </w:pPr>
    </w:p>
    <w:tbl>
      <w:tblPr>
        <w:tblStyle w:val="29"/>
        <w:tblpPr w:leftFromText="180" w:rightFromText="180" w:vertAnchor="text" w:tblpX="38" w:tblpY="134"/>
        <w:tblOverlap w:val="never"/>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14:paraId="46032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5" w:hRule="atLeast"/>
        </w:trPr>
        <w:tc>
          <w:tcPr>
            <w:tcW w:w="9620" w:type="dxa"/>
          </w:tcPr>
          <w:p w14:paraId="3E9EE70D">
            <w:pPr>
              <w:spacing w:line="360" w:lineRule="exact"/>
              <w:ind w:firstLine="420" w:firstLineChars="200"/>
              <w:rPr>
                <w:rFonts w:ascii="宋体" w:hAnsi="宋体" w:cs="宋体"/>
                <w:color w:val="auto"/>
                <w:szCs w:val="21"/>
              </w:rPr>
            </w:pPr>
            <w:r>
              <w:rPr>
                <w:rFonts w:hint="eastAsia" w:ascii="宋体" w:hAnsi="宋体" w:cs="宋体"/>
                <w:color w:val="auto"/>
                <w:szCs w:val="21"/>
              </w:rPr>
              <w:t>项目概况</w:t>
            </w:r>
          </w:p>
          <w:p w14:paraId="1C1E8897">
            <w:pPr>
              <w:spacing w:line="360" w:lineRule="exact"/>
              <w:ind w:firstLine="420" w:firstLineChars="200"/>
              <w:rPr>
                <w:rFonts w:ascii="宋体" w:hAnsi="宋体" w:cs="宋体"/>
                <w:color w:val="auto"/>
                <w:szCs w:val="21"/>
              </w:rPr>
            </w:pPr>
            <w:r>
              <w:rPr>
                <w:rFonts w:hint="eastAsia" w:ascii="宋体" w:hAnsi="宋体" w:cs="宋体"/>
                <w:color w:val="auto"/>
                <w:szCs w:val="21"/>
                <w:u w:val="single"/>
              </w:rPr>
              <w:t>医用织物洗涤、租赁服务采购</w:t>
            </w:r>
            <w:r>
              <w:rPr>
                <w:rFonts w:hint="eastAsia" w:ascii="宋体" w:hAnsi="宋体" w:cs="宋体"/>
                <w:color w:val="auto"/>
                <w:szCs w:val="21"/>
              </w:rPr>
              <w:t>的潜在供应商应在</w:t>
            </w:r>
            <w:r>
              <w:rPr>
                <w:rFonts w:hint="eastAsia" w:ascii="宋体" w:hAnsi="宋体"/>
                <w:color w:val="auto"/>
                <w:szCs w:val="21"/>
                <w:highlight w:val="none"/>
              </w:rPr>
              <w:t>广西政府采购云平台（</w:t>
            </w:r>
            <w:r>
              <w:rPr>
                <w:color w:val="auto"/>
                <w:highlight w:val="none"/>
              </w:rPr>
              <w:fldChar w:fldCharType="begin"/>
            </w:r>
            <w:r>
              <w:rPr>
                <w:color w:val="auto"/>
                <w:highlight w:val="none"/>
              </w:rPr>
              <w:instrText xml:space="preserve"> HYPERLINK "http://www.gcy.zfcg.gxzf.gov.cn）获取（下载）竞争性磋商文件，并于2024年" </w:instrText>
            </w:r>
            <w:r>
              <w:rPr>
                <w:color w:val="auto"/>
                <w:highlight w:val="none"/>
              </w:rPr>
              <w:fldChar w:fldCharType="separate"/>
            </w:r>
            <w:r>
              <w:rPr>
                <w:rFonts w:hint="eastAsia"/>
                <w:color w:val="auto"/>
                <w:highlight w:val="none"/>
              </w:rPr>
              <w:t>www.gcy.zfcg.gxzf.gov.cn）获取（下载）竞争性磋商文件，</w:t>
            </w:r>
            <w:r>
              <w:rPr>
                <w:rFonts w:hint="eastAsia"/>
                <w:color w:val="auto"/>
                <w:highlight w:val="none"/>
              </w:rPr>
              <w:fldChar w:fldCharType="end"/>
            </w:r>
            <w:r>
              <w:rPr>
                <w:rFonts w:hint="eastAsia" w:ascii="宋体" w:hAnsi="宋体" w:cs="宋体"/>
                <w:color w:val="auto"/>
                <w:szCs w:val="21"/>
              </w:rPr>
              <w:t>并于</w:t>
            </w:r>
            <w:r>
              <w:rPr>
                <w:rFonts w:hint="eastAsia" w:ascii="宋体" w:hAnsi="宋体" w:cs="宋体"/>
                <w:color w:val="auto"/>
                <w:szCs w:val="21"/>
                <w:u w:val="single"/>
              </w:rPr>
              <w:t>2025年9月</w:t>
            </w:r>
            <w:r>
              <w:rPr>
                <w:rFonts w:hint="eastAsia" w:ascii="宋体" w:hAnsi="宋体" w:cs="宋体"/>
                <w:color w:val="auto"/>
                <w:szCs w:val="21"/>
                <w:u w:val="single"/>
                <w:lang w:val="en-US" w:eastAsia="zh-CN"/>
              </w:rPr>
              <w:t>23</w:t>
            </w:r>
            <w:r>
              <w:rPr>
                <w:rFonts w:hint="eastAsia" w:ascii="宋体" w:hAnsi="宋体" w:cs="宋体"/>
                <w:color w:val="auto"/>
                <w:szCs w:val="21"/>
                <w:u w:val="single"/>
              </w:rPr>
              <w:t>日</w:t>
            </w:r>
            <w:r>
              <w:rPr>
                <w:rFonts w:hint="eastAsia" w:ascii="宋体" w:hAnsi="宋体" w:cs="宋体"/>
                <w:bCs/>
                <w:color w:val="auto"/>
                <w:szCs w:val="21"/>
                <w:u w:val="single"/>
              </w:rPr>
              <w:t>9时30分</w:t>
            </w:r>
            <w:r>
              <w:rPr>
                <w:rFonts w:hint="eastAsia" w:ascii="宋体" w:hAnsi="宋体" w:cs="宋体"/>
                <w:bCs/>
                <w:color w:val="auto"/>
                <w:szCs w:val="21"/>
              </w:rPr>
              <w:t>（北京时间）前提交响应文件</w:t>
            </w:r>
            <w:r>
              <w:rPr>
                <w:rFonts w:hint="eastAsia" w:ascii="宋体" w:hAnsi="宋体" w:cs="宋体"/>
                <w:color w:val="auto"/>
                <w:szCs w:val="21"/>
              </w:rPr>
              <w:t>。</w:t>
            </w:r>
          </w:p>
        </w:tc>
      </w:tr>
    </w:tbl>
    <w:p w14:paraId="0D6035C4">
      <w:pPr>
        <w:spacing w:line="360" w:lineRule="exact"/>
        <w:rPr>
          <w:rFonts w:ascii="宋体" w:hAnsi="宋体" w:cs="宋体"/>
          <w:color w:val="auto"/>
          <w:szCs w:val="21"/>
        </w:rPr>
      </w:pPr>
      <w:bookmarkStart w:id="8" w:name="_Toc28359089"/>
      <w:bookmarkStart w:id="9" w:name="_Toc35393629"/>
      <w:bookmarkStart w:id="10" w:name="_Toc35393798"/>
      <w:bookmarkStart w:id="11" w:name="_Toc28359012"/>
      <w:r>
        <w:rPr>
          <w:rFonts w:hint="eastAsia" w:ascii="宋体" w:hAnsi="宋体" w:cs="宋体"/>
          <w:color w:val="auto"/>
          <w:szCs w:val="21"/>
        </w:rPr>
        <w:t>一、项目基本情况</w:t>
      </w:r>
      <w:bookmarkEnd w:id="8"/>
      <w:bookmarkEnd w:id="9"/>
      <w:bookmarkEnd w:id="10"/>
      <w:bookmarkEnd w:id="11"/>
    </w:p>
    <w:p w14:paraId="5CEEF953">
      <w:pPr>
        <w:spacing w:line="360" w:lineRule="exact"/>
        <w:ind w:firstLine="420" w:firstLineChars="200"/>
        <w:rPr>
          <w:rFonts w:ascii="宋体" w:hAnsi="宋体" w:cs="宋体"/>
          <w:color w:val="auto"/>
          <w:szCs w:val="21"/>
        </w:rPr>
      </w:pPr>
      <w:r>
        <w:rPr>
          <w:rFonts w:hint="eastAsia" w:ascii="宋体" w:hAnsi="宋体" w:cs="宋体"/>
          <w:color w:val="auto"/>
          <w:szCs w:val="21"/>
        </w:rPr>
        <w:t>项目编号：GLZC2025-C3-</w:t>
      </w:r>
      <w:r>
        <w:rPr>
          <w:rFonts w:hint="eastAsia" w:ascii="宋体" w:hAnsi="宋体" w:cs="宋体"/>
          <w:color w:val="auto"/>
          <w:szCs w:val="21"/>
          <w:lang w:eastAsia="zh-CN"/>
        </w:rPr>
        <w:t>990430</w:t>
      </w:r>
      <w:r>
        <w:rPr>
          <w:rFonts w:hint="eastAsia" w:ascii="宋体" w:hAnsi="宋体" w:cs="宋体"/>
          <w:color w:val="auto"/>
          <w:szCs w:val="21"/>
        </w:rPr>
        <w:t>-OBGC</w:t>
      </w:r>
    </w:p>
    <w:p w14:paraId="0E9CE08B">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项目名称：医用织物洗涤、租赁服务采购</w:t>
      </w:r>
    </w:p>
    <w:p w14:paraId="35B846D8">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采购方式：竞争性磋商</w:t>
      </w:r>
    </w:p>
    <w:p w14:paraId="62351F7F">
      <w:pPr>
        <w:spacing w:line="360" w:lineRule="exact"/>
        <w:ind w:firstLine="420" w:firstLineChars="200"/>
        <w:rPr>
          <w:rFonts w:ascii="宋体" w:hAnsi="宋体" w:cs="宋体"/>
          <w:color w:val="auto"/>
          <w:szCs w:val="21"/>
        </w:rPr>
      </w:pPr>
      <w:r>
        <w:rPr>
          <w:rFonts w:hint="eastAsia" w:ascii="宋体" w:hAnsi="宋体" w:cs="宋体"/>
          <w:color w:val="auto"/>
          <w:szCs w:val="21"/>
        </w:rPr>
        <w:t>预算金额：</w:t>
      </w:r>
      <w:r>
        <w:rPr>
          <w:rFonts w:hint="eastAsia" w:ascii="宋体" w:hAnsi="宋体" w:cs="宋体"/>
          <w:color w:val="auto"/>
          <w:szCs w:val="21"/>
          <w:lang w:eastAsia="zh-CN"/>
        </w:rPr>
        <w:t>1170000.00元/年</w:t>
      </w:r>
      <w:r>
        <w:rPr>
          <w:rFonts w:hint="eastAsia" w:ascii="宋体" w:hAnsi="宋体" w:cs="宋体"/>
          <w:color w:val="auto"/>
          <w:szCs w:val="21"/>
        </w:rPr>
        <w:t>，</w:t>
      </w:r>
      <w:r>
        <w:rPr>
          <w:rFonts w:hint="eastAsia" w:ascii="宋体" w:hAnsi="宋体" w:cs="宋体"/>
          <w:color w:val="auto"/>
          <w:szCs w:val="21"/>
          <w:lang w:eastAsia="zh-CN"/>
        </w:rPr>
        <w:t>以实际发生工作量结算</w:t>
      </w:r>
      <w:r>
        <w:rPr>
          <w:rFonts w:hint="eastAsia" w:ascii="宋体" w:hAnsi="宋体" w:cs="宋体"/>
          <w:color w:val="auto"/>
          <w:szCs w:val="21"/>
        </w:rPr>
        <w:t>。</w:t>
      </w:r>
    </w:p>
    <w:p w14:paraId="09B77925">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最高控制价：</w:t>
      </w:r>
      <w:r>
        <w:rPr>
          <w:rFonts w:hint="eastAsia" w:ascii="宋体" w:hAnsi="宋体" w:cs="宋体"/>
          <w:color w:val="auto"/>
          <w:szCs w:val="21"/>
          <w:lang w:eastAsia="zh-CN"/>
        </w:rPr>
        <w:t>1170000.00元/年</w:t>
      </w:r>
      <w:r>
        <w:rPr>
          <w:rFonts w:hint="eastAsia" w:ascii="宋体" w:hAnsi="宋体" w:cs="宋体"/>
          <w:color w:val="auto"/>
          <w:szCs w:val="21"/>
        </w:rPr>
        <w:t>，</w:t>
      </w:r>
      <w:r>
        <w:rPr>
          <w:rFonts w:hint="eastAsia" w:ascii="宋体" w:hAnsi="宋体" w:cs="宋体"/>
          <w:color w:val="auto"/>
          <w:szCs w:val="21"/>
          <w:lang w:eastAsia="zh-CN"/>
        </w:rPr>
        <w:t>以实际发生工作量结算</w:t>
      </w:r>
      <w:r>
        <w:rPr>
          <w:rFonts w:hint="eastAsia" w:ascii="宋体" w:hAnsi="宋体" w:cs="宋体"/>
          <w:color w:val="auto"/>
          <w:szCs w:val="21"/>
        </w:rPr>
        <w:t>。</w:t>
      </w:r>
    </w:p>
    <w:p w14:paraId="32568971">
      <w:pPr>
        <w:spacing w:line="360" w:lineRule="exact"/>
        <w:ind w:firstLine="422" w:firstLineChars="200"/>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其中单项</w:t>
      </w:r>
      <w:r>
        <w:rPr>
          <w:rFonts w:hint="eastAsia" w:ascii="宋体" w:hAnsi="宋体" w:eastAsia="宋体" w:cs="宋体"/>
          <w:b/>
          <w:bCs/>
          <w:color w:val="auto"/>
          <w:sz w:val="21"/>
          <w:szCs w:val="21"/>
          <w:highlight w:val="none"/>
        </w:rPr>
        <w:t>控制价：</w:t>
      </w:r>
      <w:bookmarkStart w:id="12" w:name="OLE_LINK4"/>
      <w:r>
        <w:rPr>
          <w:rFonts w:hint="eastAsia" w:ascii="宋体" w:hAnsi="宋体" w:eastAsia="宋体" w:cs="宋体"/>
          <w:b/>
          <w:bCs/>
          <w:color w:val="auto"/>
          <w:sz w:val="21"/>
          <w:szCs w:val="21"/>
          <w:highlight w:val="none"/>
          <w:lang w:val="en-US" w:eastAsia="zh-CN"/>
        </w:rPr>
        <w:t xml:space="preserve"> 普通</w:t>
      </w:r>
      <w:r>
        <w:rPr>
          <w:rFonts w:hint="eastAsia" w:ascii="宋体" w:hAnsi="宋体" w:eastAsia="宋体" w:cs="宋体"/>
          <w:b/>
          <w:bCs/>
          <w:color w:val="auto"/>
          <w:kern w:val="0"/>
          <w:sz w:val="21"/>
          <w:szCs w:val="21"/>
          <w:highlight w:val="none"/>
        </w:rPr>
        <w:t>病</w:t>
      </w:r>
      <w:r>
        <w:rPr>
          <w:rFonts w:hint="eastAsia" w:ascii="宋体" w:hAnsi="宋体" w:cs="宋体"/>
          <w:b/>
          <w:bCs/>
          <w:color w:val="auto"/>
          <w:kern w:val="0"/>
          <w:sz w:val="21"/>
          <w:szCs w:val="21"/>
          <w:highlight w:val="none"/>
          <w:lang w:val="en-US" w:eastAsia="zh-CN"/>
        </w:rPr>
        <w:t>床</w:t>
      </w:r>
      <w:r>
        <w:rPr>
          <w:rFonts w:hint="eastAsia" w:ascii="宋体" w:hAnsi="宋体" w:eastAsia="宋体" w:cs="宋体"/>
          <w:b/>
          <w:bCs/>
          <w:color w:val="auto"/>
          <w:kern w:val="0"/>
          <w:sz w:val="21"/>
          <w:szCs w:val="21"/>
          <w:highlight w:val="none"/>
        </w:rPr>
        <w:t>6.2元/床/天</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新生儿</w:t>
      </w:r>
      <w:r>
        <w:rPr>
          <w:rFonts w:hint="eastAsia" w:ascii="宋体" w:hAnsi="宋体" w:eastAsia="宋体" w:cs="宋体"/>
          <w:b/>
          <w:bCs/>
          <w:color w:val="auto"/>
          <w:kern w:val="0"/>
          <w:sz w:val="21"/>
          <w:szCs w:val="21"/>
          <w:highlight w:val="none"/>
          <w:lang w:val="en-US" w:eastAsia="zh-CN"/>
        </w:rPr>
        <w:t>床</w:t>
      </w:r>
      <w:r>
        <w:rPr>
          <w:rFonts w:hint="eastAsia" w:ascii="宋体" w:hAnsi="宋体" w:eastAsia="宋体" w:cs="宋体"/>
          <w:b/>
          <w:bCs/>
          <w:color w:val="auto"/>
          <w:kern w:val="0"/>
          <w:sz w:val="21"/>
          <w:szCs w:val="21"/>
          <w:highlight w:val="none"/>
        </w:rPr>
        <w:t>4元/床/天</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诊疗床3.2元/床/天</w:t>
      </w:r>
      <w:bookmarkEnd w:id="12"/>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以实际发生工作量结算。</w:t>
      </w:r>
    </w:p>
    <w:p w14:paraId="6A857B3A">
      <w:pPr>
        <w:spacing w:line="360" w:lineRule="exact"/>
        <w:ind w:firstLine="422" w:firstLineChars="200"/>
        <w:rPr>
          <w:rFonts w:ascii="宋体" w:hAnsi="宋体" w:cs="宋体"/>
          <w:color w:val="auto"/>
          <w:szCs w:val="21"/>
          <w:u w:val="single"/>
        </w:rPr>
      </w:pPr>
      <w:r>
        <w:rPr>
          <w:rFonts w:hint="eastAsia" w:ascii="宋体" w:hAnsi="宋体" w:cs="宋体"/>
          <w:b/>
          <w:bCs/>
          <w:color w:val="auto"/>
          <w:szCs w:val="21"/>
        </w:rPr>
        <w:t>采购需求</w:t>
      </w:r>
      <w:r>
        <w:rPr>
          <w:rFonts w:hint="eastAsia" w:ascii="宋体" w:hAnsi="宋体" w:cs="宋体"/>
          <w:color w:val="auto"/>
          <w:szCs w:val="21"/>
        </w:rPr>
        <w:t>：</w:t>
      </w:r>
    </w:p>
    <w:tbl>
      <w:tblPr>
        <w:tblStyle w:val="28"/>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5"/>
        <w:gridCol w:w="1004"/>
        <w:gridCol w:w="1165"/>
        <w:gridCol w:w="4514"/>
      </w:tblGrid>
      <w:tr w14:paraId="56CF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2395" w:type="dxa"/>
            <w:tcBorders>
              <w:top w:val="single" w:color="auto" w:sz="4" w:space="0"/>
              <w:left w:val="single" w:color="auto" w:sz="4" w:space="0"/>
              <w:bottom w:val="single" w:color="auto" w:sz="4" w:space="0"/>
              <w:right w:val="single" w:color="auto" w:sz="4" w:space="0"/>
            </w:tcBorders>
            <w:vAlign w:val="center"/>
          </w:tcPr>
          <w:p w14:paraId="01E42978">
            <w:pPr>
              <w:spacing w:line="360" w:lineRule="exact"/>
              <w:jc w:val="center"/>
              <w:rPr>
                <w:rFonts w:ascii="宋体" w:hAnsi="宋体" w:cs="宋体"/>
                <w:color w:val="auto"/>
                <w:szCs w:val="21"/>
              </w:rPr>
            </w:pPr>
            <w:r>
              <w:rPr>
                <w:rFonts w:hint="eastAsia" w:ascii="宋体" w:hAnsi="宋体" w:cs="宋体"/>
                <w:color w:val="auto"/>
                <w:szCs w:val="21"/>
              </w:rPr>
              <w:t>服务名称</w:t>
            </w:r>
          </w:p>
        </w:tc>
        <w:tc>
          <w:tcPr>
            <w:tcW w:w="1004" w:type="dxa"/>
            <w:tcBorders>
              <w:top w:val="single" w:color="auto" w:sz="4" w:space="0"/>
              <w:left w:val="nil"/>
              <w:bottom w:val="single" w:color="auto" w:sz="4" w:space="0"/>
              <w:right w:val="single" w:color="auto" w:sz="4" w:space="0"/>
            </w:tcBorders>
            <w:vAlign w:val="center"/>
          </w:tcPr>
          <w:p w14:paraId="5CAFD150">
            <w:pPr>
              <w:spacing w:line="360" w:lineRule="exact"/>
              <w:jc w:val="center"/>
              <w:rPr>
                <w:rFonts w:ascii="宋体" w:hAnsi="宋体" w:cs="宋体"/>
                <w:color w:val="auto"/>
                <w:szCs w:val="21"/>
              </w:rPr>
            </w:pPr>
            <w:r>
              <w:rPr>
                <w:rFonts w:hint="eastAsia" w:ascii="宋体" w:hAnsi="宋体" w:cs="宋体"/>
                <w:color w:val="auto"/>
                <w:szCs w:val="21"/>
              </w:rPr>
              <w:t>数量</w:t>
            </w:r>
          </w:p>
        </w:tc>
        <w:tc>
          <w:tcPr>
            <w:tcW w:w="1165" w:type="dxa"/>
            <w:tcBorders>
              <w:top w:val="single" w:color="auto" w:sz="4" w:space="0"/>
              <w:left w:val="nil"/>
              <w:bottom w:val="single" w:color="auto" w:sz="4" w:space="0"/>
              <w:right w:val="single" w:color="auto" w:sz="4" w:space="0"/>
            </w:tcBorders>
            <w:vAlign w:val="center"/>
          </w:tcPr>
          <w:p w14:paraId="20B810D8">
            <w:pPr>
              <w:spacing w:line="360" w:lineRule="exact"/>
              <w:ind w:firstLine="210" w:firstLineChars="100"/>
              <w:rPr>
                <w:rFonts w:ascii="宋体" w:hAnsi="宋体" w:cs="宋体"/>
                <w:color w:val="auto"/>
                <w:szCs w:val="21"/>
              </w:rPr>
            </w:pPr>
            <w:r>
              <w:rPr>
                <w:rFonts w:hint="eastAsia" w:ascii="宋体" w:hAnsi="宋体" w:cs="宋体"/>
                <w:color w:val="auto"/>
                <w:szCs w:val="21"/>
              </w:rPr>
              <w:t>单位</w:t>
            </w:r>
          </w:p>
        </w:tc>
        <w:tc>
          <w:tcPr>
            <w:tcW w:w="4514" w:type="dxa"/>
            <w:tcBorders>
              <w:top w:val="single" w:color="auto" w:sz="4" w:space="0"/>
              <w:left w:val="nil"/>
              <w:bottom w:val="single" w:color="auto" w:sz="4" w:space="0"/>
              <w:right w:val="single" w:color="auto" w:sz="4" w:space="0"/>
            </w:tcBorders>
            <w:vAlign w:val="center"/>
          </w:tcPr>
          <w:p w14:paraId="482619AD">
            <w:pPr>
              <w:spacing w:line="360" w:lineRule="exact"/>
              <w:rPr>
                <w:rFonts w:ascii="宋体" w:hAnsi="宋体" w:cs="宋体"/>
                <w:color w:val="auto"/>
                <w:szCs w:val="21"/>
              </w:rPr>
            </w:pPr>
            <w:r>
              <w:rPr>
                <w:rFonts w:hint="eastAsia" w:ascii="宋体" w:hAnsi="宋体" w:cs="宋体"/>
                <w:color w:val="auto"/>
                <w:szCs w:val="21"/>
              </w:rPr>
              <w:t>简要规格描述或项目基本概况介绍、用途</w:t>
            </w:r>
          </w:p>
        </w:tc>
      </w:tr>
      <w:tr w14:paraId="27C2C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exact"/>
          <w:jc w:val="center"/>
        </w:trPr>
        <w:tc>
          <w:tcPr>
            <w:tcW w:w="2395" w:type="dxa"/>
            <w:tcBorders>
              <w:top w:val="single" w:color="auto" w:sz="4" w:space="0"/>
              <w:left w:val="single" w:color="auto" w:sz="4" w:space="0"/>
              <w:bottom w:val="single" w:color="auto" w:sz="4" w:space="0"/>
              <w:right w:val="single" w:color="auto" w:sz="4" w:space="0"/>
            </w:tcBorders>
            <w:vAlign w:val="center"/>
          </w:tcPr>
          <w:p w14:paraId="1C72BB11">
            <w:pPr>
              <w:spacing w:line="360" w:lineRule="exact"/>
              <w:jc w:val="center"/>
              <w:rPr>
                <w:rFonts w:ascii="宋体" w:hAnsi="宋体" w:cs="宋体"/>
                <w:color w:val="auto"/>
                <w:szCs w:val="21"/>
              </w:rPr>
            </w:pPr>
            <w:r>
              <w:rPr>
                <w:rFonts w:hint="eastAsia" w:ascii="宋体" w:hAnsi="宋体" w:cs="宋体"/>
                <w:color w:val="auto"/>
                <w:szCs w:val="21"/>
              </w:rPr>
              <w:t>医用织物洗涤、租赁服务采购</w:t>
            </w:r>
          </w:p>
        </w:tc>
        <w:tc>
          <w:tcPr>
            <w:tcW w:w="1004" w:type="dxa"/>
            <w:tcBorders>
              <w:top w:val="single" w:color="auto" w:sz="4" w:space="0"/>
              <w:left w:val="nil"/>
              <w:bottom w:val="single" w:color="auto" w:sz="4" w:space="0"/>
              <w:right w:val="single" w:color="auto" w:sz="4" w:space="0"/>
            </w:tcBorders>
            <w:vAlign w:val="center"/>
          </w:tcPr>
          <w:p w14:paraId="08C5A9F0">
            <w:pPr>
              <w:spacing w:line="360" w:lineRule="exact"/>
              <w:jc w:val="center"/>
              <w:rPr>
                <w:rFonts w:ascii="宋体" w:hAnsi="宋体" w:cs="宋体"/>
                <w:color w:val="auto"/>
                <w:szCs w:val="21"/>
              </w:rPr>
            </w:pPr>
            <w:r>
              <w:rPr>
                <w:rFonts w:hint="eastAsia" w:ascii="宋体" w:hAnsi="宋体" w:cs="宋体"/>
                <w:color w:val="auto"/>
                <w:szCs w:val="21"/>
              </w:rPr>
              <w:t>1</w:t>
            </w:r>
          </w:p>
        </w:tc>
        <w:tc>
          <w:tcPr>
            <w:tcW w:w="1165" w:type="dxa"/>
            <w:tcBorders>
              <w:top w:val="single" w:color="auto" w:sz="4" w:space="0"/>
              <w:left w:val="nil"/>
              <w:bottom w:val="single" w:color="auto" w:sz="4" w:space="0"/>
              <w:right w:val="single" w:color="auto" w:sz="4" w:space="0"/>
            </w:tcBorders>
            <w:vAlign w:val="center"/>
          </w:tcPr>
          <w:p w14:paraId="3A76DF75">
            <w:pPr>
              <w:spacing w:line="360" w:lineRule="exact"/>
              <w:jc w:val="center"/>
              <w:rPr>
                <w:rFonts w:ascii="宋体" w:hAnsi="宋体" w:cs="宋体"/>
                <w:color w:val="auto"/>
                <w:szCs w:val="21"/>
              </w:rPr>
            </w:pPr>
            <w:r>
              <w:rPr>
                <w:rFonts w:hint="eastAsia" w:ascii="宋体" w:hAnsi="宋体" w:cs="宋体"/>
                <w:color w:val="auto"/>
                <w:szCs w:val="21"/>
              </w:rPr>
              <w:t>项</w:t>
            </w:r>
          </w:p>
        </w:tc>
        <w:tc>
          <w:tcPr>
            <w:tcW w:w="4514" w:type="dxa"/>
            <w:tcBorders>
              <w:top w:val="single" w:color="auto" w:sz="4" w:space="0"/>
              <w:left w:val="nil"/>
              <w:bottom w:val="single" w:color="auto" w:sz="4" w:space="0"/>
              <w:right w:val="single" w:color="auto" w:sz="4" w:space="0"/>
            </w:tcBorders>
            <w:vAlign w:val="center"/>
          </w:tcPr>
          <w:p w14:paraId="2BA43773">
            <w:pPr>
              <w:spacing w:line="360" w:lineRule="exact"/>
              <w:jc w:val="center"/>
              <w:rPr>
                <w:rFonts w:ascii="宋体" w:hAnsi="宋体" w:cs="宋体"/>
                <w:color w:val="auto"/>
                <w:szCs w:val="21"/>
              </w:rPr>
            </w:pPr>
            <w:r>
              <w:rPr>
                <w:rFonts w:hint="eastAsia" w:ascii="宋体" w:hAnsi="宋体" w:cs="宋体"/>
                <w:color w:val="auto"/>
                <w:szCs w:val="21"/>
              </w:rPr>
              <w:t>医用织物洗涤、租赁服务采购1项。</w:t>
            </w:r>
          </w:p>
        </w:tc>
      </w:tr>
    </w:tbl>
    <w:p w14:paraId="7E82CAD2">
      <w:pPr>
        <w:spacing w:line="360" w:lineRule="exact"/>
        <w:ind w:firstLine="420" w:firstLineChars="200"/>
        <w:rPr>
          <w:rFonts w:ascii="宋体" w:hAnsi="宋体" w:cs="宋体"/>
          <w:color w:val="auto"/>
          <w:szCs w:val="21"/>
        </w:rPr>
      </w:pPr>
      <w:r>
        <w:rPr>
          <w:rFonts w:hint="eastAsia" w:ascii="宋体" w:hAnsi="宋体" w:cs="宋体"/>
          <w:color w:val="auto"/>
          <w:szCs w:val="21"/>
        </w:rPr>
        <w:t>采购需求的详细内容，详见竞争性磋商文件。</w:t>
      </w:r>
    </w:p>
    <w:p w14:paraId="333EB185">
      <w:pPr>
        <w:spacing w:line="360" w:lineRule="exact"/>
        <w:ind w:firstLine="420" w:firstLineChars="200"/>
        <w:rPr>
          <w:rFonts w:ascii="宋体" w:hAnsi="宋体" w:cs="宋体"/>
          <w:color w:val="auto"/>
          <w:szCs w:val="21"/>
        </w:rPr>
      </w:pPr>
      <w:r>
        <w:rPr>
          <w:rFonts w:hint="eastAsia" w:ascii="宋体" w:hAnsi="宋体" w:cs="宋体"/>
          <w:color w:val="auto"/>
          <w:szCs w:val="21"/>
        </w:rPr>
        <w:t>合同履行期限：自签订合同之日起2年。</w:t>
      </w:r>
    </w:p>
    <w:p w14:paraId="340C0C6E">
      <w:pPr>
        <w:spacing w:line="360" w:lineRule="exact"/>
        <w:ind w:firstLine="422" w:firstLineChars="200"/>
        <w:rPr>
          <w:rFonts w:ascii="宋体" w:hAnsi="宋体" w:cs="宋体"/>
          <w:b/>
          <w:bCs/>
          <w:color w:val="auto"/>
          <w:szCs w:val="21"/>
        </w:rPr>
      </w:pPr>
      <w:r>
        <w:rPr>
          <w:rFonts w:hint="eastAsia" w:ascii="宋体" w:hAnsi="宋体" w:cs="宋体"/>
          <w:b/>
          <w:bCs/>
          <w:color w:val="auto"/>
          <w:szCs w:val="21"/>
        </w:rPr>
        <w:t>本项目不接受联合体参与磋商。</w:t>
      </w:r>
    </w:p>
    <w:p w14:paraId="36BFEC95">
      <w:pPr>
        <w:spacing w:line="360" w:lineRule="exact"/>
        <w:rPr>
          <w:rFonts w:ascii="宋体" w:hAnsi="宋体" w:cs="宋体"/>
          <w:color w:val="auto"/>
          <w:szCs w:val="21"/>
        </w:rPr>
      </w:pPr>
      <w:bookmarkStart w:id="13" w:name="_Toc28359013"/>
      <w:bookmarkStart w:id="14" w:name="_Toc35393799"/>
      <w:bookmarkStart w:id="15" w:name="_Toc28359090"/>
      <w:bookmarkStart w:id="16" w:name="_Toc35393630"/>
      <w:r>
        <w:rPr>
          <w:rFonts w:hint="eastAsia" w:ascii="宋体" w:hAnsi="宋体" w:cs="宋体"/>
          <w:color w:val="auto"/>
          <w:szCs w:val="21"/>
        </w:rPr>
        <w:t>二、申请人的资格要求：</w:t>
      </w:r>
      <w:bookmarkEnd w:id="13"/>
      <w:bookmarkEnd w:id="14"/>
      <w:bookmarkEnd w:id="15"/>
      <w:bookmarkEnd w:id="16"/>
    </w:p>
    <w:p w14:paraId="750799A9">
      <w:pPr>
        <w:spacing w:line="360" w:lineRule="exact"/>
        <w:ind w:firstLine="420" w:firstLineChars="200"/>
        <w:rPr>
          <w:rFonts w:ascii="宋体" w:hAnsi="宋体" w:cs="宋体"/>
          <w:color w:val="auto"/>
          <w:szCs w:val="21"/>
        </w:rPr>
      </w:pPr>
      <w:r>
        <w:rPr>
          <w:rFonts w:hint="eastAsia" w:ascii="宋体" w:hAnsi="宋体" w:cs="宋体"/>
          <w:color w:val="auto"/>
          <w:szCs w:val="21"/>
        </w:rPr>
        <w:t>1.满足《中华人民共和国政府采购法》第二十二条规定；</w:t>
      </w:r>
    </w:p>
    <w:p w14:paraId="6384F47E">
      <w:pPr>
        <w:spacing w:line="360" w:lineRule="exact"/>
        <w:ind w:firstLine="420" w:firstLineChars="200"/>
        <w:rPr>
          <w:rFonts w:ascii="宋体" w:hAnsi="宋体" w:cs="宋体"/>
          <w:color w:val="auto"/>
          <w:szCs w:val="21"/>
        </w:rPr>
      </w:pPr>
      <w:r>
        <w:rPr>
          <w:rFonts w:hint="eastAsia" w:ascii="宋体" w:hAnsi="宋体" w:cs="宋体"/>
          <w:color w:val="auto"/>
          <w:szCs w:val="21"/>
        </w:rPr>
        <w:t>2.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14:paraId="203E41FD">
      <w:pPr>
        <w:spacing w:line="360" w:lineRule="exact"/>
        <w:ind w:firstLine="420" w:firstLineChars="200"/>
        <w:rPr>
          <w:rFonts w:ascii="宋体" w:hAnsi="宋体" w:cs="宋体"/>
          <w:b/>
          <w:bCs/>
          <w:color w:val="auto"/>
          <w:szCs w:val="21"/>
        </w:rPr>
      </w:pPr>
      <w:bookmarkStart w:id="17" w:name="_Toc28359091"/>
      <w:bookmarkStart w:id="18" w:name="_Toc28359014"/>
      <w:r>
        <w:rPr>
          <w:rFonts w:hint="eastAsia" w:ascii="宋体" w:hAnsi="宋体" w:cs="宋体"/>
          <w:color w:val="auto"/>
          <w:szCs w:val="21"/>
        </w:rPr>
        <w:t>3.落实政府采购政策需满足的资格要求：</w:t>
      </w:r>
      <w:r>
        <w:rPr>
          <w:rFonts w:hint="eastAsia" w:ascii="宋体" w:hAnsi="宋体" w:cs="宋体"/>
          <w:color w:val="auto"/>
          <w:kern w:val="0"/>
          <w:szCs w:val="21"/>
        </w:rPr>
        <w:t>无</w:t>
      </w:r>
      <w:r>
        <w:rPr>
          <w:rFonts w:hint="eastAsia" w:ascii="宋体" w:hAnsi="宋体" w:cs="宋体"/>
          <w:color w:val="auto"/>
          <w:szCs w:val="21"/>
        </w:rPr>
        <w:t>。</w:t>
      </w:r>
    </w:p>
    <w:p w14:paraId="649ACA9D">
      <w:pPr>
        <w:spacing w:line="360" w:lineRule="exact"/>
        <w:ind w:firstLine="420" w:firstLineChars="200"/>
        <w:rPr>
          <w:rFonts w:ascii="宋体" w:hAnsi="宋体" w:cs="宋体"/>
          <w:color w:val="auto"/>
          <w:szCs w:val="21"/>
        </w:rPr>
      </w:pPr>
      <w:r>
        <w:rPr>
          <w:rFonts w:hint="eastAsia" w:ascii="宋体" w:hAnsi="宋体" w:cs="宋体"/>
          <w:color w:val="auto"/>
          <w:szCs w:val="21"/>
        </w:rPr>
        <w:t>4.本项目的特定资格要求：</w:t>
      </w:r>
      <w:bookmarkStart w:id="19" w:name="_Toc35393800"/>
      <w:bookmarkStart w:id="20" w:name="_Toc35393631"/>
      <w:r>
        <w:rPr>
          <w:rFonts w:hint="eastAsia" w:ascii="宋体" w:hAnsi="宋体" w:cs="宋体"/>
          <w:color w:val="auto"/>
          <w:szCs w:val="21"/>
        </w:rPr>
        <w:t>无。</w:t>
      </w:r>
    </w:p>
    <w:bookmarkEnd w:id="17"/>
    <w:bookmarkEnd w:id="18"/>
    <w:bookmarkEnd w:id="19"/>
    <w:bookmarkEnd w:id="20"/>
    <w:p w14:paraId="0C1EDA69">
      <w:pPr>
        <w:spacing w:line="360" w:lineRule="exact"/>
        <w:rPr>
          <w:rFonts w:ascii="宋体" w:hAnsi="宋体" w:cs="宋体"/>
          <w:color w:val="auto"/>
          <w:szCs w:val="21"/>
        </w:rPr>
      </w:pPr>
      <w:bookmarkStart w:id="21" w:name="_Toc35393623"/>
      <w:bookmarkStart w:id="22" w:name="_Toc35393792"/>
      <w:bookmarkStart w:id="23" w:name="_Toc28359095"/>
      <w:bookmarkStart w:id="24" w:name="_Toc35393636"/>
      <w:bookmarkStart w:id="25" w:name="_Toc28359018"/>
      <w:bookmarkStart w:id="26" w:name="_Toc35393805"/>
      <w:r>
        <w:rPr>
          <w:rFonts w:hint="eastAsia" w:ascii="宋体" w:hAnsi="宋体" w:cs="宋体"/>
          <w:color w:val="auto"/>
          <w:szCs w:val="21"/>
        </w:rPr>
        <w:t>三、获取采购文件</w:t>
      </w:r>
      <w:bookmarkEnd w:id="21"/>
      <w:bookmarkEnd w:id="22"/>
    </w:p>
    <w:p w14:paraId="13AB4A2F">
      <w:pPr>
        <w:spacing w:line="360" w:lineRule="exact"/>
        <w:ind w:firstLine="420" w:firstLineChars="200"/>
        <w:rPr>
          <w:rFonts w:ascii="宋体" w:hAnsi="宋体" w:cs="宋体"/>
          <w:color w:val="auto"/>
          <w:szCs w:val="21"/>
        </w:rPr>
      </w:pPr>
      <w:r>
        <w:rPr>
          <w:rFonts w:hint="eastAsia" w:ascii="宋体" w:hAnsi="宋体" w:cs="宋体"/>
          <w:color w:val="auto"/>
          <w:szCs w:val="21"/>
        </w:rPr>
        <w:t>1.时间：</w:t>
      </w:r>
      <w:r>
        <w:rPr>
          <w:rFonts w:hint="eastAsia" w:ascii="宋体" w:hAnsi="宋体"/>
          <w:color w:val="auto"/>
          <w:szCs w:val="21"/>
        </w:rPr>
        <w:t>2025年9月</w:t>
      </w:r>
      <w:r>
        <w:rPr>
          <w:rFonts w:hint="eastAsia" w:ascii="宋体" w:hAnsi="宋体"/>
          <w:color w:val="auto"/>
          <w:szCs w:val="21"/>
          <w:lang w:val="en-US" w:eastAsia="zh-CN"/>
        </w:rPr>
        <w:t>12</w:t>
      </w:r>
      <w:r>
        <w:rPr>
          <w:rFonts w:hint="eastAsia" w:ascii="宋体" w:hAnsi="宋体"/>
          <w:color w:val="auto"/>
          <w:szCs w:val="21"/>
        </w:rPr>
        <w:t>日</w:t>
      </w:r>
      <w:r>
        <w:rPr>
          <w:rFonts w:ascii="宋体" w:hAnsi="宋体"/>
          <w:color w:val="auto"/>
          <w:szCs w:val="21"/>
        </w:rPr>
        <w:t>至202</w:t>
      </w:r>
      <w:r>
        <w:rPr>
          <w:rFonts w:hint="eastAsia" w:ascii="宋体" w:hAnsi="宋体"/>
          <w:color w:val="auto"/>
          <w:szCs w:val="21"/>
        </w:rPr>
        <w:t>5</w:t>
      </w:r>
      <w:r>
        <w:rPr>
          <w:rFonts w:ascii="宋体" w:hAnsi="宋体"/>
          <w:color w:val="auto"/>
          <w:szCs w:val="21"/>
        </w:rPr>
        <w:t>年</w:t>
      </w:r>
      <w:r>
        <w:rPr>
          <w:rFonts w:hint="eastAsia" w:ascii="宋体" w:hAnsi="宋体"/>
          <w:color w:val="auto"/>
          <w:szCs w:val="21"/>
        </w:rPr>
        <w:t>9月</w:t>
      </w:r>
      <w:r>
        <w:rPr>
          <w:rFonts w:hint="eastAsia" w:ascii="宋体" w:hAnsi="宋体"/>
          <w:color w:val="auto"/>
          <w:szCs w:val="21"/>
          <w:lang w:val="en-US" w:eastAsia="zh-CN"/>
        </w:rPr>
        <w:t>23</w:t>
      </w:r>
      <w:r>
        <w:rPr>
          <w:rFonts w:hint="eastAsia" w:ascii="宋体" w:hAnsi="宋体"/>
          <w:color w:val="auto"/>
          <w:szCs w:val="21"/>
        </w:rPr>
        <w:t>日</w:t>
      </w:r>
      <w:r>
        <w:rPr>
          <w:rFonts w:ascii="宋体" w:hAnsi="宋体"/>
          <w:color w:val="auto"/>
          <w:szCs w:val="21"/>
        </w:rPr>
        <w:t>，每天上午00:00至12:00，下午12:0</w:t>
      </w:r>
      <w:r>
        <w:rPr>
          <w:rFonts w:hint="eastAsia" w:ascii="宋体" w:hAnsi="宋体"/>
          <w:color w:val="auto"/>
          <w:szCs w:val="21"/>
        </w:rPr>
        <w:t>1</w:t>
      </w:r>
      <w:r>
        <w:rPr>
          <w:rFonts w:ascii="宋体" w:hAnsi="宋体"/>
          <w:color w:val="auto"/>
          <w:szCs w:val="21"/>
        </w:rPr>
        <w:t>至23:59（北京时间，法定节假日除外）</w:t>
      </w:r>
      <w:r>
        <w:rPr>
          <w:rFonts w:hint="eastAsia" w:ascii="宋体" w:hAnsi="宋体" w:cs="宋体"/>
          <w:color w:val="auto"/>
          <w:szCs w:val="21"/>
        </w:rPr>
        <w:t>。</w:t>
      </w:r>
    </w:p>
    <w:p w14:paraId="39143459">
      <w:pPr>
        <w:spacing w:line="380" w:lineRule="exact"/>
        <w:ind w:firstLine="424" w:firstLineChars="202"/>
        <w:rPr>
          <w:rFonts w:hint="eastAsia" w:ascii="宋体" w:hAnsi="宋体" w:cs="宋体"/>
          <w:bCs/>
          <w:color w:val="auto"/>
          <w:kern w:val="0"/>
          <w:szCs w:val="21"/>
          <w:highlight w:val="none"/>
        </w:rPr>
      </w:pPr>
      <w:bookmarkStart w:id="27" w:name="_Toc28359082"/>
      <w:bookmarkStart w:id="28" w:name="_Toc28359005"/>
      <w:bookmarkStart w:id="29" w:name="_Toc35393793"/>
      <w:bookmarkStart w:id="30" w:name="_Toc35393624"/>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地点：广西政府采购云平台（</w:t>
      </w:r>
      <w:r>
        <w:rPr>
          <w:rFonts w:hint="eastAsia" w:ascii="宋体" w:hAnsi="宋体"/>
          <w:bCs/>
          <w:color w:val="auto"/>
          <w:szCs w:val="21"/>
          <w:highlight w:val="none"/>
        </w:rPr>
        <w:t>www.gcy.zfcg.gxzf.gov.cn</w:t>
      </w:r>
      <w:r>
        <w:rPr>
          <w:rFonts w:hint="eastAsia" w:ascii="宋体" w:hAnsi="宋体" w:cs="宋体"/>
          <w:bCs/>
          <w:color w:val="auto"/>
          <w:kern w:val="0"/>
          <w:szCs w:val="21"/>
          <w:highlight w:val="none"/>
        </w:rPr>
        <w:t>）</w:t>
      </w:r>
    </w:p>
    <w:p w14:paraId="57290C4D">
      <w:pPr>
        <w:spacing w:line="380" w:lineRule="exact"/>
        <w:ind w:firstLine="424" w:firstLineChars="202"/>
        <w:rPr>
          <w:rFonts w:hint="eastAsia"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方式：网上下载。本项目不提供纸质文件，潜在供应商需使用账号登录或者使用CA登录广西政府采购云平台（www.gcy.zfcg.gxzf.gov.cn）-进入“项目采购”应用，在获取采购文件菜单中选择项目，获取竞争性磋商文件。</w:t>
      </w:r>
      <w:r>
        <w:rPr>
          <w:rFonts w:hint="eastAsia" w:ascii="宋体" w:hAnsi="宋体"/>
          <w:color w:val="auto"/>
          <w:szCs w:val="21"/>
          <w:highlight w:val="none"/>
        </w:rPr>
        <w:t>电子</w:t>
      </w:r>
      <w:r>
        <w:rPr>
          <w:rFonts w:hint="eastAsia"/>
          <w:color w:val="auto"/>
          <w:highlight w:val="none"/>
        </w:rPr>
        <w:t>响应文件</w:t>
      </w:r>
      <w:r>
        <w:rPr>
          <w:rFonts w:hint="eastAsia" w:ascii="宋体" w:hAnsi="宋体"/>
          <w:color w:val="auto"/>
          <w:szCs w:val="21"/>
          <w:highlight w:val="none"/>
        </w:rPr>
        <w:t>制作需要基于广西政府采购云平台获取的磋商文件编制，</w:t>
      </w:r>
      <w:r>
        <w:rPr>
          <w:rFonts w:hint="eastAsia" w:ascii="宋体" w:hAnsi="宋体" w:cs="宋体"/>
          <w:bCs/>
          <w:color w:val="auto"/>
          <w:kern w:val="0"/>
          <w:szCs w:val="21"/>
          <w:highlight w:val="none"/>
        </w:rPr>
        <w:t>通过其他方式获取磋商文件的，将有可能导致供应商无法在</w:t>
      </w:r>
      <w:r>
        <w:rPr>
          <w:rFonts w:hint="eastAsia" w:ascii="宋体" w:hAnsi="宋体"/>
          <w:color w:val="auto"/>
          <w:szCs w:val="21"/>
          <w:highlight w:val="none"/>
        </w:rPr>
        <w:t>广西政府采购云平台</w:t>
      </w:r>
      <w:r>
        <w:rPr>
          <w:rFonts w:hint="eastAsia" w:ascii="宋体" w:hAnsi="宋体" w:cs="宋体"/>
          <w:bCs/>
          <w:color w:val="auto"/>
          <w:kern w:val="0"/>
          <w:szCs w:val="21"/>
          <w:highlight w:val="none"/>
        </w:rPr>
        <w:t>编制及上传响应文件。</w:t>
      </w:r>
    </w:p>
    <w:p w14:paraId="7816F735">
      <w:pPr>
        <w:spacing w:line="380" w:lineRule="exact"/>
        <w:ind w:firstLine="424" w:firstLineChars="202"/>
        <w:rPr>
          <w:rFonts w:ascii="宋体" w:hAnsi="宋体" w:cs="宋体"/>
          <w:color w:val="auto"/>
          <w:szCs w:val="21"/>
        </w:rPr>
      </w:pPr>
      <w:r>
        <w:rPr>
          <w:rFonts w:hint="eastAsia" w:ascii="宋体" w:hAnsi="宋体" w:cs="宋体"/>
          <w:bCs/>
          <w:color w:val="auto"/>
          <w:kern w:val="0"/>
          <w:szCs w:val="21"/>
          <w:highlight w:val="none"/>
          <w:lang w:val="en-US" w:eastAsia="zh-CN"/>
        </w:rPr>
        <w:t>4.</w:t>
      </w:r>
      <w:r>
        <w:rPr>
          <w:rFonts w:hint="eastAsia" w:ascii="宋体" w:hAnsi="宋体" w:cs="宋体"/>
          <w:bCs/>
          <w:color w:val="auto"/>
          <w:kern w:val="0"/>
          <w:szCs w:val="21"/>
          <w:highlight w:val="none"/>
        </w:rPr>
        <w:t>售价：0元</w:t>
      </w:r>
    </w:p>
    <w:p w14:paraId="108C711F">
      <w:pPr>
        <w:spacing w:line="360" w:lineRule="exact"/>
        <w:rPr>
          <w:rFonts w:ascii="宋体" w:hAnsi="宋体" w:cs="宋体"/>
          <w:color w:val="auto"/>
          <w:szCs w:val="21"/>
        </w:rPr>
      </w:pPr>
      <w:r>
        <w:rPr>
          <w:rFonts w:hint="eastAsia" w:ascii="宋体" w:hAnsi="宋体" w:cs="宋体"/>
          <w:color w:val="auto"/>
          <w:szCs w:val="21"/>
        </w:rPr>
        <w:t>四、响应文件</w:t>
      </w:r>
      <w:bookmarkEnd w:id="27"/>
      <w:bookmarkEnd w:id="28"/>
      <w:r>
        <w:rPr>
          <w:rFonts w:hint="eastAsia" w:ascii="宋体" w:hAnsi="宋体" w:cs="宋体"/>
          <w:color w:val="auto"/>
          <w:szCs w:val="21"/>
        </w:rPr>
        <w:t>提交时间和地点</w:t>
      </w:r>
      <w:bookmarkEnd w:id="29"/>
      <w:bookmarkEnd w:id="30"/>
    </w:p>
    <w:p w14:paraId="2476A0A3">
      <w:pPr>
        <w:spacing w:line="360" w:lineRule="exact"/>
        <w:ind w:firstLine="420" w:firstLineChars="200"/>
        <w:rPr>
          <w:rFonts w:ascii="宋体" w:hAnsi="宋体" w:cs="宋体"/>
          <w:bCs/>
          <w:color w:val="auto"/>
          <w:szCs w:val="21"/>
        </w:rPr>
      </w:pPr>
      <w:r>
        <w:rPr>
          <w:rFonts w:hint="eastAsia" w:ascii="宋体" w:hAnsi="宋体" w:cs="宋体"/>
          <w:bCs/>
          <w:color w:val="auto"/>
          <w:szCs w:val="21"/>
        </w:rPr>
        <w:t>截止时间：</w:t>
      </w:r>
      <w:r>
        <w:rPr>
          <w:rFonts w:hint="eastAsia" w:ascii="宋体" w:hAnsi="宋体" w:cs="宋体"/>
          <w:color w:val="auto"/>
          <w:szCs w:val="21"/>
        </w:rPr>
        <w:t>2025年9月</w:t>
      </w:r>
      <w:r>
        <w:rPr>
          <w:rFonts w:hint="eastAsia" w:ascii="宋体" w:hAnsi="宋体" w:cs="宋体"/>
          <w:color w:val="auto"/>
          <w:szCs w:val="21"/>
          <w:lang w:val="en-US" w:eastAsia="zh-CN"/>
        </w:rPr>
        <w:t>23</w:t>
      </w:r>
      <w:r>
        <w:rPr>
          <w:rFonts w:hint="eastAsia" w:ascii="宋体" w:hAnsi="宋体" w:cs="宋体"/>
          <w:color w:val="auto"/>
          <w:szCs w:val="21"/>
        </w:rPr>
        <w:t>日09时30分(</w:t>
      </w:r>
      <w:r>
        <w:rPr>
          <w:rFonts w:hint="eastAsia" w:ascii="宋体" w:hAnsi="宋体" w:cs="宋体"/>
          <w:bCs/>
          <w:color w:val="auto"/>
          <w:szCs w:val="21"/>
        </w:rPr>
        <w:t>北京时间）。</w:t>
      </w:r>
    </w:p>
    <w:p w14:paraId="05045D18">
      <w:pPr>
        <w:spacing w:line="360" w:lineRule="exact"/>
        <w:ind w:firstLine="420" w:firstLineChars="200"/>
        <w:rPr>
          <w:rFonts w:ascii="宋体" w:hAnsi="宋体" w:cs="宋体"/>
          <w:color w:val="auto"/>
          <w:szCs w:val="21"/>
        </w:rPr>
      </w:pPr>
      <w:r>
        <w:rPr>
          <w:rFonts w:hint="eastAsia" w:ascii="宋体" w:hAnsi="宋体" w:cs="宋体"/>
          <w:color w:val="auto"/>
          <w:szCs w:val="21"/>
        </w:rPr>
        <w:t>地点：</w:t>
      </w:r>
      <w:r>
        <w:rPr>
          <w:rFonts w:hint="eastAsia" w:ascii="宋体" w:hAnsi="宋体"/>
          <w:color w:val="auto"/>
          <w:szCs w:val="21"/>
          <w:highlight w:val="none"/>
        </w:rPr>
        <w:t>广西政府采购云平台（</w:t>
      </w:r>
      <w:r>
        <w:rPr>
          <w:rFonts w:hint="eastAsia" w:ascii="宋体" w:hAnsi="宋体"/>
          <w:bCs/>
          <w:color w:val="auto"/>
          <w:szCs w:val="21"/>
          <w:highlight w:val="none"/>
        </w:rPr>
        <w:t>www.gcy.zfcg.gxzf.gov.cn</w:t>
      </w:r>
      <w:r>
        <w:rPr>
          <w:rFonts w:hint="eastAsia" w:ascii="宋体" w:hAnsi="宋体"/>
          <w:color w:val="auto"/>
          <w:szCs w:val="21"/>
          <w:highlight w:val="none"/>
        </w:rPr>
        <w:t>）</w:t>
      </w:r>
      <w:r>
        <w:rPr>
          <w:rFonts w:hint="eastAsia" w:ascii="宋体" w:hAnsi="宋体" w:cs="宋体"/>
          <w:color w:val="auto"/>
          <w:szCs w:val="21"/>
        </w:rPr>
        <w:t>。</w:t>
      </w:r>
    </w:p>
    <w:p w14:paraId="5BEB6B4E">
      <w:pPr>
        <w:spacing w:line="360" w:lineRule="exact"/>
        <w:rPr>
          <w:rFonts w:ascii="宋体" w:hAnsi="宋体" w:cs="宋体"/>
          <w:color w:val="auto"/>
          <w:szCs w:val="21"/>
        </w:rPr>
      </w:pPr>
      <w:r>
        <w:rPr>
          <w:rFonts w:hint="eastAsia" w:ascii="宋体" w:hAnsi="宋体" w:cs="宋体"/>
          <w:color w:val="auto"/>
          <w:szCs w:val="21"/>
        </w:rPr>
        <w:t>五、开启</w:t>
      </w:r>
    </w:p>
    <w:p w14:paraId="01E94F27">
      <w:pPr>
        <w:spacing w:line="360" w:lineRule="exact"/>
        <w:rPr>
          <w:rFonts w:ascii="宋体" w:hAnsi="宋体" w:cs="宋体"/>
          <w:color w:val="auto"/>
          <w:szCs w:val="21"/>
        </w:rPr>
      </w:pPr>
      <w:r>
        <w:rPr>
          <w:rFonts w:hint="eastAsia" w:ascii="宋体" w:hAnsi="宋体" w:cs="宋体"/>
          <w:color w:val="auto"/>
          <w:szCs w:val="21"/>
        </w:rPr>
        <w:t>时间：2025年9月</w:t>
      </w:r>
      <w:r>
        <w:rPr>
          <w:rFonts w:hint="eastAsia" w:ascii="宋体" w:hAnsi="宋体" w:cs="宋体"/>
          <w:color w:val="auto"/>
          <w:szCs w:val="21"/>
          <w:lang w:val="en-US" w:eastAsia="zh-CN"/>
        </w:rPr>
        <w:t>23</w:t>
      </w:r>
      <w:r>
        <w:rPr>
          <w:rFonts w:hint="eastAsia" w:ascii="宋体" w:hAnsi="宋体" w:cs="宋体"/>
          <w:color w:val="auto"/>
          <w:szCs w:val="21"/>
        </w:rPr>
        <w:t>日09时30分(北京时间）截标后。</w:t>
      </w:r>
    </w:p>
    <w:p w14:paraId="18DA5E5E">
      <w:pPr>
        <w:spacing w:line="360" w:lineRule="exact"/>
        <w:rPr>
          <w:rFonts w:ascii="宋体" w:hAnsi="宋体" w:cs="宋体"/>
          <w:color w:val="auto"/>
          <w:szCs w:val="21"/>
        </w:rPr>
      </w:pPr>
      <w:r>
        <w:rPr>
          <w:rFonts w:hint="eastAsia" w:ascii="宋体" w:hAnsi="宋体" w:cs="宋体"/>
          <w:color w:val="auto"/>
          <w:szCs w:val="21"/>
        </w:rPr>
        <w:t>地点：</w:t>
      </w:r>
      <w:r>
        <w:rPr>
          <w:rFonts w:hint="eastAsia" w:ascii="宋体" w:hAnsi="宋体"/>
          <w:color w:val="auto"/>
          <w:szCs w:val="21"/>
          <w:highlight w:val="none"/>
        </w:rPr>
        <w:t>广西政府采购云平台（</w:t>
      </w:r>
      <w:r>
        <w:rPr>
          <w:rFonts w:hint="eastAsia" w:ascii="宋体" w:hAnsi="宋体"/>
          <w:bCs/>
          <w:color w:val="auto"/>
          <w:szCs w:val="21"/>
          <w:highlight w:val="none"/>
        </w:rPr>
        <w:t>www.gcy.zfcg.gxzf.gov.cn</w:t>
      </w:r>
      <w:r>
        <w:rPr>
          <w:rFonts w:hint="eastAsia" w:ascii="宋体" w:hAnsi="宋体"/>
          <w:color w:val="auto"/>
          <w:szCs w:val="21"/>
          <w:highlight w:val="none"/>
        </w:rPr>
        <w:t>）</w:t>
      </w:r>
      <w:r>
        <w:rPr>
          <w:rFonts w:hint="eastAsia" w:ascii="宋体" w:hAnsi="宋体" w:cs="宋体"/>
          <w:color w:val="auto"/>
          <w:szCs w:val="21"/>
        </w:rPr>
        <w:t>。</w:t>
      </w:r>
    </w:p>
    <w:p w14:paraId="07C8A52D">
      <w:pPr>
        <w:spacing w:line="360" w:lineRule="exact"/>
        <w:rPr>
          <w:rFonts w:ascii="宋体" w:hAnsi="宋体" w:cs="宋体"/>
          <w:color w:val="auto"/>
          <w:szCs w:val="21"/>
        </w:rPr>
      </w:pPr>
      <w:bookmarkStart w:id="31" w:name="_Toc35393794"/>
      <w:bookmarkStart w:id="32" w:name="_Toc28359007"/>
      <w:bookmarkStart w:id="33" w:name="_Toc28359084"/>
      <w:bookmarkStart w:id="34" w:name="_Toc35393625"/>
      <w:r>
        <w:rPr>
          <w:rFonts w:hint="eastAsia" w:ascii="宋体" w:hAnsi="宋体" w:cs="宋体"/>
          <w:color w:val="auto"/>
          <w:szCs w:val="21"/>
        </w:rPr>
        <w:t>六、公告期限</w:t>
      </w:r>
      <w:bookmarkEnd w:id="31"/>
      <w:bookmarkEnd w:id="32"/>
      <w:bookmarkEnd w:id="33"/>
      <w:bookmarkEnd w:id="34"/>
    </w:p>
    <w:p w14:paraId="4DAC3CB5">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自本公告发布之日起5个工作日。</w:t>
      </w:r>
    </w:p>
    <w:p w14:paraId="7FA0EA9B">
      <w:pPr>
        <w:spacing w:line="360" w:lineRule="exact"/>
        <w:rPr>
          <w:rFonts w:ascii="宋体" w:hAnsi="宋体" w:cs="宋体"/>
          <w:color w:val="auto"/>
          <w:szCs w:val="21"/>
        </w:rPr>
      </w:pPr>
      <w:bookmarkStart w:id="35" w:name="_Toc35393626"/>
      <w:bookmarkStart w:id="36" w:name="_Toc35393795"/>
      <w:r>
        <w:rPr>
          <w:rFonts w:hint="eastAsia" w:ascii="宋体" w:hAnsi="宋体" w:cs="宋体"/>
          <w:color w:val="auto"/>
          <w:szCs w:val="21"/>
        </w:rPr>
        <w:t>七、其他补充事宜</w:t>
      </w:r>
      <w:bookmarkEnd w:id="35"/>
      <w:bookmarkEnd w:id="36"/>
    </w:p>
    <w:p w14:paraId="018827B6">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网上查询地址</w:t>
      </w:r>
    </w:p>
    <w:p w14:paraId="5F681861">
      <w:pPr>
        <w:keepNext w:val="0"/>
        <w:keepLines w:val="0"/>
        <w:pageBreakBefore w:val="0"/>
        <w:widowControl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中国政府采购网（www.ccgp.gov.cn）、广西壮族自治区政府采购网（zfcg.gxzf.gov.cn）、</w:t>
      </w:r>
      <w:r>
        <w:rPr>
          <w:rFonts w:ascii="宋体" w:hAnsi="宋体"/>
          <w:bCs/>
          <w:color w:val="auto"/>
          <w:highlight w:val="none"/>
        </w:rPr>
        <w:t>桂林市政府采购网（</w:t>
      </w:r>
      <w:r>
        <w:rPr>
          <w:rFonts w:hint="eastAsia" w:ascii="宋体" w:hAnsi="宋体"/>
          <w:bCs/>
          <w:color w:val="auto"/>
          <w:highlight w:val="none"/>
        </w:rPr>
        <w:t>gl.zfcg.zcygov.cn</w:t>
      </w:r>
      <w:r>
        <w:rPr>
          <w:rFonts w:ascii="宋体" w:hAnsi="宋体"/>
          <w:bCs/>
          <w:color w:val="auto"/>
          <w:highlight w:val="none"/>
        </w:rPr>
        <w:t>）</w:t>
      </w:r>
      <w:r>
        <w:rPr>
          <w:rFonts w:hint="eastAsia" w:ascii="宋体" w:hAnsi="宋体" w:cs="宋体"/>
          <w:i/>
          <w:color w:val="auto"/>
          <w:kern w:val="0"/>
          <w:szCs w:val="21"/>
          <w:highlight w:val="none"/>
        </w:rPr>
        <w:t>。</w:t>
      </w:r>
    </w:p>
    <w:p w14:paraId="377C21F9">
      <w:pPr>
        <w:spacing w:line="380" w:lineRule="exact"/>
        <w:ind w:firstLine="420" w:firstLineChars="200"/>
        <w:rPr>
          <w:rFonts w:hint="eastAsia" w:ascii="宋体" w:hAnsi="宋体" w:cs="宋体"/>
          <w:color w:val="auto"/>
          <w:kern w:val="0"/>
          <w:szCs w:val="21"/>
          <w:highlight w:val="none"/>
        </w:rPr>
      </w:pPr>
      <w:bookmarkStart w:id="37" w:name="_Hlk37429674"/>
      <w:r>
        <w:rPr>
          <w:rFonts w:hint="eastAsia" w:ascii="宋体" w:hAnsi="宋体" w:cs="宋体"/>
          <w:color w:val="auto"/>
          <w:kern w:val="0"/>
          <w:szCs w:val="21"/>
          <w:highlight w:val="none"/>
        </w:rPr>
        <w:t>2</w:t>
      </w:r>
      <w:r>
        <w:rPr>
          <w:rFonts w:ascii="宋体" w:hAnsi="宋体" w:cs="宋体"/>
          <w:color w:val="auto"/>
          <w:kern w:val="0"/>
          <w:szCs w:val="21"/>
          <w:highlight w:val="none"/>
        </w:rPr>
        <w:t>.</w:t>
      </w:r>
      <w:r>
        <w:rPr>
          <w:rFonts w:hint="eastAsia" w:ascii="宋体" w:hAnsi="宋体" w:cs="宋体"/>
          <w:color w:val="auto"/>
          <w:kern w:val="0"/>
          <w:szCs w:val="21"/>
          <w:highlight w:val="none"/>
        </w:rPr>
        <w:t>本项目需要落实的政府采购政策</w:t>
      </w:r>
    </w:p>
    <w:p w14:paraId="30301F81">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41356DBB">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39BF7EEB">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0274CB00">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559C795E">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bookmarkEnd w:id="37"/>
    <w:p w14:paraId="6EE8F818">
      <w:pPr>
        <w:widowControl/>
        <w:spacing w:line="380" w:lineRule="exact"/>
        <w:ind w:firstLine="420" w:firstLineChars="200"/>
        <w:jc w:val="left"/>
        <w:rPr>
          <w:rFonts w:hint="eastAsia" w:ascii="宋体" w:hAnsi="宋体"/>
          <w:color w:val="auto"/>
          <w:szCs w:val="21"/>
          <w:highlight w:val="none"/>
        </w:rPr>
      </w:pPr>
      <w:r>
        <w:rPr>
          <w:rFonts w:hint="eastAsia" w:ascii="宋体" w:hAnsi="宋体" w:cs="宋体"/>
          <w:color w:val="auto"/>
          <w:kern w:val="0"/>
          <w:szCs w:val="21"/>
          <w:highlight w:val="none"/>
        </w:rPr>
        <w:t>3.供应商</w:t>
      </w:r>
      <w:r>
        <w:rPr>
          <w:rFonts w:hint="eastAsia" w:ascii="宋体" w:hAnsi="宋体"/>
          <w:color w:val="auto"/>
          <w:szCs w:val="21"/>
          <w:highlight w:val="none"/>
        </w:rPr>
        <w:t>竞标注意事项</w:t>
      </w:r>
    </w:p>
    <w:p w14:paraId="7A82A59B">
      <w:pPr>
        <w:keepNext w:val="0"/>
        <w:keepLines w:val="0"/>
        <w:pageBreakBefore w:val="0"/>
        <w:widowControl w:val="0"/>
        <w:kinsoku/>
        <w:wordWrap w:val="0"/>
        <w:overflowPunct/>
        <w:topLinePunct w:val="0"/>
        <w:autoSpaceDE/>
        <w:autoSpaceDN/>
        <w:bidi w:val="0"/>
        <w:adjustRightInd/>
        <w:snapToGrid/>
        <w:spacing w:line="380" w:lineRule="exact"/>
        <w:ind w:firstLine="424" w:firstLineChars="202"/>
        <w:textAlignment w:val="auto"/>
        <w:rPr>
          <w:rFonts w:hint="eastAsia" w:ascii="宋体" w:hAnsi="宋体"/>
          <w:color w:val="auto"/>
          <w:szCs w:val="21"/>
          <w:highlight w:val="none"/>
        </w:rPr>
      </w:pPr>
      <w:r>
        <w:rPr>
          <w:rFonts w:hint="eastAsia" w:ascii="宋体" w:hAnsi="宋体"/>
          <w:color w:val="auto"/>
          <w:szCs w:val="21"/>
          <w:highlight w:val="none"/>
        </w:rPr>
        <w:t>（1）本项目为全流程电子化采购项目，通过广西政府采购云平台（</w:t>
      </w:r>
      <w:r>
        <w:rPr>
          <w:rFonts w:hint="eastAsia" w:ascii="宋体" w:hAnsi="宋体"/>
          <w:bCs/>
          <w:color w:val="auto"/>
          <w:szCs w:val="21"/>
          <w:highlight w:val="none"/>
        </w:rPr>
        <w:t>www.gcy.zfcg.gxzf.gov.cn</w:t>
      </w:r>
      <w:r>
        <w:rPr>
          <w:rFonts w:hint="eastAsia" w:ascii="宋体" w:hAnsi="宋体"/>
          <w:color w:val="auto"/>
          <w:szCs w:val="21"/>
          <w:highlight w:val="none"/>
        </w:rPr>
        <w:t>）</w:t>
      </w:r>
      <w:r>
        <w:rPr>
          <w:rFonts w:hint="eastAsia" w:ascii="宋体" w:hAnsi="宋体"/>
          <w:bCs/>
          <w:color w:val="auto"/>
          <w:szCs w:val="21"/>
          <w:highlight w:val="none"/>
        </w:rPr>
        <w:t>实行在线电子竞标，供应商应按照本项目竞争性磋商文件和广西政府采购云平台的要求编制、加密</w:t>
      </w:r>
      <w:r>
        <w:rPr>
          <w:rFonts w:hint="eastAsia" w:ascii="宋体" w:hAnsi="宋体"/>
          <w:color w:val="auto"/>
          <w:szCs w:val="21"/>
          <w:highlight w:val="none"/>
        </w:rPr>
        <w:t>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011812F0">
      <w:pPr>
        <w:spacing w:line="380" w:lineRule="exact"/>
        <w:ind w:firstLine="424" w:firstLineChars="202"/>
        <w:rPr>
          <w:rFonts w:hint="eastAsia"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w:t>
      </w:r>
      <w:r>
        <w:rPr>
          <w:rFonts w:hint="eastAsia" w:ascii="宋体" w:hAnsi="宋体"/>
          <w:color w:val="auto"/>
          <w:szCs w:val="21"/>
          <w:highlight w:val="none"/>
          <w:lang w:eastAsia="zh-CN"/>
        </w:rPr>
        <w:t>或</w:t>
      </w:r>
      <w:r>
        <w:rPr>
          <w:rFonts w:hint="eastAsia" w:ascii="宋体" w:hAnsi="宋体" w:cs="宋体"/>
          <w:bCs/>
          <w:color w:val="auto"/>
          <w:sz w:val="21"/>
          <w:szCs w:val="21"/>
          <w:highlight w:val="none"/>
          <w:lang w:val="en-US" w:eastAsia="zh-CN"/>
        </w:rPr>
        <w:t>0771-3381253</w:t>
      </w:r>
      <w:r>
        <w:rPr>
          <w:rFonts w:hint="eastAsia" w:ascii="宋体" w:hAnsi="宋体"/>
          <w:color w:val="auto"/>
          <w:szCs w:val="21"/>
          <w:highlight w:val="none"/>
        </w:rPr>
        <w:t>）。</w:t>
      </w:r>
    </w:p>
    <w:p w14:paraId="139B3CC2">
      <w:pPr>
        <w:spacing w:line="380" w:lineRule="exact"/>
        <w:ind w:firstLine="424" w:firstLineChars="202"/>
        <w:rPr>
          <w:rFonts w:hint="eastAsia" w:ascii="宋体" w:hAnsi="宋体"/>
          <w:color w:val="auto"/>
          <w:szCs w:val="21"/>
          <w:highlight w:val="none"/>
        </w:rPr>
      </w:pPr>
      <w:r>
        <w:rPr>
          <w:rFonts w:hint="eastAsia" w:ascii="宋体" w:hAnsi="宋体"/>
          <w:color w:val="auto"/>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4576A177">
      <w:pPr>
        <w:spacing w:line="380" w:lineRule="exact"/>
        <w:ind w:firstLine="424" w:firstLineChars="202"/>
        <w:rPr>
          <w:rFonts w:hint="eastAsia" w:ascii="宋体" w:hAnsi="宋体"/>
          <w:color w:val="auto"/>
          <w:szCs w:val="21"/>
          <w:highlight w:val="none"/>
        </w:rPr>
      </w:pPr>
      <w:r>
        <w:rPr>
          <w:rFonts w:hint="eastAsia" w:ascii="宋体" w:hAnsi="宋体"/>
          <w:color w:val="auto"/>
          <w:szCs w:val="21"/>
          <w:highlight w:val="none"/>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w:t>
      </w:r>
      <w:r>
        <w:rPr>
          <w:rFonts w:hint="eastAsia" w:ascii="宋体" w:hAnsi="宋体"/>
          <w:color w:val="auto"/>
          <w:szCs w:val="21"/>
          <w:highlight w:val="none"/>
          <w:lang w:eastAsia="zh-CN"/>
        </w:rPr>
        <w:t>至</w:t>
      </w:r>
      <w:r>
        <w:rPr>
          <w:rFonts w:hint="eastAsia" w:ascii="宋体" w:hAnsi="宋体"/>
          <w:color w:val="auto"/>
          <w:szCs w:val="21"/>
          <w:highlight w:val="none"/>
        </w:rPr>
        <w:t>提交响应文件截止时间</w:t>
      </w:r>
      <w:r>
        <w:rPr>
          <w:rFonts w:hint="eastAsia" w:ascii="宋体" w:hAnsi="宋体"/>
          <w:color w:val="auto"/>
          <w:szCs w:val="21"/>
          <w:highlight w:val="none"/>
          <w:lang w:eastAsia="zh-CN"/>
        </w:rPr>
        <w:t>止</w:t>
      </w:r>
      <w:r>
        <w:rPr>
          <w:rFonts w:hint="eastAsia" w:ascii="宋体" w:hAnsi="宋体"/>
          <w:color w:val="auto"/>
          <w:szCs w:val="21"/>
          <w:highlight w:val="none"/>
        </w:rPr>
        <w:t>未完成提交（上传）的，视为撤回响应文件。提交响应文件截止时间以后提交（上传）的响应文件，广西政府采购云平台将予以拒收。</w:t>
      </w:r>
    </w:p>
    <w:p w14:paraId="731D200A">
      <w:pPr>
        <w:spacing w:line="380" w:lineRule="exact"/>
        <w:ind w:firstLine="424" w:firstLineChars="202"/>
        <w:rPr>
          <w:rFonts w:hint="eastAsia" w:ascii="宋体" w:hAnsi="宋体"/>
          <w:color w:val="auto"/>
          <w:szCs w:val="21"/>
          <w:highlight w:val="none"/>
        </w:rPr>
      </w:pPr>
      <w:r>
        <w:rPr>
          <w:rFonts w:hint="eastAsia" w:ascii="宋体" w:hAnsi="宋体"/>
          <w:color w:val="auto"/>
          <w:szCs w:val="21"/>
          <w:highlight w:val="none"/>
        </w:rPr>
        <w:t>（4）供应商需要在</w:t>
      </w:r>
      <w:r>
        <w:rPr>
          <w:rFonts w:hint="eastAsia" w:ascii="宋体" w:hAnsi="宋体"/>
          <w:color w:val="auto"/>
          <w:szCs w:val="21"/>
          <w:highlight w:val="none"/>
          <w:lang w:eastAsia="zh-CN"/>
        </w:rPr>
        <w:t>具备</w:t>
      </w:r>
      <w:r>
        <w:rPr>
          <w:rFonts w:hint="eastAsia" w:ascii="宋体" w:hAnsi="宋体"/>
          <w:color w:val="auto"/>
          <w:szCs w:val="21"/>
          <w:highlight w:val="none"/>
        </w:rPr>
        <w:t>摄像头及语音功能且互联网网络状况良好的电脑登录广西政府采购云平台远程开标大厅参与本次磋商，否则后果自负。</w:t>
      </w:r>
    </w:p>
    <w:p w14:paraId="01D7183C">
      <w:pPr>
        <w:spacing w:line="360" w:lineRule="exact"/>
        <w:rPr>
          <w:rFonts w:ascii="宋体" w:hAnsi="宋体" w:cs="宋体"/>
          <w:b/>
          <w:color w:val="auto"/>
          <w:szCs w:val="21"/>
        </w:rPr>
      </w:pPr>
      <w:r>
        <w:rPr>
          <w:rFonts w:hint="eastAsia" w:ascii="宋体" w:hAnsi="宋体" w:cs="宋体"/>
          <w:b/>
          <w:color w:val="auto"/>
          <w:szCs w:val="21"/>
        </w:rPr>
        <w:t>八、</w:t>
      </w:r>
      <w:bookmarkEnd w:id="23"/>
      <w:bookmarkEnd w:id="24"/>
      <w:bookmarkEnd w:id="25"/>
      <w:bookmarkEnd w:id="26"/>
      <w:r>
        <w:rPr>
          <w:rFonts w:hint="eastAsia" w:ascii="宋体" w:hAnsi="宋体" w:cs="宋体"/>
          <w:b/>
          <w:color w:val="auto"/>
          <w:szCs w:val="21"/>
        </w:rPr>
        <w:t>凡对本次采购提出询问，请按以下方式联系。</w:t>
      </w:r>
      <w:bookmarkStart w:id="38" w:name="_Toc28359019"/>
      <w:bookmarkStart w:id="39" w:name="_Toc35393637"/>
      <w:bookmarkStart w:id="40" w:name="_Toc28359096"/>
      <w:bookmarkStart w:id="41" w:name="_Toc35393806"/>
    </w:p>
    <w:p w14:paraId="0E9ED52D">
      <w:pPr>
        <w:spacing w:line="360" w:lineRule="exact"/>
        <w:ind w:firstLine="420" w:firstLineChars="200"/>
        <w:rPr>
          <w:rFonts w:ascii="宋体" w:hAnsi="宋体" w:cs="宋体"/>
          <w:bCs/>
          <w:color w:val="auto"/>
          <w:szCs w:val="21"/>
        </w:rPr>
      </w:pPr>
      <w:r>
        <w:rPr>
          <w:rFonts w:hint="eastAsia" w:ascii="宋体" w:hAnsi="宋体" w:cs="宋体"/>
          <w:bCs/>
          <w:color w:val="auto"/>
          <w:szCs w:val="21"/>
        </w:rPr>
        <w:t>1.采购人信息</w:t>
      </w:r>
      <w:bookmarkEnd w:id="38"/>
      <w:bookmarkEnd w:id="39"/>
      <w:bookmarkEnd w:id="40"/>
      <w:bookmarkEnd w:id="41"/>
    </w:p>
    <w:p w14:paraId="00674B26">
      <w:pPr>
        <w:spacing w:line="360" w:lineRule="exact"/>
        <w:ind w:firstLine="420" w:firstLineChars="200"/>
        <w:jc w:val="left"/>
        <w:rPr>
          <w:rFonts w:ascii="宋体" w:hAnsi="宋体" w:cs="宋体"/>
          <w:color w:val="auto"/>
          <w:szCs w:val="21"/>
        </w:rPr>
      </w:pPr>
      <w:bookmarkStart w:id="42" w:name="_Toc35393807"/>
      <w:bookmarkStart w:id="43" w:name="_Toc28359020"/>
      <w:bookmarkStart w:id="44" w:name="_Toc28359097"/>
      <w:bookmarkStart w:id="45" w:name="_Toc35393638"/>
      <w:r>
        <w:rPr>
          <w:rFonts w:hint="eastAsia" w:ascii="宋体" w:hAnsi="宋体" w:cs="宋体"/>
          <w:color w:val="auto"/>
          <w:szCs w:val="21"/>
        </w:rPr>
        <w:t>名  称：桂林市妇女儿童医院 </w:t>
      </w:r>
    </w:p>
    <w:p w14:paraId="254BDCCF">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地  址：桂林市叠彩区凤北路20号 </w:t>
      </w:r>
    </w:p>
    <w:p w14:paraId="3CB2565F">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 xml:space="preserve">联系方式：汪老师 </w:t>
      </w:r>
      <w:r>
        <w:rPr>
          <w:rFonts w:hint="eastAsia" w:ascii="宋体" w:hAnsi="宋体" w:cs="宋体"/>
          <w:b/>
          <w:bCs/>
          <w:color w:val="auto"/>
          <w:szCs w:val="21"/>
        </w:rPr>
        <w:t>0773-2822293</w:t>
      </w:r>
    </w:p>
    <w:p w14:paraId="0F14238E">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2.采购代理机构信息</w:t>
      </w:r>
      <w:bookmarkEnd w:id="42"/>
      <w:bookmarkEnd w:id="43"/>
      <w:bookmarkEnd w:id="44"/>
      <w:bookmarkEnd w:id="45"/>
    </w:p>
    <w:p w14:paraId="4526B725">
      <w:pPr>
        <w:spacing w:line="360" w:lineRule="exact"/>
        <w:ind w:firstLine="420" w:firstLineChars="200"/>
        <w:rPr>
          <w:rFonts w:ascii="宋体" w:hAnsi="宋体" w:cs="宋体"/>
          <w:color w:val="auto"/>
          <w:szCs w:val="21"/>
        </w:rPr>
      </w:pPr>
      <w:r>
        <w:rPr>
          <w:rFonts w:hint="eastAsia" w:ascii="宋体" w:hAnsi="宋体" w:cs="宋体"/>
          <w:color w:val="auto"/>
          <w:szCs w:val="21"/>
        </w:rPr>
        <w:t>名    称：欧邦工程管理集团有限公司</w:t>
      </w:r>
    </w:p>
    <w:p w14:paraId="11C9EFFC">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地　　址：桂林市七星区穿山街道办莫家里二路文化室四楼</w:t>
      </w:r>
    </w:p>
    <w:p w14:paraId="313B0EB9">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联系方式：0773-2567907</w:t>
      </w:r>
    </w:p>
    <w:p w14:paraId="1F8A66F6">
      <w:pPr>
        <w:spacing w:line="360" w:lineRule="exact"/>
        <w:ind w:firstLine="420" w:firstLineChars="200"/>
        <w:jc w:val="left"/>
        <w:rPr>
          <w:rFonts w:ascii="宋体" w:hAnsi="宋体" w:cs="宋体"/>
          <w:color w:val="auto"/>
          <w:szCs w:val="21"/>
        </w:rPr>
      </w:pPr>
      <w:bookmarkStart w:id="46" w:name="_Toc35393639"/>
      <w:bookmarkStart w:id="47" w:name="_Toc35393808"/>
      <w:bookmarkStart w:id="48" w:name="_Toc28359021"/>
      <w:bookmarkStart w:id="49" w:name="_Toc28359098"/>
      <w:r>
        <w:rPr>
          <w:rFonts w:hint="eastAsia" w:ascii="宋体" w:hAnsi="宋体" w:cs="宋体"/>
          <w:color w:val="auto"/>
          <w:szCs w:val="21"/>
        </w:rPr>
        <w:t>3.项目联系方式</w:t>
      </w:r>
      <w:bookmarkEnd w:id="46"/>
      <w:bookmarkEnd w:id="47"/>
      <w:bookmarkEnd w:id="48"/>
      <w:bookmarkEnd w:id="49"/>
    </w:p>
    <w:p w14:paraId="4D886DC6">
      <w:pPr>
        <w:pStyle w:val="17"/>
        <w:spacing w:line="360" w:lineRule="exact"/>
        <w:ind w:firstLine="420" w:firstLineChars="200"/>
        <w:rPr>
          <w:rFonts w:hAnsi="宋体"/>
          <w:color w:val="auto"/>
          <w:u w:val="single"/>
        </w:rPr>
      </w:pPr>
      <w:r>
        <w:rPr>
          <w:rFonts w:hint="eastAsia" w:hAnsi="宋体"/>
          <w:color w:val="auto"/>
        </w:rPr>
        <w:t>项目联系人：林雪青、秦志伟、刘芳芳。</w:t>
      </w:r>
    </w:p>
    <w:p w14:paraId="48B2F6E7">
      <w:pPr>
        <w:spacing w:line="360" w:lineRule="exact"/>
        <w:ind w:firstLine="420" w:firstLineChars="200"/>
        <w:jc w:val="left"/>
        <w:rPr>
          <w:rFonts w:ascii="宋体" w:hAnsi="宋体" w:cs="宋体"/>
          <w:color w:val="auto"/>
          <w:szCs w:val="21"/>
        </w:rPr>
      </w:pPr>
      <w:r>
        <w:rPr>
          <w:rFonts w:hint="eastAsia" w:ascii="宋体" w:hAnsi="宋体"/>
          <w:color w:val="auto"/>
        </w:rPr>
        <w:t>联系方式：</w:t>
      </w:r>
      <w:r>
        <w:rPr>
          <w:rFonts w:ascii="宋体" w:hAnsi="宋体"/>
          <w:color w:val="auto"/>
        </w:rPr>
        <w:t>0773-</w:t>
      </w:r>
      <w:r>
        <w:rPr>
          <w:rFonts w:hint="eastAsia" w:ascii="宋体" w:hAnsi="宋体"/>
          <w:color w:val="auto"/>
        </w:rPr>
        <w:t>2567907、2567912</w:t>
      </w:r>
    </w:p>
    <w:p w14:paraId="517FFCC3">
      <w:pPr>
        <w:pStyle w:val="11"/>
        <w:spacing w:line="500" w:lineRule="exact"/>
        <w:rPr>
          <w:rFonts w:ascii="宋体" w:hAnsi="宋体" w:cs="宋体"/>
          <w:color w:val="auto"/>
          <w:szCs w:val="21"/>
        </w:rPr>
      </w:pPr>
    </w:p>
    <w:p w14:paraId="5D65BD82">
      <w:pPr>
        <w:pStyle w:val="11"/>
        <w:spacing w:line="500" w:lineRule="exact"/>
        <w:rPr>
          <w:rFonts w:ascii="宋体" w:hAnsi="宋体" w:cs="宋体"/>
          <w:color w:val="auto"/>
          <w:szCs w:val="21"/>
        </w:rPr>
      </w:pPr>
    </w:p>
    <w:p w14:paraId="229CD185">
      <w:pPr>
        <w:spacing w:line="500" w:lineRule="exact"/>
        <w:jc w:val="right"/>
        <w:rPr>
          <w:rFonts w:ascii="宋体" w:hAnsi="宋体" w:cs="宋体"/>
          <w:color w:val="auto"/>
          <w:szCs w:val="21"/>
        </w:rPr>
      </w:pPr>
      <w:r>
        <w:rPr>
          <w:rFonts w:hint="eastAsia" w:ascii="宋体" w:hAnsi="宋体" w:cs="宋体"/>
          <w:color w:val="auto"/>
          <w:szCs w:val="21"/>
        </w:rPr>
        <w:t>欧邦工程管理集团有限公司</w:t>
      </w:r>
    </w:p>
    <w:p w14:paraId="4A5A950A">
      <w:pPr>
        <w:spacing w:line="500" w:lineRule="exact"/>
        <w:jc w:val="right"/>
        <w:rPr>
          <w:rFonts w:ascii="宋体" w:hAnsi="宋体" w:cs="宋体"/>
          <w:color w:val="auto"/>
          <w:szCs w:val="21"/>
        </w:rPr>
        <w:sectPr>
          <w:footerReference r:id="rId5" w:type="default"/>
          <w:pgSz w:w="11906" w:h="16838"/>
          <w:pgMar w:top="1304" w:right="924" w:bottom="851" w:left="1797" w:header="737" w:footer="567" w:gutter="0"/>
          <w:pgNumType w:start="1"/>
          <w:cols w:space="720" w:num="1"/>
          <w:docGrid w:type="lines" w:linePitch="312" w:charSpace="0"/>
        </w:sectPr>
      </w:pPr>
      <w:r>
        <w:rPr>
          <w:rFonts w:hint="eastAsia" w:ascii="宋体" w:hAnsi="宋体" w:cs="宋体"/>
          <w:color w:val="auto"/>
          <w:szCs w:val="21"/>
        </w:rPr>
        <w:t>2025年9月</w:t>
      </w:r>
      <w:r>
        <w:rPr>
          <w:rFonts w:hint="eastAsia" w:ascii="宋体" w:hAnsi="宋体" w:cs="宋体"/>
          <w:color w:val="auto"/>
          <w:szCs w:val="21"/>
          <w:lang w:val="en-US" w:eastAsia="zh-CN"/>
        </w:rPr>
        <w:t>12</w:t>
      </w:r>
      <w:r>
        <w:rPr>
          <w:rFonts w:hint="eastAsia" w:ascii="宋体" w:hAnsi="宋体" w:cs="宋体"/>
          <w:color w:val="auto"/>
          <w:szCs w:val="21"/>
        </w:rPr>
        <w:t>日</w:t>
      </w:r>
    </w:p>
    <w:p w14:paraId="2FBDA6FB">
      <w:pPr>
        <w:pStyle w:val="2"/>
        <w:rPr>
          <w:color w:val="auto"/>
        </w:rPr>
      </w:pPr>
      <w:bookmarkStart w:id="50" w:name="_Toc10668"/>
      <w:bookmarkStart w:id="51" w:name="_Toc8849"/>
      <w:r>
        <w:rPr>
          <w:rFonts w:hint="eastAsia"/>
          <w:color w:val="auto"/>
        </w:rPr>
        <w:t>第二章供应商须知</w:t>
      </w:r>
      <w:bookmarkEnd w:id="0"/>
      <w:bookmarkEnd w:id="1"/>
      <w:bookmarkEnd w:id="50"/>
      <w:bookmarkEnd w:id="51"/>
      <w:bookmarkStart w:id="52" w:name="_Toc13547"/>
      <w:bookmarkStart w:id="53" w:name="_Toc9508"/>
      <w:bookmarkStart w:id="54" w:name="_Toc25063"/>
    </w:p>
    <w:p w14:paraId="4AE1B7E2">
      <w:pPr>
        <w:pStyle w:val="2"/>
        <w:spacing w:line="400" w:lineRule="exact"/>
        <w:ind w:left="425"/>
        <w:rPr>
          <w:rFonts w:ascii="宋体" w:hAnsi="宋体" w:cs="宋体"/>
          <w:bCs w:val="0"/>
          <w:color w:val="auto"/>
          <w:sz w:val="24"/>
          <w:szCs w:val="24"/>
        </w:rPr>
      </w:pPr>
      <w:bookmarkStart w:id="55" w:name="_Toc15488"/>
      <w:r>
        <w:rPr>
          <w:rFonts w:hint="eastAsia" w:ascii="宋体" w:hAnsi="宋体" w:cs="宋体"/>
          <w:bCs w:val="0"/>
          <w:color w:val="auto"/>
          <w:sz w:val="24"/>
          <w:szCs w:val="24"/>
        </w:rPr>
        <w:t>供 应 商 须 知 前 附 表</w:t>
      </w:r>
      <w:bookmarkEnd w:id="52"/>
      <w:bookmarkEnd w:id="53"/>
      <w:bookmarkEnd w:id="54"/>
      <w:bookmarkEnd w:id="55"/>
    </w:p>
    <w:tbl>
      <w:tblPr>
        <w:tblStyle w:val="28"/>
        <w:tblW w:w="10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652"/>
        <w:gridCol w:w="7035"/>
      </w:tblGrid>
      <w:tr w14:paraId="0DFFE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2" w:type="dxa"/>
            <w:vAlign w:val="center"/>
          </w:tcPr>
          <w:p w14:paraId="652B0479">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942" w:type="dxa"/>
            <w:vAlign w:val="center"/>
          </w:tcPr>
          <w:p w14:paraId="26DA0C9A">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条款号</w:t>
            </w:r>
          </w:p>
        </w:tc>
        <w:tc>
          <w:tcPr>
            <w:tcW w:w="1652" w:type="dxa"/>
            <w:vAlign w:val="center"/>
          </w:tcPr>
          <w:p w14:paraId="69011FFB">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条款名称</w:t>
            </w:r>
          </w:p>
        </w:tc>
        <w:tc>
          <w:tcPr>
            <w:tcW w:w="7035" w:type="dxa"/>
            <w:vAlign w:val="center"/>
          </w:tcPr>
          <w:p w14:paraId="4D4203CA">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内容、要求</w:t>
            </w:r>
          </w:p>
        </w:tc>
      </w:tr>
      <w:tr w14:paraId="470E0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vAlign w:val="center"/>
          </w:tcPr>
          <w:p w14:paraId="5E68F02B">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942" w:type="dxa"/>
            <w:vAlign w:val="center"/>
          </w:tcPr>
          <w:p w14:paraId="5DBF8F5A">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1652" w:type="dxa"/>
            <w:vAlign w:val="center"/>
          </w:tcPr>
          <w:p w14:paraId="73DE0B54">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项目名称及项目编号</w:t>
            </w:r>
          </w:p>
        </w:tc>
        <w:tc>
          <w:tcPr>
            <w:tcW w:w="7035" w:type="dxa"/>
          </w:tcPr>
          <w:p w14:paraId="2374A025">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项目名称：医用织物洗涤、租赁服务采购</w:t>
            </w:r>
          </w:p>
          <w:p w14:paraId="749FEF94">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项目编号：GLZC2025-C3-</w:t>
            </w:r>
            <w:r>
              <w:rPr>
                <w:rFonts w:hint="eastAsia" w:ascii="宋体" w:hAnsi="宋体" w:cs="宋体"/>
                <w:color w:val="000000" w:themeColor="text1"/>
                <w:szCs w:val="21"/>
                <w:lang w:eastAsia="zh-CN"/>
                <w14:textFill>
                  <w14:solidFill>
                    <w14:schemeClr w14:val="tx1"/>
                  </w14:solidFill>
                </w14:textFill>
              </w:rPr>
              <w:t>990430</w:t>
            </w:r>
            <w:r>
              <w:rPr>
                <w:rFonts w:hint="eastAsia" w:ascii="宋体" w:hAnsi="宋体" w:cs="宋体"/>
                <w:color w:val="000000" w:themeColor="text1"/>
                <w:szCs w:val="21"/>
                <w14:textFill>
                  <w14:solidFill>
                    <w14:schemeClr w14:val="tx1"/>
                  </w14:solidFill>
                </w14:textFill>
              </w:rPr>
              <w:t>-OBGC</w:t>
            </w:r>
          </w:p>
        </w:tc>
      </w:tr>
      <w:tr w14:paraId="5CB9A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5A2380F5">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942" w:type="dxa"/>
            <w:vAlign w:val="center"/>
          </w:tcPr>
          <w:p w14:paraId="2BCFD2EC">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652" w:type="dxa"/>
            <w:vAlign w:val="center"/>
          </w:tcPr>
          <w:p w14:paraId="7AE9880F">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供应商资格</w:t>
            </w:r>
          </w:p>
        </w:tc>
        <w:tc>
          <w:tcPr>
            <w:tcW w:w="7035" w:type="dxa"/>
            <w:vAlign w:val="center"/>
          </w:tcPr>
          <w:p w14:paraId="464FF0AF">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3.1.满足《中华人民共和国政府采购法》第二十二条规定；</w:t>
            </w:r>
          </w:p>
          <w:p w14:paraId="72D59CC9">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14:paraId="1419EE61">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3.3.落实政府采购政策需满足的资格要求：</w:t>
            </w:r>
            <w:r>
              <w:rPr>
                <w:rFonts w:hint="eastAsia" w:ascii="宋体" w:hAnsi="宋体" w:cs="宋体"/>
                <w:color w:val="000000" w:themeColor="text1"/>
                <w:kern w:val="0"/>
                <w:szCs w:val="21"/>
                <w14:textFill>
                  <w14:solidFill>
                    <w14:schemeClr w14:val="tx1"/>
                  </w14:solidFill>
                </w14:textFill>
              </w:rPr>
              <w:t>本项目属于专门面向中小微企业采购</w:t>
            </w:r>
            <w:r>
              <w:rPr>
                <w:rFonts w:hint="eastAsia" w:ascii="宋体" w:hAnsi="宋体" w:cs="宋体"/>
                <w:color w:val="000000" w:themeColor="text1"/>
                <w:szCs w:val="21"/>
                <w14:textFill>
                  <w14:solidFill>
                    <w14:schemeClr w14:val="tx1"/>
                  </w14:solidFill>
                </w14:textFill>
              </w:rPr>
              <w:t>。</w:t>
            </w:r>
          </w:p>
          <w:p w14:paraId="0E4B45A2">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3.4.本项目的特定资格要求：无。</w:t>
            </w:r>
          </w:p>
          <w:p w14:paraId="1E260663">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3.5.本项目不接受联合体。</w:t>
            </w:r>
          </w:p>
        </w:tc>
      </w:tr>
      <w:tr w14:paraId="10802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vAlign w:val="center"/>
          </w:tcPr>
          <w:p w14:paraId="6DF76DEF">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942" w:type="dxa"/>
            <w:vAlign w:val="center"/>
          </w:tcPr>
          <w:p w14:paraId="144B5FB1">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652" w:type="dxa"/>
            <w:vAlign w:val="center"/>
          </w:tcPr>
          <w:p w14:paraId="671B4770">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磋商费用</w:t>
            </w:r>
          </w:p>
        </w:tc>
        <w:tc>
          <w:tcPr>
            <w:tcW w:w="7035" w:type="dxa"/>
            <w:vAlign w:val="center"/>
          </w:tcPr>
          <w:p w14:paraId="1F074100">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不论磋商结果如何，供应商均应自行承担所有与磋商有关的全部费用。 </w:t>
            </w:r>
          </w:p>
        </w:tc>
      </w:tr>
      <w:tr w14:paraId="2EAD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6" w:hRule="atLeast"/>
          <w:jc w:val="center"/>
        </w:trPr>
        <w:tc>
          <w:tcPr>
            <w:tcW w:w="662" w:type="dxa"/>
            <w:vAlign w:val="center"/>
          </w:tcPr>
          <w:p w14:paraId="18A37445">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942" w:type="dxa"/>
            <w:vAlign w:val="center"/>
          </w:tcPr>
          <w:p w14:paraId="6509613D">
            <w:pPr>
              <w:spacing w:line="360" w:lineRule="auto"/>
              <w:jc w:val="center"/>
              <w:rPr>
                <w:rFonts w:ascii="宋体" w:hAnsi="宋体" w:cs="宋体"/>
                <w:color w:val="000000" w:themeColor="text1"/>
                <w:position w:val="-2"/>
                <w:szCs w:val="21"/>
                <w14:textFill>
                  <w14:solidFill>
                    <w14:schemeClr w14:val="tx1"/>
                  </w14:solidFill>
                </w14:textFill>
              </w:rPr>
            </w:pPr>
            <w:r>
              <w:rPr>
                <w:rFonts w:hint="eastAsia" w:ascii="宋体" w:hAnsi="宋体" w:cs="宋体"/>
                <w:color w:val="000000" w:themeColor="text1"/>
                <w:position w:val="-2"/>
                <w:szCs w:val="21"/>
                <w14:textFill>
                  <w14:solidFill>
                    <w14:schemeClr w14:val="tx1"/>
                  </w14:solidFill>
                </w14:textFill>
              </w:rPr>
              <w:t>13</w:t>
            </w:r>
          </w:p>
        </w:tc>
        <w:tc>
          <w:tcPr>
            <w:tcW w:w="1652" w:type="dxa"/>
            <w:vAlign w:val="center"/>
          </w:tcPr>
          <w:p w14:paraId="0DDE2AD3">
            <w:pPr>
              <w:spacing w:line="360" w:lineRule="auto"/>
              <w:jc w:val="center"/>
              <w:rPr>
                <w:rFonts w:ascii="宋体" w:hAnsi="宋体" w:cs="宋体"/>
                <w:color w:val="000000" w:themeColor="text1"/>
                <w:position w:val="-2"/>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磋商报价</w:t>
            </w:r>
          </w:p>
        </w:tc>
        <w:tc>
          <w:tcPr>
            <w:tcW w:w="7035" w:type="dxa"/>
            <w:vAlign w:val="center"/>
          </w:tcPr>
          <w:p w14:paraId="511D8C01">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13.1 磋商报价应按磋商文件中相关附表格式填写。具体结算金额</w:t>
            </w:r>
            <w:r>
              <w:rPr>
                <w:rFonts w:ascii="宋体" w:hAnsi="宋体" w:cs="Arial"/>
                <w:color w:val="000000" w:themeColor="text1"/>
                <w:szCs w:val="21"/>
                <w14:textFill>
                  <w14:solidFill>
                    <w14:schemeClr w14:val="tx1"/>
                  </w14:solidFill>
                </w14:textFill>
              </w:rPr>
              <w:t>按实际采购量的金额为准，即：</w:t>
            </w:r>
            <w:r>
              <w:rPr>
                <w:rFonts w:hint="eastAsia" w:ascii="宋体" w:hAnsi="宋体" w:cs="宋体"/>
                <w:b/>
                <w:color w:val="000000" w:themeColor="text1"/>
                <w14:textFill>
                  <w14:solidFill>
                    <w14:schemeClr w14:val="tx1"/>
                  </w14:solidFill>
                </w14:textFill>
              </w:rPr>
              <w:t>各类医用织物洗涤、租赁费用=“各类医用织物洗涤、租赁费用相应单价”×实际医用织物洗涤、租赁数量</w:t>
            </w:r>
            <w:r>
              <w:rPr>
                <w:rFonts w:hint="eastAsia" w:ascii="宋体" w:hAnsi="宋体" w:cs="宋体"/>
                <w:color w:val="000000" w:themeColor="text1"/>
                <w:szCs w:val="21"/>
                <w14:textFill>
                  <w14:solidFill>
                    <w14:schemeClr w14:val="tx1"/>
                  </w14:solidFill>
                </w14:textFill>
              </w:rPr>
              <w:t>。供应商单项合计报价超出采购预算单价限价合计金额的或单项单价报价超出对应采购预算单项单价限价的，响应文件按无效处理。</w:t>
            </w:r>
          </w:p>
          <w:p w14:paraId="64CC6A57">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13.2供应商必须就“采购需求”中所有内容作完整唯一报价，否则，其响应文件无效；响应文件只允许有一个报价，有选择的或有条件的报价将不予接受。</w:t>
            </w:r>
          </w:p>
          <w:p w14:paraId="7BE5EF5E">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13.4</w:t>
            </w:r>
            <w:r>
              <w:rPr>
                <w:rFonts w:hint="eastAsia" w:ascii="宋体" w:hAnsi="宋体" w:cs="宋体"/>
                <w:color w:val="000000" w:themeColor="text1"/>
                <w:kern w:val="0"/>
                <w:szCs w:val="21"/>
                <w14:textFill>
                  <w14:solidFill>
                    <w14:schemeClr w14:val="tx1"/>
                  </w14:solidFill>
                </w14:textFill>
              </w:rPr>
              <w:t>供应商应在规定时间内在政采云系统上提交最后报价，超出评委设定的最后报价时限或其最后报价超出采购预算导致已通过评审的响应文件无效的，按供应商在提交响应文件截止时间后撤回响应文件处理。</w:t>
            </w:r>
          </w:p>
        </w:tc>
      </w:tr>
      <w:tr w14:paraId="6B6B6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3058BAC5">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942" w:type="dxa"/>
            <w:vAlign w:val="center"/>
          </w:tcPr>
          <w:p w14:paraId="4B8FC6D9">
            <w:pPr>
              <w:spacing w:line="360" w:lineRule="auto"/>
              <w:jc w:val="center"/>
              <w:rPr>
                <w:rFonts w:ascii="宋体" w:hAnsi="宋体" w:cs="宋体"/>
                <w:color w:val="000000" w:themeColor="text1"/>
                <w:position w:val="-2"/>
                <w:szCs w:val="21"/>
                <w14:textFill>
                  <w14:solidFill>
                    <w14:schemeClr w14:val="tx1"/>
                  </w14:solidFill>
                </w14:textFill>
              </w:rPr>
            </w:pPr>
            <w:r>
              <w:rPr>
                <w:rFonts w:hint="eastAsia" w:ascii="宋体" w:hAnsi="宋体" w:cs="宋体"/>
                <w:color w:val="000000" w:themeColor="text1"/>
                <w:position w:val="-2"/>
                <w:szCs w:val="21"/>
                <w14:textFill>
                  <w14:solidFill>
                    <w14:schemeClr w14:val="tx1"/>
                  </w14:solidFill>
                </w14:textFill>
              </w:rPr>
              <w:t>14.1</w:t>
            </w:r>
          </w:p>
        </w:tc>
        <w:tc>
          <w:tcPr>
            <w:tcW w:w="1652" w:type="dxa"/>
            <w:vAlign w:val="center"/>
          </w:tcPr>
          <w:p w14:paraId="4045CB50">
            <w:pPr>
              <w:spacing w:line="360" w:lineRule="auto"/>
              <w:jc w:val="center"/>
              <w:rPr>
                <w:rFonts w:ascii="宋体" w:hAnsi="宋体" w:cs="宋体"/>
                <w:color w:val="000000" w:themeColor="text1"/>
                <w:position w:val="-2"/>
                <w:szCs w:val="21"/>
                <w14:textFill>
                  <w14:solidFill>
                    <w14:schemeClr w14:val="tx1"/>
                  </w14:solidFill>
                </w14:textFill>
              </w:rPr>
            </w:pPr>
            <w:r>
              <w:rPr>
                <w:rFonts w:hint="eastAsia" w:ascii="宋体" w:hAnsi="宋体" w:cs="宋体"/>
                <w:color w:val="000000" w:themeColor="text1"/>
                <w:position w:val="-2"/>
                <w:szCs w:val="21"/>
                <w14:textFill>
                  <w14:solidFill>
                    <w14:schemeClr w14:val="tx1"/>
                  </w14:solidFill>
                </w14:textFill>
              </w:rPr>
              <w:t>响应文件有效期</w:t>
            </w:r>
          </w:p>
        </w:tc>
        <w:tc>
          <w:tcPr>
            <w:tcW w:w="7035" w:type="dxa"/>
          </w:tcPr>
          <w:p w14:paraId="7126AB3A">
            <w:pPr>
              <w:tabs>
                <w:tab w:val="left" w:pos="1305"/>
              </w:tabs>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响应文件递交截止时间之日起90天，有效期不足的响应文件将被拒绝。</w:t>
            </w:r>
          </w:p>
        </w:tc>
      </w:tr>
      <w:tr w14:paraId="1613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2" w:type="dxa"/>
            <w:vAlign w:val="center"/>
          </w:tcPr>
          <w:p w14:paraId="1FDB8DEE">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942" w:type="dxa"/>
            <w:vAlign w:val="center"/>
          </w:tcPr>
          <w:p w14:paraId="5411DC01">
            <w:pPr>
              <w:spacing w:line="360" w:lineRule="auto"/>
              <w:jc w:val="center"/>
              <w:rPr>
                <w:rFonts w:ascii="宋体" w:hAnsi="宋体" w:cs="宋体"/>
                <w:color w:val="000000" w:themeColor="text1"/>
                <w:position w:val="-2"/>
                <w:szCs w:val="21"/>
                <w14:textFill>
                  <w14:solidFill>
                    <w14:schemeClr w14:val="tx1"/>
                  </w14:solidFill>
                </w14:textFill>
              </w:rPr>
            </w:pPr>
            <w:r>
              <w:rPr>
                <w:rFonts w:hint="eastAsia" w:ascii="宋体" w:hAnsi="宋体" w:cs="宋体"/>
                <w:color w:val="000000" w:themeColor="text1"/>
                <w:position w:val="-2"/>
                <w:szCs w:val="21"/>
                <w14:textFill>
                  <w14:solidFill>
                    <w14:schemeClr w14:val="tx1"/>
                  </w14:solidFill>
                </w14:textFill>
              </w:rPr>
              <w:t>15</w:t>
            </w:r>
          </w:p>
        </w:tc>
        <w:tc>
          <w:tcPr>
            <w:tcW w:w="1652" w:type="dxa"/>
            <w:vAlign w:val="center"/>
          </w:tcPr>
          <w:p w14:paraId="4F645599">
            <w:pPr>
              <w:spacing w:line="360" w:lineRule="auto"/>
              <w:jc w:val="center"/>
              <w:rPr>
                <w:rFonts w:ascii="宋体" w:hAnsi="宋体" w:cs="宋体"/>
                <w:color w:val="000000" w:themeColor="text1"/>
                <w:position w:val="-2"/>
                <w:szCs w:val="21"/>
                <w14:textFill>
                  <w14:solidFill>
                    <w14:schemeClr w14:val="tx1"/>
                  </w14:solidFill>
                </w14:textFill>
              </w:rPr>
            </w:pPr>
            <w:r>
              <w:rPr>
                <w:rFonts w:hint="eastAsia" w:ascii="宋体" w:hAnsi="宋体" w:cs="宋体"/>
                <w:color w:val="000000" w:themeColor="text1"/>
                <w:position w:val="-2"/>
                <w:szCs w:val="21"/>
                <w14:textFill>
                  <w14:solidFill>
                    <w14:schemeClr w14:val="tx1"/>
                  </w14:solidFill>
                </w14:textFill>
              </w:rPr>
              <w:t>磋商保证金</w:t>
            </w:r>
          </w:p>
        </w:tc>
        <w:tc>
          <w:tcPr>
            <w:tcW w:w="7035" w:type="dxa"/>
          </w:tcPr>
          <w:p w14:paraId="2A852002">
            <w:pPr>
              <w:tabs>
                <w:tab w:val="left" w:pos="1305"/>
              </w:tabs>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本项目无需缴纳磋商保证金</w:t>
            </w:r>
          </w:p>
        </w:tc>
      </w:tr>
      <w:tr w14:paraId="3C8C5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3979F1D7">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942" w:type="dxa"/>
            <w:vAlign w:val="center"/>
          </w:tcPr>
          <w:p w14:paraId="354F9570">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w:t>
            </w:r>
          </w:p>
        </w:tc>
        <w:tc>
          <w:tcPr>
            <w:tcW w:w="1652" w:type="dxa"/>
            <w:vAlign w:val="center"/>
          </w:tcPr>
          <w:p w14:paraId="5E8AD91D">
            <w:pPr>
              <w:pStyle w:val="4"/>
              <w:spacing w:line="360" w:lineRule="auto"/>
              <w:jc w:val="center"/>
              <w:rPr>
                <w:rFonts w:ascii="宋体" w:hAnsi="宋体" w:cs="宋体"/>
                <w:b w:val="0"/>
                <w:bCs/>
                <w:color w:val="000000" w:themeColor="text1"/>
                <w:sz w:val="21"/>
                <w:szCs w:val="21"/>
                <w14:textFill>
                  <w14:solidFill>
                    <w14:schemeClr w14:val="tx1"/>
                  </w14:solidFill>
                </w14:textFill>
              </w:rPr>
            </w:pPr>
            <w:bookmarkStart w:id="56" w:name="_Toc27452"/>
            <w:bookmarkStart w:id="57" w:name="_Toc19911"/>
            <w:r>
              <w:rPr>
                <w:rFonts w:hint="eastAsia" w:ascii="宋体" w:hAnsi="宋体" w:cs="宋体"/>
                <w:b w:val="0"/>
                <w:bCs/>
                <w:color w:val="000000" w:themeColor="text1"/>
                <w:sz w:val="21"/>
                <w:szCs w:val="21"/>
                <w14:textFill>
                  <w14:solidFill>
                    <w14:schemeClr w14:val="tx1"/>
                  </w14:solidFill>
                </w14:textFill>
              </w:rPr>
              <w:t>竞争性磋商响应文件的制作</w:t>
            </w:r>
            <w:bookmarkEnd w:id="56"/>
            <w:bookmarkEnd w:id="57"/>
          </w:p>
          <w:p w14:paraId="0AA5CFCC">
            <w:pPr>
              <w:spacing w:line="360" w:lineRule="auto"/>
              <w:jc w:val="center"/>
              <w:rPr>
                <w:rFonts w:ascii="宋体" w:hAnsi="宋体" w:cs="宋体"/>
                <w:color w:val="000000" w:themeColor="text1"/>
                <w:szCs w:val="21"/>
                <w14:textFill>
                  <w14:solidFill>
                    <w14:schemeClr w14:val="tx1"/>
                  </w14:solidFill>
                </w14:textFill>
              </w:rPr>
            </w:pPr>
          </w:p>
        </w:tc>
        <w:tc>
          <w:tcPr>
            <w:tcW w:w="7035" w:type="dxa"/>
            <w:vAlign w:val="center"/>
          </w:tcPr>
          <w:p w14:paraId="04B45FE9">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16.1 电子磋商响应文件中须加盖供应商公章部分均采用 CA 证书签章，并根据“政府采购项目电子交易管理操作指南-供应商”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14:paraId="21BD6347">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16.2供应商法人（负责人）或授权代表持有政采云个人CA证书签章的，应在响应文件中涉及到签字的位置使用个人CA证书签章，没有办理政采云个人CA证书签章的可在响应文件中涉及到签字的位置手写签字后扫描或者拍照做成 PDF 的格式上传即可。</w:t>
            </w:r>
          </w:p>
          <w:p w14:paraId="5E540B38">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16.3 磋商响应文件不得涂改，若有修改错漏处，须法定代表人（负责人）或授权委托人签字（或个人CA证书签章）。磋商响应文件因字迹潦草或表达不清所引起的后果由供应商负责。</w:t>
            </w:r>
          </w:p>
          <w:p w14:paraId="68D199EF">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16.4磋商前准备 </w:t>
            </w:r>
          </w:p>
          <w:p w14:paraId="2DD93959">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16.4.1本项目实行在线磋商，采用电子磋商响应文件。若供应商参与磋商，自行承担磋商一切费用。 </w:t>
            </w:r>
          </w:p>
          <w:p w14:paraId="0750E36E">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16.4.2各供应商应在截标前应确保成为政采云平台正式注册入库供应商，并完成 CA 数字证书申领。因未注册入库、未办理 CA 数字证书等原因造成无法磋商或磋商失败等后果由供应商自行承担。 </w:t>
            </w:r>
          </w:p>
          <w:p w14:paraId="4EFEE7B0">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16.4.3供应商将政采云电子交易客户端下载、安装完成后，可通过账号密码或 CA 登录客户端进行响应文件制作。客户端请至网站下载专区查看，如有问题可拨打政采云客户服务热线 95763 进行咨询。</w:t>
            </w:r>
          </w:p>
        </w:tc>
      </w:tr>
      <w:tr w14:paraId="779D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vAlign w:val="center"/>
          </w:tcPr>
          <w:p w14:paraId="54D2755F">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942" w:type="dxa"/>
            <w:vAlign w:val="center"/>
          </w:tcPr>
          <w:p w14:paraId="30827D66">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18.1</w:t>
            </w:r>
          </w:p>
        </w:tc>
        <w:tc>
          <w:tcPr>
            <w:tcW w:w="1652" w:type="dxa"/>
            <w:vAlign w:val="center"/>
          </w:tcPr>
          <w:p w14:paraId="1647F1B5">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响应文件递交截止时间</w:t>
            </w:r>
          </w:p>
        </w:tc>
        <w:tc>
          <w:tcPr>
            <w:tcW w:w="7035" w:type="dxa"/>
            <w:vAlign w:val="center"/>
          </w:tcPr>
          <w:p w14:paraId="4061A6A7">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于2025年9月</w:t>
            </w:r>
            <w:r>
              <w:rPr>
                <w:rFonts w:hint="eastAsia" w:ascii="宋体" w:hAnsi="宋体" w:cs="宋体"/>
                <w:color w:val="000000" w:themeColor="text1"/>
                <w:szCs w:val="21"/>
                <w:u w:val="single"/>
                <w:lang w:val="en-US" w:eastAsia="zh-CN"/>
                <w14:textFill>
                  <w14:solidFill>
                    <w14:schemeClr w14:val="tx1"/>
                  </w14:solidFill>
                </w14:textFill>
              </w:rPr>
              <w:t>23</w:t>
            </w:r>
            <w:r>
              <w:rPr>
                <w:rFonts w:hint="eastAsia" w:ascii="宋体" w:hAnsi="宋体" w:cs="宋体"/>
                <w:color w:val="000000" w:themeColor="text1"/>
                <w:szCs w:val="21"/>
                <w:u w:val="single"/>
                <w14:textFill>
                  <w14:solidFill>
                    <w14:schemeClr w14:val="tx1"/>
                  </w14:solidFill>
                </w14:textFill>
              </w:rPr>
              <w:t>日9时30分</w:t>
            </w:r>
            <w:r>
              <w:rPr>
                <w:rFonts w:hint="eastAsia" w:ascii="宋体" w:hAnsi="宋体" w:cs="宋体"/>
                <w:color w:val="000000" w:themeColor="text1"/>
                <w:szCs w:val="21"/>
                <w14:textFill>
                  <w14:solidFill>
                    <w14:schemeClr w14:val="tx1"/>
                  </w14:solidFill>
                </w14:textFill>
              </w:rPr>
              <w:t>之前将电子磋商响应文件上传到政采云平台。应按照本项目磋商文件和政采云平台的要求编制、加密传输磋商响应文件。供应商在使用系统进行投标的过程中遇到涉及平台使用的任何问题，可致电政采云平台技术支持热线咨询，联系方式：95763。</w:t>
            </w:r>
          </w:p>
        </w:tc>
      </w:tr>
      <w:tr w14:paraId="18809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vAlign w:val="center"/>
          </w:tcPr>
          <w:p w14:paraId="23448634">
            <w:pPr>
              <w:spacing w:line="360" w:lineRule="auto"/>
              <w:jc w:val="center"/>
              <w:rPr>
                <w:rFonts w:ascii="宋体" w:hAnsi="宋体" w:cs="宋体"/>
                <w:color w:val="000000" w:themeColor="text1"/>
                <w:position w:val="-2"/>
                <w:szCs w:val="21"/>
                <w14:textFill>
                  <w14:solidFill>
                    <w14:schemeClr w14:val="tx1"/>
                  </w14:solidFill>
                </w14:textFill>
              </w:rPr>
            </w:pPr>
            <w:r>
              <w:rPr>
                <w:rFonts w:hint="eastAsia" w:ascii="宋体" w:hAnsi="宋体" w:cs="宋体"/>
                <w:color w:val="000000" w:themeColor="text1"/>
                <w:position w:val="-2"/>
                <w:szCs w:val="21"/>
                <w14:textFill>
                  <w14:solidFill>
                    <w14:schemeClr w14:val="tx1"/>
                  </w14:solidFill>
                </w14:textFill>
              </w:rPr>
              <w:t>9</w:t>
            </w:r>
          </w:p>
        </w:tc>
        <w:tc>
          <w:tcPr>
            <w:tcW w:w="942" w:type="dxa"/>
            <w:vAlign w:val="center"/>
          </w:tcPr>
          <w:p w14:paraId="79CF0135">
            <w:pPr>
              <w:spacing w:line="360" w:lineRule="auto"/>
              <w:jc w:val="center"/>
              <w:rPr>
                <w:rFonts w:ascii="宋体" w:hAnsi="宋体" w:cs="宋体"/>
                <w:color w:val="000000" w:themeColor="text1"/>
                <w:position w:val="-2"/>
                <w:szCs w:val="21"/>
                <w14:textFill>
                  <w14:solidFill>
                    <w14:schemeClr w14:val="tx1"/>
                  </w14:solidFill>
                </w14:textFill>
              </w:rPr>
            </w:pPr>
            <w:r>
              <w:rPr>
                <w:rFonts w:hint="eastAsia" w:ascii="宋体" w:hAnsi="宋体" w:cs="宋体"/>
                <w:color w:val="000000" w:themeColor="text1"/>
                <w:position w:val="-2"/>
                <w:szCs w:val="21"/>
                <w14:textFill>
                  <w14:solidFill>
                    <w14:schemeClr w14:val="tx1"/>
                  </w14:solidFill>
                </w14:textFill>
              </w:rPr>
              <w:t>18.2</w:t>
            </w:r>
          </w:p>
        </w:tc>
        <w:tc>
          <w:tcPr>
            <w:tcW w:w="1652" w:type="dxa"/>
            <w:vAlign w:val="center"/>
          </w:tcPr>
          <w:p w14:paraId="7E003C33">
            <w:pPr>
              <w:spacing w:line="360" w:lineRule="auto"/>
              <w:jc w:val="center"/>
              <w:rPr>
                <w:rFonts w:ascii="宋体" w:hAnsi="宋体" w:cs="宋体"/>
                <w:color w:val="000000" w:themeColor="text1"/>
                <w:position w:val="-2"/>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磋商响应文件解密时间</w:t>
            </w:r>
          </w:p>
        </w:tc>
        <w:tc>
          <w:tcPr>
            <w:tcW w:w="7035" w:type="dxa"/>
            <w:vAlign w:val="center"/>
          </w:tcPr>
          <w:p w14:paraId="61713111">
            <w:pPr>
              <w:pStyle w:val="1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磋商响应文件解密时间</w:t>
            </w:r>
            <w:r>
              <w:rPr>
                <w:rFonts w:hint="eastAsia" w:ascii="宋体" w:hAnsi="宋体" w:cs="宋体"/>
                <w:color w:val="000000" w:themeColor="text1"/>
                <w14:textFill>
                  <w14:solidFill>
                    <w14:schemeClr w14:val="tx1"/>
                  </w14:solidFill>
                </w14:textFill>
              </w:rPr>
              <w:t>：截标时间后</w:t>
            </w:r>
            <w:r>
              <w:rPr>
                <w:rFonts w:hint="eastAsia" w:ascii="宋体" w:hAnsi="宋体" w:cs="宋体"/>
                <w:color w:val="000000" w:themeColor="text1"/>
                <w:u w:val="single"/>
                <w14:textFill>
                  <w14:solidFill>
                    <w14:schemeClr w14:val="tx1"/>
                  </w14:solidFill>
                </w14:textFill>
              </w:rPr>
              <w:t>30</w:t>
            </w:r>
            <w:r>
              <w:rPr>
                <w:rFonts w:hint="eastAsia" w:ascii="宋体" w:hAnsi="宋体" w:cs="宋体"/>
                <w:color w:val="000000" w:themeColor="text1"/>
                <w14:textFill>
                  <w14:solidFill>
                    <w14:schemeClr w14:val="tx1"/>
                  </w14:solidFill>
                </w14:textFill>
              </w:rPr>
              <w:t>分钟内（</w:t>
            </w:r>
            <w:r>
              <w:rPr>
                <w:rFonts w:hint="eastAsia" w:ascii="宋体" w:hAnsi="宋体" w:cs="宋体"/>
                <w:color w:val="000000" w:themeColor="text1"/>
                <w:szCs w:val="21"/>
                <w:u w:val="single"/>
                <w14:textFill>
                  <w14:solidFill>
                    <w14:schemeClr w14:val="tx1"/>
                  </w14:solidFill>
                </w14:textFill>
              </w:rPr>
              <w:t>2025年9月</w:t>
            </w:r>
            <w:r>
              <w:rPr>
                <w:rFonts w:hint="eastAsia" w:ascii="宋体" w:hAnsi="宋体" w:cs="宋体"/>
                <w:color w:val="000000" w:themeColor="text1"/>
                <w:szCs w:val="21"/>
                <w:u w:val="single"/>
                <w:lang w:val="en-US" w:eastAsia="zh-CN"/>
                <w14:textFill>
                  <w14:solidFill>
                    <w14:schemeClr w14:val="tx1"/>
                  </w14:solidFill>
                </w14:textFill>
              </w:rPr>
              <w:t>23</w:t>
            </w:r>
            <w:r>
              <w:rPr>
                <w:rFonts w:hint="eastAsia" w:ascii="宋体" w:hAnsi="宋体" w:cs="宋体"/>
                <w:color w:val="000000" w:themeColor="text1"/>
                <w:szCs w:val="21"/>
                <w:u w:val="single"/>
                <w14:textFill>
                  <w14:solidFill>
                    <w14:schemeClr w14:val="tx1"/>
                  </w14:solidFill>
                </w14:textFill>
              </w:rPr>
              <w:t>日09时30分</w:t>
            </w:r>
            <w:r>
              <w:rPr>
                <w:rFonts w:hint="eastAsia" w:ascii="宋体" w:hAnsi="宋体" w:cs="宋体"/>
                <w:color w:val="000000" w:themeColor="text1"/>
                <w:u w:val="single"/>
                <w14:textFill>
                  <w14:solidFill>
                    <w14:schemeClr w14:val="tx1"/>
                  </w14:solidFill>
                </w14:textFill>
              </w:rPr>
              <w:t>至10时00分</w:t>
            </w:r>
            <w:r>
              <w:rPr>
                <w:rFonts w:hint="eastAsia" w:ascii="宋体" w:hAnsi="宋体" w:cs="宋体"/>
                <w:color w:val="000000" w:themeColor="text1"/>
                <w14:textFill>
                  <w14:solidFill>
                    <w14:schemeClr w14:val="tx1"/>
                  </w14:solidFill>
                </w14:textFill>
              </w:rPr>
              <w:t>)磋商供应商可以登录政采云平台，用“项目采购-开标评标”功能进行解密磋商响应文件。</w:t>
            </w:r>
            <w:r>
              <w:rPr>
                <w:rFonts w:hint="eastAsia" w:ascii="宋体" w:hAnsi="宋体" w:cs="宋体"/>
                <w:b/>
                <w:bCs/>
                <w:color w:val="000000" w:themeColor="text1"/>
                <w:szCs w:val="21"/>
                <w14:textFill>
                  <w14:solidFill>
                    <w14:schemeClr w14:val="tx1"/>
                  </w14:solidFill>
                </w14:textFill>
              </w:rPr>
              <w:t>若磋商供应商在规定时间内无法解密或解密失败，</w:t>
            </w:r>
            <w:r>
              <w:rPr>
                <w:rFonts w:ascii="宋体" w:hAnsi="宋体" w:cs="宋体"/>
                <w:b/>
                <w:bCs/>
                <w:color w:val="000000" w:themeColor="text1"/>
                <w:kern w:val="0"/>
                <w:szCs w:val="21"/>
                <w14:textFill>
                  <w14:solidFill>
                    <w14:schemeClr w14:val="tx1"/>
                  </w14:solidFill>
                </w14:textFill>
              </w:rPr>
              <w:t>视为供应商放弃</w:t>
            </w:r>
            <w:r>
              <w:rPr>
                <w:rFonts w:hint="eastAsia" w:ascii="宋体" w:hAnsi="宋体" w:cs="宋体"/>
                <w:b/>
                <w:bCs/>
                <w:color w:val="000000" w:themeColor="text1"/>
                <w:kern w:val="0"/>
                <w:szCs w:val="21"/>
                <w14:textFill>
                  <w14:solidFill>
                    <w14:schemeClr w14:val="tx1"/>
                  </w14:solidFill>
                </w14:textFill>
              </w:rPr>
              <w:t>磋商</w:t>
            </w:r>
            <w:r>
              <w:rPr>
                <w:rFonts w:hint="eastAsia" w:ascii="宋体" w:hAnsi="宋体" w:cs="宋体"/>
                <w:b/>
                <w:bCs/>
                <w:color w:val="000000" w:themeColor="text1"/>
                <w:szCs w:val="21"/>
                <w14:textFill>
                  <w14:solidFill>
                    <w14:schemeClr w14:val="tx1"/>
                  </w14:solidFill>
                </w14:textFill>
              </w:rPr>
              <w:t>，造成响应无效的后果由供应商自行承担。</w:t>
            </w:r>
          </w:p>
        </w:tc>
      </w:tr>
      <w:tr w14:paraId="530A8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vAlign w:val="center"/>
          </w:tcPr>
          <w:p w14:paraId="30713663">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942" w:type="dxa"/>
            <w:vAlign w:val="center"/>
          </w:tcPr>
          <w:p w14:paraId="54ED9F6F">
            <w:pPr>
              <w:spacing w:line="360" w:lineRule="auto"/>
              <w:ind w:firstLine="105" w:firstLineChars="50"/>
              <w:jc w:val="center"/>
              <w:rPr>
                <w:rFonts w:ascii="宋体" w:hAnsi="宋体" w:cs="宋体"/>
                <w:color w:val="000000" w:themeColor="text1"/>
                <w:position w:val="-2"/>
                <w:szCs w:val="21"/>
                <w14:textFill>
                  <w14:solidFill>
                    <w14:schemeClr w14:val="tx1"/>
                  </w14:solidFill>
                </w14:textFill>
              </w:rPr>
            </w:pPr>
            <w:r>
              <w:rPr>
                <w:rFonts w:hint="eastAsia" w:ascii="宋体" w:hAnsi="宋体" w:cs="宋体"/>
                <w:color w:val="000000" w:themeColor="text1"/>
                <w:position w:val="-2"/>
                <w:szCs w:val="21"/>
                <w14:textFill>
                  <w14:solidFill>
                    <w14:schemeClr w14:val="tx1"/>
                  </w14:solidFill>
                </w14:textFill>
              </w:rPr>
              <w:t>19.1</w:t>
            </w:r>
          </w:p>
        </w:tc>
        <w:tc>
          <w:tcPr>
            <w:tcW w:w="1652" w:type="dxa"/>
            <w:vAlign w:val="center"/>
          </w:tcPr>
          <w:p w14:paraId="0E04A56A">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磋商小组组成</w:t>
            </w:r>
          </w:p>
        </w:tc>
        <w:tc>
          <w:tcPr>
            <w:tcW w:w="7035" w:type="dxa"/>
            <w:vAlign w:val="center"/>
          </w:tcPr>
          <w:p w14:paraId="261E811A">
            <w:pPr>
              <w:spacing w:line="360" w:lineRule="auto"/>
              <w:ind w:left="15" w:hanging="14" w:hangingChars="7"/>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磋商及评审工作由采购代理机构负责组织，具体磋商、评审工作由依法组建的磋商小组负责，磋商小组由采购人代表和有关方面的专家组成。磋商小组的构成：</w:t>
            </w:r>
            <w:r>
              <w:rPr>
                <w:rFonts w:hint="eastAsia" w:ascii="宋体" w:hAnsi="宋体" w:cs="宋体"/>
                <w:color w:val="000000" w:themeColor="text1"/>
                <w:szCs w:val="21"/>
                <w:u w:val="single"/>
                <w14:textFill>
                  <w14:solidFill>
                    <w14:schemeClr w14:val="tx1"/>
                  </w14:solidFill>
                </w14:textFill>
              </w:rPr>
              <w:t xml:space="preserve">3 </w:t>
            </w:r>
            <w:r>
              <w:rPr>
                <w:rFonts w:hint="eastAsia" w:ascii="宋体" w:hAnsi="宋体" w:cs="宋体"/>
                <w:color w:val="000000" w:themeColor="text1"/>
                <w:szCs w:val="21"/>
                <w14:textFill>
                  <w14:solidFill>
                    <w14:schemeClr w14:val="tx1"/>
                  </w14:solidFill>
                </w14:textFill>
              </w:rPr>
              <w:t>人，其中采购人代表</w:t>
            </w:r>
            <w:r>
              <w:rPr>
                <w:rFonts w:hint="eastAsia" w:ascii="宋体" w:hAnsi="宋体" w:cs="宋体"/>
                <w:color w:val="000000" w:themeColor="text1"/>
                <w:szCs w:val="21"/>
                <w:u w:val="single"/>
                <w14:textFill>
                  <w14:solidFill>
                    <w14:schemeClr w14:val="tx1"/>
                  </w14:solidFill>
                </w14:textFill>
              </w:rPr>
              <w:t xml:space="preserve">1 </w:t>
            </w:r>
            <w:r>
              <w:rPr>
                <w:rFonts w:hint="eastAsia" w:ascii="宋体" w:hAnsi="宋体" w:cs="宋体"/>
                <w:color w:val="000000" w:themeColor="text1"/>
                <w:szCs w:val="21"/>
                <w14:textFill>
                  <w14:solidFill>
                    <w14:schemeClr w14:val="tx1"/>
                  </w14:solidFill>
                </w14:textFill>
              </w:rPr>
              <w:t>人，专家</w:t>
            </w:r>
            <w:r>
              <w:rPr>
                <w:rFonts w:hint="eastAsia" w:ascii="宋体" w:hAnsi="宋体" w:cs="宋体"/>
                <w:color w:val="000000" w:themeColor="text1"/>
                <w:szCs w:val="21"/>
                <w:u w:val="single"/>
                <w14:textFill>
                  <w14:solidFill>
                    <w14:schemeClr w14:val="tx1"/>
                  </w14:solidFill>
                </w14:textFill>
              </w:rPr>
              <w:t xml:space="preserve">2 </w:t>
            </w:r>
            <w:r>
              <w:rPr>
                <w:rFonts w:hint="eastAsia" w:ascii="宋体" w:hAnsi="宋体" w:cs="宋体"/>
                <w:color w:val="000000" w:themeColor="text1"/>
                <w:szCs w:val="21"/>
                <w14:textFill>
                  <w14:solidFill>
                    <w14:schemeClr w14:val="tx1"/>
                  </w14:solidFill>
                </w14:textFill>
              </w:rPr>
              <w:t>人。</w:t>
            </w:r>
          </w:p>
        </w:tc>
      </w:tr>
      <w:tr w14:paraId="7A8F2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vAlign w:val="center"/>
          </w:tcPr>
          <w:p w14:paraId="5A346C96">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942" w:type="dxa"/>
            <w:vAlign w:val="center"/>
          </w:tcPr>
          <w:p w14:paraId="3E7E55E5">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19.2</w:t>
            </w:r>
          </w:p>
        </w:tc>
        <w:tc>
          <w:tcPr>
            <w:tcW w:w="1652" w:type="dxa"/>
            <w:vAlign w:val="center"/>
          </w:tcPr>
          <w:p w14:paraId="66F51507">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磋商时间、地点、人员</w:t>
            </w:r>
          </w:p>
        </w:tc>
        <w:tc>
          <w:tcPr>
            <w:tcW w:w="7035" w:type="dxa"/>
          </w:tcPr>
          <w:p w14:paraId="48033E3F">
            <w:pPr>
              <w:spacing w:line="360" w:lineRule="auto"/>
              <w:ind w:left="315" w:hanging="315" w:hangingChars="1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19.2.1磋商时间：响应文件递交截止时间后。</w:t>
            </w:r>
          </w:p>
          <w:p w14:paraId="5F155A0A">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19.2.2磋商地点：本项目需要磋商供应商代表在截标当天截标后，按磋商小组要求及时登陆政采云平台等候在线磋商。</w:t>
            </w:r>
          </w:p>
          <w:p w14:paraId="19DDC649">
            <w:pPr>
              <w:spacing w:line="360" w:lineRule="auto"/>
              <w:ind w:left="15" w:hanging="14" w:hangingChars="7"/>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19.2.3磋商参加人员：供应商法定代表人、负责人、自然人或相应的委托代理人持有效身份证原件和供应商政采云平台CA数字证书参加磋商。请供应商按时到达指定地点等候磋商。</w:t>
            </w:r>
          </w:p>
          <w:p w14:paraId="2C10F49D">
            <w:pPr>
              <w:tabs>
                <w:tab w:val="left" w:pos="1140"/>
              </w:tabs>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19.2.4响应文件递交截止时间后，由磋商小组在评标室内线上开启响应文件。</w:t>
            </w:r>
          </w:p>
        </w:tc>
      </w:tr>
      <w:tr w14:paraId="5F995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514F36B2">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w:t>
            </w:r>
          </w:p>
        </w:tc>
        <w:tc>
          <w:tcPr>
            <w:tcW w:w="942" w:type="dxa"/>
            <w:vAlign w:val="center"/>
          </w:tcPr>
          <w:p w14:paraId="2DB67FE9">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20.2</w:t>
            </w:r>
          </w:p>
        </w:tc>
        <w:tc>
          <w:tcPr>
            <w:tcW w:w="1652" w:type="dxa"/>
            <w:vAlign w:val="center"/>
          </w:tcPr>
          <w:p w14:paraId="3C093F43">
            <w:pPr>
              <w:pStyle w:val="17"/>
              <w:spacing w:line="360" w:lineRule="auto"/>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评审办法</w:t>
            </w:r>
          </w:p>
        </w:tc>
        <w:tc>
          <w:tcPr>
            <w:tcW w:w="7035" w:type="dxa"/>
            <w:vAlign w:val="center"/>
          </w:tcPr>
          <w:p w14:paraId="0CED8CBE">
            <w:pPr>
              <w:tabs>
                <w:tab w:val="left" w:pos="1140"/>
              </w:tabs>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具体详见第四章评审办法。</w:t>
            </w:r>
          </w:p>
        </w:tc>
      </w:tr>
      <w:tr w14:paraId="07FC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7D806D4A">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942" w:type="dxa"/>
            <w:vAlign w:val="center"/>
          </w:tcPr>
          <w:p w14:paraId="373FC8B5">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w:t>
            </w:r>
          </w:p>
        </w:tc>
        <w:tc>
          <w:tcPr>
            <w:tcW w:w="1652" w:type="dxa"/>
            <w:vAlign w:val="center"/>
          </w:tcPr>
          <w:p w14:paraId="1868B5C4">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信用查询</w:t>
            </w:r>
          </w:p>
        </w:tc>
        <w:tc>
          <w:tcPr>
            <w:tcW w:w="7035" w:type="dxa"/>
            <w:vAlign w:val="center"/>
          </w:tcPr>
          <w:p w14:paraId="70C6DED0">
            <w:pPr>
              <w:spacing w:line="360" w:lineRule="auto"/>
              <w:ind w:left="15" w:hanging="14" w:hangingChars="7"/>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根据《关于做好政府采购有关信用主体标识码登记及在政府采购活动中查询使用信用记录有关问题的通知》（桂财采〔2016〕37</w:t>
            </w:r>
            <w:r>
              <w:rPr>
                <w:rFonts w:hint="eastAsia"/>
                <w:color w:val="000000" w:themeColor="text1"/>
                <w14:textFill>
                  <w14:solidFill>
                    <w14:schemeClr w14:val="tx1"/>
                  </w14:solidFill>
                </w14:textFill>
              </w:rPr>
              <w:t>号</w:t>
            </w:r>
            <w:r>
              <w:rPr>
                <w:rFonts w:hint="eastAsia" w:ascii="宋体" w:hAnsi="宋体" w:cs="宋体"/>
                <w:color w:val="000000" w:themeColor="text1"/>
                <w:szCs w:val="21"/>
                <w14:textFill>
                  <w14:solidFill>
                    <w14:schemeClr w14:val="tx1"/>
                  </w14:solidFill>
                </w14:textFill>
              </w:rPr>
              <w:t>），由采购代理机构对第一成交候选人进行信用查询：</w:t>
            </w:r>
          </w:p>
          <w:p w14:paraId="391B187D">
            <w:pPr>
              <w:spacing w:line="360" w:lineRule="auto"/>
              <w:ind w:left="15" w:hanging="14" w:hangingChars="7"/>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⑴查询渠道：“信用中国”网站(www.creditchina.gov.cn)、中国政府采购网(www.ccgp.gov.cn)等；</w:t>
            </w:r>
          </w:p>
          <w:p w14:paraId="370962CE">
            <w:pPr>
              <w:spacing w:line="360" w:lineRule="auto"/>
              <w:ind w:left="315" w:hanging="315" w:hanging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⑵查询时间：成交通知书发出前；</w:t>
            </w:r>
          </w:p>
          <w:p w14:paraId="747AE64E">
            <w:pPr>
              <w:spacing w:line="360" w:lineRule="auto"/>
              <w:ind w:left="15" w:hanging="14" w:hangingChars="7"/>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⑶信用信息查询记录和证据留存方式：在查询网站中直接打印查询记录，打印材料作为采购活动资料保存；</w:t>
            </w:r>
          </w:p>
          <w:p w14:paraId="6760C2AE">
            <w:pPr>
              <w:spacing w:line="360" w:lineRule="auto"/>
              <w:ind w:left="15" w:hanging="14" w:hangingChars="7"/>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p w14:paraId="2ABA0362">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14:paraId="5AEB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vAlign w:val="center"/>
          </w:tcPr>
          <w:p w14:paraId="02E8953F">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942" w:type="dxa"/>
            <w:vAlign w:val="center"/>
          </w:tcPr>
          <w:p w14:paraId="0990C57D">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w:t>
            </w:r>
          </w:p>
        </w:tc>
        <w:tc>
          <w:tcPr>
            <w:tcW w:w="1652" w:type="dxa"/>
            <w:vAlign w:val="center"/>
          </w:tcPr>
          <w:p w14:paraId="6BE5D483">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成交结果公告</w:t>
            </w:r>
          </w:p>
          <w:p w14:paraId="2DE8B018">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及成交通知书</w:t>
            </w:r>
          </w:p>
        </w:tc>
        <w:tc>
          <w:tcPr>
            <w:tcW w:w="7035" w:type="dxa"/>
          </w:tcPr>
          <w:p w14:paraId="1634C378">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27.1采购代理机构于磋商结束后2个工作日内将评审报告送交采购人，采购人应当自收到评审报告5个工作日内在评审报告推荐的成交候选人中按顺序确定成交供应商，采购代理机构在成交供应商确定之日起2个工作日内发出成交通知书，并在指定媒体上公告成交信息。</w:t>
            </w:r>
          </w:p>
          <w:p w14:paraId="20F8E471">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27.2在发布成交公告的同时，采购代理机构向成交供应商发出成交通知书。成交供应商自接到通知之日起7个工作日内，办理成交通知书领取手续。</w:t>
            </w:r>
          </w:p>
        </w:tc>
      </w:tr>
      <w:tr w14:paraId="2E5E3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62" w:type="dxa"/>
            <w:vAlign w:val="center"/>
          </w:tcPr>
          <w:p w14:paraId="468C6BA1">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w:t>
            </w:r>
          </w:p>
        </w:tc>
        <w:tc>
          <w:tcPr>
            <w:tcW w:w="942" w:type="dxa"/>
            <w:vAlign w:val="center"/>
          </w:tcPr>
          <w:p w14:paraId="295E42A9">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w:t>
            </w:r>
          </w:p>
        </w:tc>
        <w:tc>
          <w:tcPr>
            <w:tcW w:w="1652" w:type="dxa"/>
            <w:vAlign w:val="center"/>
          </w:tcPr>
          <w:p w14:paraId="70234BB5">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w:t>
            </w:r>
          </w:p>
        </w:tc>
        <w:tc>
          <w:tcPr>
            <w:tcW w:w="7035" w:type="dxa"/>
            <w:vAlign w:val="center"/>
          </w:tcPr>
          <w:p w14:paraId="608491B4">
            <w:pPr>
              <w:widowControl/>
              <w:jc w:val="left"/>
              <w:rPr>
                <w:rFonts w:ascii="宋体" w:hAnsi="宋体" w:cs="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无。</w:t>
            </w:r>
          </w:p>
        </w:tc>
      </w:tr>
      <w:tr w14:paraId="75FE3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5681B91E">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w:t>
            </w:r>
          </w:p>
        </w:tc>
        <w:tc>
          <w:tcPr>
            <w:tcW w:w="942" w:type="dxa"/>
            <w:vAlign w:val="center"/>
          </w:tcPr>
          <w:p w14:paraId="004B13FA">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29.1</w:t>
            </w:r>
          </w:p>
        </w:tc>
        <w:tc>
          <w:tcPr>
            <w:tcW w:w="1652" w:type="dxa"/>
            <w:vAlign w:val="center"/>
          </w:tcPr>
          <w:p w14:paraId="1F4C33A1">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签订合同时间</w:t>
            </w:r>
          </w:p>
        </w:tc>
        <w:tc>
          <w:tcPr>
            <w:tcW w:w="7035" w:type="dxa"/>
          </w:tcPr>
          <w:p w14:paraId="64FCACB5">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成交通知书发出之日起8个工作日内签订合同</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成交供应商领取成交通知书后，应按规定与采购人签订合同。</w:t>
            </w:r>
          </w:p>
        </w:tc>
      </w:tr>
      <w:tr w14:paraId="7BD15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0187AC17">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w:t>
            </w:r>
          </w:p>
        </w:tc>
        <w:tc>
          <w:tcPr>
            <w:tcW w:w="942" w:type="dxa"/>
            <w:vAlign w:val="center"/>
          </w:tcPr>
          <w:p w14:paraId="0264B17D">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29.3</w:t>
            </w:r>
          </w:p>
        </w:tc>
        <w:tc>
          <w:tcPr>
            <w:tcW w:w="1652" w:type="dxa"/>
            <w:vAlign w:val="center"/>
          </w:tcPr>
          <w:p w14:paraId="0A15CF85">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合同备案存档</w:t>
            </w:r>
          </w:p>
        </w:tc>
        <w:tc>
          <w:tcPr>
            <w:tcW w:w="7035" w:type="dxa"/>
            <w:vAlign w:val="center"/>
          </w:tcPr>
          <w:p w14:paraId="324D4842">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政府采购合同双方自签订之日起1个工作日内将合同原件一份交采购代理机构，采购代理机构将政府采购合同在省级以上人民政府财政部门指定媒体上公告。采购人于合同签订之日起7个工作日内将一份合同原件送本级财政部门备案，一份由欧邦工程管理集团有限公司存档。</w:t>
            </w:r>
          </w:p>
        </w:tc>
      </w:tr>
      <w:tr w14:paraId="27B6A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7DD7E13C">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w:t>
            </w:r>
          </w:p>
        </w:tc>
        <w:tc>
          <w:tcPr>
            <w:tcW w:w="942" w:type="dxa"/>
            <w:vAlign w:val="center"/>
          </w:tcPr>
          <w:p w14:paraId="0A5CD615">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c>
          <w:tcPr>
            <w:tcW w:w="1652" w:type="dxa"/>
            <w:vAlign w:val="center"/>
          </w:tcPr>
          <w:p w14:paraId="17ED06D5">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采购代理服务费</w:t>
            </w:r>
          </w:p>
        </w:tc>
        <w:tc>
          <w:tcPr>
            <w:tcW w:w="7035" w:type="dxa"/>
          </w:tcPr>
          <w:p w14:paraId="5147B561">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本项目</w:t>
            </w:r>
            <w:r>
              <w:rPr>
                <w:rFonts w:hint="eastAsia" w:ascii="宋体" w:hAnsi="宋体"/>
                <w:color w:val="000000" w:themeColor="text1"/>
                <w14:textFill>
                  <w14:solidFill>
                    <w14:schemeClr w14:val="tx1"/>
                  </w14:solidFill>
                </w14:textFill>
              </w:rPr>
              <w:t>采购代理服务费按本须知第30.2条</w:t>
            </w:r>
            <w:r>
              <w:rPr>
                <w:rFonts w:hint="eastAsia" w:ascii="宋体" w:hAnsi="宋体" w:cs="宋体"/>
                <w:color w:val="000000" w:themeColor="text1"/>
                <w14:textFill>
                  <w14:solidFill>
                    <w14:schemeClr w14:val="tx1"/>
                  </w14:solidFill>
                </w14:textFill>
              </w:rPr>
              <w:t>招标代理服务费标准参照计价格[2002]1980号《招标代理服务收费管理暂行办法》和《招标代理服务收费管理暂行办法》（桂价费[2</w:t>
            </w:r>
            <w:r>
              <w:rPr>
                <w:rFonts w:hint="eastAsia" w:ascii="宋体" w:hAnsi="宋体" w:cs="宋体"/>
                <w:color w:val="000000" w:themeColor="text1"/>
                <w:szCs w:val="21"/>
                <w14:textFill>
                  <w14:solidFill>
                    <w14:schemeClr w14:val="tx1"/>
                  </w14:solidFill>
                </w14:textFill>
              </w:rPr>
              <w:t>005]283号文）服务类收费标准下浮30%计算，由成交供应商在领取成交通知书前，向采购代理机构一次性支付（</w:t>
            </w:r>
            <w:r>
              <w:rPr>
                <w:rFonts w:hint="eastAsia" w:ascii="宋体" w:hAnsi="宋体" w:cs="宋体"/>
                <w:b/>
                <w:bCs/>
                <w:color w:val="000000" w:themeColor="text1"/>
                <w:szCs w:val="21"/>
                <w14:textFill>
                  <w14:solidFill>
                    <w14:schemeClr w14:val="tx1"/>
                  </w14:solidFill>
                </w14:textFill>
              </w:rPr>
              <w:t>如不足</w:t>
            </w:r>
            <w:r>
              <w:rPr>
                <w:rFonts w:hint="eastAsia" w:ascii="宋体" w:hAnsi="宋体" w:cs="宋体"/>
                <w:b/>
                <w:bCs/>
                <w:color w:val="000000" w:themeColor="text1"/>
                <w:szCs w:val="21"/>
                <w:lang w:val="en-US" w:eastAsia="zh-CN"/>
                <w14:textFill>
                  <w14:solidFill>
                    <w14:schemeClr w14:val="tx1"/>
                  </w14:solidFill>
                </w14:textFill>
              </w:rPr>
              <w:t>5</w:t>
            </w:r>
            <w:r>
              <w:rPr>
                <w:rFonts w:hint="eastAsia" w:ascii="宋体" w:hAnsi="宋体" w:cs="宋体"/>
                <w:b/>
                <w:bCs/>
                <w:color w:val="000000" w:themeColor="text1"/>
                <w:szCs w:val="21"/>
                <w14:textFill>
                  <w14:solidFill>
                    <w14:schemeClr w14:val="tx1"/>
                  </w14:solidFill>
                </w14:textFill>
              </w:rPr>
              <w:t>000.00元按</w:t>
            </w:r>
            <w:r>
              <w:rPr>
                <w:rFonts w:hint="eastAsia" w:ascii="宋体" w:hAnsi="宋体" w:cs="宋体"/>
                <w:b/>
                <w:bCs/>
                <w:color w:val="000000" w:themeColor="text1"/>
                <w:szCs w:val="21"/>
                <w:lang w:val="en-US" w:eastAsia="zh-CN"/>
                <w14:textFill>
                  <w14:solidFill>
                    <w14:schemeClr w14:val="tx1"/>
                  </w14:solidFill>
                </w14:textFill>
              </w:rPr>
              <w:t>5</w:t>
            </w:r>
            <w:r>
              <w:rPr>
                <w:rFonts w:hint="eastAsia" w:ascii="宋体" w:hAnsi="宋体" w:cs="宋体"/>
                <w:b/>
                <w:bCs/>
                <w:color w:val="000000" w:themeColor="text1"/>
                <w:szCs w:val="21"/>
                <w14:textFill>
                  <w14:solidFill>
                    <w14:schemeClr w14:val="tx1"/>
                  </w14:solidFill>
                </w14:textFill>
              </w:rPr>
              <w:t>000.00元收取</w:t>
            </w:r>
            <w:r>
              <w:rPr>
                <w:rFonts w:hint="eastAsia" w:ascii="宋体" w:hAnsi="宋体" w:cs="宋体"/>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根据本项目采购代理协议该“采购代理服务费”由中标人在成交公告发出之日起5个工作日内一次性向采购代理机构付清（否则，该不利后果由成交人承担）</w:t>
            </w:r>
            <w:r>
              <w:rPr>
                <w:rFonts w:hint="eastAsia" w:ascii="宋体" w:hAnsi="宋体"/>
                <w:color w:val="000000" w:themeColor="text1"/>
                <w:szCs w:val="21"/>
                <w14:textFill>
                  <w14:solidFill>
                    <w14:schemeClr w14:val="tx1"/>
                  </w14:solidFill>
                </w14:textFill>
              </w:rPr>
              <w:t>。</w:t>
            </w:r>
          </w:p>
        </w:tc>
      </w:tr>
      <w:tr w14:paraId="4E950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jc w:val="center"/>
        </w:trPr>
        <w:tc>
          <w:tcPr>
            <w:tcW w:w="662" w:type="dxa"/>
            <w:vAlign w:val="center"/>
          </w:tcPr>
          <w:p w14:paraId="6C6A74EF">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w:t>
            </w:r>
          </w:p>
        </w:tc>
        <w:tc>
          <w:tcPr>
            <w:tcW w:w="942" w:type="dxa"/>
            <w:vAlign w:val="center"/>
          </w:tcPr>
          <w:p w14:paraId="0EFA2846">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w:t>
            </w:r>
          </w:p>
        </w:tc>
        <w:tc>
          <w:tcPr>
            <w:tcW w:w="1652" w:type="dxa"/>
            <w:vAlign w:val="center"/>
          </w:tcPr>
          <w:p w14:paraId="63A3B6D8">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解释权</w:t>
            </w:r>
          </w:p>
        </w:tc>
        <w:tc>
          <w:tcPr>
            <w:tcW w:w="7035" w:type="dxa"/>
          </w:tcPr>
          <w:p w14:paraId="03858E0C">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bl>
    <w:p w14:paraId="46BB23BA">
      <w:pPr>
        <w:rPr>
          <w:rFonts w:ascii="宋体" w:hAnsi="宋体" w:cs="宋体"/>
          <w:color w:val="auto"/>
        </w:rPr>
      </w:pPr>
    </w:p>
    <w:p w14:paraId="4E63AE42">
      <w:pPr>
        <w:pStyle w:val="45"/>
        <w:rPr>
          <w:color w:val="auto"/>
        </w:rPr>
      </w:pPr>
      <w:bookmarkStart w:id="58" w:name="_Toc10058"/>
      <w:bookmarkStart w:id="59" w:name="_Toc22792"/>
    </w:p>
    <w:p w14:paraId="0BE3188D">
      <w:pPr>
        <w:pStyle w:val="19"/>
        <w:rPr>
          <w:rFonts w:ascii="宋体" w:hAnsi="宋体" w:cs="宋体"/>
          <w:b/>
          <w:color w:val="auto"/>
          <w:szCs w:val="28"/>
        </w:rPr>
      </w:pPr>
    </w:p>
    <w:p w14:paraId="0A2DB9DA">
      <w:pPr>
        <w:pStyle w:val="19"/>
        <w:rPr>
          <w:rFonts w:ascii="宋体" w:hAnsi="宋体" w:cs="宋体"/>
          <w:b/>
          <w:color w:val="auto"/>
          <w:szCs w:val="28"/>
        </w:rPr>
      </w:pPr>
    </w:p>
    <w:p w14:paraId="6E8C5110">
      <w:pPr>
        <w:pStyle w:val="19"/>
        <w:rPr>
          <w:rFonts w:ascii="宋体" w:hAnsi="宋体" w:cs="宋体"/>
          <w:b/>
          <w:color w:val="auto"/>
          <w:szCs w:val="28"/>
        </w:rPr>
      </w:pPr>
    </w:p>
    <w:p w14:paraId="6A908C74">
      <w:pPr>
        <w:pStyle w:val="19"/>
        <w:rPr>
          <w:rFonts w:ascii="宋体" w:hAnsi="宋体" w:cs="宋体"/>
          <w:b/>
          <w:color w:val="auto"/>
          <w:szCs w:val="28"/>
        </w:rPr>
      </w:pPr>
    </w:p>
    <w:p w14:paraId="3AFF6DC3">
      <w:pPr>
        <w:pStyle w:val="19"/>
        <w:rPr>
          <w:rFonts w:ascii="宋体" w:hAnsi="宋体" w:cs="宋体"/>
          <w:b/>
          <w:color w:val="auto"/>
          <w:szCs w:val="28"/>
        </w:rPr>
      </w:pPr>
    </w:p>
    <w:p w14:paraId="00C8C819">
      <w:pPr>
        <w:pStyle w:val="19"/>
        <w:rPr>
          <w:rFonts w:ascii="宋体" w:hAnsi="宋体" w:cs="宋体"/>
          <w:b/>
          <w:color w:val="auto"/>
          <w:szCs w:val="28"/>
        </w:rPr>
      </w:pPr>
    </w:p>
    <w:p w14:paraId="07B1DC72">
      <w:pPr>
        <w:pStyle w:val="19"/>
        <w:rPr>
          <w:rFonts w:ascii="宋体" w:hAnsi="宋体" w:cs="宋体"/>
          <w:b/>
          <w:color w:val="auto"/>
          <w:szCs w:val="28"/>
        </w:rPr>
      </w:pPr>
    </w:p>
    <w:p w14:paraId="72341E53">
      <w:pPr>
        <w:pStyle w:val="19"/>
        <w:rPr>
          <w:rFonts w:ascii="宋体" w:hAnsi="宋体" w:cs="宋体"/>
          <w:b/>
          <w:color w:val="auto"/>
          <w:szCs w:val="28"/>
        </w:rPr>
      </w:pPr>
    </w:p>
    <w:p w14:paraId="06AE1EF6">
      <w:pPr>
        <w:pStyle w:val="19"/>
        <w:rPr>
          <w:rFonts w:ascii="宋体" w:hAnsi="宋体" w:cs="宋体"/>
          <w:b/>
          <w:color w:val="auto"/>
          <w:szCs w:val="28"/>
        </w:rPr>
      </w:pPr>
    </w:p>
    <w:p w14:paraId="6DF61F54">
      <w:pPr>
        <w:pStyle w:val="19"/>
        <w:rPr>
          <w:rFonts w:ascii="宋体" w:hAnsi="宋体" w:cs="宋体"/>
          <w:b/>
          <w:color w:val="auto"/>
          <w:szCs w:val="28"/>
        </w:rPr>
      </w:pPr>
    </w:p>
    <w:p w14:paraId="1DC47712">
      <w:pPr>
        <w:pStyle w:val="19"/>
        <w:rPr>
          <w:rFonts w:ascii="宋体" w:hAnsi="宋体" w:cs="宋体"/>
          <w:b/>
          <w:color w:val="auto"/>
          <w:szCs w:val="28"/>
        </w:rPr>
      </w:pPr>
    </w:p>
    <w:p w14:paraId="4366075E">
      <w:pPr>
        <w:pStyle w:val="19"/>
        <w:rPr>
          <w:rFonts w:ascii="宋体" w:hAnsi="宋体" w:cs="宋体"/>
          <w:b/>
          <w:color w:val="auto"/>
          <w:szCs w:val="28"/>
        </w:rPr>
      </w:pPr>
    </w:p>
    <w:p w14:paraId="4FFB7434">
      <w:pPr>
        <w:pStyle w:val="19"/>
        <w:rPr>
          <w:rFonts w:ascii="宋体" w:hAnsi="宋体" w:cs="宋体"/>
          <w:b/>
          <w:color w:val="auto"/>
          <w:szCs w:val="28"/>
        </w:rPr>
      </w:pPr>
    </w:p>
    <w:p w14:paraId="62471D92">
      <w:pPr>
        <w:pStyle w:val="19"/>
        <w:rPr>
          <w:rFonts w:ascii="宋体" w:hAnsi="宋体" w:cs="宋体"/>
          <w:b/>
          <w:color w:val="auto"/>
          <w:szCs w:val="28"/>
        </w:rPr>
      </w:pPr>
    </w:p>
    <w:p w14:paraId="202F6014">
      <w:pPr>
        <w:pStyle w:val="19"/>
        <w:rPr>
          <w:rFonts w:ascii="宋体" w:hAnsi="宋体" w:cs="宋体"/>
          <w:b/>
          <w:color w:val="auto"/>
          <w:szCs w:val="28"/>
        </w:rPr>
      </w:pPr>
    </w:p>
    <w:p w14:paraId="29902398">
      <w:pPr>
        <w:pStyle w:val="19"/>
        <w:rPr>
          <w:rFonts w:ascii="宋体" w:hAnsi="宋体" w:cs="宋体"/>
          <w:b/>
          <w:color w:val="auto"/>
          <w:szCs w:val="28"/>
        </w:rPr>
      </w:pPr>
    </w:p>
    <w:p w14:paraId="642BCCD5">
      <w:pPr>
        <w:pStyle w:val="19"/>
        <w:rPr>
          <w:rFonts w:ascii="宋体" w:hAnsi="宋体" w:cs="宋体"/>
          <w:b/>
          <w:color w:val="auto"/>
          <w:szCs w:val="28"/>
        </w:rPr>
      </w:pPr>
    </w:p>
    <w:p w14:paraId="278DF6C4">
      <w:pPr>
        <w:pStyle w:val="19"/>
        <w:rPr>
          <w:rFonts w:ascii="宋体" w:hAnsi="宋体" w:cs="宋体"/>
          <w:b/>
          <w:color w:val="auto"/>
          <w:szCs w:val="28"/>
        </w:rPr>
      </w:pPr>
    </w:p>
    <w:p w14:paraId="2F078A5B">
      <w:pPr>
        <w:pStyle w:val="19"/>
        <w:rPr>
          <w:rFonts w:ascii="宋体" w:hAnsi="宋体" w:cs="宋体"/>
          <w:b/>
          <w:color w:val="auto"/>
          <w:szCs w:val="28"/>
        </w:rPr>
      </w:pPr>
    </w:p>
    <w:p w14:paraId="03B74031">
      <w:pPr>
        <w:pStyle w:val="19"/>
        <w:rPr>
          <w:rFonts w:ascii="宋体" w:hAnsi="宋体" w:cs="宋体"/>
          <w:b/>
          <w:color w:val="auto"/>
          <w:szCs w:val="28"/>
        </w:rPr>
      </w:pPr>
    </w:p>
    <w:p w14:paraId="443AB1F2">
      <w:pPr>
        <w:pStyle w:val="19"/>
        <w:rPr>
          <w:rFonts w:ascii="宋体" w:hAnsi="宋体" w:cs="宋体"/>
          <w:b/>
          <w:color w:val="auto"/>
          <w:szCs w:val="28"/>
        </w:rPr>
      </w:pPr>
    </w:p>
    <w:p w14:paraId="3C6C0FDD">
      <w:pPr>
        <w:pStyle w:val="19"/>
        <w:rPr>
          <w:rFonts w:ascii="宋体" w:hAnsi="宋体" w:cs="宋体"/>
          <w:b/>
          <w:color w:val="auto"/>
          <w:szCs w:val="28"/>
        </w:rPr>
      </w:pPr>
    </w:p>
    <w:p w14:paraId="1BEC8A2A">
      <w:pPr>
        <w:pStyle w:val="19"/>
        <w:rPr>
          <w:rFonts w:ascii="宋体" w:hAnsi="宋体" w:cs="宋体"/>
          <w:b/>
          <w:color w:val="auto"/>
          <w:szCs w:val="28"/>
        </w:rPr>
      </w:pPr>
    </w:p>
    <w:p w14:paraId="34FF8E85">
      <w:pPr>
        <w:pStyle w:val="19"/>
        <w:rPr>
          <w:rFonts w:ascii="宋体" w:hAnsi="宋体" w:cs="宋体"/>
          <w:b/>
          <w:color w:val="auto"/>
          <w:szCs w:val="28"/>
        </w:rPr>
      </w:pPr>
    </w:p>
    <w:p w14:paraId="1845B0CA">
      <w:pPr>
        <w:pStyle w:val="19"/>
        <w:rPr>
          <w:rFonts w:ascii="宋体" w:hAnsi="宋体" w:cs="宋体"/>
          <w:b/>
          <w:color w:val="auto"/>
          <w:szCs w:val="28"/>
        </w:rPr>
      </w:pPr>
    </w:p>
    <w:p w14:paraId="49DB6EF7">
      <w:pPr>
        <w:pStyle w:val="19"/>
        <w:rPr>
          <w:rFonts w:ascii="宋体" w:hAnsi="宋体" w:cs="宋体"/>
          <w:b/>
          <w:color w:val="auto"/>
          <w:szCs w:val="28"/>
        </w:rPr>
      </w:pPr>
    </w:p>
    <w:p w14:paraId="1FC04D08">
      <w:pPr>
        <w:pStyle w:val="19"/>
        <w:rPr>
          <w:rFonts w:ascii="宋体" w:hAnsi="宋体" w:cs="宋体"/>
          <w:b/>
          <w:color w:val="auto"/>
          <w:szCs w:val="28"/>
        </w:rPr>
      </w:pPr>
    </w:p>
    <w:p w14:paraId="11A62167">
      <w:pPr>
        <w:pStyle w:val="19"/>
        <w:rPr>
          <w:rFonts w:ascii="宋体" w:hAnsi="宋体" w:cs="宋体"/>
          <w:b/>
          <w:color w:val="auto"/>
          <w:szCs w:val="28"/>
        </w:rPr>
      </w:pPr>
    </w:p>
    <w:p w14:paraId="6A5AD59A">
      <w:pPr>
        <w:pStyle w:val="19"/>
        <w:rPr>
          <w:rFonts w:ascii="宋体" w:hAnsi="宋体" w:cs="宋体"/>
          <w:b/>
          <w:color w:val="auto"/>
          <w:szCs w:val="28"/>
        </w:rPr>
      </w:pPr>
    </w:p>
    <w:p w14:paraId="737179AD">
      <w:pPr>
        <w:pStyle w:val="19"/>
        <w:rPr>
          <w:rFonts w:ascii="宋体" w:hAnsi="宋体" w:cs="宋体"/>
          <w:b/>
          <w:color w:val="auto"/>
          <w:szCs w:val="28"/>
        </w:rPr>
      </w:pPr>
    </w:p>
    <w:p w14:paraId="4859A2E9">
      <w:pPr>
        <w:pStyle w:val="19"/>
        <w:rPr>
          <w:rFonts w:ascii="宋体" w:hAnsi="宋体" w:cs="宋体"/>
          <w:b/>
          <w:color w:val="auto"/>
          <w:szCs w:val="28"/>
        </w:rPr>
      </w:pPr>
    </w:p>
    <w:p w14:paraId="1915F027">
      <w:pPr>
        <w:pStyle w:val="19"/>
        <w:rPr>
          <w:rFonts w:ascii="宋体" w:hAnsi="宋体" w:cs="宋体"/>
          <w:b/>
          <w:color w:val="auto"/>
          <w:szCs w:val="28"/>
        </w:rPr>
      </w:pPr>
    </w:p>
    <w:p w14:paraId="29F07963">
      <w:pPr>
        <w:pStyle w:val="3"/>
        <w:jc w:val="center"/>
        <w:rPr>
          <w:rFonts w:ascii="宋体" w:hAnsi="宋体" w:cs="宋体"/>
          <w:b/>
          <w:bCs w:val="0"/>
          <w:color w:val="auto"/>
          <w:szCs w:val="28"/>
        </w:rPr>
      </w:pPr>
    </w:p>
    <w:p w14:paraId="00594802">
      <w:pPr>
        <w:rPr>
          <w:rFonts w:ascii="宋体" w:hAnsi="宋体" w:cs="宋体"/>
          <w:b/>
          <w:color w:val="auto"/>
          <w:szCs w:val="28"/>
        </w:rPr>
      </w:pPr>
      <w:r>
        <w:rPr>
          <w:rFonts w:hint="eastAsia" w:ascii="宋体" w:hAnsi="宋体" w:cs="宋体"/>
          <w:b/>
          <w:color w:val="auto"/>
          <w:szCs w:val="28"/>
        </w:rPr>
        <w:br w:type="page"/>
      </w:r>
    </w:p>
    <w:p w14:paraId="1B888439">
      <w:pPr>
        <w:pStyle w:val="3"/>
        <w:jc w:val="center"/>
        <w:rPr>
          <w:rFonts w:ascii="宋体" w:hAnsi="宋体" w:cs="宋体"/>
          <w:b/>
          <w:bCs w:val="0"/>
          <w:color w:val="auto"/>
          <w:szCs w:val="28"/>
        </w:rPr>
      </w:pPr>
      <w:r>
        <w:rPr>
          <w:rFonts w:hint="eastAsia" w:ascii="宋体" w:hAnsi="宋体" w:cs="宋体"/>
          <w:b/>
          <w:bCs w:val="0"/>
          <w:color w:val="auto"/>
          <w:szCs w:val="28"/>
        </w:rPr>
        <w:t>一、总则</w:t>
      </w:r>
      <w:bookmarkEnd w:id="58"/>
      <w:bookmarkEnd w:id="59"/>
    </w:p>
    <w:p w14:paraId="601953B7">
      <w:pPr>
        <w:pStyle w:val="4"/>
        <w:spacing w:line="360" w:lineRule="auto"/>
        <w:ind w:firstLine="420" w:firstLineChars="200"/>
        <w:rPr>
          <w:rFonts w:ascii="宋体" w:hAnsi="宋体" w:cs="宋体"/>
          <w:color w:val="auto"/>
          <w:sz w:val="21"/>
          <w:szCs w:val="21"/>
        </w:rPr>
      </w:pPr>
      <w:bookmarkStart w:id="60" w:name="_Toc24721"/>
      <w:bookmarkStart w:id="61" w:name="_Toc6626"/>
      <w:r>
        <w:rPr>
          <w:rFonts w:hint="eastAsia" w:ascii="宋体" w:hAnsi="宋体" w:cs="宋体"/>
          <w:color w:val="auto"/>
          <w:sz w:val="21"/>
          <w:szCs w:val="21"/>
        </w:rPr>
        <w:t>1. 适应范围</w:t>
      </w:r>
      <w:bookmarkEnd w:id="60"/>
      <w:bookmarkEnd w:id="61"/>
    </w:p>
    <w:p w14:paraId="2FB61977">
      <w:pPr>
        <w:spacing w:line="360" w:lineRule="exact"/>
        <w:ind w:firstLine="435"/>
        <w:rPr>
          <w:rFonts w:ascii="宋体" w:hAnsi="宋体" w:cs="宋体"/>
          <w:color w:val="auto"/>
          <w:szCs w:val="21"/>
        </w:rPr>
      </w:pPr>
      <w:r>
        <w:rPr>
          <w:rFonts w:hint="eastAsia" w:ascii="宋体" w:hAnsi="宋体" w:cs="宋体"/>
          <w:color w:val="auto"/>
          <w:szCs w:val="21"/>
        </w:rPr>
        <w:t>1.1  项目名称及项目编号：</w:t>
      </w:r>
    </w:p>
    <w:p w14:paraId="23D77E5E">
      <w:pPr>
        <w:spacing w:line="360" w:lineRule="auto"/>
        <w:ind w:firstLine="420" w:firstLineChars="200"/>
        <w:rPr>
          <w:rFonts w:ascii="宋体" w:hAnsi="宋体" w:cs="宋体"/>
          <w:color w:val="auto"/>
          <w:szCs w:val="21"/>
        </w:rPr>
      </w:pPr>
      <w:r>
        <w:rPr>
          <w:rFonts w:hint="eastAsia" w:ascii="宋体" w:hAnsi="宋体" w:cs="宋体"/>
          <w:color w:val="auto"/>
          <w:szCs w:val="21"/>
        </w:rPr>
        <w:t>项目名称：医用织物洗涤、租赁服务采购</w:t>
      </w:r>
    </w:p>
    <w:p w14:paraId="38AAB4A3">
      <w:pPr>
        <w:spacing w:line="360" w:lineRule="auto"/>
        <w:ind w:firstLine="420" w:firstLineChars="200"/>
        <w:rPr>
          <w:rFonts w:ascii="宋体" w:hAnsi="宋体" w:cs="宋体"/>
          <w:color w:val="auto"/>
          <w:szCs w:val="21"/>
        </w:rPr>
      </w:pPr>
      <w:r>
        <w:rPr>
          <w:rFonts w:hint="eastAsia" w:ascii="宋体" w:hAnsi="宋体" w:cs="宋体"/>
          <w:color w:val="auto"/>
          <w:szCs w:val="21"/>
        </w:rPr>
        <w:t>项目编号：</w:t>
      </w:r>
    </w:p>
    <w:p w14:paraId="03C076B2">
      <w:pPr>
        <w:spacing w:line="360" w:lineRule="exact"/>
        <w:ind w:firstLine="411" w:firstLineChars="196"/>
        <w:rPr>
          <w:rFonts w:ascii="宋体" w:hAnsi="宋体" w:cs="宋体"/>
          <w:color w:val="auto"/>
          <w:szCs w:val="21"/>
        </w:rPr>
      </w:pPr>
      <w:r>
        <w:rPr>
          <w:rFonts w:hint="eastAsia" w:ascii="宋体" w:hAnsi="宋体" w:cs="宋体"/>
          <w:color w:val="auto"/>
          <w:szCs w:val="21"/>
        </w:rPr>
        <w:t>1.2本竞争性磋商文件（以下简称磋商文件）适用于本磋商项目的磋商、评审、合同履约、验收、付款等行为（法律、法规另有规定的，从其规定）。</w:t>
      </w:r>
    </w:p>
    <w:p w14:paraId="0FED53D9">
      <w:pPr>
        <w:pStyle w:val="4"/>
        <w:spacing w:line="360" w:lineRule="auto"/>
        <w:ind w:firstLine="420" w:firstLineChars="200"/>
        <w:rPr>
          <w:rFonts w:ascii="宋体" w:hAnsi="宋体" w:cs="宋体"/>
          <w:color w:val="auto"/>
          <w:sz w:val="21"/>
          <w:szCs w:val="21"/>
        </w:rPr>
      </w:pPr>
      <w:bookmarkStart w:id="62" w:name="_Toc28336"/>
      <w:bookmarkStart w:id="63" w:name="_Toc3355"/>
      <w:r>
        <w:rPr>
          <w:rFonts w:hint="eastAsia" w:ascii="宋体" w:hAnsi="宋体" w:cs="宋体"/>
          <w:color w:val="auto"/>
          <w:sz w:val="21"/>
          <w:szCs w:val="21"/>
        </w:rPr>
        <w:t>2. 定义</w:t>
      </w:r>
      <w:bookmarkEnd w:id="62"/>
      <w:bookmarkEnd w:id="63"/>
    </w:p>
    <w:p w14:paraId="49BCFE1C">
      <w:pPr>
        <w:spacing w:line="360" w:lineRule="exact"/>
        <w:ind w:firstLine="435"/>
        <w:rPr>
          <w:rFonts w:ascii="宋体" w:hAnsi="宋体" w:cs="宋体"/>
          <w:color w:val="auto"/>
          <w:szCs w:val="21"/>
        </w:rPr>
      </w:pPr>
      <w:r>
        <w:rPr>
          <w:rFonts w:hint="eastAsia" w:ascii="宋体" w:hAnsi="宋体" w:cs="宋体"/>
          <w:color w:val="auto"/>
          <w:szCs w:val="21"/>
        </w:rPr>
        <w:t>2.1“供应商”是指符合本次采购项目的供应商资格并提交响应文件、参加磋商的供应商。如果该供应商在本次磋商中成交，即成为“成交供应商”。</w:t>
      </w:r>
    </w:p>
    <w:p w14:paraId="11A97AA8">
      <w:pPr>
        <w:spacing w:line="360" w:lineRule="exact"/>
        <w:ind w:firstLine="435"/>
        <w:rPr>
          <w:rFonts w:ascii="宋体" w:hAnsi="宋体" w:cs="宋体"/>
          <w:color w:val="auto"/>
          <w:szCs w:val="21"/>
        </w:rPr>
      </w:pPr>
      <w:r>
        <w:rPr>
          <w:rFonts w:hint="eastAsia" w:ascii="宋体" w:hAnsi="宋体" w:cs="宋体"/>
          <w:color w:val="auto"/>
          <w:szCs w:val="21"/>
        </w:rPr>
        <w:t>2.2“货物”系指按磋商文件规定，供应商须向采购人提供的一切设备、保险、税金、备品备件、工具、手册及其它有关技术资料和材料。</w:t>
      </w:r>
    </w:p>
    <w:p w14:paraId="27153065">
      <w:pPr>
        <w:spacing w:line="360" w:lineRule="exact"/>
        <w:ind w:firstLine="435"/>
        <w:rPr>
          <w:rFonts w:ascii="宋体" w:hAnsi="宋体" w:cs="宋体"/>
          <w:color w:val="auto"/>
          <w:szCs w:val="21"/>
        </w:rPr>
      </w:pPr>
      <w:r>
        <w:rPr>
          <w:rFonts w:hint="eastAsia" w:ascii="宋体" w:hAnsi="宋体" w:cs="宋体"/>
          <w:color w:val="auto"/>
          <w:szCs w:val="21"/>
        </w:rPr>
        <w:t>2.3“服务”系指按磋商文件规定，供应商须承担的安装、调试、技术协助、校准、培训、技术指导以及其他类似的义务。</w:t>
      </w:r>
    </w:p>
    <w:p w14:paraId="596DB8F4">
      <w:pPr>
        <w:spacing w:line="360" w:lineRule="exact"/>
        <w:ind w:firstLine="435"/>
        <w:rPr>
          <w:rFonts w:ascii="宋体" w:hAnsi="宋体" w:cs="宋体"/>
          <w:color w:val="auto"/>
          <w:szCs w:val="21"/>
        </w:rPr>
      </w:pPr>
      <w:r>
        <w:rPr>
          <w:rFonts w:hint="eastAsia" w:ascii="宋体" w:hAnsi="宋体" w:cs="宋体"/>
          <w:color w:val="auto"/>
          <w:szCs w:val="21"/>
        </w:rPr>
        <w:t>2.4“项目”系指供应商按磋商文件规定向采购人提供的货物和服务。</w:t>
      </w:r>
    </w:p>
    <w:p w14:paraId="524E6C68">
      <w:pPr>
        <w:spacing w:line="360" w:lineRule="exact"/>
        <w:ind w:firstLine="435"/>
        <w:rPr>
          <w:rFonts w:ascii="宋体" w:hAnsi="宋体" w:cs="宋体"/>
          <w:color w:val="auto"/>
          <w:szCs w:val="21"/>
        </w:rPr>
      </w:pPr>
      <w:r>
        <w:rPr>
          <w:rFonts w:hint="eastAsia" w:ascii="宋体" w:hAnsi="宋体" w:cs="宋体"/>
          <w:color w:val="auto"/>
          <w:szCs w:val="21"/>
        </w:rPr>
        <w:t>2.5“书面形式”包括信函、传真、电报等。</w:t>
      </w:r>
    </w:p>
    <w:p w14:paraId="7C3AEA2A">
      <w:pPr>
        <w:spacing w:line="360" w:lineRule="exact"/>
        <w:ind w:firstLine="435"/>
        <w:rPr>
          <w:rFonts w:ascii="宋体" w:hAnsi="宋体" w:cs="宋体"/>
          <w:b/>
          <w:color w:val="auto"/>
          <w:sz w:val="24"/>
        </w:rPr>
      </w:pPr>
      <w:r>
        <w:rPr>
          <w:rFonts w:hint="eastAsia" w:ascii="宋体" w:hAnsi="宋体" w:cs="宋体"/>
          <w:b/>
          <w:color w:val="auto"/>
          <w:sz w:val="24"/>
          <w:u w:val="single"/>
        </w:rPr>
        <w:t>2.</w:t>
      </w:r>
      <w:r>
        <w:rPr>
          <w:rFonts w:hint="eastAsia" w:ascii="宋体" w:hAnsi="宋体" w:cs="宋体"/>
          <w:b/>
          <w:color w:val="auto"/>
          <w:szCs w:val="21"/>
          <w:u w:val="single"/>
        </w:rPr>
        <w:t>6实质性要求：“采购需求”中的所有内容均为实质性要求，不允许负偏离，否则响应无效。</w:t>
      </w:r>
    </w:p>
    <w:p w14:paraId="3693B3BF">
      <w:pPr>
        <w:pStyle w:val="4"/>
        <w:spacing w:line="360" w:lineRule="auto"/>
        <w:ind w:firstLine="420" w:firstLineChars="200"/>
        <w:rPr>
          <w:rFonts w:ascii="宋体" w:hAnsi="宋体" w:cs="宋体"/>
          <w:color w:val="auto"/>
          <w:sz w:val="21"/>
          <w:szCs w:val="21"/>
        </w:rPr>
      </w:pPr>
      <w:bookmarkStart w:id="64" w:name="_Toc25441"/>
      <w:bookmarkStart w:id="65" w:name="_Toc23631"/>
      <w:r>
        <w:rPr>
          <w:rFonts w:hint="eastAsia" w:ascii="宋体" w:hAnsi="宋体" w:cs="宋体"/>
          <w:color w:val="auto"/>
          <w:sz w:val="21"/>
          <w:szCs w:val="21"/>
        </w:rPr>
        <w:t>3. 供应商资格</w:t>
      </w:r>
      <w:bookmarkEnd w:id="64"/>
      <w:bookmarkEnd w:id="65"/>
    </w:p>
    <w:p w14:paraId="04C01AF6">
      <w:pPr>
        <w:ind w:firstLine="420" w:firstLineChars="200"/>
        <w:rPr>
          <w:rFonts w:ascii="宋体" w:hAnsi="宋体" w:cs="宋体"/>
          <w:color w:val="auto"/>
          <w:szCs w:val="21"/>
        </w:rPr>
      </w:pPr>
      <w:bookmarkStart w:id="66" w:name="_Toc16496"/>
      <w:r>
        <w:rPr>
          <w:rFonts w:hint="eastAsia" w:ascii="宋体" w:hAnsi="宋体" w:cs="宋体"/>
          <w:color w:val="auto"/>
          <w:szCs w:val="21"/>
        </w:rPr>
        <w:t>3.1.满足《中华人民共和国政府采购法》第二十二条规定；</w:t>
      </w:r>
    </w:p>
    <w:p w14:paraId="6ACE8F20">
      <w:pPr>
        <w:ind w:firstLine="420" w:firstLineChars="200"/>
        <w:rPr>
          <w:rFonts w:ascii="宋体" w:hAnsi="宋体" w:cs="宋体"/>
          <w:color w:val="auto"/>
          <w:szCs w:val="21"/>
        </w:rPr>
      </w:pPr>
      <w:r>
        <w:rPr>
          <w:rFonts w:hint="eastAsia" w:ascii="宋体" w:hAnsi="宋体" w:cs="宋体"/>
          <w:color w:val="auto"/>
          <w:szCs w:val="21"/>
        </w:rPr>
        <w:t>3.2.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14:paraId="5A2F7780">
      <w:pPr>
        <w:ind w:firstLine="420" w:firstLineChars="200"/>
        <w:rPr>
          <w:rFonts w:ascii="宋体" w:hAnsi="宋体" w:cs="宋体"/>
          <w:color w:val="auto"/>
          <w:szCs w:val="21"/>
        </w:rPr>
      </w:pPr>
      <w:r>
        <w:rPr>
          <w:rFonts w:hint="eastAsia" w:ascii="宋体" w:hAnsi="宋体" w:cs="宋体"/>
          <w:color w:val="auto"/>
          <w:szCs w:val="21"/>
        </w:rPr>
        <w:t>3.3.落实政府采购政策需满足的资格要求：</w:t>
      </w:r>
      <w:r>
        <w:rPr>
          <w:rFonts w:hint="eastAsia" w:ascii="宋体" w:hAnsi="宋体" w:cs="宋体"/>
          <w:color w:val="auto"/>
          <w:kern w:val="0"/>
          <w:szCs w:val="21"/>
        </w:rPr>
        <w:t>本项目属于专门面向中小微企业采购</w:t>
      </w:r>
      <w:r>
        <w:rPr>
          <w:rFonts w:hint="eastAsia" w:ascii="宋体" w:hAnsi="宋体" w:cs="宋体"/>
          <w:color w:val="auto"/>
          <w:szCs w:val="21"/>
        </w:rPr>
        <w:t>。</w:t>
      </w:r>
    </w:p>
    <w:p w14:paraId="0B2D46EF">
      <w:pPr>
        <w:ind w:firstLine="420" w:firstLineChars="200"/>
        <w:rPr>
          <w:rFonts w:ascii="宋体" w:hAnsi="宋体" w:cs="宋体"/>
          <w:color w:val="auto"/>
          <w:szCs w:val="21"/>
        </w:rPr>
      </w:pPr>
      <w:r>
        <w:rPr>
          <w:rFonts w:hint="eastAsia" w:ascii="宋体" w:hAnsi="宋体" w:cs="宋体"/>
          <w:color w:val="auto"/>
          <w:szCs w:val="21"/>
        </w:rPr>
        <w:t>3.4.本项目的特定资格要求：无。</w:t>
      </w:r>
    </w:p>
    <w:p w14:paraId="3A0DECF4">
      <w:pPr>
        <w:pStyle w:val="15"/>
        <w:rPr>
          <w:color w:val="auto"/>
        </w:rPr>
      </w:pPr>
      <w:r>
        <w:rPr>
          <w:rFonts w:hint="eastAsia" w:ascii="宋体" w:hAnsi="宋体" w:cs="宋体"/>
          <w:b/>
          <w:bCs/>
          <w:color w:val="auto"/>
          <w:szCs w:val="21"/>
        </w:rPr>
        <w:t>3.5.本项目不接受联合体</w:t>
      </w:r>
      <w:r>
        <w:rPr>
          <w:rFonts w:hint="eastAsia" w:ascii="宋体" w:hAnsi="宋体" w:cs="宋体"/>
          <w:color w:val="auto"/>
          <w:szCs w:val="21"/>
        </w:rPr>
        <w:t>。</w:t>
      </w:r>
    </w:p>
    <w:p w14:paraId="3B08F69F">
      <w:pPr>
        <w:pStyle w:val="4"/>
        <w:spacing w:line="360" w:lineRule="auto"/>
        <w:ind w:firstLine="420" w:firstLineChars="200"/>
        <w:rPr>
          <w:rFonts w:ascii="宋体" w:hAnsi="宋体" w:cs="宋体"/>
          <w:color w:val="auto"/>
          <w:sz w:val="21"/>
          <w:szCs w:val="21"/>
        </w:rPr>
      </w:pPr>
      <w:bookmarkStart w:id="67" w:name="_Toc15983"/>
      <w:r>
        <w:rPr>
          <w:rFonts w:hint="eastAsia" w:ascii="宋体" w:hAnsi="宋体" w:cs="宋体"/>
          <w:color w:val="auto"/>
          <w:sz w:val="21"/>
          <w:szCs w:val="21"/>
        </w:rPr>
        <w:t>4. 磋商费用</w:t>
      </w:r>
      <w:bookmarkEnd w:id="66"/>
      <w:bookmarkEnd w:id="67"/>
    </w:p>
    <w:p w14:paraId="4DCB4C9E">
      <w:pPr>
        <w:tabs>
          <w:tab w:val="left" w:pos="1635"/>
        </w:tabs>
        <w:spacing w:line="360" w:lineRule="exact"/>
        <w:ind w:firstLine="435"/>
        <w:rPr>
          <w:rFonts w:ascii="宋体" w:hAnsi="宋体" w:cs="宋体"/>
          <w:color w:val="auto"/>
          <w:szCs w:val="21"/>
        </w:rPr>
      </w:pPr>
      <w:r>
        <w:rPr>
          <w:rFonts w:hint="eastAsia" w:ascii="宋体" w:hAnsi="宋体" w:cs="宋体"/>
          <w:color w:val="auto"/>
          <w:szCs w:val="21"/>
        </w:rPr>
        <w:t>不论磋商结果如何，供应商均应自行承担所有与磋商有关的全部费用。</w:t>
      </w:r>
    </w:p>
    <w:p w14:paraId="79FE718C">
      <w:pPr>
        <w:pStyle w:val="4"/>
        <w:numPr>
          <w:ilvl w:val="0"/>
          <w:numId w:val="2"/>
        </w:numPr>
        <w:spacing w:line="360" w:lineRule="auto"/>
        <w:ind w:firstLine="420" w:firstLineChars="200"/>
        <w:rPr>
          <w:rFonts w:ascii="宋体" w:hAnsi="宋体" w:cs="宋体"/>
          <w:color w:val="auto"/>
          <w:sz w:val="21"/>
          <w:szCs w:val="21"/>
        </w:rPr>
      </w:pPr>
      <w:bookmarkStart w:id="68" w:name="_Toc31376"/>
      <w:bookmarkStart w:id="69" w:name="_Toc6933"/>
      <w:r>
        <w:rPr>
          <w:rFonts w:hint="eastAsia" w:ascii="宋体" w:hAnsi="宋体" w:cs="宋体"/>
          <w:color w:val="auto"/>
          <w:sz w:val="21"/>
          <w:szCs w:val="21"/>
        </w:rPr>
        <w:t>联合体要求</w:t>
      </w:r>
      <w:bookmarkEnd w:id="68"/>
      <w:bookmarkEnd w:id="69"/>
    </w:p>
    <w:p w14:paraId="07C9BBFF">
      <w:pPr>
        <w:spacing w:line="360" w:lineRule="exact"/>
        <w:ind w:firstLine="420" w:firstLineChars="200"/>
        <w:rPr>
          <w:rFonts w:ascii="宋体" w:hAnsi="宋体" w:cs="宋体"/>
          <w:bCs/>
          <w:color w:val="auto"/>
          <w:szCs w:val="21"/>
        </w:rPr>
      </w:pPr>
      <w:r>
        <w:rPr>
          <w:rFonts w:hint="eastAsia" w:ascii="宋体" w:hAnsi="宋体" w:cs="宋体"/>
          <w:bCs/>
          <w:color w:val="auto"/>
          <w:szCs w:val="21"/>
        </w:rPr>
        <w:t>本项目不接受联合体参与磋商</w:t>
      </w:r>
    </w:p>
    <w:p w14:paraId="1E29D403">
      <w:pPr>
        <w:pStyle w:val="4"/>
        <w:spacing w:line="360" w:lineRule="auto"/>
        <w:ind w:firstLine="420" w:firstLineChars="200"/>
        <w:rPr>
          <w:rFonts w:ascii="宋体" w:hAnsi="宋体" w:cs="宋体"/>
          <w:color w:val="auto"/>
          <w:sz w:val="21"/>
          <w:szCs w:val="21"/>
        </w:rPr>
      </w:pPr>
      <w:bookmarkStart w:id="70" w:name="_Toc4152"/>
      <w:bookmarkStart w:id="71" w:name="_Toc16359"/>
      <w:r>
        <w:rPr>
          <w:rFonts w:hint="eastAsia" w:ascii="宋体" w:hAnsi="宋体" w:cs="宋体"/>
          <w:color w:val="auto"/>
          <w:sz w:val="21"/>
          <w:szCs w:val="21"/>
        </w:rPr>
        <w:t>6. 质疑和投诉</w:t>
      </w:r>
      <w:bookmarkEnd w:id="70"/>
      <w:bookmarkEnd w:id="71"/>
      <w:r>
        <w:rPr>
          <w:rFonts w:hint="eastAsia" w:ascii="宋体" w:hAnsi="宋体" w:cs="宋体"/>
          <w:color w:val="auto"/>
          <w:sz w:val="21"/>
          <w:szCs w:val="21"/>
        </w:rPr>
        <w:tab/>
      </w:r>
    </w:p>
    <w:p w14:paraId="0C8CD0FC">
      <w:pPr>
        <w:tabs>
          <w:tab w:val="left" w:pos="2190"/>
        </w:tabs>
        <w:spacing w:line="360" w:lineRule="exact"/>
        <w:ind w:firstLine="435"/>
        <w:rPr>
          <w:rFonts w:ascii="宋体" w:hAnsi="宋体" w:cs="宋体"/>
          <w:color w:val="auto"/>
          <w:szCs w:val="21"/>
        </w:rPr>
      </w:pPr>
      <w:bookmarkStart w:id="72" w:name="_Toc26087"/>
      <w:bookmarkStart w:id="73" w:name="_Toc8195"/>
      <w:r>
        <w:rPr>
          <w:rFonts w:hint="eastAsia" w:ascii="宋体" w:hAnsi="宋体" w:cs="宋体"/>
          <w:color w:val="auto"/>
          <w:szCs w:val="21"/>
        </w:rPr>
        <w:t>6.1供应对政府采购活动事项有。疑问的，可以向采购人提出询问。</w:t>
      </w:r>
    </w:p>
    <w:p w14:paraId="700CC9DE">
      <w:pPr>
        <w:tabs>
          <w:tab w:val="left" w:pos="2190"/>
        </w:tabs>
        <w:spacing w:line="360" w:lineRule="exact"/>
        <w:ind w:firstLine="435"/>
        <w:rPr>
          <w:rFonts w:ascii="宋体" w:hAnsi="宋体" w:cs="宋体"/>
          <w:color w:val="auto"/>
          <w:szCs w:val="21"/>
        </w:rPr>
      </w:pPr>
      <w:r>
        <w:rPr>
          <w:rFonts w:hint="eastAsia" w:ascii="宋体" w:hAnsi="宋体" w:cs="宋体"/>
          <w:color w:val="auto"/>
          <w:szCs w:val="21"/>
        </w:rPr>
        <w:t>6.2供应商认为磋商文件使自己的合法权益受到损害的，应当在竞争性磋商公告期限届满之日起七个工作日内，以书面形式向采购代理机构（欧邦工程管理集团有限公司）提出质疑。供应商认为采购过程或成交结果使自己的合法权益受到损害的，应当在各采购程序环节结束之日起七个工作日内，以书面形式向采购代理机构（欧邦工程管理集团有限公司）提出质疑。采购代理机构应认真做好质疑处理工作。</w:t>
      </w:r>
    </w:p>
    <w:p w14:paraId="4BB1B84E">
      <w:pPr>
        <w:tabs>
          <w:tab w:val="left" w:pos="2190"/>
        </w:tabs>
        <w:spacing w:line="360" w:lineRule="exact"/>
        <w:ind w:firstLine="435"/>
        <w:rPr>
          <w:rFonts w:ascii="宋体" w:hAnsi="宋体" w:cs="宋体"/>
          <w:color w:val="auto"/>
          <w:szCs w:val="21"/>
        </w:rPr>
      </w:pPr>
      <w:r>
        <w:rPr>
          <w:rFonts w:hint="eastAsia" w:ascii="宋体" w:hAnsi="宋体" w:cs="宋体"/>
          <w:color w:val="auto"/>
          <w:szCs w:val="21"/>
        </w:rPr>
        <w:t>6.3供应商对采购代理机构的质疑答复不满意或者采购代理机构未在规定的时间内作出答复的，可以在答复期满后十五个工作日内向本级财政部门投诉。</w:t>
      </w:r>
    </w:p>
    <w:p w14:paraId="0518E173">
      <w:pPr>
        <w:tabs>
          <w:tab w:val="left" w:pos="2190"/>
        </w:tabs>
        <w:spacing w:line="360" w:lineRule="exact"/>
        <w:ind w:firstLine="435"/>
        <w:rPr>
          <w:rFonts w:ascii="宋体" w:hAnsi="宋体" w:cs="宋体"/>
          <w:color w:val="auto"/>
          <w:szCs w:val="21"/>
        </w:rPr>
      </w:pPr>
      <w:r>
        <w:rPr>
          <w:rFonts w:hint="eastAsia" w:ascii="宋体" w:hAnsi="宋体" w:cs="宋体"/>
          <w:color w:val="auto"/>
          <w:szCs w:val="21"/>
        </w:rPr>
        <w:t>6.4质疑、投诉应当采用书面形式，质疑书、投诉书实行实名制，均应明确阐述磋商文件、采购过程或成交结果中使自己合法权益受到损害的实质性内容，提供相关事实、明确的请求，并提供必要的证明材料。质疑函格式详见附件。</w:t>
      </w:r>
    </w:p>
    <w:p w14:paraId="37802475">
      <w:pPr>
        <w:tabs>
          <w:tab w:val="left" w:pos="2190"/>
        </w:tabs>
        <w:spacing w:line="360" w:lineRule="exact"/>
        <w:ind w:firstLine="420" w:firstLineChars="200"/>
        <w:rPr>
          <w:rFonts w:ascii="宋体" w:hAnsi="宋体" w:cs="宋体"/>
          <w:color w:val="auto"/>
          <w:szCs w:val="21"/>
        </w:rPr>
      </w:pPr>
      <w:r>
        <w:rPr>
          <w:rFonts w:hint="eastAsia" w:ascii="宋体" w:hAnsi="宋体" w:cs="宋体"/>
          <w:color w:val="auto"/>
          <w:szCs w:val="21"/>
        </w:rPr>
        <w:t>6.5质疑联系方式详见公告。</w:t>
      </w:r>
    </w:p>
    <w:p w14:paraId="6F1B35A1">
      <w:pPr>
        <w:spacing w:line="400" w:lineRule="exact"/>
        <w:ind w:firstLine="420" w:firstLineChars="200"/>
        <w:rPr>
          <w:rFonts w:ascii="宋体" w:hAnsi="宋体" w:cs="宋体"/>
          <w:color w:val="auto"/>
          <w:kern w:val="0"/>
          <w:szCs w:val="21"/>
        </w:rPr>
      </w:pPr>
      <w:r>
        <w:rPr>
          <w:rFonts w:hint="eastAsia" w:ascii="宋体" w:hAnsi="宋体" w:cs="宋体"/>
          <w:color w:val="auto"/>
          <w:szCs w:val="21"/>
        </w:rPr>
        <w:t>6.6 投诉联系部门：</w:t>
      </w:r>
      <w:bookmarkEnd w:id="72"/>
      <w:bookmarkEnd w:id="73"/>
      <w:r>
        <w:rPr>
          <w:rFonts w:hint="eastAsia" w:ascii="宋体" w:hAnsi="宋体" w:cs="宋体"/>
          <w:color w:val="auto"/>
          <w:szCs w:val="21"/>
        </w:rPr>
        <w:t>桂林市政府采购管理办公室</w:t>
      </w:r>
      <w:r>
        <w:rPr>
          <w:rFonts w:hint="eastAsia" w:ascii="宋体" w:hAnsi="宋体" w:cs="宋体"/>
          <w:color w:val="auto"/>
          <w:kern w:val="0"/>
          <w:szCs w:val="21"/>
        </w:rPr>
        <w:t xml:space="preserve">   联系电话：</w:t>
      </w:r>
      <w:r>
        <w:rPr>
          <w:rFonts w:hint="eastAsia" w:ascii="宋体" w:hAnsi="宋体" w:cs="宋体"/>
          <w:color w:val="auto"/>
          <w:szCs w:val="21"/>
        </w:rPr>
        <w:t>0773-2829504</w:t>
      </w:r>
    </w:p>
    <w:p w14:paraId="2AFF257C">
      <w:pPr>
        <w:pStyle w:val="46"/>
        <w:ind w:firstLine="420" w:firstLineChars="200"/>
        <w:jc w:val="both"/>
        <w:rPr>
          <w:rFonts w:ascii="宋体" w:hAnsi="宋体" w:cs="宋体"/>
          <w:color w:val="auto"/>
          <w:sz w:val="21"/>
          <w:szCs w:val="21"/>
        </w:rPr>
      </w:pPr>
      <w:r>
        <w:rPr>
          <w:rFonts w:hint="eastAsia" w:ascii="宋体" w:hAnsi="宋体" w:cs="宋体"/>
          <w:color w:val="auto"/>
          <w:sz w:val="21"/>
          <w:szCs w:val="21"/>
        </w:rPr>
        <w:t>6.7 供应商在法定质疑期内应当一次性提出针对同一采购程序环节的质疑。</w:t>
      </w:r>
    </w:p>
    <w:p w14:paraId="3E2A164C">
      <w:pPr>
        <w:pStyle w:val="46"/>
        <w:ind w:firstLine="420" w:firstLineChars="200"/>
        <w:jc w:val="left"/>
        <w:rPr>
          <w:rFonts w:ascii="宋体" w:hAnsi="宋体" w:cs="宋体"/>
          <w:color w:val="auto"/>
          <w:sz w:val="21"/>
          <w:szCs w:val="21"/>
        </w:rPr>
      </w:pPr>
      <w:r>
        <w:rPr>
          <w:rFonts w:hint="eastAsia" w:ascii="宋体" w:hAnsi="宋体" w:cs="宋体"/>
          <w:color w:val="auto"/>
          <w:sz w:val="21"/>
          <w:szCs w:val="21"/>
        </w:rPr>
        <w:t>6.8 不在法定质疑期内提出的质疑函可以拒收。不符合要求的质疑函在法定质疑期内及时补充完整，否则作质疑不成立处理。</w:t>
      </w:r>
    </w:p>
    <w:p w14:paraId="0CFFA4CD">
      <w:pPr>
        <w:pStyle w:val="4"/>
        <w:spacing w:line="360" w:lineRule="auto"/>
        <w:ind w:firstLine="420" w:firstLineChars="200"/>
        <w:rPr>
          <w:rFonts w:ascii="宋体" w:hAnsi="宋体" w:cs="宋体"/>
          <w:color w:val="auto"/>
          <w:sz w:val="21"/>
          <w:szCs w:val="21"/>
        </w:rPr>
      </w:pPr>
      <w:bookmarkStart w:id="74" w:name="_Toc6998"/>
      <w:bookmarkStart w:id="75" w:name="_Toc13910"/>
      <w:r>
        <w:rPr>
          <w:rFonts w:hint="eastAsia" w:ascii="宋体" w:hAnsi="宋体" w:cs="宋体"/>
          <w:color w:val="auto"/>
          <w:sz w:val="21"/>
          <w:szCs w:val="21"/>
        </w:rPr>
        <w:t>7. 转包与分包</w:t>
      </w:r>
      <w:bookmarkEnd w:id="74"/>
      <w:bookmarkEnd w:id="75"/>
    </w:p>
    <w:p w14:paraId="38FD5E35">
      <w:pPr>
        <w:tabs>
          <w:tab w:val="left" w:pos="2190"/>
        </w:tabs>
        <w:spacing w:line="360" w:lineRule="exact"/>
        <w:ind w:firstLine="435"/>
        <w:rPr>
          <w:rFonts w:ascii="宋体" w:hAnsi="宋体" w:cs="宋体"/>
          <w:color w:val="auto"/>
          <w:szCs w:val="21"/>
        </w:rPr>
      </w:pPr>
      <w:r>
        <w:rPr>
          <w:rFonts w:hint="eastAsia" w:ascii="宋体" w:hAnsi="宋体" w:cs="宋体"/>
          <w:color w:val="auto"/>
          <w:szCs w:val="21"/>
        </w:rPr>
        <w:t>7.1 本项目不允许转包。</w:t>
      </w:r>
    </w:p>
    <w:p w14:paraId="00B86CE1">
      <w:pPr>
        <w:tabs>
          <w:tab w:val="left" w:pos="2190"/>
        </w:tabs>
        <w:spacing w:line="360" w:lineRule="exact"/>
        <w:ind w:firstLine="435"/>
        <w:rPr>
          <w:rFonts w:ascii="宋体" w:hAnsi="宋体" w:cs="宋体"/>
          <w:color w:val="auto"/>
          <w:szCs w:val="21"/>
        </w:rPr>
      </w:pPr>
      <w:r>
        <w:rPr>
          <w:rFonts w:hint="eastAsia" w:ascii="宋体" w:hAnsi="宋体" w:cs="宋体"/>
          <w:color w:val="auto"/>
          <w:szCs w:val="21"/>
        </w:rPr>
        <w:t>7.2 本项目不可以分包。</w:t>
      </w:r>
    </w:p>
    <w:p w14:paraId="584B3158">
      <w:pPr>
        <w:pStyle w:val="4"/>
        <w:spacing w:line="360" w:lineRule="auto"/>
        <w:ind w:firstLine="420" w:firstLineChars="200"/>
        <w:rPr>
          <w:rFonts w:ascii="宋体" w:hAnsi="宋体" w:cs="宋体"/>
          <w:color w:val="auto"/>
          <w:sz w:val="21"/>
          <w:szCs w:val="21"/>
        </w:rPr>
      </w:pPr>
      <w:bookmarkStart w:id="76" w:name="_Toc3368"/>
      <w:bookmarkStart w:id="77" w:name="_Toc9415"/>
      <w:r>
        <w:rPr>
          <w:rFonts w:hint="eastAsia" w:ascii="宋体" w:hAnsi="宋体" w:cs="宋体"/>
          <w:color w:val="auto"/>
          <w:sz w:val="21"/>
          <w:szCs w:val="21"/>
        </w:rPr>
        <w:t>8. 特别说明</w:t>
      </w:r>
      <w:bookmarkEnd w:id="76"/>
      <w:bookmarkEnd w:id="77"/>
    </w:p>
    <w:p w14:paraId="5DE9F210">
      <w:pPr>
        <w:tabs>
          <w:tab w:val="left" w:pos="1635"/>
        </w:tabs>
        <w:spacing w:line="360" w:lineRule="exact"/>
        <w:ind w:firstLine="420" w:firstLineChars="200"/>
        <w:rPr>
          <w:rFonts w:ascii="宋体" w:hAnsi="宋体" w:cs="宋体"/>
          <w:b/>
          <w:color w:val="auto"/>
          <w:szCs w:val="21"/>
        </w:rPr>
      </w:pPr>
      <w:r>
        <w:rPr>
          <w:rFonts w:hint="eastAsia" w:ascii="宋体" w:hAnsi="宋体" w:cs="宋体"/>
          <w:b/>
          <w:color w:val="auto"/>
          <w:szCs w:val="21"/>
        </w:rPr>
        <w:t>8.1关联供应商不得参加同一合同项下政府采购活动，否则响应文件将被视为无效：</w:t>
      </w:r>
    </w:p>
    <w:p w14:paraId="651AF573">
      <w:pPr>
        <w:tabs>
          <w:tab w:val="left" w:pos="1635"/>
        </w:tabs>
        <w:spacing w:line="360" w:lineRule="exact"/>
        <w:ind w:firstLine="420" w:firstLineChars="200"/>
        <w:rPr>
          <w:rFonts w:ascii="宋体" w:hAnsi="宋体" w:cs="宋体"/>
          <w:color w:val="auto"/>
          <w:szCs w:val="21"/>
        </w:rPr>
      </w:pPr>
      <w:r>
        <w:rPr>
          <w:rFonts w:hint="eastAsia" w:ascii="宋体" w:hAnsi="宋体" w:cs="宋体"/>
          <w:color w:val="auto"/>
          <w:szCs w:val="21"/>
        </w:rPr>
        <w:t>（1）单位负责人为同一人或者存在直接控股、管理关系的，不得参加同一合同项下的政府采购活动。</w:t>
      </w:r>
    </w:p>
    <w:p w14:paraId="79284BA0">
      <w:pPr>
        <w:tabs>
          <w:tab w:val="left" w:pos="1635"/>
        </w:tabs>
        <w:spacing w:line="360" w:lineRule="exact"/>
        <w:ind w:firstLine="420" w:firstLineChars="200"/>
        <w:rPr>
          <w:rFonts w:ascii="宋体" w:hAnsi="宋体" w:cs="宋体"/>
          <w:color w:val="auto"/>
          <w:szCs w:val="21"/>
        </w:rPr>
      </w:pPr>
      <w:r>
        <w:rPr>
          <w:rFonts w:hint="eastAsia" w:ascii="宋体" w:hAnsi="宋体" w:cs="宋体"/>
          <w:color w:val="auto"/>
          <w:szCs w:val="21"/>
        </w:rPr>
        <w:t>（2）为本采购项目提供整体设计、规范编制或者项目管理、监理、检测等服务的供应商，不得再参加本次采购活动。</w:t>
      </w:r>
    </w:p>
    <w:p w14:paraId="0F90DEF1">
      <w:pPr>
        <w:tabs>
          <w:tab w:val="left" w:pos="1635"/>
        </w:tabs>
        <w:spacing w:line="360" w:lineRule="exact"/>
        <w:ind w:firstLine="435"/>
        <w:rPr>
          <w:rFonts w:ascii="宋体" w:hAnsi="宋体" w:cs="宋体"/>
          <w:b/>
          <w:bCs/>
          <w:color w:val="auto"/>
          <w:szCs w:val="21"/>
        </w:rPr>
      </w:pPr>
      <w:r>
        <w:rPr>
          <w:rFonts w:hint="eastAsia" w:ascii="宋体" w:hAnsi="宋体" w:cs="宋体"/>
          <w:b/>
          <w:color w:val="auto"/>
          <w:szCs w:val="21"/>
        </w:rPr>
        <w:t>8.2</w:t>
      </w:r>
      <w:r>
        <w:rPr>
          <w:rFonts w:hint="eastAsia" w:ascii="宋体" w:hAnsi="宋体" w:cs="宋体"/>
          <w:b/>
          <w:bCs/>
          <w:color w:val="auto"/>
          <w:szCs w:val="21"/>
        </w:rPr>
        <w:t>提供相同品牌产品的不同供应商参加同一合同项下磋商的，以其中通过资格审查、符合性审查且最后报价最低的参加评审，最后报价相同的，由采购人自主选择确定一个参加评审的供应商，其他报价无效。非单一产品采购项目中，多家供应商提供的核心产品品牌相同的，视为提供相同品牌产品。</w:t>
      </w:r>
    </w:p>
    <w:p w14:paraId="6E48115D">
      <w:pPr>
        <w:pStyle w:val="11"/>
        <w:rPr>
          <w:rFonts w:ascii="宋体" w:hAnsi="宋体" w:cs="宋体"/>
          <w:color w:val="auto"/>
        </w:rPr>
      </w:pPr>
    </w:p>
    <w:p w14:paraId="495BEA5D">
      <w:pPr>
        <w:pStyle w:val="3"/>
        <w:jc w:val="center"/>
        <w:rPr>
          <w:rFonts w:ascii="宋体" w:hAnsi="宋体" w:cs="宋体"/>
          <w:b/>
          <w:bCs w:val="0"/>
          <w:color w:val="auto"/>
          <w:szCs w:val="28"/>
        </w:rPr>
      </w:pPr>
      <w:bookmarkStart w:id="78" w:name="_Toc8933"/>
      <w:bookmarkStart w:id="79" w:name="_Toc22498"/>
      <w:r>
        <w:rPr>
          <w:rFonts w:hint="eastAsia" w:ascii="宋体" w:hAnsi="宋体" w:cs="宋体"/>
          <w:b/>
          <w:bCs w:val="0"/>
          <w:color w:val="auto"/>
          <w:szCs w:val="28"/>
        </w:rPr>
        <w:t>二、磋商文件</w:t>
      </w:r>
      <w:bookmarkEnd w:id="78"/>
      <w:bookmarkEnd w:id="79"/>
    </w:p>
    <w:p w14:paraId="4900522B">
      <w:pPr>
        <w:pStyle w:val="4"/>
        <w:spacing w:line="360" w:lineRule="auto"/>
        <w:ind w:firstLine="420" w:firstLineChars="200"/>
        <w:rPr>
          <w:rFonts w:ascii="宋体" w:hAnsi="宋体" w:cs="宋体"/>
          <w:color w:val="auto"/>
          <w:sz w:val="21"/>
          <w:szCs w:val="21"/>
          <w:lang w:val="pt-BR"/>
        </w:rPr>
      </w:pPr>
      <w:bookmarkStart w:id="80" w:name="_Toc20523"/>
      <w:bookmarkStart w:id="81" w:name="_Toc18964"/>
      <w:r>
        <w:rPr>
          <w:rFonts w:hint="eastAsia" w:ascii="宋体" w:hAnsi="宋体" w:cs="宋体"/>
          <w:color w:val="auto"/>
          <w:sz w:val="21"/>
          <w:szCs w:val="21"/>
          <w:lang w:val="pt-BR"/>
        </w:rPr>
        <w:t xml:space="preserve">9. </w:t>
      </w:r>
      <w:r>
        <w:rPr>
          <w:rFonts w:hint="eastAsia" w:ascii="宋体" w:hAnsi="宋体" w:cs="宋体"/>
          <w:color w:val="auto"/>
          <w:sz w:val="21"/>
          <w:szCs w:val="21"/>
        </w:rPr>
        <w:t>磋商文件的构成</w:t>
      </w:r>
      <w:bookmarkEnd w:id="80"/>
      <w:bookmarkEnd w:id="81"/>
    </w:p>
    <w:p w14:paraId="42ED716B">
      <w:pPr>
        <w:spacing w:line="360" w:lineRule="auto"/>
        <w:ind w:firstLine="420" w:firstLineChars="200"/>
        <w:rPr>
          <w:rFonts w:ascii="宋体" w:hAnsi="宋体" w:cs="宋体"/>
          <w:color w:val="auto"/>
          <w:szCs w:val="21"/>
        </w:rPr>
      </w:pPr>
      <w:r>
        <w:rPr>
          <w:rFonts w:hint="eastAsia" w:ascii="宋体" w:hAnsi="宋体" w:cs="宋体"/>
          <w:color w:val="auto"/>
          <w:szCs w:val="21"/>
        </w:rPr>
        <w:t>（1）竞争性磋商公告；</w:t>
      </w:r>
    </w:p>
    <w:p w14:paraId="47EDD879">
      <w:pPr>
        <w:spacing w:line="360" w:lineRule="auto"/>
        <w:ind w:firstLine="420" w:firstLineChars="200"/>
        <w:rPr>
          <w:rFonts w:ascii="宋体" w:hAnsi="宋体" w:cs="宋体"/>
          <w:color w:val="auto"/>
          <w:szCs w:val="21"/>
        </w:rPr>
      </w:pPr>
      <w:r>
        <w:rPr>
          <w:rFonts w:hint="eastAsia" w:ascii="宋体" w:hAnsi="宋体" w:cs="宋体"/>
          <w:color w:val="auto"/>
          <w:szCs w:val="21"/>
        </w:rPr>
        <w:t>（2）供应商须知；</w:t>
      </w:r>
    </w:p>
    <w:p w14:paraId="66B27FE5">
      <w:pPr>
        <w:spacing w:line="360" w:lineRule="auto"/>
        <w:ind w:firstLine="420" w:firstLineChars="200"/>
        <w:rPr>
          <w:rFonts w:ascii="宋体" w:hAnsi="宋体" w:cs="宋体"/>
          <w:b/>
          <w:color w:val="auto"/>
          <w:szCs w:val="21"/>
        </w:rPr>
      </w:pPr>
      <w:r>
        <w:rPr>
          <w:rFonts w:hint="eastAsia" w:ascii="宋体" w:hAnsi="宋体" w:cs="宋体"/>
          <w:color w:val="auto"/>
          <w:szCs w:val="21"/>
        </w:rPr>
        <w:t>（3）采购需求</w:t>
      </w:r>
      <w:r>
        <w:rPr>
          <w:rFonts w:hint="eastAsia" w:ascii="宋体" w:hAnsi="宋体" w:cs="宋体"/>
          <w:bCs/>
          <w:color w:val="auto"/>
          <w:szCs w:val="21"/>
        </w:rPr>
        <w:t>；</w:t>
      </w:r>
    </w:p>
    <w:p w14:paraId="0FA6750E">
      <w:pPr>
        <w:spacing w:line="360" w:lineRule="auto"/>
        <w:ind w:firstLine="420" w:firstLineChars="200"/>
        <w:rPr>
          <w:rFonts w:ascii="宋体" w:hAnsi="宋体" w:cs="宋体"/>
          <w:color w:val="auto"/>
          <w:szCs w:val="21"/>
        </w:rPr>
      </w:pPr>
      <w:r>
        <w:rPr>
          <w:rFonts w:hint="eastAsia" w:ascii="宋体" w:hAnsi="宋体" w:cs="宋体"/>
          <w:color w:val="auto"/>
          <w:szCs w:val="21"/>
        </w:rPr>
        <w:t>（4）评审办法；</w:t>
      </w:r>
    </w:p>
    <w:p w14:paraId="37DD4D44">
      <w:pPr>
        <w:spacing w:line="360" w:lineRule="auto"/>
        <w:ind w:firstLine="420" w:firstLineChars="200"/>
        <w:rPr>
          <w:rFonts w:ascii="宋体" w:hAnsi="宋体" w:cs="宋体"/>
          <w:color w:val="auto"/>
          <w:szCs w:val="21"/>
        </w:rPr>
      </w:pPr>
      <w:r>
        <w:rPr>
          <w:rFonts w:hint="eastAsia" w:ascii="宋体" w:hAnsi="宋体" w:cs="宋体"/>
          <w:color w:val="auto"/>
          <w:szCs w:val="21"/>
        </w:rPr>
        <w:t>（5）采购合同（合同主要条款及格式）；</w:t>
      </w:r>
    </w:p>
    <w:p w14:paraId="362AF351">
      <w:pPr>
        <w:spacing w:line="360" w:lineRule="auto"/>
        <w:ind w:firstLine="420" w:firstLineChars="200"/>
        <w:rPr>
          <w:rFonts w:ascii="宋体" w:hAnsi="宋体" w:cs="宋体"/>
          <w:color w:val="auto"/>
          <w:szCs w:val="21"/>
        </w:rPr>
      </w:pPr>
      <w:r>
        <w:rPr>
          <w:rFonts w:hint="eastAsia" w:ascii="宋体" w:hAnsi="宋体" w:cs="宋体"/>
          <w:color w:val="auto"/>
          <w:szCs w:val="21"/>
        </w:rPr>
        <w:t>（6）响应文件（格式）。</w:t>
      </w:r>
    </w:p>
    <w:p w14:paraId="58FAB15D">
      <w:pPr>
        <w:pStyle w:val="4"/>
        <w:spacing w:line="360" w:lineRule="auto"/>
        <w:ind w:firstLine="420" w:firstLineChars="200"/>
        <w:rPr>
          <w:rFonts w:ascii="宋体" w:hAnsi="宋体" w:cs="宋体"/>
          <w:color w:val="auto"/>
          <w:sz w:val="21"/>
          <w:szCs w:val="21"/>
        </w:rPr>
      </w:pPr>
      <w:bookmarkStart w:id="82" w:name="_Toc9103"/>
      <w:bookmarkStart w:id="83" w:name="_Toc1452"/>
      <w:r>
        <w:rPr>
          <w:rFonts w:hint="eastAsia" w:ascii="宋体" w:hAnsi="宋体" w:cs="宋体"/>
          <w:color w:val="auto"/>
          <w:sz w:val="21"/>
          <w:szCs w:val="21"/>
        </w:rPr>
        <w:t>10. 磋商文件的澄清与修改</w:t>
      </w:r>
      <w:bookmarkEnd w:id="82"/>
      <w:bookmarkEnd w:id="83"/>
    </w:p>
    <w:p w14:paraId="3F3D9D94">
      <w:pPr>
        <w:spacing w:line="360" w:lineRule="auto"/>
        <w:ind w:left="420" w:leftChars="200"/>
        <w:jc w:val="left"/>
        <w:rPr>
          <w:rFonts w:ascii="宋体" w:hAnsi="宋体" w:cs="宋体"/>
          <w:color w:val="auto"/>
          <w:szCs w:val="21"/>
        </w:rPr>
      </w:pPr>
      <w:r>
        <w:rPr>
          <w:rFonts w:hint="eastAsia" w:ascii="宋体" w:hAnsi="宋体" w:cs="宋体"/>
          <w:color w:val="auto"/>
          <w:szCs w:val="21"/>
        </w:rPr>
        <w:t>10.1 提交首次响应文件截止之日前，采购代理机构可以对已发出的磋商文件进行必要澄清、答复、修改或补充，澄清或者修改的内容可能影响响应文件编制的，澄清或者修改的内容作为磋商文件的组成部分。采购代理机构应当在提交首次响应文件递交截止时间</w:t>
      </w:r>
      <w:r>
        <w:rPr>
          <w:rFonts w:hint="eastAsia" w:ascii="宋体" w:hAnsi="宋体" w:cs="宋体"/>
          <w:b/>
          <w:bCs/>
          <w:color w:val="auto"/>
          <w:szCs w:val="21"/>
        </w:rPr>
        <w:t>五日</w:t>
      </w:r>
      <w:r>
        <w:rPr>
          <w:rFonts w:hint="eastAsia" w:ascii="宋体" w:hAnsi="宋体" w:cs="宋体"/>
          <w:color w:val="auto"/>
          <w:szCs w:val="21"/>
        </w:rPr>
        <w:t>前在本项目竞争性磋商公告发布的同一媒体上发布更正公告，不足</w:t>
      </w:r>
      <w:r>
        <w:rPr>
          <w:rFonts w:hint="eastAsia" w:ascii="宋体" w:hAnsi="宋体" w:cs="宋体"/>
          <w:b/>
          <w:bCs/>
          <w:color w:val="auto"/>
          <w:szCs w:val="21"/>
        </w:rPr>
        <w:t>五日</w:t>
      </w:r>
      <w:r>
        <w:rPr>
          <w:rFonts w:hint="eastAsia" w:ascii="宋体" w:hAnsi="宋体" w:cs="宋体"/>
          <w:color w:val="auto"/>
          <w:szCs w:val="21"/>
        </w:rPr>
        <w:t>的，应当顺延首次响应文件递交截止时间。</w:t>
      </w:r>
    </w:p>
    <w:p w14:paraId="72D49D47">
      <w:pPr>
        <w:spacing w:line="360" w:lineRule="auto"/>
        <w:ind w:left="420" w:leftChars="200"/>
        <w:jc w:val="left"/>
        <w:rPr>
          <w:rFonts w:ascii="宋体" w:hAnsi="宋体" w:cs="宋体"/>
          <w:b/>
          <w:bCs/>
          <w:color w:val="auto"/>
          <w:szCs w:val="21"/>
        </w:rPr>
      </w:pPr>
      <w:r>
        <w:rPr>
          <w:rFonts w:hint="eastAsia" w:ascii="宋体" w:hAnsi="宋体" w:cs="宋体"/>
          <w:color w:val="auto"/>
          <w:szCs w:val="21"/>
        </w:rPr>
        <w:t>10.2</w:t>
      </w:r>
      <w:r>
        <w:rPr>
          <w:rFonts w:hint="eastAsia" w:ascii="宋体" w:hAnsi="宋体" w:cs="宋体"/>
          <w:b/>
          <w:bCs/>
          <w:color w:val="auto"/>
          <w:szCs w:val="21"/>
        </w:rPr>
        <w:t>供应商应实时关注本项目信息公告发布媒体相关网站了解澄清、修改等与项目有关的内容，如因供应商未及时登录相关网站了解澄清、修改等与项目有关的内容，从而导致响应文件无效的，由供应商自行承担责任。</w:t>
      </w:r>
    </w:p>
    <w:p w14:paraId="19A622C5">
      <w:pPr>
        <w:spacing w:line="360" w:lineRule="auto"/>
        <w:ind w:left="420" w:leftChars="200"/>
        <w:jc w:val="left"/>
        <w:rPr>
          <w:rFonts w:ascii="宋体" w:hAnsi="宋体" w:cs="宋体"/>
          <w:color w:val="auto"/>
          <w:szCs w:val="21"/>
        </w:rPr>
      </w:pPr>
      <w:r>
        <w:rPr>
          <w:rFonts w:hint="eastAsia" w:ascii="宋体" w:hAnsi="宋体" w:cs="宋体"/>
          <w:color w:val="auto"/>
          <w:szCs w:val="21"/>
        </w:rPr>
        <w:t>10.3澄清或者修改的内容为磋商文件的组成部分。当澄清或者修改通知就同一内容的表述不一致时，以最后发出的文件为准。</w:t>
      </w:r>
    </w:p>
    <w:p w14:paraId="5CE238BB">
      <w:pPr>
        <w:spacing w:line="360" w:lineRule="auto"/>
        <w:ind w:left="420" w:leftChars="200"/>
        <w:jc w:val="left"/>
        <w:rPr>
          <w:rFonts w:ascii="宋体" w:hAnsi="宋体" w:cs="宋体"/>
          <w:color w:val="auto"/>
          <w:szCs w:val="21"/>
        </w:rPr>
      </w:pPr>
      <w:r>
        <w:rPr>
          <w:rFonts w:hint="eastAsia" w:ascii="宋体" w:hAnsi="宋体" w:cs="宋体"/>
          <w:color w:val="auto"/>
          <w:szCs w:val="21"/>
        </w:rPr>
        <w:t>10.4 磋商文件的澄清或者修改都应该通过本项目采购代理机构以法定形式发布，采购人非通过本机构，不得擅自澄清或者修改磋商文件。</w:t>
      </w:r>
    </w:p>
    <w:p w14:paraId="30C29722">
      <w:pPr>
        <w:spacing w:line="360" w:lineRule="auto"/>
        <w:ind w:left="420" w:leftChars="200"/>
        <w:jc w:val="left"/>
        <w:rPr>
          <w:rFonts w:ascii="宋体" w:hAnsi="宋体" w:cs="宋体"/>
          <w:color w:val="auto"/>
          <w:szCs w:val="21"/>
        </w:rPr>
      </w:pPr>
      <w:r>
        <w:rPr>
          <w:rFonts w:hint="eastAsia" w:ascii="宋体" w:hAnsi="宋体" w:cs="宋体"/>
          <w:color w:val="auto"/>
          <w:szCs w:val="21"/>
        </w:rPr>
        <w:t>10.5采购单位可以视采购具体情况，延长响应文件截止时间和磋商时间，在本项目竞争性磋商公告发布的同一媒体上发布变更公告。</w:t>
      </w:r>
    </w:p>
    <w:p w14:paraId="6CCEA771">
      <w:pPr>
        <w:pStyle w:val="3"/>
        <w:jc w:val="center"/>
        <w:rPr>
          <w:rFonts w:ascii="宋体" w:hAnsi="宋体" w:cs="宋体"/>
          <w:b/>
          <w:bCs w:val="0"/>
          <w:color w:val="auto"/>
          <w:szCs w:val="28"/>
        </w:rPr>
      </w:pPr>
      <w:bookmarkStart w:id="84" w:name="_Toc20830"/>
      <w:bookmarkStart w:id="85" w:name="_Toc20641"/>
      <w:r>
        <w:rPr>
          <w:rFonts w:hint="eastAsia" w:ascii="宋体" w:hAnsi="宋体" w:cs="宋体"/>
          <w:b/>
          <w:bCs w:val="0"/>
          <w:color w:val="auto"/>
          <w:szCs w:val="28"/>
        </w:rPr>
        <w:t>三、竞争性磋商响应文件的编制</w:t>
      </w:r>
      <w:bookmarkEnd w:id="84"/>
      <w:bookmarkEnd w:id="85"/>
    </w:p>
    <w:p w14:paraId="686830CC">
      <w:pPr>
        <w:pStyle w:val="4"/>
        <w:spacing w:line="360" w:lineRule="auto"/>
        <w:ind w:firstLine="420" w:firstLineChars="200"/>
        <w:rPr>
          <w:rFonts w:ascii="宋体" w:hAnsi="宋体" w:cs="宋体"/>
          <w:color w:val="auto"/>
          <w:sz w:val="21"/>
          <w:szCs w:val="21"/>
        </w:rPr>
      </w:pPr>
      <w:bookmarkStart w:id="86" w:name="_Toc772"/>
      <w:r>
        <w:rPr>
          <w:rFonts w:hint="eastAsia" w:ascii="宋体" w:hAnsi="宋体" w:cs="宋体"/>
          <w:color w:val="auto"/>
          <w:sz w:val="21"/>
          <w:szCs w:val="21"/>
        </w:rPr>
        <w:t>11.竞争性磋商响应文件编制基本要求</w:t>
      </w:r>
      <w:bookmarkEnd w:id="86"/>
    </w:p>
    <w:p w14:paraId="75C7F04C">
      <w:pPr>
        <w:spacing w:line="360" w:lineRule="auto"/>
        <w:ind w:firstLine="420" w:firstLineChars="200"/>
        <w:rPr>
          <w:rFonts w:ascii="宋体" w:hAnsi="宋体" w:cs="宋体"/>
          <w:b/>
          <w:bCs/>
          <w:color w:val="auto"/>
          <w:szCs w:val="21"/>
        </w:rPr>
      </w:pPr>
      <w:r>
        <w:rPr>
          <w:rFonts w:hint="eastAsia" w:ascii="宋体" w:hAnsi="宋体" w:cs="宋体"/>
          <w:b/>
          <w:bCs/>
          <w:color w:val="auto"/>
          <w:szCs w:val="21"/>
        </w:rPr>
        <w:t>11.1 本项目实行电子投标，供应商应准备电子磋商响应文件：</w:t>
      </w:r>
    </w:p>
    <w:p w14:paraId="497599C5">
      <w:pPr>
        <w:spacing w:line="360" w:lineRule="auto"/>
        <w:ind w:firstLine="420" w:firstLineChars="200"/>
        <w:rPr>
          <w:rFonts w:ascii="宋体" w:hAnsi="宋体" w:cs="宋体"/>
          <w:b/>
          <w:bCs/>
          <w:color w:val="auto"/>
          <w:szCs w:val="21"/>
        </w:rPr>
      </w:pPr>
      <w:r>
        <w:rPr>
          <w:rFonts w:hint="eastAsia" w:ascii="宋体" w:hAnsi="宋体" w:cs="宋体"/>
          <w:b/>
          <w:bCs/>
          <w:color w:val="auto"/>
          <w:szCs w:val="21"/>
        </w:rPr>
        <w:t xml:space="preserve">11.1.1 电子响应文件按政采云平台要求及本磋商文件要求制作、加密并递交。具体操作流程可参考《政府采购项目电子交易管理操作指南-供应商》，指南可在 “http://www.ccgp-guangxi.gov.cn/PurchaseAdvisory/ImportantNotice/2866753.html”下载。 </w:t>
      </w:r>
    </w:p>
    <w:p w14:paraId="07DFDA2D">
      <w:pPr>
        <w:spacing w:line="360" w:lineRule="auto"/>
        <w:ind w:firstLine="420" w:firstLineChars="200"/>
        <w:rPr>
          <w:rFonts w:ascii="宋体" w:hAnsi="宋体" w:cs="宋体"/>
          <w:b/>
          <w:bCs/>
          <w:color w:val="auto"/>
          <w:szCs w:val="21"/>
        </w:rPr>
      </w:pPr>
      <w:r>
        <w:rPr>
          <w:rFonts w:hint="eastAsia" w:ascii="宋体" w:hAnsi="宋体" w:cs="宋体"/>
          <w:b/>
          <w:bCs/>
          <w:color w:val="auto"/>
          <w:szCs w:val="21"/>
        </w:rPr>
        <w:t>11.2竞争性磋商响应文件（以下简称响应文件）的组成及要求</w:t>
      </w:r>
    </w:p>
    <w:p w14:paraId="4088D7BA">
      <w:pPr>
        <w:spacing w:line="360" w:lineRule="auto"/>
        <w:ind w:firstLine="420" w:firstLineChars="200"/>
        <w:rPr>
          <w:rFonts w:ascii="宋体" w:hAnsi="宋体" w:cs="宋体"/>
          <w:b/>
          <w:bCs/>
          <w:color w:val="auto"/>
          <w:szCs w:val="21"/>
        </w:rPr>
      </w:pPr>
      <w:r>
        <w:rPr>
          <w:rFonts w:hint="eastAsia" w:ascii="宋体" w:hAnsi="宋体" w:cs="宋体"/>
          <w:b/>
          <w:bCs/>
          <w:color w:val="auto"/>
          <w:szCs w:val="21"/>
        </w:rPr>
        <w:t>11.2.1响应文件组成【格式见第六章“响应文件（格式）”】</w:t>
      </w:r>
    </w:p>
    <w:p w14:paraId="1DEA644E">
      <w:pPr>
        <w:spacing w:line="360" w:lineRule="auto"/>
        <w:ind w:firstLine="420" w:firstLineChars="200"/>
        <w:rPr>
          <w:rFonts w:ascii="宋体" w:hAnsi="宋体" w:cs="宋体"/>
          <w:color w:val="auto"/>
          <w:szCs w:val="21"/>
        </w:rPr>
      </w:pPr>
      <w:r>
        <w:rPr>
          <w:rFonts w:hint="eastAsia" w:ascii="宋体" w:hAnsi="宋体" w:cs="宋体"/>
          <w:b/>
          <w:bCs/>
          <w:color w:val="auto"/>
          <w:szCs w:val="21"/>
        </w:rPr>
        <w:t>11.2.1.1资格性响应证明材料：</w:t>
      </w:r>
    </w:p>
    <w:p w14:paraId="2FD8F765">
      <w:pPr>
        <w:spacing w:line="360" w:lineRule="auto"/>
        <w:ind w:firstLine="420" w:firstLineChars="200"/>
        <w:rPr>
          <w:rFonts w:ascii="宋体" w:hAnsi="宋体" w:cs="宋体"/>
          <w:color w:val="auto"/>
          <w:szCs w:val="21"/>
        </w:rPr>
      </w:pPr>
      <w:r>
        <w:rPr>
          <w:rFonts w:hint="eastAsia" w:ascii="宋体" w:hAnsi="宋体" w:cs="宋体"/>
          <w:color w:val="auto"/>
          <w:szCs w:val="21"/>
        </w:rPr>
        <w:t>（1）供应商相应的法定代表人、负责人、自然人身份证正反两面复印件</w:t>
      </w:r>
      <w:r>
        <w:rPr>
          <w:rFonts w:hint="eastAsia" w:ascii="宋体" w:hAnsi="宋体" w:cs="宋体"/>
          <w:b/>
          <w:bCs/>
          <w:color w:val="auto"/>
          <w:szCs w:val="21"/>
        </w:rPr>
        <w:t>（必须提供）</w:t>
      </w:r>
      <w:r>
        <w:rPr>
          <w:rFonts w:hint="eastAsia" w:ascii="宋体" w:hAnsi="宋体" w:cs="宋体"/>
          <w:color w:val="auto"/>
          <w:szCs w:val="21"/>
        </w:rPr>
        <w:t>；</w:t>
      </w:r>
    </w:p>
    <w:p w14:paraId="4A8AF2C1">
      <w:pPr>
        <w:spacing w:line="360" w:lineRule="auto"/>
        <w:ind w:firstLine="420" w:firstLineChars="200"/>
        <w:rPr>
          <w:rFonts w:ascii="宋体" w:hAnsi="宋体" w:cs="宋体"/>
          <w:color w:val="auto"/>
          <w:szCs w:val="21"/>
        </w:rPr>
      </w:pPr>
      <w:r>
        <w:rPr>
          <w:rFonts w:hint="eastAsia" w:ascii="宋体" w:hAnsi="宋体" w:cs="宋体"/>
          <w:color w:val="auto"/>
          <w:szCs w:val="21"/>
        </w:rPr>
        <w:t>（2）供应商的授权委托书原件、委托代理人身份证正反面复印件以及由县级以上（含县级）社会养老保险经办机构出具的供应商为委托代理人交纳的截标时间前半年内任意1个月社保证明复印件，除供应商为以下三种情形的：</w:t>
      </w:r>
    </w:p>
    <w:p w14:paraId="2BC68956">
      <w:pPr>
        <w:spacing w:line="360" w:lineRule="auto"/>
        <w:ind w:firstLine="420" w:firstLineChars="200"/>
        <w:rPr>
          <w:rFonts w:ascii="宋体" w:hAnsi="宋体" w:cs="宋体"/>
          <w:color w:val="auto"/>
          <w:szCs w:val="21"/>
        </w:rPr>
      </w:pPr>
      <w:r>
        <w:rPr>
          <w:rFonts w:hint="eastAsia" w:ascii="宋体" w:hAnsi="宋体" w:cs="宋体"/>
          <w:color w:val="auto"/>
          <w:szCs w:val="21"/>
        </w:rPr>
        <w:t>①如供应商为截标时间前60日以内成立的公司，可以提供供应商与委托代理人签订的劳动合同复印件代替社保证明复印件；</w:t>
      </w:r>
    </w:p>
    <w:p w14:paraId="50430306">
      <w:pPr>
        <w:spacing w:line="360" w:lineRule="auto"/>
        <w:ind w:firstLine="420" w:firstLineChars="200"/>
        <w:rPr>
          <w:rFonts w:ascii="宋体" w:hAnsi="宋体" w:cs="宋体"/>
          <w:color w:val="auto"/>
          <w:szCs w:val="21"/>
        </w:rPr>
      </w:pPr>
      <w:r>
        <w:rPr>
          <w:rFonts w:hint="eastAsia" w:ascii="宋体" w:hAnsi="宋体" w:cs="宋体"/>
          <w:color w:val="auto"/>
          <w:szCs w:val="21"/>
        </w:rPr>
        <w:t>②如供应商为事业单位，可以提供事业单位机构编制管理证复印件或事业单位机构为其发放工资的工资条复印件代替社保证明复印件；</w:t>
      </w:r>
    </w:p>
    <w:p w14:paraId="796CD1C4">
      <w:pPr>
        <w:spacing w:line="360" w:lineRule="auto"/>
        <w:ind w:firstLine="420" w:firstLineChars="200"/>
        <w:rPr>
          <w:rFonts w:ascii="宋体" w:hAnsi="宋体" w:cs="宋体"/>
          <w:color w:val="auto"/>
          <w:szCs w:val="21"/>
        </w:rPr>
      </w:pPr>
      <w:r>
        <w:rPr>
          <w:rFonts w:hint="eastAsia" w:ascii="宋体" w:hAnsi="宋体" w:cs="宋体"/>
          <w:color w:val="auto"/>
          <w:szCs w:val="21"/>
        </w:rPr>
        <w:t>③如委托代理人为免缴纳社保人员，提供免缴纳社保的证明材料复印件及供应商与委托代理人签订的劳动合同复印件代替社保证明复印件。</w:t>
      </w:r>
    </w:p>
    <w:p w14:paraId="60E9C972">
      <w:pPr>
        <w:spacing w:line="360" w:lineRule="auto"/>
        <w:ind w:firstLine="420" w:firstLineChars="200"/>
        <w:rPr>
          <w:rFonts w:ascii="宋体" w:hAnsi="宋体" w:cs="宋体"/>
          <w:b/>
          <w:bCs/>
          <w:color w:val="auto"/>
          <w:szCs w:val="21"/>
        </w:rPr>
      </w:pPr>
      <w:r>
        <w:rPr>
          <w:rFonts w:hint="eastAsia" w:ascii="宋体" w:hAnsi="宋体" w:cs="宋体"/>
          <w:b/>
          <w:bCs/>
          <w:color w:val="auto"/>
          <w:szCs w:val="21"/>
        </w:rPr>
        <w:t>【属自然人的应提供由县级以上（含县级）社会养老保险经办机构出具的自然人本人及委托代理人所交纳的截标时间前半年内任意1个月社保证明复印件</w:t>
      </w:r>
      <w:r>
        <w:rPr>
          <w:rFonts w:hint="eastAsia" w:ascii="宋体" w:hAnsi="宋体" w:cs="宋体"/>
          <w:color w:val="auto"/>
          <w:szCs w:val="21"/>
        </w:rPr>
        <w:t>】</w:t>
      </w:r>
      <w:r>
        <w:rPr>
          <w:rFonts w:hint="eastAsia" w:ascii="宋体" w:hAnsi="宋体" w:cs="宋体"/>
          <w:b/>
          <w:bCs/>
          <w:color w:val="auto"/>
          <w:szCs w:val="21"/>
        </w:rPr>
        <w:t>（委托代理时必须提供；如为联合体的，授权委托书原件须由牵头人出具）</w:t>
      </w:r>
    </w:p>
    <w:p w14:paraId="5012DE2B">
      <w:pPr>
        <w:spacing w:line="360" w:lineRule="auto"/>
        <w:ind w:firstLine="420" w:firstLineChars="200"/>
        <w:rPr>
          <w:rFonts w:ascii="宋体" w:hAnsi="宋体" w:cs="宋体"/>
          <w:color w:val="auto"/>
        </w:rPr>
      </w:pPr>
      <w:r>
        <w:rPr>
          <w:rFonts w:hint="eastAsia" w:ascii="宋体" w:hAnsi="宋体" w:cs="宋体"/>
          <w:color w:val="auto"/>
          <w:szCs w:val="21"/>
        </w:rPr>
        <w:t>（3）供应商参加政府采购活动前3年内在经营活动中没有重大违法记录及有关信用信息的书面声明</w:t>
      </w:r>
      <w:r>
        <w:rPr>
          <w:rFonts w:hint="eastAsia" w:ascii="宋体" w:hAnsi="宋体" w:cs="宋体"/>
          <w:b/>
          <w:bCs/>
          <w:color w:val="auto"/>
          <w:szCs w:val="21"/>
        </w:rPr>
        <w:t>（必须提供）；</w:t>
      </w:r>
    </w:p>
    <w:p w14:paraId="21A9C90E">
      <w:pPr>
        <w:numPr>
          <w:ilvl w:val="0"/>
          <w:numId w:val="3"/>
        </w:numPr>
        <w:spacing w:line="360" w:lineRule="auto"/>
        <w:ind w:firstLine="420" w:firstLineChars="200"/>
        <w:rPr>
          <w:rFonts w:ascii="宋体" w:hAnsi="宋体" w:cs="宋体"/>
          <w:color w:val="auto"/>
          <w:szCs w:val="21"/>
        </w:rPr>
      </w:pPr>
      <w:r>
        <w:rPr>
          <w:rFonts w:hint="eastAsia" w:ascii="宋体" w:hAnsi="宋体" w:cs="宋体"/>
          <w:color w:val="auto"/>
          <w:szCs w:val="21"/>
        </w:rPr>
        <w:t>供应商的法人或者其他组织营业执照等证明文件复印件</w:t>
      </w:r>
      <w:r>
        <w:rPr>
          <w:rFonts w:hint="eastAsia" w:ascii="宋体" w:hAnsi="宋体" w:cs="宋体"/>
          <w:b/>
          <w:bCs/>
          <w:color w:val="auto"/>
          <w:szCs w:val="21"/>
        </w:rPr>
        <w:t>（必须提供，自然人除外）；</w:t>
      </w:r>
    </w:p>
    <w:p w14:paraId="3D2608F0">
      <w:pPr>
        <w:spacing w:line="360" w:lineRule="auto"/>
        <w:ind w:firstLine="420" w:firstLineChars="200"/>
        <w:rPr>
          <w:rFonts w:ascii="宋体" w:hAnsi="宋体" w:cs="宋体"/>
          <w:b/>
          <w:bCs/>
          <w:color w:val="auto"/>
          <w:szCs w:val="21"/>
        </w:rPr>
      </w:pPr>
      <w:r>
        <w:rPr>
          <w:rFonts w:hint="eastAsia" w:ascii="宋体" w:hAnsi="宋体" w:cs="宋体"/>
          <w:b/>
          <w:bCs/>
          <w:color w:val="auto"/>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4F1991DA">
      <w:pPr>
        <w:tabs>
          <w:tab w:val="left" w:pos="1305"/>
        </w:tabs>
        <w:spacing w:line="360" w:lineRule="exact"/>
        <w:ind w:firstLine="420"/>
        <w:rPr>
          <w:rFonts w:ascii="宋体" w:hAnsi="宋体" w:cs="宋体"/>
          <w:b/>
          <w:bCs/>
          <w:color w:val="auto"/>
          <w:szCs w:val="21"/>
        </w:rPr>
      </w:pPr>
      <w:r>
        <w:rPr>
          <w:rFonts w:hint="eastAsia" w:ascii="宋体" w:hAnsi="宋体" w:cs="宋体"/>
          <w:color w:val="auto"/>
          <w:szCs w:val="21"/>
        </w:rPr>
        <w:t>（5）供应商为中小企业的相关有效证明材料</w:t>
      </w:r>
      <w:r>
        <w:rPr>
          <w:rFonts w:hint="eastAsia" w:ascii="宋体" w:hAnsi="宋体" w:cs="宋体"/>
          <w:b/>
          <w:bCs/>
          <w:color w:val="auto"/>
          <w:szCs w:val="21"/>
        </w:rPr>
        <w:t>（必须提供）；</w:t>
      </w:r>
    </w:p>
    <w:p w14:paraId="60DC9C43">
      <w:pPr>
        <w:tabs>
          <w:tab w:val="left" w:pos="1305"/>
        </w:tabs>
        <w:spacing w:line="360" w:lineRule="exact"/>
        <w:ind w:firstLine="420" w:firstLineChars="200"/>
        <w:rPr>
          <w:rFonts w:ascii="宋体" w:hAnsi="宋体"/>
          <w:b/>
          <w:color w:val="auto"/>
          <w:szCs w:val="21"/>
        </w:rPr>
      </w:pPr>
      <w:r>
        <w:rPr>
          <w:rFonts w:hint="eastAsia" w:ascii="宋体" w:hAnsi="宋体"/>
          <w:b/>
          <w:color w:val="auto"/>
          <w:szCs w:val="21"/>
        </w:rPr>
        <w:t>注：本项目专门面向中小企业采购, 供应商须满足《政府采购促进中小企业发展管理办法》(财库〔2020〕46号)第二条规定，监狱企业、残疾人福利单位视同小型、微型企业。供应商根据自身情况，相应提供以下证明材料：①供应商如为符合政策要求的中小企业且承接本项目全部服务的，提供《中小企业声明函》。②供应商如属于监狱企业且承接本项目全部服务的，提供由省级以上监狱管理局、戒毒管理局(含新疆生产建设兵团)出具的属于监狱企业的证明文件。③供应商如属于符合条件的残疾人福利性单位且承接本项目全部服务的，提供《残疾人福利性单位声明函》（并对声明的真实性负责）。</w:t>
      </w:r>
    </w:p>
    <w:p w14:paraId="44663899">
      <w:pPr>
        <w:pStyle w:val="12"/>
        <w:ind w:left="0" w:leftChars="0" w:firstLine="422"/>
        <w:rPr>
          <w:rFonts w:ascii="宋体" w:hAnsi="宋体" w:cs="宋体"/>
          <w:b/>
          <w:bCs/>
          <w:color w:val="auto"/>
          <w:szCs w:val="21"/>
        </w:rPr>
      </w:pPr>
    </w:p>
    <w:p w14:paraId="23A3B162">
      <w:pPr>
        <w:pStyle w:val="12"/>
        <w:ind w:left="0" w:leftChars="0" w:firstLine="422"/>
        <w:rPr>
          <w:rFonts w:ascii="宋体" w:hAnsi="宋体" w:cs="宋体"/>
          <w:b/>
          <w:bCs/>
          <w:color w:val="auto"/>
          <w:szCs w:val="21"/>
        </w:rPr>
      </w:pPr>
      <w:r>
        <w:rPr>
          <w:rFonts w:hint="eastAsia" w:ascii="宋体" w:hAnsi="宋体" w:cs="宋体"/>
          <w:b/>
          <w:bCs/>
          <w:color w:val="auto"/>
          <w:szCs w:val="21"/>
        </w:rPr>
        <w:t>11.2.1.2符合性响应证明材料：</w:t>
      </w:r>
    </w:p>
    <w:p w14:paraId="58C50D19">
      <w:pPr>
        <w:spacing w:line="360" w:lineRule="auto"/>
        <w:ind w:firstLine="420" w:firstLineChars="200"/>
        <w:rPr>
          <w:rFonts w:ascii="宋体" w:hAnsi="宋体" w:cs="宋体"/>
          <w:color w:val="auto"/>
          <w:szCs w:val="21"/>
        </w:rPr>
      </w:pPr>
      <w:r>
        <w:rPr>
          <w:rFonts w:hint="eastAsia" w:ascii="宋体" w:hAnsi="宋体" w:cs="宋体"/>
          <w:color w:val="auto"/>
          <w:szCs w:val="21"/>
        </w:rPr>
        <w:t>（1）响应函（格式见附件）</w:t>
      </w:r>
      <w:r>
        <w:rPr>
          <w:rFonts w:hint="eastAsia" w:ascii="宋体" w:hAnsi="宋体" w:cs="宋体"/>
          <w:b/>
          <w:bCs/>
          <w:color w:val="auto"/>
          <w:szCs w:val="21"/>
        </w:rPr>
        <w:t>（必须提供）</w:t>
      </w:r>
      <w:r>
        <w:rPr>
          <w:rFonts w:hint="eastAsia" w:ascii="宋体" w:hAnsi="宋体" w:cs="宋体"/>
          <w:color w:val="auto"/>
          <w:szCs w:val="21"/>
        </w:rPr>
        <w:t>；</w:t>
      </w:r>
    </w:p>
    <w:p w14:paraId="1E8E1189">
      <w:pPr>
        <w:spacing w:line="360" w:lineRule="auto"/>
        <w:ind w:firstLine="420" w:firstLineChars="200"/>
        <w:rPr>
          <w:rFonts w:ascii="宋体" w:hAnsi="宋体" w:cs="宋体"/>
          <w:color w:val="auto"/>
          <w:szCs w:val="21"/>
        </w:rPr>
      </w:pPr>
      <w:r>
        <w:rPr>
          <w:rFonts w:hint="eastAsia" w:ascii="宋体" w:hAnsi="宋体" w:cs="宋体"/>
          <w:color w:val="auto"/>
          <w:szCs w:val="21"/>
        </w:rPr>
        <w:t>（2）磋商报价表（格式见附件）</w:t>
      </w:r>
      <w:r>
        <w:rPr>
          <w:rFonts w:hint="eastAsia" w:ascii="宋体" w:hAnsi="宋体" w:cs="宋体"/>
          <w:b/>
          <w:bCs/>
          <w:color w:val="auto"/>
          <w:szCs w:val="21"/>
        </w:rPr>
        <w:t>（必须提供）</w:t>
      </w:r>
      <w:r>
        <w:rPr>
          <w:rFonts w:hint="eastAsia" w:ascii="宋体" w:hAnsi="宋体" w:cs="宋体"/>
          <w:color w:val="auto"/>
          <w:szCs w:val="21"/>
        </w:rPr>
        <w:t>；</w:t>
      </w:r>
    </w:p>
    <w:p w14:paraId="08F5AB79">
      <w:pPr>
        <w:spacing w:line="360" w:lineRule="auto"/>
        <w:ind w:firstLine="420" w:firstLineChars="200"/>
        <w:rPr>
          <w:rFonts w:ascii="宋体" w:hAnsi="宋体" w:cs="宋体"/>
          <w:color w:val="auto"/>
          <w:szCs w:val="21"/>
        </w:rPr>
      </w:pPr>
      <w:r>
        <w:rPr>
          <w:rFonts w:hint="eastAsia" w:ascii="宋体" w:hAnsi="宋体" w:cs="宋体"/>
          <w:color w:val="auto"/>
          <w:szCs w:val="21"/>
        </w:rPr>
        <w:t>（3）服务采购要求响应偏离表（格式见附件）</w:t>
      </w:r>
      <w:r>
        <w:rPr>
          <w:rFonts w:hint="eastAsia" w:ascii="宋体" w:hAnsi="宋体" w:cs="宋体"/>
          <w:b/>
          <w:bCs/>
          <w:color w:val="auto"/>
          <w:szCs w:val="21"/>
        </w:rPr>
        <w:t>（必须提供）</w:t>
      </w:r>
      <w:r>
        <w:rPr>
          <w:rFonts w:hint="eastAsia" w:ascii="宋体" w:hAnsi="宋体" w:cs="宋体"/>
          <w:color w:val="auto"/>
          <w:szCs w:val="21"/>
        </w:rPr>
        <w:t>；</w:t>
      </w:r>
    </w:p>
    <w:p w14:paraId="12637B26">
      <w:pPr>
        <w:spacing w:line="360" w:lineRule="auto"/>
        <w:ind w:firstLine="420" w:firstLineChars="200"/>
        <w:rPr>
          <w:rFonts w:ascii="宋体" w:hAnsi="宋体" w:cs="宋体"/>
          <w:b/>
          <w:bCs/>
          <w:color w:val="auto"/>
          <w:szCs w:val="21"/>
        </w:rPr>
      </w:pPr>
      <w:r>
        <w:rPr>
          <w:rFonts w:hint="eastAsia" w:ascii="宋体" w:hAnsi="宋体" w:cs="宋体"/>
          <w:color w:val="auto"/>
          <w:szCs w:val="21"/>
        </w:rPr>
        <w:t>（4）商务要求响应偏离表（格式见附件）</w:t>
      </w:r>
      <w:r>
        <w:rPr>
          <w:rFonts w:hint="eastAsia" w:ascii="宋体" w:hAnsi="宋体" w:cs="宋体"/>
          <w:b/>
          <w:bCs/>
          <w:color w:val="auto"/>
          <w:szCs w:val="21"/>
        </w:rPr>
        <w:t>（必须提供）；</w:t>
      </w:r>
    </w:p>
    <w:p w14:paraId="7E787236">
      <w:pPr>
        <w:spacing w:line="360" w:lineRule="auto"/>
        <w:ind w:firstLine="420" w:firstLineChars="200"/>
        <w:rPr>
          <w:rFonts w:ascii="宋体" w:hAnsi="宋体" w:cs="宋体"/>
          <w:b/>
          <w:bCs/>
          <w:color w:val="auto"/>
          <w:szCs w:val="21"/>
        </w:rPr>
      </w:pPr>
      <w:r>
        <w:rPr>
          <w:rFonts w:hint="eastAsia" w:ascii="宋体" w:hAnsi="宋体" w:cs="宋体"/>
          <w:color w:val="auto"/>
          <w:szCs w:val="21"/>
        </w:rPr>
        <w:t>（5）项目管理方案（包含但不限于各岗位职责及工作流程、洗涤/租赁管理方案、人员管理方案、日常及紧急服务响应方案）</w:t>
      </w:r>
      <w:r>
        <w:rPr>
          <w:rFonts w:hint="eastAsia" w:ascii="宋体" w:hAnsi="宋体" w:cs="宋体"/>
          <w:b/>
          <w:bCs/>
          <w:color w:val="auto"/>
          <w:szCs w:val="21"/>
        </w:rPr>
        <w:t>（必须提供）</w:t>
      </w:r>
    </w:p>
    <w:p w14:paraId="429F1835">
      <w:pPr>
        <w:pStyle w:val="12"/>
        <w:ind w:left="0" w:leftChars="0" w:firstLine="422"/>
        <w:rPr>
          <w:rFonts w:ascii="宋体" w:hAnsi="宋体" w:cs="宋体"/>
          <w:b/>
          <w:bCs/>
          <w:color w:val="auto"/>
          <w:szCs w:val="21"/>
        </w:rPr>
      </w:pPr>
      <w:r>
        <w:rPr>
          <w:rFonts w:hint="eastAsia" w:ascii="宋体" w:hAnsi="宋体" w:cs="宋体"/>
          <w:b/>
          <w:bCs/>
          <w:color w:val="auto"/>
          <w:szCs w:val="21"/>
        </w:rPr>
        <w:t>11.2.1.3其他有效证明材料</w:t>
      </w:r>
    </w:p>
    <w:p w14:paraId="352DE7B4">
      <w:pPr>
        <w:numPr>
          <w:ilvl w:val="0"/>
          <w:numId w:val="4"/>
        </w:numPr>
        <w:spacing w:line="360" w:lineRule="auto"/>
        <w:ind w:firstLine="420" w:firstLineChars="200"/>
        <w:rPr>
          <w:rFonts w:ascii="宋体" w:hAnsi="宋体" w:cs="宋体"/>
          <w:b/>
          <w:bCs/>
          <w:color w:val="auto"/>
          <w:szCs w:val="21"/>
        </w:rPr>
      </w:pPr>
      <w:r>
        <w:rPr>
          <w:rFonts w:hint="eastAsia" w:ascii="宋体" w:hAnsi="宋体" w:cs="宋体"/>
          <w:color w:val="auto"/>
          <w:szCs w:val="21"/>
        </w:rPr>
        <w:t>项目实施人员一览表（格式见附件）</w:t>
      </w:r>
      <w:r>
        <w:rPr>
          <w:rFonts w:hint="eastAsia" w:ascii="宋体" w:hAnsi="宋体" w:cs="宋体"/>
          <w:b/>
          <w:bCs/>
          <w:color w:val="auto"/>
          <w:szCs w:val="21"/>
        </w:rPr>
        <w:t>（如有，请提供）；</w:t>
      </w:r>
    </w:p>
    <w:p w14:paraId="5CA5CC15">
      <w:pPr>
        <w:numPr>
          <w:ilvl w:val="0"/>
          <w:numId w:val="4"/>
        </w:numPr>
        <w:spacing w:line="360" w:lineRule="auto"/>
        <w:ind w:firstLine="420" w:firstLineChars="200"/>
        <w:rPr>
          <w:rFonts w:ascii="宋体" w:hAnsi="宋体" w:cs="宋体"/>
          <w:b/>
          <w:bCs/>
          <w:color w:val="auto"/>
          <w:szCs w:val="21"/>
        </w:rPr>
      </w:pPr>
      <w:r>
        <w:rPr>
          <w:rFonts w:hint="eastAsia" w:ascii="宋体" w:hAnsi="宋体"/>
          <w:color w:val="auto"/>
          <w:szCs w:val="21"/>
        </w:rPr>
        <w:t>供应商的针对本项目的售后服务方案（（包含但不限于：①服务态度、服务效率、服务质量承诺：包括投诉处理及回访率、对服务满意率等；②对责任事故的处理承诺；③其他服务承诺；④售后服务保障），格式自拟）（如有，请提供）</w:t>
      </w:r>
      <w:r>
        <w:rPr>
          <w:rFonts w:hint="eastAsia" w:ascii="宋体" w:hAnsi="宋体" w:cs="宋体"/>
          <w:b/>
          <w:bCs/>
          <w:color w:val="auto"/>
          <w:szCs w:val="21"/>
        </w:rPr>
        <w:t>；</w:t>
      </w:r>
    </w:p>
    <w:p w14:paraId="6A238CFB">
      <w:pPr>
        <w:spacing w:line="360" w:lineRule="auto"/>
        <w:ind w:firstLine="420" w:firstLineChars="200"/>
        <w:rPr>
          <w:rFonts w:ascii="宋体" w:hAnsi="宋体" w:cs="宋体"/>
          <w:color w:val="auto"/>
        </w:rPr>
      </w:pPr>
      <w:r>
        <w:rPr>
          <w:rFonts w:hint="eastAsia" w:ascii="宋体" w:hAnsi="宋体" w:cs="宋体"/>
          <w:color w:val="auto"/>
          <w:szCs w:val="21"/>
        </w:rPr>
        <w:t>（3）“采购需求”需提供的有效证明文件</w:t>
      </w:r>
      <w:r>
        <w:rPr>
          <w:rFonts w:hint="eastAsia" w:ascii="宋体" w:hAnsi="宋体" w:cs="宋体"/>
          <w:b/>
          <w:bCs/>
          <w:color w:val="auto"/>
          <w:szCs w:val="21"/>
        </w:rPr>
        <w:t>（如有，请提供）；</w:t>
      </w:r>
    </w:p>
    <w:p w14:paraId="55E49305">
      <w:pPr>
        <w:spacing w:line="360" w:lineRule="auto"/>
        <w:ind w:firstLine="420" w:firstLineChars="200"/>
        <w:rPr>
          <w:rFonts w:ascii="宋体" w:hAnsi="宋体" w:cs="宋体"/>
          <w:b/>
          <w:bCs/>
          <w:color w:val="auto"/>
          <w:szCs w:val="21"/>
        </w:rPr>
      </w:pPr>
      <w:r>
        <w:rPr>
          <w:rFonts w:hint="eastAsia" w:ascii="宋体" w:hAnsi="宋体" w:cs="宋体"/>
          <w:color w:val="auto"/>
          <w:szCs w:val="21"/>
        </w:rPr>
        <w:t>（4）供应商2021年以来具有同类项目（指医院织物洗涤或租赁）的业绩相关证明材料（无不良记录，以中标、成交通知书或签订的合同为准，并能清晰反映项目的名称、采购内容、采购金额、采购时间）</w:t>
      </w:r>
      <w:r>
        <w:rPr>
          <w:rFonts w:hint="eastAsia" w:ascii="宋体" w:hAnsi="宋体" w:cs="宋体"/>
          <w:b/>
          <w:bCs/>
          <w:color w:val="auto"/>
          <w:szCs w:val="21"/>
        </w:rPr>
        <w:t>（如有，请提供）；</w:t>
      </w:r>
    </w:p>
    <w:p w14:paraId="71457877">
      <w:pPr>
        <w:spacing w:line="360" w:lineRule="auto"/>
        <w:ind w:firstLine="420" w:firstLineChars="200"/>
        <w:rPr>
          <w:rFonts w:ascii="宋体" w:hAnsi="宋体" w:cs="宋体"/>
          <w:color w:val="auto"/>
          <w:szCs w:val="21"/>
        </w:rPr>
      </w:pPr>
      <w:r>
        <w:rPr>
          <w:rFonts w:hint="eastAsia" w:ascii="宋体" w:hAnsi="宋体" w:cs="宋体"/>
          <w:color w:val="auto"/>
          <w:szCs w:val="21"/>
        </w:rPr>
        <w:t>（5）供应商可结合本项目的评审办法视自身情况自行提交其它相关证明材料。</w:t>
      </w:r>
    </w:p>
    <w:p w14:paraId="5E63139A">
      <w:pPr>
        <w:spacing w:line="400" w:lineRule="exact"/>
        <w:ind w:firstLine="420"/>
        <w:rPr>
          <w:rFonts w:ascii="宋体" w:hAnsi="宋体" w:cs="宋体"/>
          <w:color w:val="auto"/>
          <w:szCs w:val="21"/>
        </w:rPr>
      </w:pPr>
      <w:r>
        <w:rPr>
          <w:rFonts w:hint="eastAsia" w:ascii="宋体" w:hAnsi="宋体" w:cs="宋体"/>
          <w:b/>
          <w:bCs/>
          <w:color w:val="auto"/>
          <w:szCs w:val="21"/>
        </w:rPr>
        <w:t>供应商</w:t>
      </w:r>
      <w:r>
        <w:rPr>
          <w:rFonts w:hint="eastAsia" w:ascii="宋体" w:hAnsi="宋体" w:cs="宋体"/>
          <w:b/>
          <w:bCs/>
          <w:color w:val="auto"/>
        </w:rPr>
        <w:t>提供的以上相关证明材料属于“必须提供”的文件应加盖磋商供应商CA证书签章/自然人签字或个人CA证书签章，否则响应无效。</w:t>
      </w:r>
    </w:p>
    <w:p w14:paraId="52AF4C40">
      <w:pPr>
        <w:spacing w:line="360" w:lineRule="auto"/>
        <w:ind w:firstLine="420" w:firstLineChars="200"/>
        <w:rPr>
          <w:rFonts w:ascii="宋体" w:hAnsi="宋体" w:cs="宋体"/>
          <w:color w:val="auto"/>
          <w:szCs w:val="21"/>
        </w:rPr>
      </w:pPr>
      <w:r>
        <w:rPr>
          <w:rFonts w:hint="eastAsia" w:ascii="宋体" w:hAnsi="宋体" w:cs="宋体"/>
          <w:color w:val="auto"/>
          <w:szCs w:val="21"/>
        </w:rPr>
        <w:t>11.3 供应商应按竞争性磋商文件第六章“响应文件（格式）”编制响应文件。</w:t>
      </w:r>
    </w:p>
    <w:p w14:paraId="261D4D2C">
      <w:pPr>
        <w:spacing w:line="360" w:lineRule="exact"/>
        <w:ind w:firstLine="420" w:firstLineChars="200"/>
        <w:rPr>
          <w:rFonts w:ascii="宋体" w:hAnsi="宋体" w:cs="宋体"/>
          <w:b/>
          <w:bCs/>
          <w:color w:val="auto"/>
          <w:szCs w:val="21"/>
        </w:rPr>
      </w:pPr>
      <w:r>
        <w:rPr>
          <w:rFonts w:hint="eastAsia" w:ascii="宋体" w:hAnsi="宋体" w:cs="宋体"/>
          <w:b/>
          <w:bCs/>
          <w:color w:val="auto"/>
          <w:szCs w:val="21"/>
        </w:rPr>
        <w:t>特别说明：</w:t>
      </w:r>
    </w:p>
    <w:p w14:paraId="4620912F">
      <w:pPr>
        <w:spacing w:line="360" w:lineRule="exact"/>
        <w:ind w:firstLine="420" w:firstLineChars="200"/>
        <w:rPr>
          <w:rFonts w:ascii="宋体" w:hAnsi="宋体" w:cs="宋体"/>
          <w:b/>
          <w:color w:val="auto"/>
          <w:szCs w:val="21"/>
        </w:rPr>
      </w:pPr>
      <w:r>
        <w:rPr>
          <w:rFonts w:hint="eastAsia" w:ascii="宋体" w:hAnsi="宋体" w:cs="宋体"/>
          <w:b/>
          <w:bCs/>
          <w:color w:val="auto"/>
          <w:szCs w:val="21"/>
        </w:rPr>
        <w:t>（1）响</w:t>
      </w:r>
      <w:r>
        <w:rPr>
          <w:rFonts w:hint="eastAsia" w:ascii="宋体" w:hAnsi="宋体" w:cs="宋体"/>
          <w:b/>
          <w:color w:val="auto"/>
          <w:szCs w:val="21"/>
        </w:rPr>
        <w:t>应文件（电子响应文件），其中电子响应文件中所须加盖公章部分均采用CA证书签章。若磋商文件中有专门标注的某关联点，并要求供应商在电子投标系统中作出磋商响应的，如供应商未对关联点进行响应或者在响应文件其它内容进行描述，造成电子评审不能查询的责任由供应商自行承担。</w:t>
      </w:r>
    </w:p>
    <w:p w14:paraId="7D070357">
      <w:pPr>
        <w:numPr>
          <w:ilvl w:val="0"/>
          <w:numId w:val="5"/>
        </w:numPr>
        <w:spacing w:line="360" w:lineRule="exact"/>
        <w:ind w:firstLine="420" w:firstLineChars="200"/>
        <w:rPr>
          <w:rFonts w:ascii="宋体" w:hAnsi="宋体" w:cs="宋体"/>
          <w:b/>
          <w:color w:val="auto"/>
          <w:szCs w:val="21"/>
        </w:rPr>
      </w:pPr>
      <w:r>
        <w:rPr>
          <w:rFonts w:hint="eastAsia" w:ascii="宋体" w:hAnsi="宋体" w:cs="宋体"/>
          <w:b/>
          <w:bCs/>
          <w:color w:val="auto"/>
          <w:szCs w:val="21"/>
        </w:rPr>
        <w:t>磋商文件要求法定代表人（负责人）或委托代理人签字的部分必须签字然后扫描或者拍照做成 pdf 格式上传（或加盖个人CA证书签章），无签字的视为响应无效。</w:t>
      </w:r>
    </w:p>
    <w:p w14:paraId="45C2D05A">
      <w:pPr>
        <w:pStyle w:val="4"/>
        <w:spacing w:line="360" w:lineRule="auto"/>
        <w:ind w:firstLine="420" w:firstLineChars="200"/>
        <w:rPr>
          <w:rFonts w:ascii="宋体" w:hAnsi="宋体" w:cs="宋体"/>
          <w:color w:val="auto"/>
          <w:sz w:val="21"/>
          <w:szCs w:val="21"/>
        </w:rPr>
      </w:pPr>
      <w:bookmarkStart w:id="87" w:name="_Toc6845"/>
      <w:bookmarkStart w:id="88" w:name="_Toc2180"/>
      <w:r>
        <w:rPr>
          <w:rFonts w:hint="eastAsia" w:ascii="宋体" w:hAnsi="宋体" w:cs="宋体"/>
          <w:color w:val="auto"/>
          <w:sz w:val="21"/>
          <w:szCs w:val="21"/>
        </w:rPr>
        <w:t>12. 响应文件的语言及计量</w:t>
      </w:r>
      <w:bookmarkEnd w:id="87"/>
      <w:bookmarkEnd w:id="88"/>
    </w:p>
    <w:p w14:paraId="046F18A2">
      <w:pPr>
        <w:spacing w:line="360" w:lineRule="auto"/>
        <w:ind w:firstLine="420" w:firstLineChars="200"/>
        <w:rPr>
          <w:rFonts w:ascii="宋体" w:hAnsi="宋体" w:cs="宋体"/>
          <w:color w:val="auto"/>
          <w:szCs w:val="21"/>
        </w:rPr>
      </w:pPr>
      <w:r>
        <w:rPr>
          <w:rFonts w:hint="eastAsia" w:ascii="宋体" w:hAnsi="宋体" w:cs="宋体"/>
          <w:color w:val="auto"/>
          <w:szCs w:val="21"/>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0D3E59A4">
      <w:pPr>
        <w:spacing w:line="360" w:lineRule="auto"/>
        <w:ind w:firstLine="420" w:firstLineChars="200"/>
        <w:rPr>
          <w:rFonts w:ascii="宋体" w:hAnsi="宋体" w:cs="宋体"/>
          <w:color w:val="auto"/>
          <w:szCs w:val="21"/>
        </w:rPr>
      </w:pPr>
      <w:r>
        <w:rPr>
          <w:rFonts w:hint="eastAsia" w:ascii="宋体" w:hAnsi="宋体" w:cs="宋体"/>
          <w:color w:val="auto"/>
          <w:szCs w:val="21"/>
        </w:rPr>
        <w:t>12.2 磋商计量单位，磋商文件已有明确规定的，使用磋商文件规定的计量单位；磋商文件没有规定的，应采用中华人民共和国法定计量单位（货币单位：人民币元），否则视同未响应。</w:t>
      </w:r>
    </w:p>
    <w:p w14:paraId="567F5649">
      <w:pPr>
        <w:pStyle w:val="4"/>
        <w:spacing w:line="360" w:lineRule="auto"/>
        <w:ind w:firstLine="420" w:firstLineChars="200"/>
        <w:rPr>
          <w:rFonts w:ascii="宋体" w:hAnsi="宋体" w:cs="宋体"/>
          <w:color w:val="auto"/>
          <w:sz w:val="21"/>
          <w:szCs w:val="21"/>
        </w:rPr>
      </w:pPr>
      <w:bookmarkStart w:id="89" w:name="_Toc10838"/>
      <w:bookmarkStart w:id="90" w:name="_Toc30930"/>
      <w:r>
        <w:rPr>
          <w:rFonts w:hint="eastAsia" w:ascii="宋体" w:hAnsi="宋体" w:cs="宋体"/>
          <w:color w:val="auto"/>
          <w:sz w:val="21"/>
          <w:szCs w:val="21"/>
        </w:rPr>
        <w:t>13. 磋商报价</w:t>
      </w:r>
      <w:bookmarkEnd w:id="89"/>
      <w:bookmarkEnd w:id="90"/>
    </w:p>
    <w:p w14:paraId="65A951A6">
      <w:pPr>
        <w:spacing w:line="360" w:lineRule="auto"/>
        <w:ind w:firstLine="420" w:firstLineChars="200"/>
        <w:rPr>
          <w:rFonts w:ascii="宋体" w:hAnsi="宋体" w:cs="宋体"/>
          <w:color w:val="auto"/>
          <w:szCs w:val="21"/>
        </w:rPr>
      </w:pPr>
      <w:r>
        <w:rPr>
          <w:rFonts w:hint="eastAsia" w:ascii="宋体" w:hAnsi="宋体" w:cs="宋体"/>
          <w:color w:val="auto"/>
          <w:szCs w:val="21"/>
        </w:rPr>
        <w:t>13.1 供应商单项合计报价超出采购预算单价限价合计金额的或单项单价报价超出对应采购预算单项单价限价的，响应文件按无效处理。</w:t>
      </w:r>
    </w:p>
    <w:p w14:paraId="6CAC561F">
      <w:pPr>
        <w:spacing w:line="360" w:lineRule="auto"/>
        <w:ind w:firstLine="420" w:firstLineChars="200"/>
        <w:rPr>
          <w:rFonts w:ascii="宋体" w:hAnsi="宋体" w:cs="宋体"/>
          <w:color w:val="auto"/>
          <w:szCs w:val="21"/>
        </w:rPr>
      </w:pPr>
      <w:r>
        <w:rPr>
          <w:rFonts w:hint="eastAsia" w:ascii="宋体" w:hAnsi="宋体" w:cs="宋体"/>
          <w:color w:val="auto"/>
          <w:szCs w:val="21"/>
        </w:rPr>
        <w:t>13.2供应商必须就“采购需求”中所竞所有内容作完整唯一报价，否则，其响应文件无效。响应文件只允许有一个报价，有选择的或有条件的报价将不予接受。</w:t>
      </w:r>
    </w:p>
    <w:p w14:paraId="1FBE0034">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13.3 </w:t>
      </w:r>
      <w:r>
        <w:rPr>
          <w:rFonts w:hint="eastAsia" w:ascii="宋体" w:hAnsi="宋体"/>
          <w:color w:val="auto"/>
          <w:szCs w:val="21"/>
        </w:rPr>
        <w:t>磋商报价是履行合同的最终价格，即满足全部采购需求所应提供的服务，以及伴随的货物和工程的价格；包括运输（含保险）（如有）、技术服务、培训、税费等一切可能发生的费用。</w:t>
      </w:r>
    </w:p>
    <w:p w14:paraId="296571BD">
      <w:pPr>
        <w:spacing w:line="360" w:lineRule="auto"/>
        <w:ind w:firstLine="420" w:firstLineChars="200"/>
        <w:rPr>
          <w:rFonts w:ascii="宋体" w:hAnsi="宋体" w:cs="宋体"/>
          <w:b/>
          <w:bCs/>
          <w:color w:val="auto"/>
          <w:szCs w:val="21"/>
        </w:rPr>
      </w:pPr>
      <w:r>
        <w:rPr>
          <w:rFonts w:hint="eastAsia" w:ascii="宋体" w:hAnsi="宋体" w:cs="宋体"/>
          <w:color w:val="auto"/>
          <w:szCs w:val="21"/>
        </w:rPr>
        <w:t>13.4供应商应在规定时间内在政采云系统上提交最后报价，超出评委设定的最后报价时限或其最后报价超出采购预算导致已通过评审的响应文件无效的，按供应商在提交响应文件截止时间后撤回响应文件处理。</w:t>
      </w:r>
    </w:p>
    <w:p w14:paraId="07C69934">
      <w:pPr>
        <w:pStyle w:val="4"/>
        <w:spacing w:line="360" w:lineRule="auto"/>
        <w:ind w:firstLine="420" w:firstLineChars="200"/>
        <w:rPr>
          <w:rFonts w:ascii="宋体" w:hAnsi="宋体" w:cs="宋体"/>
          <w:color w:val="auto"/>
          <w:sz w:val="21"/>
          <w:szCs w:val="21"/>
        </w:rPr>
      </w:pPr>
      <w:bookmarkStart w:id="91" w:name="_Toc26881"/>
      <w:bookmarkStart w:id="92" w:name="_Toc27015"/>
      <w:r>
        <w:rPr>
          <w:rFonts w:hint="eastAsia" w:ascii="宋体" w:hAnsi="宋体" w:cs="宋体"/>
          <w:color w:val="auto"/>
          <w:sz w:val="21"/>
          <w:szCs w:val="21"/>
        </w:rPr>
        <w:t>14. 响应文件有效期</w:t>
      </w:r>
      <w:bookmarkEnd w:id="91"/>
      <w:bookmarkEnd w:id="92"/>
    </w:p>
    <w:p w14:paraId="5044FD97">
      <w:pPr>
        <w:spacing w:line="360" w:lineRule="auto"/>
        <w:ind w:firstLine="420" w:firstLineChars="200"/>
        <w:rPr>
          <w:rFonts w:ascii="宋体" w:hAnsi="宋体" w:cs="宋体"/>
          <w:color w:val="auto"/>
          <w:szCs w:val="21"/>
        </w:rPr>
      </w:pPr>
      <w:r>
        <w:rPr>
          <w:rFonts w:hint="eastAsia" w:ascii="宋体" w:hAnsi="宋体" w:cs="宋体"/>
          <w:color w:val="auto"/>
          <w:szCs w:val="21"/>
        </w:rPr>
        <w:t>14.1 响应文件有效期：响应文件递交截止时间之日起90天，有效期不足的响应文件将被拒绝。</w:t>
      </w:r>
    </w:p>
    <w:p w14:paraId="555A6D00">
      <w:pPr>
        <w:spacing w:line="360" w:lineRule="auto"/>
        <w:ind w:firstLine="420" w:firstLineChars="200"/>
        <w:rPr>
          <w:rFonts w:ascii="宋体" w:hAnsi="宋体" w:cs="宋体"/>
          <w:color w:val="auto"/>
          <w:szCs w:val="21"/>
        </w:rPr>
      </w:pPr>
      <w:r>
        <w:rPr>
          <w:rFonts w:hint="eastAsia" w:ascii="宋体" w:hAnsi="宋体" w:cs="宋体"/>
          <w:color w:val="auto"/>
          <w:szCs w:val="21"/>
        </w:rPr>
        <w:t>14.2 出现特殊情况下，需要延长响应文件有效期的，采购代理机构书面通知供应商延长响应文件有效期。供应商同意延长的，但不能修改响应文件。供应商拒绝延长的，其响应文件无效。</w:t>
      </w:r>
    </w:p>
    <w:p w14:paraId="2A49389F">
      <w:pPr>
        <w:pStyle w:val="4"/>
        <w:spacing w:line="360" w:lineRule="auto"/>
        <w:ind w:firstLine="420" w:firstLineChars="200"/>
        <w:rPr>
          <w:rFonts w:ascii="宋体" w:hAnsi="宋体" w:cs="宋体"/>
          <w:color w:val="auto"/>
          <w:sz w:val="21"/>
          <w:szCs w:val="21"/>
        </w:rPr>
      </w:pPr>
      <w:bookmarkStart w:id="93" w:name="_Toc24706"/>
      <w:bookmarkStart w:id="94" w:name="_Toc22602"/>
      <w:r>
        <w:rPr>
          <w:rFonts w:hint="eastAsia" w:ascii="宋体" w:hAnsi="宋体" w:cs="宋体"/>
          <w:color w:val="auto"/>
          <w:sz w:val="21"/>
          <w:szCs w:val="21"/>
        </w:rPr>
        <w:t>15. 保证金</w:t>
      </w:r>
      <w:bookmarkEnd w:id="93"/>
      <w:bookmarkEnd w:id="94"/>
    </w:p>
    <w:p w14:paraId="6A66E3B3">
      <w:pPr>
        <w:spacing w:line="360" w:lineRule="auto"/>
        <w:ind w:firstLine="420" w:firstLineChars="200"/>
        <w:rPr>
          <w:rFonts w:ascii="宋体" w:hAnsi="宋体" w:cs="宋体"/>
          <w:b/>
          <w:bCs/>
          <w:color w:val="auto"/>
          <w:szCs w:val="21"/>
        </w:rPr>
      </w:pPr>
      <w:r>
        <w:rPr>
          <w:rFonts w:hint="eastAsia" w:ascii="宋体" w:hAnsi="宋体" w:cs="宋体"/>
          <w:color w:val="auto"/>
          <w:szCs w:val="21"/>
        </w:rPr>
        <w:t>本项目无需缴纳磋商保证金。</w:t>
      </w:r>
    </w:p>
    <w:p w14:paraId="548760C4">
      <w:pPr>
        <w:pStyle w:val="4"/>
        <w:spacing w:line="360" w:lineRule="auto"/>
        <w:ind w:firstLine="420" w:firstLineChars="200"/>
        <w:rPr>
          <w:rFonts w:ascii="宋体" w:hAnsi="宋体" w:cs="宋体"/>
          <w:color w:val="auto"/>
          <w:sz w:val="21"/>
          <w:szCs w:val="21"/>
        </w:rPr>
      </w:pPr>
      <w:bookmarkStart w:id="95" w:name="_Toc387"/>
      <w:bookmarkStart w:id="96" w:name="_Toc8815"/>
      <w:r>
        <w:rPr>
          <w:rFonts w:hint="eastAsia" w:ascii="宋体" w:hAnsi="宋体" w:cs="宋体"/>
          <w:color w:val="auto"/>
          <w:sz w:val="21"/>
          <w:szCs w:val="21"/>
        </w:rPr>
        <w:t>16. 竞争性磋商响应文件的</w:t>
      </w:r>
      <w:bookmarkEnd w:id="95"/>
      <w:r>
        <w:rPr>
          <w:rFonts w:hint="eastAsia" w:ascii="宋体" w:hAnsi="宋体" w:cs="宋体"/>
          <w:color w:val="auto"/>
          <w:sz w:val="21"/>
          <w:szCs w:val="21"/>
        </w:rPr>
        <w:t>制作</w:t>
      </w:r>
      <w:bookmarkEnd w:id="96"/>
    </w:p>
    <w:p w14:paraId="39A71862">
      <w:pPr>
        <w:spacing w:line="360" w:lineRule="auto"/>
        <w:ind w:firstLine="420" w:firstLineChars="200"/>
        <w:rPr>
          <w:rFonts w:ascii="宋体" w:hAnsi="宋体" w:cs="宋体"/>
          <w:color w:val="auto"/>
          <w:szCs w:val="21"/>
        </w:rPr>
      </w:pPr>
      <w:r>
        <w:rPr>
          <w:rFonts w:hint="eastAsia" w:ascii="宋体" w:hAnsi="宋体" w:cs="宋体"/>
          <w:color w:val="auto"/>
          <w:szCs w:val="21"/>
        </w:rPr>
        <w:t>16.1 电子磋商响应文件中须加盖供应商公章部分均采用 CA 证书签章，并根据“政府采购项目电子交易管理操作指南-供应商”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6E35A81C">
      <w:pPr>
        <w:spacing w:line="360" w:lineRule="auto"/>
        <w:ind w:firstLine="420" w:firstLineChars="200"/>
        <w:rPr>
          <w:rFonts w:ascii="宋体" w:hAnsi="宋体" w:cs="宋体"/>
          <w:color w:val="auto"/>
          <w:szCs w:val="21"/>
        </w:rPr>
      </w:pPr>
      <w:r>
        <w:rPr>
          <w:rFonts w:hint="eastAsia" w:ascii="宋体" w:hAnsi="宋体" w:cs="宋体"/>
          <w:color w:val="auto"/>
          <w:szCs w:val="21"/>
        </w:rPr>
        <w:t>16.2供应商法人（负责人）或授权代表持有政采云个人CA证书签章的，应在响应文件中涉及到签字的位置使用个人CA证书签章，没有办理政采云个人CA证书签章的可在响应文件中涉及到签字的位置手写签字后扫描或者拍照做成 PDF 的格式上传即可。</w:t>
      </w:r>
    </w:p>
    <w:p w14:paraId="6F17663B">
      <w:pPr>
        <w:spacing w:line="360" w:lineRule="auto"/>
        <w:ind w:firstLine="420" w:firstLineChars="200"/>
        <w:rPr>
          <w:rFonts w:ascii="宋体" w:hAnsi="宋体" w:cs="宋体"/>
          <w:color w:val="auto"/>
          <w:szCs w:val="21"/>
        </w:rPr>
      </w:pPr>
      <w:r>
        <w:rPr>
          <w:rFonts w:hint="eastAsia" w:ascii="宋体" w:hAnsi="宋体" w:cs="宋体"/>
          <w:color w:val="auto"/>
          <w:szCs w:val="21"/>
        </w:rPr>
        <w:t>16.3 磋商响应文件不得涂改，若有修改错漏处，须法定代表人（负责人）或授权委托人签字（或个人CA证书签章）。磋商响应文件因字迹潦草或表达不清所引起的后果由供应商负责。</w:t>
      </w:r>
    </w:p>
    <w:p w14:paraId="5AE5F4AA">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16.4磋商前准备 </w:t>
      </w:r>
    </w:p>
    <w:p w14:paraId="02101A25">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16.4.1本项目实行在线磋商，采用电子磋商响应文件。若供应商参与磋商，自行承担磋商一切费用。 </w:t>
      </w:r>
    </w:p>
    <w:p w14:paraId="67C2F745">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16.4.2各供应商应在截标前应确保成为政采云平台正式注册入库供应商，并完成 CA 数字证书申领。因未注册入库、未办理 CA 数字证书等原因造成无法磋商或磋商失败等后果由供应商自行承担。 </w:t>
      </w:r>
    </w:p>
    <w:p w14:paraId="60C0931D">
      <w:pPr>
        <w:spacing w:line="360" w:lineRule="auto"/>
        <w:ind w:firstLine="420" w:firstLineChars="200"/>
        <w:rPr>
          <w:rFonts w:ascii="宋体" w:hAnsi="宋体" w:cs="宋体"/>
          <w:color w:val="auto"/>
          <w:szCs w:val="21"/>
        </w:rPr>
      </w:pPr>
      <w:r>
        <w:rPr>
          <w:rFonts w:hint="eastAsia" w:ascii="宋体" w:hAnsi="宋体" w:cs="宋体"/>
          <w:color w:val="auto"/>
          <w:szCs w:val="21"/>
        </w:rPr>
        <w:t>16.4.3供应商将政采云电子交易客户端下载、安装完成后，可通过账号密码或 CA 登录客户端进行响应文件制作。客户端请至网站下载专区查看，如有问题可拨打政采云客户服务热线 95763 进行咨询。</w:t>
      </w:r>
    </w:p>
    <w:p w14:paraId="347E71C9">
      <w:pPr>
        <w:pStyle w:val="4"/>
        <w:spacing w:line="360" w:lineRule="auto"/>
        <w:ind w:firstLine="420" w:firstLineChars="200"/>
        <w:rPr>
          <w:rFonts w:ascii="宋体" w:hAnsi="宋体" w:cs="宋体"/>
          <w:color w:val="auto"/>
          <w:sz w:val="21"/>
          <w:szCs w:val="21"/>
        </w:rPr>
      </w:pPr>
      <w:bookmarkStart w:id="97" w:name="_Toc8570"/>
      <w:r>
        <w:rPr>
          <w:rFonts w:hint="eastAsia" w:ascii="宋体" w:hAnsi="宋体" w:cs="宋体"/>
          <w:color w:val="auto"/>
          <w:sz w:val="21"/>
          <w:szCs w:val="21"/>
        </w:rPr>
        <w:t>17. 响应文件的修改和撤回</w:t>
      </w:r>
      <w:bookmarkEnd w:id="97"/>
    </w:p>
    <w:p w14:paraId="4DAC0684">
      <w:pPr>
        <w:spacing w:line="360" w:lineRule="auto"/>
        <w:ind w:firstLine="420" w:firstLineChars="200"/>
        <w:rPr>
          <w:rFonts w:ascii="宋体" w:hAnsi="宋体" w:cs="宋体"/>
          <w:color w:val="auto"/>
          <w:szCs w:val="21"/>
        </w:rPr>
      </w:pPr>
      <w:r>
        <w:rPr>
          <w:rFonts w:hint="eastAsia" w:ascii="宋体" w:hAnsi="宋体" w:cs="宋体"/>
          <w:color w:val="auto"/>
          <w:szCs w:val="21"/>
        </w:rPr>
        <w:t>17.1 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2160337D">
      <w:pPr>
        <w:spacing w:line="360" w:lineRule="auto"/>
        <w:ind w:firstLine="420" w:firstLineChars="200"/>
        <w:rPr>
          <w:rFonts w:ascii="宋体" w:hAnsi="宋体" w:cs="宋体"/>
          <w:color w:val="auto"/>
          <w:szCs w:val="21"/>
        </w:rPr>
      </w:pPr>
      <w:r>
        <w:rPr>
          <w:rFonts w:hint="eastAsia" w:ascii="宋体" w:hAnsi="宋体" w:cs="宋体"/>
          <w:color w:val="auto"/>
          <w:szCs w:val="21"/>
        </w:rPr>
        <w:t>17.2 在响应文件递交截止时间后的响应文件有效期内，供应商不得撤回其响应文件。</w:t>
      </w:r>
    </w:p>
    <w:p w14:paraId="516070D5">
      <w:pPr>
        <w:pStyle w:val="4"/>
        <w:spacing w:line="360" w:lineRule="auto"/>
        <w:ind w:firstLine="420" w:firstLineChars="200"/>
        <w:rPr>
          <w:rFonts w:ascii="宋体" w:hAnsi="宋体" w:cs="宋体"/>
          <w:color w:val="auto"/>
          <w:sz w:val="21"/>
          <w:szCs w:val="21"/>
        </w:rPr>
      </w:pPr>
      <w:bookmarkStart w:id="98" w:name="_Toc30156"/>
      <w:bookmarkStart w:id="99" w:name="_Toc27030"/>
      <w:r>
        <w:rPr>
          <w:rFonts w:hint="eastAsia" w:ascii="宋体" w:hAnsi="宋体" w:cs="宋体"/>
          <w:color w:val="auto"/>
          <w:sz w:val="21"/>
          <w:szCs w:val="21"/>
        </w:rPr>
        <w:t>18. 响应文件的递交和解密</w:t>
      </w:r>
      <w:bookmarkEnd w:id="98"/>
      <w:bookmarkEnd w:id="99"/>
    </w:p>
    <w:p w14:paraId="51C8732E">
      <w:pPr>
        <w:spacing w:line="360" w:lineRule="auto"/>
        <w:ind w:firstLine="420" w:firstLineChars="200"/>
        <w:rPr>
          <w:rFonts w:ascii="宋体" w:hAnsi="宋体" w:cs="宋体"/>
          <w:color w:val="auto"/>
          <w:szCs w:val="21"/>
        </w:rPr>
      </w:pPr>
      <w:r>
        <w:rPr>
          <w:rFonts w:hint="eastAsia" w:ascii="宋体" w:hAnsi="宋体" w:cs="宋体"/>
          <w:color w:val="auto"/>
          <w:szCs w:val="21"/>
        </w:rPr>
        <w:t>18.1响应文件递交截止时间：于</w:t>
      </w:r>
      <w:r>
        <w:rPr>
          <w:rFonts w:hint="eastAsia" w:ascii="宋体" w:hAnsi="宋体" w:cs="宋体"/>
          <w:color w:val="auto"/>
          <w:szCs w:val="21"/>
          <w:u w:val="single"/>
        </w:rPr>
        <w:t>2025年9月</w:t>
      </w:r>
      <w:r>
        <w:rPr>
          <w:rFonts w:hint="eastAsia" w:ascii="宋体" w:hAnsi="宋体" w:cs="宋体"/>
          <w:color w:val="auto"/>
          <w:szCs w:val="21"/>
          <w:u w:val="single"/>
          <w:lang w:val="en-US" w:eastAsia="zh-CN"/>
        </w:rPr>
        <w:t>23</w:t>
      </w:r>
      <w:r>
        <w:rPr>
          <w:rFonts w:hint="eastAsia" w:ascii="宋体" w:hAnsi="宋体" w:cs="宋体"/>
          <w:color w:val="auto"/>
          <w:szCs w:val="21"/>
          <w:u w:val="single"/>
        </w:rPr>
        <w:t>日09时30分</w:t>
      </w:r>
      <w:r>
        <w:rPr>
          <w:rFonts w:hint="eastAsia" w:ascii="宋体" w:hAnsi="宋体" w:cs="宋体"/>
          <w:color w:val="auto"/>
          <w:szCs w:val="21"/>
        </w:rPr>
        <w:t>之前将电子磋商响应文件上传到政采云平台。应按照本项目磋商文件和政采云平台的要求编制、加密传输磋商响应文件。供应商在使用系统进行投标的过程中遇到涉及平台使用的任何问题，可致电政采云平台技术支持热线咨询，联系方式：95763。</w:t>
      </w:r>
    </w:p>
    <w:p w14:paraId="64BF973F">
      <w:pPr>
        <w:spacing w:line="360" w:lineRule="auto"/>
        <w:ind w:firstLine="420" w:firstLineChars="200"/>
        <w:rPr>
          <w:rFonts w:ascii="宋体" w:hAnsi="宋体" w:cs="宋体"/>
          <w:b/>
          <w:bCs/>
          <w:color w:val="auto"/>
          <w:szCs w:val="21"/>
        </w:rPr>
      </w:pPr>
      <w:r>
        <w:rPr>
          <w:rFonts w:hint="eastAsia" w:ascii="宋体" w:hAnsi="宋体" w:cs="宋体"/>
          <w:color w:val="auto"/>
          <w:szCs w:val="21"/>
        </w:rPr>
        <w:t>18.2磋商响应文件解密时间：截标时间后</w:t>
      </w:r>
      <w:r>
        <w:rPr>
          <w:rFonts w:hint="eastAsia" w:ascii="宋体" w:hAnsi="宋体" w:cs="宋体"/>
          <w:color w:val="auto"/>
          <w:szCs w:val="21"/>
          <w:u w:val="single"/>
        </w:rPr>
        <w:t>30</w:t>
      </w:r>
      <w:r>
        <w:rPr>
          <w:rFonts w:hint="eastAsia" w:ascii="宋体" w:hAnsi="宋体" w:cs="宋体"/>
          <w:color w:val="auto"/>
          <w:szCs w:val="21"/>
        </w:rPr>
        <w:t>分钟内（</w:t>
      </w:r>
      <w:r>
        <w:rPr>
          <w:rFonts w:hint="eastAsia" w:ascii="宋体" w:hAnsi="宋体" w:cs="宋体"/>
          <w:color w:val="auto"/>
          <w:szCs w:val="21"/>
          <w:u w:val="single"/>
        </w:rPr>
        <w:t>2025年9月</w:t>
      </w:r>
      <w:r>
        <w:rPr>
          <w:rFonts w:hint="eastAsia" w:ascii="宋体" w:hAnsi="宋体" w:cs="宋体"/>
          <w:color w:val="auto"/>
          <w:szCs w:val="21"/>
          <w:u w:val="single"/>
          <w:lang w:val="en-US" w:eastAsia="zh-CN"/>
        </w:rPr>
        <w:t>23</w:t>
      </w:r>
      <w:r>
        <w:rPr>
          <w:rFonts w:hint="eastAsia" w:ascii="宋体" w:hAnsi="宋体" w:cs="宋体"/>
          <w:color w:val="auto"/>
          <w:szCs w:val="21"/>
          <w:u w:val="single"/>
        </w:rPr>
        <w:t>日09时30分至10时00分</w:t>
      </w:r>
      <w:r>
        <w:rPr>
          <w:rFonts w:hint="eastAsia" w:ascii="宋体" w:hAnsi="宋体" w:cs="宋体"/>
          <w:color w:val="auto"/>
          <w:szCs w:val="21"/>
        </w:rPr>
        <w:t>)磋商供应商可以登录政采云平台，用“项目采购-开标评标”功能进行解密磋商文件。</w:t>
      </w:r>
      <w:r>
        <w:rPr>
          <w:rFonts w:ascii="宋体" w:hAnsi="宋体" w:cs="宋体"/>
          <w:b/>
          <w:bCs/>
          <w:color w:val="auto"/>
          <w:kern w:val="0"/>
          <w:szCs w:val="21"/>
        </w:rPr>
        <w:t>若供应商在上述规定的时间内无法解密或解密失败的，视为供应商放弃</w:t>
      </w:r>
      <w:r>
        <w:rPr>
          <w:rFonts w:hint="eastAsia" w:ascii="宋体" w:hAnsi="宋体" w:cs="宋体"/>
          <w:b/>
          <w:bCs/>
          <w:color w:val="auto"/>
          <w:kern w:val="0"/>
          <w:szCs w:val="21"/>
        </w:rPr>
        <w:t>磋商</w:t>
      </w:r>
      <w:r>
        <w:rPr>
          <w:rFonts w:hint="eastAsia" w:ascii="宋体" w:hAnsi="宋体" w:cs="宋体"/>
          <w:b/>
          <w:bCs/>
          <w:color w:val="auto"/>
          <w:szCs w:val="21"/>
        </w:rPr>
        <w:t>，造成响应无效的后果由供应商自行承担。</w:t>
      </w:r>
    </w:p>
    <w:p w14:paraId="78DDB484">
      <w:pPr>
        <w:spacing w:line="360" w:lineRule="auto"/>
        <w:ind w:firstLine="420" w:firstLineChars="200"/>
        <w:rPr>
          <w:rFonts w:ascii="宋体" w:hAnsi="宋体" w:cs="宋体"/>
          <w:color w:val="auto"/>
          <w:szCs w:val="21"/>
        </w:rPr>
      </w:pPr>
      <w:r>
        <w:rPr>
          <w:rFonts w:hint="eastAsia" w:ascii="宋体" w:hAnsi="宋体" w:cs="宋体"/>
          <w:color w:val="auto"/>
          <w:szCs w:val="21"/>
        </w:rPr>
        <w:t>18.3 除竞争性磋商文件另有规定外，供应商所递交的响应文件不予退还。</w:t>
      </w:r>
    </w:p>
    <w:p w14:paraId="3A43A843">
      <w:pPr>
        <w:spacing w:line="360" w:lineRule="auto"/>
        <w:ind w:firstLine="420" w:firstLineChars="200"/>
        <w:rPr>
          <w:rFonts w:ascii="宋体" w:hAnsi="宋体" w:cs="宋体"/>
          <w:color w:val="auto"/>
          <w:szCs w:val="21"/>
        </w:rPr>
      </w:pPr>
      <w:r>
        <w:rPr>
          <w:rFonts w:hint="eastAsia" w:ascii="宋体" w:hAnsi="宋体" w:cs="宋体"/>
          <w:color w:val="auto"/>
          <w:szCs w:val="21"/>
        </w:rPr>
        <w:t>18.4 电子响应文件的相关说明</w:t>
      </w:r>
    </w:p>
    <w:p w14:paraId="76CF3154">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1）供应商进行电子投标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 </w:t>
      </w:r>
    </w:p>
    <w:p w14:paraId="72EDE43A">
      <w:pPr>
        <w:spacing w:line="360" w:lineRule="auto"/>
        <w:ind w:firstLine="420" w:firstLineChars="200"/>
        <w:rPr>
          <w:rFonts w:ascii="宋体" w:hAnsi="宋体" w:cs="宋体"/>
          <w:color w:val="auto"/>
        </w:rPr>
      </w:pPr>
      <w:r>
        <w:rPr>
          <w:rFonts w:hint="eastAsia" w:ascii="宋体" w:hAnsi="宋体" w:cs="宋体"/>
          <w:color w:val="auto"/>
          <w:szCs w:val="21"/>
        </w:rPr>
        <w:t>（2）如有特殊情况，采购代理机构延长截止时间和开标时间，采购代理机构和供应商的权利和义务将受到新的截止时间和开标时间的约束。</w:t>
      </w:r>
    </w:p>
    <w:p w14:paraId="22542B9F">
      <w:pPr>
        <w:pStyle w:val="3"/>
        <w:jc w:val="center"/>
        <w:rPr>
          <w:rFonts w:ascii="宋体" w:hAnsi="宋体" w:cs="宋体"/>
          <w:b/>
          <w:bCs w:val="0"/>
          <w:color w:val="auto"/>
          <w:szCs w:val="28"/>
        </w:rPr>
      </w:pPr>
      <w:bookmarkStart w:id="100" w:name="_Toc2433"/>
      <w:bookmarkStart w:id="101" w:name="_Toc18044"/>
      <w:r>
        <w:rPr>
          <w:rFonts w:hint="eastAsia" w:ascii="宋体" w:hAnsi="宋体" w:cs="宋体"/>
          <w:b/>
          <w:bCs w:val="0"/>
          <w:color w:val="auto"/>
          <w:szCs w:val="28"/>
        </w:rPr>
        <w:t>四、竞争性磋商（简称磋商）与评审</w:t>
      </w:r>
      <w:bookmarkEnd w:id="100"/>
      <w:bookmarkEnd w:id="101"/>
    </w:p>
    <w:p w14:paraId="3EC5C8F1">
      <w:pPr>
        <w:pStyle w:val="4"/>
        <w:spacing w:line="360" w:lineRule="auto"/>
        <w:ind w:firstLine="420" w:firstLineChars="200"/>
        <w:rPr>
          <w:rFonts w:ascii="宋体" w:hAnsi="宋体" w:cs="宋体"/>
          <w:color w:val="auto"/>
          <w:sz w:val="21"/>
          <w:szCs w:val="21"/>
        </w:rPr>
      </w:pPr>
      <w:bookmarkStart w:id="102" w:name="_Toc16714"/>
      <w:bookmarkStart w:id="103" w:name="_Toc31588"/>
      <w:r>
        <w:rPr>
          <w:rFonts w:hint="eastAsia" w:ascii="宋体" w:hAnsi="宋体" w:cs="宋体"/>
          <w:color w:val="auto"/>
          <w:sz w:val="21"/>
          <w:szCs w:val="21"/>
        </w:rPr>
        <w:t>19. 磋商小组组成及磋商时间、地点、人员</w:t>
      </w:r>
      <w:bookmarkEnd w:id="102"/>
      <w:bookmarkEnd w:id="103"/>
    </w:p>
    <w:p w14:paraId="522FF961">
      <w:pPr>
        <w:spacing w:line="360" w:lineRule="auto"/>
        <w:ind w:firstLine="420" w:firstLineChars="200"/>
        <w:rPr>
          <w:rFonts w:ascii="宋体" w:hAnsi="宋体" w:cs="宋体"/>
          <w:color w:val="auto"/>
          <w:szCs w:val="21"/>
        </w:rPr>
      </w:pPr>
      <w:r>
        <w:rPr>
          <w:rFonts w:hint="eastAsia" w:ascii="宋体" w:hAnsi="宋体" w:cs="宋体"/>
          <w:color w:val="auto"/>
          <w:szCs w:val="21"/>
        </w:rPr>
        <w:t>19.1 磋商小组组成：</w:t>
      </w:r>
    </w:p>
    <w:p w14:paraId="0F38F278">
      <w:pPr>
        <w:spacing w:line="360" w:lineRule="auto"/>
        <w:ind w:firstLine="420" w:firstLineChars="200"/>
        <w:rPr>
          <w:rFonts w:ascii="宋体" w:hAnsi="宋体" w:cs="宋体"/>
          <w:color w:val="auto"/>
          <w:szCs w:val="21"/>
        </w:rPr>
      </w:pPr>
      <w:r>
        <w:rPr>
          <w:rFonts w:hint="eastAsia" w:ascii="宋体" w:hAnsi="宋体" w:cs="宋体"/>
          <w:color w:val="auto"/>
          <w:szCs w:val="21"/>
        </w:rPr>
        <w:t>磋商及评审工作由采购代理机构负责组织，具体磋商、评审工作由依法组建的磋商小组负责，磋商小组由采购人代表和有关方面的专家组成。磋商小组的构成：</w:t>
      </w:r>
      <w:r>
        <w:rPr>
          <w:rFonts w:hint="eastAsia" w:ascii="宋体" w:hAnsi="宋体" w:cs="宋体"/>
          <w:color w:val="auto"/>
          <w:szCs w:val="21"/>
          <w:u w:val="single"/>
        </w:rPr>
        <w:t xml:space="preserve"> 3 </w:t>
      </w:r>
      <w:r>
        <w:rPr>
          <w:rFonts w:hint="eastAsia" w:ascii="宋体" w:hAnsi="宋体" w:cs="宋体"/>
          <w:color w:val="auto"/>
          <w:szCs w:val="21"/>
        </w:rPr>
        <w:t>人，其中采购人代表</w:t>
      </w:r>
      <w:r>
        <w:rPr>
          <w:rFonts w:hint="eastAsia" w:ascii="宋体" w:hAnsi="宋体" w:cs="宋体"/>
          <w:color w:val="auto"/>
          <w:szCs w:val="21"/>
          <w:u w:val="single"/>
        </w:rPr>
        <w:t xml:space="preserve">1 </w:t>
      </w:r>
      <w:r>
        <w:rPr>
          <w:rFonts w:hint="eastAsia" w:ascii="宋体" w:hAnsi="宋体" w:cs="宋体"/>
          <w:color w:val="auto"/>
          <w:szCs w:val="21"/>
        </w:rPr>
        <w:t>人， 专家</w:t>
      </w:r>
      <w:r>
        <w:rPr>
          <w:rFonts w:hint="eastAsia" w:ascii="宋体" w:hAnsi="宋体" w:cs="宋体"/>
          <w:color w:val="auto"/>
          <w:szCs w:val="21"/>
          <w:u w:val="single"/>
        </w:rPr>
        <w:t xml:space="preserve">2 </w:t>
      </w:r>
      <w:r>
        <w:rPr>
          <w:rFonts w:hint="eastAsia" w:ascii="宋体" w:hAnsi="宋体" w:cs="宋体"/>
          <w:color w:val="auto"/>
          <w:szCs w:val="21"/>
        </w:rPr>
        <w:t>人。</w:t>
      </w:r>
    </w:p>
    <w:p w14:paraId="45C0D46E">
      <w:pPr>
        <w:spacing w:line="360" w:lineRule="auto"/>
        <w:ind w:firstLine="420" w:firstLineChars="200"/>
        <w:rPr>
          <w:rFonts w:ascii="宋体" w:hAnsi="宋体" w:cs="宋体"/>
          <w:color w:val="auto"/>
          <w:szCs w:val="21"/>
        </w:rPr>
      </w:pPr>
      <w:r>
        <w:rPr>
          <w:rFonts w:hint="eastAsia" w:ascii="宋体" w:hAnsi="宋体" w:cs="宋体"/>
          <w:color w:val="auto"/>
          <w:szCs w:val="21"/>
        </w:rPr>
        <w:t>19.2 磋商时间、地点、人员：</w:t>
      </w:r>
    </w:p>
    <w:p w14:paraId="050F0C61">
      <w:pPr>
        <w:spacing w:line="360" w:lineRule="auto"/>
        <w:ind w:firstLine="420" w:firstLineChars="200"/>
        <w:rPr>
          <w:rFonts w:ascii="宋体" w:hAnsi="宋体" w:cs="宋体"/>
          <w:color w:val="auto"/>
          <w:szCs w:val="21"/>
        </w:rPr>
      </w:pPr>
      <w:bookmarkStart w:id="104" w:name="_Toc9878"/>
      <w:r>
        <w:rPr>
          <w:rFonts w:hint="eastAsia" w:ascii="宋体" w:hAnsi="宋体" w:cs="宋体"/>
          <w:color w:val="auto"/>
          <w:szCs w:val="21"/>
        </w:rPr>
        <w:t>19.2.1磋商时间：响应文件递交截止时间后。</w:t>
      </w:r>
      <w:bookmarkEnd w:id="104"/>
    </w:p>
    <w:p w14:paraId="46E8CFCC">
      <w:pPr>
        <w:spacing w:line="360" w:lineRule="auto"/>
        <w:ind w:firstLine="420" w:firstLineChars="200"/>
        <w:rPr>
          <w:rFonts w:ascii="宋体" w:hAnsi="宋体" w:cs="宋体"/>
          <w:color w:val="auto"/>
          <w:szCs w:val="21"/>
        </w:rPr>
      </w:pPr>
      <w:bookmarkStart w:id="105" w:name="_Toc29268"/>
      <w:r>
        <w:rPr>
          <w:rFonts w:hint="eastAsia" w:ascii="宋体" w:hAnsi="宋体" w:cs="宋体"/>
          <w:color w:val="auto"/>
          <w:szCs w:val="21"/>
        </w:rPr>
        <w:t>19.2.2磋商地点：</w:t>
      </w:r>
      <w:bookmarkEnd w:id="105"/>
      <w:r>
        <w:rPr>
          <w:rFonts w:hint="eastAsia" w:ascii="宋体" w:hAnsi="宋体" w:cs="宋体"/>
          <w:color w:val="auto"/>
          <w:szCs w:val="21"/>
        </w:rPr>
        <w:t>本项目需要磋商供应商代表在截标当天截标后，按磋商小组要求及时登陆政采云平台等候在线磋商。</w:t>
      </w:r>
    </w:p>
    <w:p w14:paraId="14C545E3">
      <w:pPr>
        <w:spacing w:line="360" w:lineRule="auto"/>
        <w:ind w:firstLine="420" w:firstLineChars="200"/>
        <w:rPr>
          <w:rFonts w:ascii="宋体" w:hAnsi="宋体" w:cs="宋体"/>
          <w:bCs/>
          <w:color w:val="auto"/>
          <w:szCs w:val="21"/>
        </w:rPr>
      </w:pPr>
      <w:bookmarkStart w:id="106" w:name="_Toc21307"/>
      <w:r>
        <w:rPr>
          <w:rFonts w:hint="eastAsia" w:ascii="宋体" w:hAnsi="宋体" w:cs="宋体"/>
          <w:color w:val="auto"/>
          <w:szCs w:val="21"/>
        </w:rPr>
        <w:t>19</w:t>
      </w:r>
      <w:r>
        <w:rPr>
          <w:rFonts w:hint="eastAsia" w:ascii="宋体" w:hAnsi="宋体" w:cs="宋体"/>
          <w:bCs/>
          <w:color w:val="auto"/>
          <w:szCs w:val="21"/>
        </w:rPr>
        <w:t>.2.3磋商参加人员：供应商法定代表人、负责人、自然人或相应的委托代理人持</w:t>
      </w:r>
      <w:r>
        <w:rPr>
          <w:rFonts w:hint="eastAsia" w:ascii="宋体" w:hAnsi="宋体" w:cs="宋体"/>
          <w:bCs/>
          <w:color w:val="auto"/>
          <w:szCs w:val="21"/>
          <w:u w:val="single"/>
        </w:rPr>
        <w:t>有效身份证原件</w:t>
      </w:r>
      <w:r>
        <w:rPr>
          <w:rFonts w:hint="eastAsia" w:ascii="宋体" w:hAnsi="宋体" w:cs="宋体"/>
          <w:bCs/>
          <w:color w:val="auto"/>
          <w:szCs w:val="21"/>
        </w:rPr>
        <w:t>和供应商</w:t>
      </w:r>
      <w:r>
        <w:rPr>
          <w:rFonts w:hint="eastAsia" w:ascii="宋体" w:hAnsi="宋体" w:cs="宋体"/>
          <w:bCs/>
          <w:color w:val="auto"/>
          <w:szCs w:val="21"/>
          <w:u w:val="single"/>
        </w:rPr>
        <w:t>政采云平台CA数字证书</w:t>
      </w:r>
      <w:r>
        <w:rPr>
          <w:rFonts w:hint="eastAsia" w:ascii="宋体" w:hAnsi="宋体" w:cs="宋体"/>
          <w:bCs/>
          <w:color w:val="auto"/>
          <w:szCs w:val="21"/>
        </w:rPr>
        <w:t>参加磋商。请供应商按时到达指定地点等候磋商。</w:t>
      </w:r>
      <w:bookmarkEnd w:id="106"/>
    </w:p>
    <w:p w14:paraId="267BFB6B">
      <w:pPr>
        <w:spacing w:line="360" w:lineRule="auto"/>
        <w:ind w:firstLine="420" w:firstLineChars="200"/>
        <w:rPr>
          <w:rFonts w:ascii="宋体" w:hAnsi="宋体" w:cs="宋体"/>
          <w:bCs/>
          <w:color w:val="auto"/>
          <w:szCs w:val="21"/>
        </w:rPr>
      </w:pPr>
      <w:bookmarkStart w:id="107" w:name="_Toc6288"/>
      <w:r>
        <w:rPr>
          <w:rFonts w:hint="eastAsia" w:ascii="宋体" w:hAnsi="宋体" w:cs="宋体"/>
          <w:bCs/>
          <w:color w:val="auto"/>
          <w:szCs w:val="21"/>
        </w:rPr>
        <w:t>19.2.4响应文件递交截止时间后，由磋商小组在评标室内线上开启响应文件。</w:t>
      </w:r>
      <w:bookmarkEnd w:id="107"/>
    </w:p>
    <w:p w14:paraId="48C9A019">
      <w:pPr>
        <w:pStyle w:val="4"/>
        <w:spacing w:line="360" w:lineRule="auto"/>
        <w:ind w:firstLine="420" w:firstLineChars="200"/>
        <w:rPr>
          <w:rFonts w:ascii="宋体" w:hAnsi="宋体" w:cs="宋体"/>
          <w:color w:val="auto"/>
          <w:sz w:val="21"/>
          <w:szCs w:val="21"/>
        </w:rPr>
      </w:pPr>
      <w:bookmarkStart w:id="108" w:name="_Toc25258"/>
      <w:bookmarkStart w:id="109" w:name="_Toc18640"/>
      <w:r>
        <w:rPr>
          <w:rFonts w:hint="eastAsia" w:ascii="宋体" w:hAnsi="宋体" w:cs="宋体"/>
          <w:color w:val="auto"/>
          <w:sz w:val="21"/>
          <w:szCs w:val="21"/>
        </w:rPr>
        <w:t>20. 评审原则</w:t>
      </w:r>
      <w:bookmarkEnd w:id="108"/>
      <w:bookmarkEnd w:id="109"/>
    </w:p>
    <w:p w14:paraId="2AE0FBC6">
      <w:pPr>
        <w:spacing w:line="360" w:lineRule="auto"/>
        <w:ind w:firstLine="420" w:firstLineChars="200"/>
        <w:rPr>
          <w:rFonts w:ascii="宋体" w:hAnsi="宋体" w:cs="宋体"/>
          <w:color w:val="auto"/>
          <w:szCs w:val="21"/>
        </w:rPr>
      </w:pPr>
      <w:r>
        <w:rPr>
          <w:rFonts w:hint="eastAsia" w:ascii="宋体" w:hAnsi="宋体" w:cs="宋体"/>
          <w:color w:val="auto"/>
          <w:szCs w:val="21"/>
        </w:rPr>
        <w:t>20.1 磋商小组必须坚持公平、公正、科学和择优的原则。</w:t>
      </w:r>
    </w:p>
    <w:p w14:paraId="37181582">
      <w:pPr>
        <w:spacing w:line="360" w:lineRule="auto"/>
        <w:ind w:firstLine="420" w:firstLineChars="200"/>
        <w:rPr>
          <w:rFonts w:ascii="宋体" w:hAnsi="宋体" w:cs="宋体"/>
          <w:color w:val="auto"/>
          <w:szCs w:val="21"/>
        </w:rPr>
      </w:pPr>
      <w:r>
        <w:rPr>
          <w:rFonts w:hint="eastAsia" w:ascii="宋体" w:hAnsi="宋体" w:cs="宋体"/>
          <w:color w:val="auto"/>
          <w:szCs w:val="21"/>
        </w:rPr>
        <w:t>20.2 评审办法：综合评分法，具体详见第四章评审办法。</w:t>
      </w:r>
    </w:p>
    <w:p w14:paraId="0D9E3EFE">
      <w:pPr>
        <w:spacing w:line="360" w:lineRule="auto"/>
        <w:ind w:firstLine="420" w:firstLineChars="200"/>
        <w:rPr>
          <w:rFonts w:ascii="宋体" w:hAnsi="宋体" w:cs="宋体"/>
          <w:color w:val="auto"/>
          <w:szCs w:val="21"/>
        </w:rPr>
      </w:pPr>
      <w:r>
        <w:rPr>
          <w:rFonts w:hint="eastAsia" w:ascii="宋体" w:hAnsi="宋体" w:cs="宋体"/>
          <w:color w:val="auto"/>
          <w:szCs w:val="21"/>
        </w:rPr>
        <w:t>20.3 磋商小组应按磋商文件进行评审，不得擅自更改评审办法。</w:t>
      </w:r>
    </w:p>
    <w:p w14:paraId="231EA854">
      <w:pPr>
        <w:spacing w:line="360" w:lineRule="auto"/>
        <w:ind w:firstLine="420" w:firstLineChars="200"/>
        <w:rPr>
          <w:rFonts w:ascii="宋体" w:hAnsi="宋体" w:cs="宋体"/>
          <w:color w:val="auto"/>
          <w:szCs w:val="21"/>
        </w:rPr>
      </w:pPr>
      <w:r>
        <w:rPr>
          <w:rFonts w:hint="eastAsia" w:ascii="宋体" w:hAnsi="宋体" w:cs="宋体"/>
          <w:color w:val="auto"/>
          <w:szCs w:val="21"/>
        </w:rPr>
        <w:t>20.4 在评审过程中，磋商小组任何人不得对某个供应商发表任何倾向性意见，不得向其他磋商小组成员明示或者暗示自己的评审意见。</w:t>
      </w:r>
    </w:p>
    <w:p w14:paraId="0F251D50">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20.5 磋商小组成员对需要共同认定的事项存在争议的，按照少数服从多数的原则作出结论。持不同意见的磋商小组成员应当在评审报告上签署不同意见并说明理由，否则视为同意。</w:t>
      </w:r>
    </w:p>
    <w:p w14:paraId="093F5984">
      <w:pPr>
        <w:spacing w:line="360" w:lineRule="auto"/>
        <w:ind w:firstLine="420" w:firstLineChars="200"/>
        <w:rPr>
          <w:rFonts w:ascii="宋体" w:hAnsi="宋体" w:cs="宋体"/>
          <w:color w:val="auto"/>
          <w:szCs w:val="21"/>
        </w:rPr>
      </w:pPr>
      <w:r>
        <w:rPr>
          <w:rFonts w:hint="eastAsia" w:ascii="宋体" w:hAnsi="宋体" w:cs="宋体"/>
          <w:color w:val="auto"/>
          <w:szCs w:val="21"/>
        </w:rPr>
        <w:t>20.6 响应文件最后报价出现前后不一致的，除竞争性磋商文件另有规定外，按照下列规定修正：</w:t>
      </w:r>
    </w:p>
    <w:p w14:paraId="1F7CA9A9">
      <w:pPr>
        <w:pStyle w:val="48"/>
        <w:tabs>
          <w:tab w:val="left" w:pos="1099"/>
        </w:tabs>
        <w:spacing w:before="130"/>
        <w:ind w:left="420" w:leftChars="200" w:firstLine="0" w:firstLineChars="0"/>
        <w:jc w:val="left"/>
        <w:rPr>
          <w:rFonts w:ascii="宋体" w:hAnsi="宋体" w:cs="宋体"/>
          <w:color w:val="auto"/>
        </w:rPr>
      </w:pPr>
      <w:r>
        <w:rPr>
          <w:rFonts w:hint="eastAsia" w:ascii="宋体" w:hAnsi="宋体" w:cs="宋体"/>
          <w:color w:val="auto"/>
          <w:szCs w:val="21"/>
        </w:rPr>
        <w:t xml:space="preserve">(1) </w:t>
      </w:r>
      <w:r>
        <w:rPr>
          <w:rFonts w:hint="eastAsia" w:ascii="宋体" w:hAnsi="宋体" w:cs="宋体"/>
          <w:color w:val="auto"/>
        </w:rPr>
        <w:t>响应文件中磋商单项单价报价表内容与响应文件中相应内容不一致的，以最后磋商单项单价报价表为准；</w:t>
      </w:r>
    </w:p>
    <w:p w14:paraId="1767845D">
      <w:pPr>
        <w:pStyle w:val="48"/>
        <w:tabs>
          <w:tab w:val="left" w:pos="1099"/>
        </w:tabs>
        <w:spacing w:before="130"/>
        <w:ind w:left="420" w:leftChars="200" w:firstLine="0" w:firstLineChars="0"/>
        <w:jc w:val="left"/>
        <w:rPr>
          <w:rFonts w:ascii="宋体" w:hAnsi="宋体" w:cs="宋体"/>
          <w:color w:val="auto"/>
        </w:rPr>
      </w:pPr>
      <w:r>
        <w:rPr>
          <w:rFonts w:hint="eastAsia" w:ascii="宋体" w:hAnsi="宋体" w:cs="宋体"/>
          <w:color w:val="auto"/>
          <w:szCs w:val="21"/>
        </w:rPr>
        <w:t>(2)</w:t>
      </w:r>
      <w:r>
        <w:rPr>
          <w:rFonts w:hint="eastAsia" w:ascii="宋体" w:hAnsi="宋体" w:cs="宋体"/>
          <w:color w:val="auto"/>
        </w:rPr>
        <w:t xml:space="preserve"> 大写金额和小写金额不一致的，以大写金额为准；</w:t>
      </w:r>
    </w:p>
    <w:p w14:paraId="57E4FC22">
      <w:pPr>
        <w:pStyle w:val="48"/>
        <w:tabs>
          <w:tab w:val="left" w:pos="1099"/>
        </w:tabs>
        <w:spacing w:before="130"/>
        <w:ind w:left="420" w:leftChars="200" w:firstLine="0" w:firstLineChars="0"/>
        <w:jc w:val="left"/>
        <w:rPr>
          <w:rFonts w:ascii="宋体" w:hAnsi="宋体" w:cs="宋体"/>
          <w:color w:val="auto"/>
        </w:rPr>
      </w:pPr>
      <w:r>
        <w:rPr>
          <w:rFonts w:hint="eastAsia" w:ascii="宋体" w:hAnsi="宋体" w:cs="宋体"/>
          <w:color w:val="auto"/>
          <w:szCs w:val="21"/>
        </w:rPr>
        <w:t>(3)</w:t>
      </w:r>
      <w:r>
        <w:rPr>
          <w:rFonts w:hint="eastAsia" w:ascii="宋体" w:hAnsi="宋体" w:cs="宋体"/>
          <w:color w:val="auto"/>
        </w:rPr>
        <w:t xml:space="preserve"> 单价金额小数点或者百分比有明显错位的，以报价表的总价为准，并修改单价；</w:t>
      </w:r>
    </w:p>
    <w:p w14:paraId="3E9AF1E7">
      <w:pPr>
        <w:pStyle w:val="48"/>
        <w:tabs>
          <w:tab w:val="left" w:pos="1099"/>
        </w:tabs>
        <w:spacing w:before="130"/>
        <w:ind w:left="420" w:leftChars="200" w:firstLine="0" w:firstLineChars="0"/>
        <w:jc w:val="left"/>
        <w:rPr>
          <w:rFonts w:ascii="宋体" w:hAnsi="宋体" w:cs="宋体"/>
          <w:color w:val="auto"/>
        </w:rPr>
      </w:pPr>
      <w:r>
        <w:rPr>
          <w:rFonts w:hint="eastAsia" w:ascii="宋体" w:hAnsi="宋体" w:cs="宋体"/>
          <w:color w:val="auto"/>
          <w:szCs w:val="21"/>
        </w:rPr>
        <w:t xml:space="preserve">(4) </w:t>
      </w:r>
      <w:r>
        <w:rPr>
          <w:rFonts w:hint="eastAsia" w:ascii="宋体" w:hAnsi="宋体" w:cs="宋体"/>
          <w:color w:val="auto"/>
        </w:rPr>
        <w:t>总价金额与按单价汇总金额不一致的，以单价金额计算结果为准。</w:t>
      </w:r>
    </w:p>
    <w:p w14:paraId="45412300">
      <w:pPr>
        <w:spacing w:line="360" w:lineRule="auto"/>
        <w:ind w:firstLine="420" w:firstLineChars="200"/>
        <w:rPr>
          <w:rFonts w:ascii="宋体" w:hAnsi="宋体" w:cs="宋体"/>
          <w:color w:val="auto"/>
          <w:szCs w:val="21"/>
        </w:rPr>
      </w:pPr>
      <w:r>
        <w:rPr>
          <w:rFonts w:hint="eastAsia" w:ascii="宋体" w:hAnsi="宋体" w:cs="宋体"/>
          <w:color w:val="auto"/>
          <w:szCs w:val="21"/>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3BB74E0E">
      <w:pPr>
        <w:pStyle w:val="4"/>
        <w:spacing w:line="360" w:lineRule="auto"/>
        <w:ind w:firstLine="420" w:firstLineChars="200"/>
        <w:rPr>
          <w:rFonts w:ascii="宋体" w:hAnsi="宋体" w:cs="宋体"/>
          <w:color w:val="auto"/>
          <w:sz w:val="21"/>
          <w:szCs w:val="21"/>
        </w:rPr>
      </w:pPr>
      <w:bookmarkStart w:id="110" w:name="_Toc1312"/>
      <w:bookmarkStart w:id="111" w:name="_Toc27193"/>
      <w:r>
        <w:rPr>
          <w:rFonts w:hint="eastAsia" w:ascii="宋体" w:hAnsi="宋体" w:cs="宋体"/>
          <w:color w:val="auto"/>
          <w:sz w:val="21"/>
          <w:szCs w:val="21"/>
        </w:rPr>
        <w:t>21. 评审程序及磋商要求</w:t>
      </w:r>
      <w:bookmarkEnd w:id="110"/>
      <w:bookmarkEnd w:id="111"/>
    </w:p>
    <w:p w14:paraId="6628D0AC">
      <w:pPr>
        <w:spacing w:line="360" w:lineRule="auto"/>
        <w:ind w:firstLine="420" w:firstLineChars="200"/>
        <w:rPr>
          <w:rFonts w:ascii="宋体" w:hAnsi="宋体" w:cs="宋体"/>
          <w:color w:val="auto"/>
          <w:szCs w:val="21"/>
        </w:rPr>
      </w:pPr>
      <w:r>
        <w:rPr>
          <w:rFonts w:hint="eastAsia" w:ascii="宋体" w:hAnsi="宋体" w:cs="宋体"/>
          <w:color w:val="auto"/>
          <w:szCs w:val="21"/>
        </w:rPr>
        <w:t>21.1磋商小组成员的通讯工具或相关电子设备交由桂林市公共资源交易中心统一保管后到达评标室，采购代理机构核实磋商小组成员身份，告知回避要求，宣布评审工作纪律和程序，推选磋商小组组长。</w:t>
      </w:r>
    </w:p>
    <w:p w14:paraId="635293F2">
      <w:pPr>
        <w:spacing w:line="360" w:lineRule="auto"/>
        <w:ind w:firstLine="420" w:firstLineChars="200"/>
        <w:rPr>
          <w:rFonts w:ascii="宋体" w:hAnsi="宋体" w:cs="宋体"/>
          <w:color w:val="auto"/>
          <w:szCs w:val="21"/>
        </w:rPr>
      </w:pPr>
      <w:r>
        <w:rPr>
          <w:rFonts w:hint="eastAsia" w:ascii="宋体" w:hAnsi="宋体" w:cs="宋体"/>
          <w:color w:val="auto"/>
          <w:szCs w:val="21"/>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6FAE026E">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21.3 磋商小组依据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 </w:t>
      </w:r>
    </w:p>
    <w:p w14:paraId="3A2C9DF6">
      <w:pPr>
        <w:spacing w:line="360" w:lineRule="auto"/>
        <w:ind w:firstLine="420" w:firstLineChars="200"/>
        <w:rPr>
          <w:rFonts w:ascii="宋体" w:hAnsi="宋体" w:cs="宋体"/>
          <w:b/>
          <w:bCs/>
          <w:color w:val="auto"/>
          <w:szCs w:val="21"/>
        </w:rPr>
      </w:pPr>
      <w:r>
        <w:rPr>
          <w:rFonts w:hint="eastAsia" w:ascii="宋体" w:hAnsi="宋体" w:cs="宋体"/>
          <w:b/>
          <w:bCs/>
          <w:color w:val="auto"/>
          <w:szCs w:val="21"/>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 。</w:t>
      </w:r>
    </w:p>
    <w:p w14:paraId="07C952FA">
      <w:pPr>
        <w:spacing w:line="360" w:lineRule="auto"/>
        <w:ind w:firstLine="420" w:firstLineChars="200"/>
        <w:rPr>
          <w:rFonts w:ascii="宋体" w:hAnsi="宋体" w:cs="宋体"/>
          <w:color w:val="auto"/>
          <w:szCs w:val="21"/>
        </w:rPr>
      </w:pPr>
      <w:r>
        <w:rPr>
          <w:rFonts w:hint="eastAsia" w:ascii="宋体" w:hAnsi="宋体" w:cs="宋体"/>
          <w:color w:val="auto"/>
          <w:szCs w:val="21"/>
        </w:rPr>
        <w:t>21.4.1 查询渠道：《国家企业信用信息公示系统》（网址：www.gsxt.gov.cn/index.html）</w:t>
      </w:r>
    </w:p>
    <w:p w14:paraId="1383689E">
      <w:pPr>
        <w:spacing w:line="360" w:lineRule="auto"/>
        <w:ind w:firstLine="420" w:firstLineChars="200"/>
        <w:rPr>
          <w:rFonts w:ascii="宋体" w:hAnsi="宋体" w:cs="宋体"/>
          <w:color w:val="auto"/>
          <w:szCs w:val="21"/>
        </w:rPr>
      </w:pPr>
      <w:r>
        <w:rPr>
          <w:rFonts w:hint="eastAsia" w:ascii="宋体" w:hAnsi="宋体" w:cs="宋体"/>
          <w:color w:val="auto"/>
          <w:szCs w:val="21"/>
        </w:rPr>
        <w:t>21.4.2 审查流程：</w:t>
      </w:r>
    </w:p>
    <w:p w14:paraId="2D7D333A">
      <w:pPr>
        <w:spacing w:line="360" w:lineRule="auto"/>
        <w:ind w:firstLine="420" w:firstLineChars="200"/>
        <w:rPr>
          <w:rFonts w:ascii="宋体" w:hAnsi="宋体" w:cs="宋体"/>
          <w:color w:val="auto"/>
          <w:szCs w:val="21"/>
        </w:rPr>
      </w:pPr>
      <w:r>
        <w:rPr>
          <w:rFonts w:hint="eastAsia" w:ascii="宋体" w:hAnsi="宋体" w:cs="宋体"/>
          <w:color w:val="auto"/>
          <w:szCs w:val="21"/>
        </w:rPr>
        <w:t>（1）进入《国家企业信用信息公示系统》（网址：www.gsxt.gov.cn/index.html），输入企业名称，进入企业信息主页面；</w:t>
      </w:r>
    </w:p>
    <w:p w14:paraId="6AE2C7B3">
      <w:pPr>
        <w:spacing w:line="360" w:lineRule="auto"/>
        <w:ind w:firstLine="420" w:firstLineChars="200"/>
        <w:rPr>
          <w:rFonts w:ascii="宋体" w:hAnsi="宋体" w:cs="宋体"/>
          <w:color w:val="auto"/>
          <w:szCs w:val="21"/>
        </w:rPr>
      </w:pPr>
      <w:r>
        <w:rPr>
          <w:rFonts w:hint="eastAsia" w:ascii="宋体" w:hAnsi="宋体" w:cs="宋体"/>
          <w:color w:val="auto"/>
          <w:szCs w:val="21"/>
        </w:rPr>
        <w:t>（2）查看主页“股东及出资信息”栏，或年报中的“股东及出资信息”栏信息；</w:t>
      </w:r>
    </w:p>
    <w:p w14:paraId="4856D06B">
      <w:pPr>
        <w:spacing w:line="360" w:lineRule="auto"/>
        <w:ind w:firstLine="420" w:firstLineChars="200"/>
        <w:rPr>
          <w:rFonts w:ascii="宋体" w:hAnsi="宋体" w:cs="宋体"/>
          <w:color w:val="auto"/>
          <w:szCs w:val="21"/>
        </w:rPr>
      </w:pPr>
      <w:r>
        <w:rPr>
          <w:rFonts w:hint="eastAsia" w:ascii="宋体" w:hAnsi="宋体" w:cs="宋体"/>
          <w:color w:val="auto"/>
          <w:szCs w:val="21"/>
        </w:rPr>
        <w:t>（3）将各供应商的股东及出资信息进行比对，得出审查结论；</w:t>
      </w:r>
    </w:p>
    <w:p w14:paraId="1FB78274">
      <w:pPr>
        <w:spacing w:line="360" w:lineRule="auto"/>
        <w:ind w:firstLine="420" w:firstLineChars="200"/>
        <w:rPr>
          <w:rFonts w:ascii="宋体" w:hAnsi="宋体" w:cs="宋体"/>
          <w:color w:val="auto"/>
          <w:szCs w:val="21"/>
        </w:rPr>
      </w:pPr>
      <w:r>
        <w:rPr>
          <w:rFonts w:hint="eastAsia" w:ascii="宋体" w:hAnsi="宋体" w:cs="宋体"/>
          <w:color w:val="auto"/>
          <w:szCs w:val="21"/>
        </w:rPr>
        <w:t>（4）将相关资料作为评审资料打印存档。</w:t>
      </w:r>
    </w:p>
    <w:p w14:paraId="6B58B8D5">
      <w:pPr>
        <w:spacing w:line="360" w:lineRule="auto"/>
        <w:ind w:firstLine="420" w:firstLineChars="200"/>
        <w:rPr>
          <w:rFonts w:ascii="宋体" w:hAnsi="宋体" w:cs="宋体"/>
          <w:b/>
          <w:bCs/>
          <w:color w:val="auto"/>
          <w:szCs w:val="21"/>
        </w:rPr>
      </w:pPr>
      <w:r>
        <w:rPr>
          <w:rFonts w:hint="eastAsia" w:ascii="宋体" w:hAnsi="宋体" w:cs="宋体"/>
          <w:b/>
          <w:bCs/>
          <w:color w:val="auto"/>
          <w:szCs w:val="21"/>
        </w:rPr>
        <w:t>21.5 磋商小组如发现供应商提供的证明文件不齐全或不符合规定格式的，应一次性告知供应商，供应商应在规定的时间内线上补正或更正。</w:t>
      </w:r>
    </w:p>
    <w:p w14:paraId="24F24F06">
      <w:pPr>
        <w:pStyle w:val="10"/>
        <w:spacing w:line="360" w:lineRule="auto"/>
        <w:rPr>
          <w:rFonts w:ascii="宋体" w:hAnsi="宋体" w:cs="宋体"/>
          <w:color w:val="auto"/>
          <w:szCs w:val="21"/>
        </w:rPr>
      </w:pPr>
      <w:r>
        <w:rPr>
          <w:rFonts w:hint="eastAsia" w:ascii="宋体" w:hAnsi="宋体" w:cs="宋体"/>
          <w:color w:val="auto"/>
          <w:szCs w:val="21"/>
        </w:rPr>
        <w:t>21.6 磋商小组在对响应文件的有效性、完整性和响应程度进行审查时，可以要求供应商对响应文件中含义不明确、同类问题表述不一致或者有明显文字和计算错误的内容等作出必要的澄清、说明或者更正。供应商的 澄清、说明或者更正不得超出响应文件的范围或者改变响应文件的实质性内容。澄清、说明或者更正应由其法定代表人或相应的授权委托代表签字（</w:t>
      </w:r>
      <w:r>
        <w:rPr>
          <w:rFonts w:hint="eastAsia" w:ascii="宋体" w:hAnsi="宋体" w:cs="宋体"/>
          <w:color w:val="auto"/>
        </w:rPr>
        <w:t>个人CA证书签章)</w:t>
      </w:r>
      <w:r>
        <w:rPr>
          <w:rFonts w:hint="eastAsia" w:ascii="宋体" w:hAnsi="宋体" w:cs="宋体"/>
          <w:color w:val="auto"/>
          <w:szCs w:val="21"/>
        </w:rPr>
        <w:t>或者加盖</w:t>
      </w:r>
      <w:r>
        <w:rPr>
          <w:rFonts w:hint="eastAsia" w:ascii="宋体" w:hAnsi="宋体"/>
          <w:color w:val="auto"/>
          <w:szCs w:val="21"/>
        </w:rPr>
        <w:t>供应商CA证书签章</w:t>
      </w:r>
      <w:r>
        <w:rPr>
          <w:rFonts w:hint="eastAsia" w:ascii="宋体" w:hAnsi="宋体" w:cs="宋体"/>
          <w:color w:val="auto"/>
          <w:szCs w:val="21"/>
        </w:rPr>
        <w:t>)。</w:t>
      </w:r>
    </w:p>
    <w:p w14:paraId="28235E9D">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根据磋商文件规定的程序、评定成交的标准等事项与实质性响应竞争性磋商文件要求的供应商进行磋商。未实质性响应磋商文件的响应文件按无效处理，磋商小组应当告知有关供应商。 </w:t>
      </w:r>
    </w:p>
    <w:p w14:paraId="4C0AAD41">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磋商小组所有成员应当按已确定的磋商顺序集中与单一供应商分别进行磋商，并给予所有实质性响应竞争性磋商文件要求的供应商平等的磋商机会。 </w:t>
      </w:r>
    </w:p>
    <w:p w14:paraId="73F4D247">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磋商中，磋商小组不得透露与磋商有关的其他供应商的技术资料、价格和其他信息。 </w:t>
      </w:r>
    </w:p>
    <w:p w14:paraId="30A2DCA6">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磋商小组对磋商过程和重要磋商内容进行记录，磋商双方在记录上签字确认。 </w:t>
      </w:r>
    </w:p>
    <w:p w14:paraId="61995CA7">
      <w:pPr>
        <w:spacing w:line="360" w:lineRule="auto"/>
        <w:ind w:firstLine="420" w:firstLineChars="200"/>
        <w:rPr>
          <w:rFonts w:ascii="宋体" w:hAnsi="宋体" w:cs="宋体"/>
          <w:color w:val="auto"/>
        </w:rPr>
      </w:pPr>
      <w:r>
        <w:rPr>
          <w:rFonts w:hint="eastAsia" w:ascii="宋体" w:hAnsi="宋体" w:cs="宋体"/>
          <w:color w:val="auto"/>
          <w:szCs w:val="21"/>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77CB252A">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21.8 在磋商过程中，磋商小组可以根据磋商文件和磋商情况实质性变动项目需求中的技术、服务要求以及合同草案条款，但不得变动磋商文件中的其他内容。实质性变动的内容，须经采购人代表确认。 </w:t>
      </w:r>
    </w:p>
    <w:p w14:paraId="49AB96B9">
      <w:pPr>
        <w:spacing w:line="360" w:lineRule="auto"/>
        <w:rPr>
          <w:rFonts w:ascii="宋体" w:hAnsi="宋体" w:cs="宋体"/>
          <w:color w:val="auto"/>
          <w:szCs w:val="21"/>
        </w:rPr>
      </w:pPr>
      <w:r>
        <w:rPr>
          <w:rFonts w:hint="eastAsia" w:ascii="宋体" w:hAnsi="宋体" w:cs="宋体"/>
          <w:color w:val="auto"/>
          <w:szCs w:val="21"/>
        </w:rPr>
        <w:t xml:space="preserve">对磋商文件作出的实质性变动是磋商文件的有效组成部分，磋商小组应当及时通过政采云平台同时通知所有参加磋商的供应商。 </w:t>
      </w:r>
    </w:p>
    <w:p w14:paraId="69766717">
      <w:pPr>
        <w:spacing w:line="360" w:lineRule="auto"/>
        <w:ind w:firstLine="420" w:firstLineChars="200"/>
        <w:rPr>
          <w:rFonts w:ascii="宋体" w:hAnsi="宋体" w:cs="宋体"/>
          <w:color w:val="auto"/>
          <w:szCs w:val="21"/>
        </w:rPr>
      </w:pPr>
      <w:r>
        <w:rPr>
          <w:rFonts w:hint="eastAsia" w:ascii="宋体" w:hAnsi="宋体" w:cs="宋体"/>
          <w:color w:val="auto"/>
          <w:szCs w:val="21"/>
        </w:rPr>
        <w:t>供应商应当按照磋商文件的变动情况和磋商小组的要求重新提交响应文件，并由其法定代表人、负责人、自然人或相应的授权委托代表签字（个人CA证书签章）或者加盖</w:t>
      </w:r>
      <w:r>
        <w:rPr>
          <w:rFonts w:hint="eastAsia" w:ascii="宋体" w:hAnsi="宋体"/>
          <w:color w:val="auto"/>
          <w:szCs w:val="21"/>
        </w:rPr>
        <w:t>供应商CA证书签章</w:t>
      </w:r>
      <w:r>
        <w:rPr>
          <w:rFonts w:hint="eastAsia" w:ascii="宋体" w:hAnsi="宋体" w:cs="宋体"/>
          <w:color w:val="auto"/>
          <w:szCs w:val="21"/>
        </w:rPr>
        <w:t xml:space="preserve">。逾时不交的，视同放弃磋商。 </w:t>
      </w:r>
    </w:p>
    <w:p w14:paraId="0926378E">
      <w:pPr>
        <w:spacing w:line="360" w:lineRule="auto"/>
        <w:ind w:firstLine="420" w:firstLineChars="200"/>
        <w:rPr>
          <w:rFonts w:ascii="宋体" w:hAnsi="宋体" w:cs="宋体"/>
          <w:color w:val="auto"/>
          <w:szCs w:val="21"/>
        </w:rPr>
      </w:pPr>
      <w:r>
        <w:rPr>
          <w:rFonts w:hint="eastAsia" w:ascii="宋体" w:hAnsi="宋体" w:cs="宋体"/>
          <w:color w:val="auto"/>
          <w:szCs w:val="21"/>
        </w:rPr>
        <w:t>21.9 第二轮磋商</w:t>
      </w:r>
    </w:p>
    <w:p w14:paraId="5BC70D49">
      <w:pPr>
        <w:spacing w:line="360" w:lineRule="auto"/>
        <w:ind w:firstLine="420" w:firstLineChars="200"/>
        <w:rPr>
          <w:rFonts w:ascii="宋体" w:hAnsi="宋体" w:cs="宋体"/>
          <w:color w:val="auto"/>
          <w:szCs w:val="21"/>
        </w:rPr>
      </w:pPr>
      <w:r>
        <w:rPr>
          <w:rFonts w:hint="eastAsia" w:ascii="宋体" w:hAnsi="宋体" w:cs="宋体"/>
          <w:color w:val="auto"/>
          <w:szCs w:val="21"/>
        </w:rPr>
        <w:t>磋商小组集中就重新提交的响应文件或磋商小组提出的磋商意见与单一响应供应商分别进行磋商。磋商小组对磋商过程和重要磋商内容进行记录，磋商双方在记录上签字确认（CA证书签章确认）。</w:t>
      </w:r>
    </w:p>
    <w:p w14:paraId="136F5082">
      <w:pPr>
        <w:spacing w:line="360" w:lineRule="auto"/>
        <w:ind w:firstLine="420" w:firstLineChars="200"/>
        <w:rPr>
          <w:rFonts w:ascii="宋体" w:hAnsi="宋体" w:cs="宋体"/>
          <w:color w:val="auto"/>
          <w:szCs w:val="21"/>
        </w:rPr>
      </w:pPr>
      <w:r>
        <w:rPr>
          <w:rFonts w:hint="eastAsia" w:ascii="宋体" w:hAnsi="宋体" w:cs="宋体"/>
          <w:color w:val="auto"/>
          <w:szCs w:val="21"/>
        </w:rPr>
        <w:t>磋商后，供应商根据磋商小组统一整理的书面磋商记录要求做出书面承诺，并由其法定代表人或授权代表签字或者加盖公章（CA证书签章）后按时线上提交。</w:t>
      </w:r>
    </w:p>
    <w:p w14:paraId="036006CE">
      <w:pPr>
        <w:spacing w:line="360" w:lineRule="auto"/>
        <w:ind w:firstLine="420" w:firstLineChars="200"/>
        <w:rPr>
          <w:rFonts w:ascii="宋体" w:hAnsi="宋体" w:cs="宋体"/>
          <w:color w:val="auto"/>
        </w:rPr>
      </w:pPr>
      <w:r>
        <w:rPr>
          <w:rFonts w:hint="eastAsia" w:ascii="宋体" w:hAnsi="宋体" w:cs="宋体"/>
          <w:color w:val="auto"/>
          <w:szCs w:val="21"/>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1C720CC8">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21.10 在采购过程中符合竞争要求的供应商或者报价未超过采购预算的供应商不足 3 家的，采购人或者采购代理机构应当终止竞争性磋商采购活动。 </w:t>
      </w:r>
    </w:p>
    <w:p w14:paraId="20EAB55B">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21.11 最后报价 </w:t>
      </w:r>
    </w:p>
    <w:p w14:paraId="1C87C23C">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21.11.1 磋商文件能够详细列明采购标的的技术、服务要求的，磋商结束后，磋商小组应当要求所有继续参加磋商的供应商在规定时间内线上提交最后报价，提交最后报价的供应商不得少于 3 家。 </w:t>
      </w:r>
    </w:p>
    <w:p w14:paraId="4F41B181">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21.11.2 磋商文件不能详细列明采购标的的技术、服务要求的，需由磋商供应商提供最终设计方案或解决方案的，磋商结束后，磋商小组应当按照少数服从多数的原则投票推荐 3 家以上（含 3 家）供应商的设计方案或者解决方案，并要求其在规定时间内线上提交最后报价。 </w:t>
      </w:r>
    </w:p>
    <w:p w14:paraId="5E9DCECA">
      <w:pPr>
        <w:spacing w:line="360" w:lineRule="auto"/>
        <w:ind w:firstLine="420" w:firstLineChars="200"/>
        <w:rPr>
          <w:rFonts w:ascii="宋体" w:hAnsi="宋体" w:cs="宋体"/>
          <w:color w:val="auto"/>
        </w:rPr>
      </w:pPr>
      <w:r>
        <w:rPr>
          <w:rFonts w:hint="eastAsia" w:ascii="宋体" w:hAnsi="宋体" w:cs="宋体"/>
          <w:color w:val="auto"/>
          <w:szCs w:val="21"/>
        </w:rPr>
        <w:t xml:space="preserve">21.11.3 根据《财政部关于政府采购竞争性磋商采购方式管理暂行办法有关问题的补充通知》(财库〔2014〕214 号)的规定，如采购项目为政府购买服务项目（含政府和社会资本合作项目），在采购过程中符合要求的供应商（社会资本）只有 2 家的，竞争性磋商采购活动可以继续进行，并要求其在规定时间内线上提交最后报价；采购过程中符合要求的供应商（社会资本）只有 1 家的，采购人或者采购代理机构应当终止竞争性磋商采购活动，发布项目终止公告并说明原因，重新开展采购活动。 </w:t>
      </w:r>
    </w:p>
    <w:p w14:paraId="289FE352">
      <w:pPr>
        <w:spacing w:line="360" w:lineRule="auto"/>
        <w:ind w:firstLine="420" w:firstLineChars="200"/>
        <w:rPr>
          <w:rFonts w:ascii="宋体" w:hAnsi="宋体" w:cs="宋体"/>
          <w:b/>
          <w:bCs/>
          <w:color w:val="auto"/>
          <w:szCs w:val="21"/>
        </w:rPr>
      </w:pPr>
      <w:r>
        <w:rPr>
          <w:rFonts w:hint="eastAsia" w:ascii="宋体" w:hAnsi="宋体" w:cs="宋体"/>
          <w:color w:val="auto"/>
          <w:szCs w:val="21"/>
        </w:rPr>
        <w:t>21.11.4 根据《政府采购竞争性磋商采购方式管理暂行办法》(财库〔2014〕214 号)的规定：</w:t>
      </w:r>
      <w:r>
        <w:rPr>
          <w:rFonts w:hint="eastAsia" w:ascii="宋体" w:hAnsi="宋体" w:cs="宋体"/>
          <w:b/>
          <w:bCs/>
          <w:color w:val="auto"/>
          <w:szCs w:val="21"/>
        </w:rPr>
        <w:t xml:space="preserve">最后报价是供应商响应文件的有效组成部分。 </w:t>
      </w:r>
      <w:r>
        <w:rPr>
          <w:rFonts w:hint="eastAsia" w:ascii="宋体" w:hAnsi="宋体" w:cs="宋体"/>
          <w:color w:val="auto"/>
          <w:szCs w:val="21"/>
        </w:rPr>
        <w:t>符合本办法(财库〔2014〕214号)第三条第四项情形的，提交最后报价的供应商可以为2家。</w:t>
      </w:r>
      <w:r>
        <w:rPr>
          <w:rFonts w:hint="eastAsia" w:ascii="宋体" w:hAnsi="宋体" w:cs="宋体"/>
          <w:b/>
          <w:bCs/>
          <w:color w:val="auto"/>
          <w:szCs w:val="21"/>
        </w:rPr>
        <w:t>（财库〔2014〕214号文第三条第四项：市场竞争不充分的科研项目，以及需要扶持的科技成果转化项目。）</w:t>
      </w:r>
    </w:p>
    <w:p w14:paraId="0D5747D8">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21.12 已提交响应文件的供应商，在提交最后报价之前，可以根据磋商情况书面退出磋商。 </w:t>
      </w:r>
    </w:p>
    <w:p w14:paraId="5B67D932">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未书面退出磋商的供应商在规定时间内线上提交最后报价，其最后报价超出采购预算导致已通过评审的响应文件无效的，按供应商在提交响应文件截止时间后撤回响应文件处理。 </w:t>
      </w:r>
    </w:p>
    <w:p w14:paraId="2AE95AD5">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21.13 评审报告 </w:t>
      </w:r>
    </w:p>
    <w:p w14:paraId="36BF30C0">
      <w:pPr>
        <w:spacing w:line="360" w:lineRule="auto"/>
        <w:ind w:firstLine="420" w:firstLineChars="200"/>
        <w:rPr>
          <w:rFonts w:ascii="宋体" w:hAnsi="宋体" w:cs="宋体"/>
          <w:color w:val="auto"/>
          <w:szCs w:val="21"/>
        </w:rPr>
      </w:pPr>
      <w:r>
        <w:rPr>
          <w:rFonts w:hint="eastAsia" w:ascii="宋体" w:hAnsi="宋体" w:cs="宋体"/>
          <w:color w:val="auto"/>
          <w:szCs w:val="21"/>
        </w:rPr>
        <w:t>磋商小组应当从质量和服务均能满足磋商文件全部实质性响应要求的供应商中，按照最后综合得分由高到低的顺序提出 3 名以上（含 3 名）成交候选人，并编写评审报告。</w:t>
      </w:r>
    </w:p>
    <w:p w14:paraId="4CD1BCB7">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21.14 在评审过程中出现法律法规和磋商文件均没有明确规定的情形时，由磋商小组现场协商解决，协商不一致的，由全体磋商小组投票表决，以得票率二分之一以上磋商小组成员的意见为准。 </w:t>
      </w:r>
    </w:p>
    <w:p w14:paraId="2C6EF581">
      <w:pPr>
        <w:spacing w:line="360" w:lineRule="auto"/>
        <w:ind w:firstLine="420" w:firstLineChars="200"/>
        <w:rPr>
          <w:rFonts w:ascii="宋体" w:hAnsi="宋体" w:cs="宋体"/>
          <w:color w:val="auto"/>
          <w:szCs w:val="21"/>
        </w:rPr>
      </w:pPr>
      <w:r>
        <w:rPr>
          <w:rFonts w:hint="eastAsia" w:ascii="宋体" w:hAnsi="宋体" w:cs="宋体"/>
          <w:color w:val="auto"/>
          <w:szCs w:val="21"/>
        </w:rPr>
        <w:t>21.15 采购代理机构发现磋商小组有明显的违规倾向或歧视现象，或不按评审办法进行，或其他不正常行为的，应当及时制止。如制止无效，应及时向桂林市财政局报告。</w:t>
      </w:r>
    </w:p>
    <w:p w14:paraId="2B5C81B2">
      <w:pPr>
        <w:spacing w:line="360" w:lineRule="auto"/>
        <w:ind w:firstLine="420" w:firstLineChars="200"/>
        <w:rPr>
          <w:rFonts w:ascii="宋体" w:hAnsi="宋体" w:cs="宋体"/>
          <w:b/>
          <w:bCs/>
          <w:color w:val="auto"/>
        </w:rPr>
      </w:pPr>
      <w:r>
        <w:rPr>
          <w:rFonts w:hint="eastAsia" w:ascii="宋体" w:hAnsi="宋体" w:cs="宋体"/>
          <w:color w:val="auto"/>
          <w:szCs w:val="21"/>
        </w:rPr>
        <w:t>21.16 本采购项目的评审依据为竞争性磋商文件和竞争性磋商响应文件，采用的评审方法为</w:t>
      </w:r>
      <w:r>
        <w:rPr>
          <w:rFonts w:hint="eastAsia" w:ascii="宋体" w:hAnsi="宋体" w:cs="宋体"/>
          <w:b/>
          <w:bCs/>
          <w:color w:val="auto"/>
          <w:szCs w:val="21"/>
        </w:rPr>
        <w:t>综合评分法。</w:t>
      </w:r>
    </w:p>
    <w:p w14:paraId="68075C16">
      <w:pPr>
        <w:spacing w:line="400" w:lineRule="exact"/>
        <w:ind w:firstLine="420" w:firstLineChars="200"/>
        <w:rPr>
          <w:rFonts w:ascii="宋体" w:hAnsi="宋体" w:cs="宋体"/>
          <w:b/>
          <w:bCs/>
          <w:color w:val="auto"/>
          <w:szCs w:val="21"/>
        </w:rPr>
      </w:pPr>
      <w:bookmarkStart w:id="112" w:name="_Toc2766"/>
      <w:bookmarkStart w:id="113" w:name="_Toc21715"/>
      <w:r>
        <w:rPr>
          <w:rFonts w:hint="eastAsia" w:ascii="宋体" w:hAnsi="宋体" w:cs="宋体"/>
          <w:b/>
          <w:bCs/>
          <w:color w:val="auto"/>
          <w:szCs w:val="21"/>
        </w:rPr>
        <w:t>22.推荐成交候选供应商原则</w:t>
      </w:r>
    </w:p>
    <w:p w14:paraId="3FD92CD5">
      <w:pPr>
        <w:spacing w:line="360" w:lineRule="auto"/>
        <w:ind w:firstLine="420" w:firstLineChars="200"/>
        <w:rPr>
          <w:rFonts w:ascii="宋体" w:hAnsi="宋体" w:cs="宋体"/>
          <w:color w:val="auto"/>
          <w:szCs w:val="21"/>
        </w:rPr>
      </w:pPr>
      <w:r>
        <w:rPr>
          <w:rFonts w:hint="eastAsia" w:ascii="宋体" w:hAnsi="宋体" w:cs="宋体"/>
          <w:color w:val="auto"/>
          <w:szCs w:val="21"/>
        </w:rPr>
        <w:t>（1）磋商小组应当根据综合评分情况，按照综合得分由高到低顺序推荐成交候选供应商，并编写评审报告。磋商小组根据综合得分由高到低排列次序，若得分相同时，</w:t>
      </w:r>
      <w:r>
        <w:rPr>
          <w:rFonts w:hint="eastAsia" w:ascii="宋体" w:hAnsi="Courier New"/>
          <w:color w:val="auto"/>
          <w:szCs w:val="21"/>
        </w:rPr>
        <w:t>依次按项目管理方案、履约能力、售后服务方案、业绩由高到低顺序排列并推荐成交候选供应商</w:t>
      </w:r>
      <w:r>
        <w:rPr>
          <w:rFonts w:hint="eastAsia" w:ascii="宋体" w:hAnsi="宋体" w:cs="宋体"/>
          <w:color w:val="auto"/>
          <w:szCs w:val="21"/>
        </w:rPr>
        <w:t>。</w:t>
      </w:r>
    </w:p>
    <w:p w14:paraId="11C7D3E1">
      <w:pPr>
        <w:spacing w:line="360" w:lineRule="auto"/>
        <w:ind w:firstLine="420" w:firstLineChars="200"/>
        <w:rPr>
          <w:rFonts w:ascii="宋体" w:hAnsi="宋体" w:cs="宋体"/>
          <w:color w:val="auto"/>
          <w:szCs w:val="21"/>
        </w:rPr>
      </w:pPr>
      <w:r>
        <w:rPr>
          <w:rFonts w:hint="eastAsia" w:ascii="宋体" w:hAnsi="宋体" w:cs="宋体"/>
          <w:color w:val="auto"/>
          <w:szCs w:val="21"/>
        </w:rPr>
        <w:t>（2）采购单位应当确定磋商小组推荐排名第一的成交候选人为成交供应商。</w:t>
      </w:r>
    </w:p>
    <w:p w14:paraId="04B62EB1">
      <w:pPr>
        <w:pStyle w:val="17"/>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b/>
          <w:bCs/>
          <w:color w:val="auto"/>
          <w:sz w:val="21"/>
          <w:szCs w:val="21"/>
        </w:rPr>
      </w:pPr>
      <w:r>
        <w:rPr>
          <w:rFonts w:hint="eastAsia" w:ascii="宋体" w:hAnsi="宋体" w:cs="宋体"/>
          <w:color w:val="auto"/>
          <w:szCs w:val="21"/>
        </w:rPr>
        <w:t>（3）排名第一的成交候选人放弃成交、因不可抗力提出不能履行合同，或者磋商文件规定应当提交履约保证金而在规定的期限内未能提交的，</w:t>
      </w:r>
      <w:r>
        <w:rPr>
          <w:rFonts w:hint="eastAsia" w:ascii="宋体" w:hAnsi="宋体" w:eastAsia="宋体" w:cs="宋体"/>
          <w:b/>
          <w:bCs/>
          <w:color w:val="auto"/>
          <w:sz w:val="21"/>
          <w:szCs w:val="21"/>
        </w:rPr>
        <w:t>采购</w:t>
      </w:r>
      <w:r>
        <w:rPr>
          <w:rFonts w:hint="eastAsia" w:hAnsi="宋体" w:cs="宋体"/>
          <w:b/>
          <w:bCs/>
          <w:color w:val="auto"/>
          <w:sz w:val="21"/>
          <w:szCs w:val="21"/>
          <w:lang w:val="en-US" w:eastAsia="zh-CN"/>
        </w:rPr>
        <w:t>单位</w:t>
      </w:r>
      <w:r>
        <w:rPr>
          <w:rFonts w:hint="eastAsia" w:ascii="宋体" w:hAnsi="宋体" w:eastAsia="宋体" w:cs="宋体"/>
          <w:b/>
          <w:bCs/>
          <w:color w:val="auto"/>
          <w:sz w:val="21"/>
          <w:szCs w:val="21"/>
        </w:rPr>
        <w:t>可以按照评审报告推荐的成交候选供应商名单排序，确定下一候选供应商成交</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以此类推</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，也可以重新</w:t>
      </w:r>
      <w:r>
        <w:rPr>
          <w:rFonts w:hint="eastAsia" w:ascii="宋体" w:hAnsi="宋体" w:eastAsia="宋体" w:cs="宋体"/>
          <w:b/>
          <w:bCs/>
          <w:color w:val="auto"/>
          <w:kern w:val="0"/>
          <w:sz w:val="21"/>
          <w:szCs w:val="21"/>
        </w:rPr>
        <w:t>组织采购活动</w:t>
      </w:r>
      <w:r>
        <w:rPr>
          <w:rFonts w:hint="eastAsia" w:ascii="宋体" w:hAnsi="宋体" w:eastAsia="宋体" w:cs="宋体"/>
          <w:b/>
          <w:bCs/>
          <w:color w:val="auto"/>
          <w:sz w:val="21"/>
          <w:szCs w:val="21"/>
        </w:rPr>
        <w:t>。</w:t>
      </w:r>
    </w:p>
    <w:p w14:paraId="3C766376">
      <w:pPr>
        <w:spacing w:line="360" w:lineRule="auto"/>
        <w:ind w:firstLine="420" w:firstLineChars="200"/>
        <w:rPr>
          <w:rFonts w:ascii="宋体" w:hAnsi="宋体" w:cs="宋体"/>
          <w:b/>
          <w:bCs/>
          <w:color w:val="auto"/>
          <w:sz w:val="21"/>
          <w:szCs w:val="21"/>
        </w:rPr>
      </w:pPr>
    </w:p>
    <w:p w14:paraId="5E22CB4C">
      <w:pPr>
        <w:spacing w:line="360" w:lineRule="auto"/>
        <w:ind w:firstLine="420" w:firstLineChars="200"/>
        <w:rPr>
          <w:rFonts w:ascii="宋体" w:hAnsi="宋体" w:cs="宋体"/>
          <w:b/>
          <w:bCs/>
          <w:color w:val="auto"/>
          <w:szCs w:val="21"/>
        </w:rPr>
      </w:pPr>
      <w:r>
        <w:rPr>
          <w:rFonts w:hint="eastAsia" w:ascii="宋体" w:hAnsi="宋体" w:cs="宋体"/>
          <w:b/>
          <w:bCs/>
          <w:color w:val="auto"/>
          <w:szCs w:val="21"/>
        </w:rPr>
        <w:t>23. 属于下列情况之一者，响应文件无效</w:t>
      </w:r>
      <w:bookmarkEnd w:id="112"/>
      <w:bookmarkEnd w:id="113"/>
    </w:p>
    <w:p w14:paraId="3DC9BF70">
      <w:pPr>
        <w:spacing w:line="360" w:lineRule="auto"/>
        <w:ind w:firstLine="420" w:firstLineChars="200"/>
        <w:rPr>
          <w:rFonts w:ascii="宋体" w:hAnsi="宋体" w:cs="宋体"/>
          <w:color w:val="auto"/>
          <w:szCs w:val="21"/>
        </w:rPr>
      </w:pPr>
      <w:r>
        <w:rPr>
          <w:rFonts w:hint="eastAsia" w:ascii="宋体" w:hAnsi="宋体" w:cs="宋体"/>
          <w:color w:val="auto"/>
          <w:szCs w:val="21"/>
        </w:rPr>
        <w:t>（1）未按磋商文件规定完整线上提交响应文件或未按规定要求线上签字、签章的；</w:t>
      </w:r>
    </w:p>
    <w:p w14:paraId="6FB11358">
      <w:pPr>
        <w:spacing w:line="360" w:lineRule="auto"/>
        <w:ind w:firstLine="420" w:firstLineChars="200"/>
        <w:rPr>
          <w:rFonts w:ascii="宋体" w:hAnsi="宋体" w:cs="宋体"/>
          <w:color w:val="auto"/>
          <w:szCs w:val="21"/>
        </w:rPr>
      </w:pPr>
      <w:r>
        <w:rPr>
          <w:rFonts w:hint="eastAsia" w:ascii="宋体" w:hAnsi="宋体" w:cs="宋体"/>
          <w:color w:val="auto"/>
          <w:szCs w:val="21"/>
        </w:rPr>
        <w:t>（2）不具备磋商文件规定的资格要求的；</w:t>
      </w:r>
    </w:p>
    <w:p w14:paraId="74524DFD">
      <w:pPr>
        <w:spacing w:line="360" w:lineRule="auto"/>
        <w:ind w:firstLine="420" w:firstLineChars="200"/>
        <w:rPr>
          <w:rFonts w:ascii="宋体" w:hAnsi="宋体" w:cs="宋体"/>
          <w:color w:val="auto"/>
          <w:szCs w:val="21"/>
        </w:rPr>
      </w:pPr>
      <w:r>
        <w:rPr>
          <w:rFonts w:hint="eastAsia" w:ascii="宋体" w:hAnsi="宋体" w:cs="宋体"/>
          <w:color w:val="auto"/>
          <w:szCs w:val="21"/>
        </w:rPr>
        <w:t>（3）响应文件未按磋商文件的内容和要求编制，或提供虚假材料的；</w:t>
      </w:r>
    </w:p>
    <w:p w14:paraId="0618A22F">
      <w:pPr>
        <w:spacing w:line="360" w:lineRule="auto"/>
        <w:ind w:firstLine="420" w:firstLineChars="200"/>
        <w:rPr>
          <w:rFonts w:ascii="宋体" w:hAnsi="宋体" w:cs="宋体"/>
          <w:color w:val="auto"/>
          <w:szCs w:val="21"/>
        </w:rPr>
      </w:pPr>
      <w:r>
        <w:rPr>
          <w:rFonts w:hint="eastAsia" w:ascii="宋体" w:hAnsi="宋体" w:cs="宋体"/>
          <w:color w:val="auto"/>
          <w:szCs w:val="21"/>
        </w:rPr>
        <w:t>（4）响应文件有效期、售后服务承诺不能满足磋商文件要求的；</w:t>
      </w:r>
    </w:p>
    <w:p w14:paraId="338CE38F">
      <w:pPr>
        <w:spacing w:line="360" w:lineRule="auto"/>
        <w:ind w:firstLine="420" w:firstLineChars="200"/>
        <w:rPr>
          <w:rFonts w:ascii="宋体" w:hAnsi="宋体" w:cs="宋体"/>
          <w:color w:val="auto"/>
          <w:szCs w:val="21"/>
        </w:rPr>
      </w:pPr>
      <w:r>
        <w:rPr>
          <w:rFonts w:hint="eastAsia" w:ascii="宋体" w:hAnsi="宋体" w:cs="宋体"/>
          <w:color w:val="auto"/>
          <w:szCs w:val="21"/>
        </w:rPr>
        <w:t>（5）供应商未就“采购需求”中的所有内容作完整唯一报价的，或报价超出采购预算总金额的；</w:t>
      </w:r>
    </w:p>
    <w:p w14:paraId="3D74A5AC">
      <w:pPr>
        <w:spacing w:line="360" w:lineRule="auto"/>
        <w:ind w:firstLine="420" w:firstLineChars="200"/>
        <w:rPr>
          <w:rFonts w:ascii="宋体" w:hAnsi="宋体" w:cs="宋体"/>
          <w:color w:val="auto"/>
          <w:szCs w:val="21"/>
        </w:rPr>
      </w:pPr>
      <w:r>
        <w:rPr>
          <w:rFonts w:hint="eastAsia" w:ascii="宋体" w:hAnsi="宋体" w:cs="宋体"/>
          <w:color w:val="auto"/>
          <w:szCs w:val="21"/>
        </w:rPr>
        <w:t>（6）未在磋商小组规定的时间内提交响应文件(包括最后报价)的；</w:t>
      </w:r>
    </w:p>
    <w:p w14:paraId="3FE1691C">
      <w:pPr>
        <w:spacing w:line="360" w:lineRule="auto"/>
        <w:ind w:firstLine="420" w:firstLineChars="200"/>
        <w:rPr>
          <w:rFonts w:ascii="宋体" w:hAnsi="宋体" w:cs="宋体"/>
          <w:color w:val="auto"/>
          <w:szCs w:val="21"/>
        </w:rPr>
      </w:pPr>
      <w:r>
        <w:rPr>
          <w:rFonts w:hint="eastAsia" w:ascii="宋体" w:hAnsi="宋体" w:cs="宋体"/>
          <w:color w:val="auto"/>
          <w:szCs w:val="21"/>
        </w:rPr>
        <w:t>（7）超越了按照法律法规规定必须获得行政许可或者行政审批的经营范围的；</w:t>
      </w:r>
    </w:p>
    <w:p w14:paraId="4B437BFB">
      <w:pPr>
        <w:spacing w:line="360" w:lineRule="auto"/>
        <w:ind w:firstLine="420" w:firstLineChars="200"/>
        <w:rPr>
          <w:rFonts w:ascii="宋体" w:hAnsi="宋体" w:cs="宋体"/>
          <w:color w:val="auto"/>
          <w:szCs w:val="21"/>
        </w:rPr>
      </w:pPr>
      <w:r>
        <w:rPr>
          <w:rFonts w:hint="eastAsia" w:ascii="宋体" w:hAnsi="宋体" w:cs="宋体"/>
          <w:color w:val="auto"/>
          <w:szCs w:val="21"/>
        </w:rPr>
        <w:t>（8）未满足磋商文件实质性要求的或者响应文件有采购人不能接受的附加条件的；</w:t>
      </w:r>
    </w:p>
    <w:p w14:paraId="6CA98524">
      <w:pPr>
        <w:spacing w:line="360" w:lineRule="auto"/>
        <w:ind w:firstLine="420" w:firstLineChars="200"/>
        <w:rPr>
          <w:rFonts w:ascii="宋体" w:hAnsi="宋体" w:cs="宋体"/>
          <w:color w:val="auto"/>
        </w:rPr>
      </w:pPr>
      <w:r>
        <w:rPr>
          <w:rFonts w:hint="eastAsia" w:ascii="宋体" w:hAnsi="宋体" w:cs="宋体"/>
          <w:color w:val="auto"/>
          <w:szCs w:val="21"/>
        </w:rPr>
        <w:t>（9）响应文件实质性要求未做变动，供应商最后报价高于第一次报价的；</w:t>
      </w:r>
    </w:p>
    <w:p w14:paraId="6ADEFBCF">
      <w:pPr>
        <w:spacing w:line="360" w:lineRule="auto"/>
        <w:ind w:firstLine="420" w:firstLineChars="200"/>
        <w:rPr>
          <w:rFonts w:ascii="宋体" w:hAnsi="宋体" w:cs="宋体"/>
          <w:color w:val="auto"/>
          <w:szCs w:val="21"/>
        </w:rPr>
      </w:pPr>
      <w:r>
        <w:rPr>
          <w:rFonts w:hint="eastAsia" w:ascii="宋体" w:hAnsi="宋体" w:cs="宋体"/>
          <w:color w:val="auto"/>
          <w:szCs w:val="21"/>
        </w:rPr>
        <w:t>（10）不符合法律、法规和磋商文件规定的其他实质性要求和条件的。</w:t>
      </w:r>
    </w:p>
    <w:p w14:paraId="7E85E228">
      <w:pPr>
        <w:spacing w:line="360" w:lineRule="auto"/>
        <w:ind w:firstLine="420" w:firstLineChars="200"/>
        <w:rPr>
          <w:rFonts w:ascii="宋体" w:hAnsi="宋体" w:cs="宋体"/>
          <w:b/>
          <w:bCs/>
          <w:color w:val="auto"/>
          <w:szCs w:val="21"/>
        </w:rPr>
      </w:pPr>
      <w:r>
        <w:rPr>
          <w:rFonts w:hint="eastAsia" w:ascii="宋体" w:hAnsi="宋体" w:cs="宋体"/>
          <w:b/>
          <w:bCs/>
          <w:color w:val="auto"/>
          <w:szCs w:val="21"/>
        </w:rPr>
        <w:t>供应商有下列情形之一的视为供应商相互串通磋商，响应文件将被视为无效</w:t>
      </w:r>
    </w:p>
    <w:p w14:paraId="71A8A757">
      <w:pPr>
        <w:spacing w:line="360" w:lineRule="auto"/>
        <w:ind w:firstLine="420" w:firstLineChars="200"/>
        <w:rPr>
          <w:rFonts w:ascii="宋体" w:hAnsi="宋体" w:cs="宋体"/>
          <w:color w:val="auto"/>
          <w:szCs w:val="21"/>
        </w:rPr>
      </w:pPr>
      <w:r>
        <w:rPr>
          <w:rFonts w:hint="eastAsia" w:ascii="宋体" w:hAnsi="宋体" w:cs="宋体"/>
          <w:color w:val="auto"/>
          <w:szCs w:val="21"/>
        </w:rPr>
        <w:t>（1）不同供应商的响应文件由同一单位或者个人编制；或不同供应商报名的IP地址一致的；</w:t>
      </w:r>
    </w:p>
    <w:p w14:paraId="0F4075AA">
      <w:pPr>
        <w:spacing w:line="360" w:lineRule="auto"/>
        <w:ind w:firstLine="420" w:firstLineChars="200"/>
        <w:rPr>
          <w:rFonts w:ascii="宋体" w:hAnsi="宋体" w:cs="宋体"/>
          <w:color w:val="auto"/>
          <w:szCs w:val="21"/>
        </w:rPr>
      </w:pPr>
      <w:r>
        <w:rPr>
          <w:rFonts w:hint="eastAsia" w:ascii="宋体" w:hAnsi="宋体" w:cs="宋体"/>
          <w:color w:val="auto"/>
          <w:szCs w:val="21"/>
        </w:rPr>
        <w:t>（2）不同供应商委托同一单位或者个人办理磋商事宜；</w:t>
      </w:r>
    </w:p>
    <w:p w14:paraId="6EC0E365">
      <w:pPr>
        <w:spacing w:line="360" w:lineRule="auto"/>
        <w:ind w:firstLine="420" w:firstLineChars="200"/>
        <w:rPr>
          <w:rFonts w:ascii="宋体" w:hAnsi="宋体" w:cs="宋体"/>
          <w:color w:val="auto"/>
          <w:szCs w:val="21"/>
        </w:rPr>
      </w:pPr>
      <w:r>
        <w:rPr>
          <w:rFonts w:hint="eastAsia" w:ascii="宋体" w:hAnsi="宋体" w:cs="宋体"/>
          <w:color w:val="auto"/>
          <w:szCs w:val="21"/>
        </w:rPr>
        <w:t>（3）不同的供应商的响应文件载明的项目管理员为同一个人；</w:t>
      </w:r>
    </w:p>
    <w:p w14:paraId="090BF436">
      <w:pPr>
        <w:spacing w:line="360" w:lineRule="auto"/>
        <w:ind w:firstLine="420" w:firstLineChars="200"/>
        <w:rPr>
          <w:rFonts w:ascii="宋体" w:hAnsi="宋体" w:cs="宋体"/>
          <w:color w:val="auto"/>
          <w:szCs w:val="21"/>
        </w:rPr>
      </w:pPr>
      <w:r>
        <w:rPr>
          <w:rFonts w:hint="eastAsia" w:ascii="宋体" w:hAnsi="宋体" w:cs="宋体"/>
          <w:color w:val="auto"/>
          <w:szCs w:val="21"/>
        </w:rPr>
        <w:t>（4）不同供应商的响应文件异常一致或竞标报价呈规律性差异；</w:t>
      </w:r>
    </w:p>
    <w:p w14:paraId="3E516FCE">
      <w:pPr>
        <w:spacing w:line="360" w:lineRule="auto"/>
        <w:ind w:firstLine="420" w:firstLineChars="200"/>
        <w:rPr>
          <w:rFonts w:ascii="宋体" w:hAnsi="宋体" w:cs="宋体"/>
          <w:color w:val="auto"/>
          <w:szCs w:val="21"/>
        </w:rPr>
      </w:pPr>
      <w:r>
        <w:rPr>
          <w:rFonts w:hint="eastAsia" w:ascii="宋体" w:hAnsi="宋体" w:cs="宋体"/>
          <w:color w:val="auto"/>
          <w:szCs w:val="21"/>
        </w:rPr>
        <w:t>（5）不同供应商的响应文件相互混编；</w:t>
      </w:r>
    </w:p>
    <w:p w14:paraId="70190A32">
      <w:pPr>
        <w:spacing w:line="360" w:lineRule="auto"/>
        <w:ind w:firstLine="420" w:firstLineChars="200"/>
        <w:rPr>
          <w:rFonts w:ascii="宋体" w:hAnsi="宋体" w:cs="宋体"/>
          <w:color w:val="auto"/>
          <w:szCs w:val="21"/>
        </w:rPr>
      </w:pPr>
      <w:r>
        <w:rPr>
          <w:rFonts w:hint="eastAsia" w:ascii="宋体" w:hAnsi="宋体" w:cs="宋体"/>
          <w:color w:val="auto"/>
          <w:szCs w:val="21"/>
        </w:rPr>
        <w:t>（6）不同供应商的磋商保证金从同一单位或者个人账户转出。</w:t>
      </w:r>
    </w:p>
    <w:p w14:paraId="18782135">
      <w:pPr>
        <w:pStyle w:val="4"/>
        <w:spacing w:line="360" w:lineRule="auto"/>
        <w:ind w:firstLine="420" w:firstLineChars="200"/>
        <w:rPr>
          <w:rFonts w:ascii="宋体" w:hAnsi="宋体" w:cs="宋体"/>
          <w:color w:val="auto"/>
          <w:sz w:val="21"/>
          <w:szCs w:val="21"/>
        </w:rPr>
      </w:pPr>
      <w:bookmarkStart w:id="114" w:name="_Toc5714"/>
      <w:bookmarkStart w:id="115" w:name="_Toc20770"/>
      <w:r>
        <w:rPr>
          <w:rFonts w:hint="eastAsia" w:ascii="宋体" w:hAnsi="宋体" w:cs="宋体"/>
          <w:color w:val="auto"/>
          <w:sz w:val="21"/>
          <w:szCs w:val="21"/>
        </w:rPr>
        <w:t>24. 出现下列情形之一的，采购人或者采购代理机构应当终止竞争性磋商采购活动，发布项目终止公告并说明原因，重新开展采购活动</w:t>
      </w:r>
      <w:bookmarkEnd w:id="114"/>
      <w:bookmarkEnd w:id="115"/>
    </w:p>
    <w:p w14:paraId="12086B98">
      <w:pPr>
        <w:spacing w:line="360" w:lineRule="auto"/>
        <w:ind w:firstLine="420" w:firstLineChars="200"/>
        <w:rPr>
          <w:rFonts w:ascii="宋体" w:hAnsi="宋体" w:cs="宋体"/>
          <w:color w:val="auto"/>
          <w:szCs w:val="21"/>
        </w:rPr>
      </w:pPr>
      <w:r>
        <w:rPr>
          <w:rFonts w:hint="eastAsia" w:ascii="宋体" w:hAnsi="宋体" w:cs="宋体"/>
          <w:color w:val="auto"/>
          <w:szCs w:val="21"/>
        </w:rPr>
        <w:t>（1）因情况变化，不再符合规定的竞争性磋商采购方式适用情形的；</w:t>
      </w:r>
    </w:p>
    <w:p w14:paraId="5D927B78">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（2）出现影响采购公正的违法、违规行为的； </w:t>
      </w:r>
    </w:p>
    <w:p w14:paraId="2BF8DE80">
      <w:pPr>
        <w:spacing w:line="360" w:lineRule="auto"/>
        <w:ind w:firstLine="420" w:firstLineChars="200"/>
        <w:rPr>
          <w:rFonts w:ascii="宋体" w:hAnsi="宋体" w:cs="宋体"/>
          <w:b/>
          <w:bCs/>
          <w:color w:val="auto"/>
          <w:szCs w:val="21"/>
        </w:rPr>
      </w:pPr>
      <w:r>
        <w:rPr>
          <w:rFonts w:hint="eastAsia" w:ascii="宋体" w:hAnsi="宋体" w:cs="宋体"/>
          <w:color w:val="auto"/>
          <w:szCs w:val="21"/>
        </w:rPr>
        <w:t>（3）在采购过程中符合竞争要求的供应商或者报价未超过采购预算的供应商不足3家的。</w:t>
      </w:r>
      <w:r>
        <w:rPr>
          <w:rFonts w:hint="eastAsia" w:ascii="宋体" w:hAnsi="宋体" w:cs="宋体"/>
          <w:b/>
          <w:bCs/>
          <w:color w:val="auto"/>
          <w:szCs w:val="21"/>
        </w:rPr>
        <w:t xml:space="preserve">（除财库〔2014〕214 号《政府采购竞争性磋商采购方式管理暂行办法》第二十一条第三款规定的情形外） </w:t>
      </w:r>
    </w:p>
    <w:p w14:paraId="730C6A75">
      <w:pPr>
        <w:pStyle w:val="4"/>
        <w:spacing w:line="360" w:lineRule="auto"/>
        <w:ind w:firstLine="420" w:firstLineChars="200"/>
        <w:rPr>
          <w:rFonts w:ascii="宋体" w:hAnsi="宋体" w:cs="宋体"/>
          <w:color w:val="auto"/>
          <w:sz w:val="21"/>
          <w:szCs w:val="21"/>
        </w:rPr>
      </w:pPr>
      <w:bookmarkStart w:id="116" w:name="_Toc19105"/>
      <w:bookmarkStart w:id="117" w:name="_Toc32461"/>
      <w:r>
        <w:rPr>
          <w:rFonts w:hint="eastAsia" w:ascii="宋体" w:hAnsi="宋体" w:cs="宋体"/>
          <w:color w:val="auto"/>
          <w:sz w:val="21"/>
          <w:szCs w:val="21"/>
        </w:rPr>
        <w:t>25. 磋商过程的监控</w:t>
      </w:r>
      <w:bookmarkEnd w:id="116"/>
      <w:bookmarkEnd w:id="117"/>
    </w:p>
    <w:p w14:paraId="6A11A856">
      <w:pPr>
        <w:spacing w:line="360" w:lineRule="auto"/>
        <w:ind w:firstLine="420" w:firstLineChars="200"/>
        <w:rPr>
          <w:rFonts w:ascii="宋体" w:hAnsi="宋体" w:cs="宋体"/>
          <w:color w:val="auto"/>
          <w:szCs w:val="21"/>
        </w:rPr>
      </w:pPr>
      <w:r>
        <w:rPr>
          <w:rFonts w:hint="eastAsia" w:ascii="宋体" w:hAnsi="宋体" w:cs="宋体"/>
          <w:color w:val="auto"/>
          <w:szCs w:val="21"/>
        </w:rPr>
        <w:t>本项目磋商过程实行全程录音、录像监控，供应商在磋商过程中所进行的试图影响磋商结果的不公正活动，可能导致其磋商被拒绝。</w:t>
      </w:r>
    </w:p>
    <w:p w14:paraId="03A88FE5">
      <w:pPr>
        <w:pStyle w:val="4"/>
        <w:numPr>
          <w:ilvl w:val="0"/>
          <w:numId w:val="6"/>
        </w:numPr>
        <w:spacing w:line="360" w:lineRule="auto"/>
        <w:ind w:firstLine="420" w:firstLineChars="200"/>
        <w:rPr>
          <w:rFonts w:ascii="宋体" w:hAnsi="宋体" w:cs="宋体"/>
          <w:color w:val="auto"/>
          <w:sz w:val="21"/>
          <w:szCs w:val="21"/>
        </w:rPr>
      </w:pPr>
      <w:bookmarkStart w:id="118" w:name="_Toc14787"/>
      <w:bookmarkStart w:id="119" w:name="_Toc32457"/>
      <w:r>
        <w:rPr>
          <w:rFonts w:hint="eastAsia" w:ascii="宋体" w:hAnsi="宋体" w:cs="宋体"/>
          <w:color w:val="auto"/>
          <w:sz w:val="21"/>
          <w:szCs w:val="21"/>
        </w:rPr>
        <w:t>信用查询</w:t>
      </w:r>
      <w:bookmarkEnd w:id="118"/>
      <w:bookmarkEnd w:id="119"/>
    </w:p>
    <w:p w14:paraId="588B6D70">
      <w:pPr>
        <w:spacing w:line="360" w:lineRule="auto"/>
        <w:ind w:firstLine="420" w:firstLineChars="200"/>
        <w:rPr>
          <w:rFonts w:ascii="宋体" w:hAnsi="宋体" w:cs="宋体"/>
          <w:color w:val="auto"/>
          <w:szCs w:val="21"/>
        </w:rPr>
      </w:pPr>
      <w:r>
        <w:rPr>
          <w:rFonts w:hint="eastAsia" w:ascii="宋体" w:hAnsi="宋体" w:cs="宋体"/>
          <w:color w:val="auto"/>
          <w:szCs w:val="21"/>
        </w:rPr>
        <w:t>根据《关于做好政府采购有关信用主体标识码登记及在政府采购活动中查询使用信用记录有关问题的通知》（桂财采〔2016〕37号</w:t>
      </w:r>
      <w:r>
        <w:rPr>
          <w:rFonts w:hint="eastAsia"/>
          <w:color w:val="auto"/>
        </w:rPr>
        <w:t>）</w:t>
      </w:r>
      <w:r>
        <w:rPr>
          <w:rFonts w:hint="eastAsia" w:ascii="宋体" w:hAnsi="宋体" w:cs="宋体"/>
          <w:color w:val="auto"/>
          <w:szCs w:val="21"/>
        </w:rPr>
        <w:t>，采购代理机构对成交人的成交资格进行信用查询：</w:t>
      </w:r>
    </w:p>
    <w:p w14:paraId="16A4D0A2">
      <w:pPr>
        <w:spacing w:line="360" w:lineRule="auto"/>
        <w:ind w:firstLine="210" w:firstLineChars="100"/>
        <w:rPr>
          <w:rFonts w:ascii="宋体" w:hAnsi="宋体" w:cs="宋体"/>
          <w:color w:val="auto"/>
          <w:szCs w:val="21"/>
        </w:rPr>
      </w:pPr>
      <w:r>
        <w:rPr>
          <w:rFonts w:hint="eastAsia" w:ascii="宋体" w:hAnsi="宋体" w:cs="宋体"/>
          <w:color w:val="auto"/>
          <w:szCs w:val="21"/>
        </w:rPr>
        <w:t>（1）查询渠道：“信用中国”网站(www.creditchina.gov.cn)、中国政府采购网(www.ccgp.gov.cn)等；</w:t>
      </w:r>
    </w:p>
    <w:p w14:paraId="098E3527">
      <w:pPr>
        <w:spacing w:line="360" w:lineRule="auto"/>
        <w:ind w:firstLine="210" w:firstLineChars="100"/>
        <w:rPr>
          <w:rFonts w:ascii="宋体" w:hAnsi="宋体" w:cs="宋体"/>
          <w:color w:val="auto"/>
          <w:szCs w:val="21"/>
        </w:rPr>
      </w:pPr>
      <w:r>
        <w:rPr>
          <w:rFonts w:hint="eastAsia" w:ascii="宋体" w:hAnsi="宋体" w:cs="宋体"/>
          <w:color w:val="auto"/>
          <w:szCs w:val="21"/>
        </w:rPr>
        <w:t>（2）查询时间：成交通知书发出前；</w:t>
      </w:r>
    </w:p>
    <w:p w14:paraId="1CD7B6AA">
      <w:pPr>
        <w:spacing w:line="360" w:lineRule="auto"/>
        <w:ind w:firstLine="210" w:firstLineChars="100"/>
        <w:rPr>
          <w:rFonts w:ascii="宋体" w:hAnsi="宋体" w:cs="宋体"/>
          <w:color w:val="auto"/>
          <w:szCs w:val="21"/>
        </w:rPr>
      </w:pPr>
      <w:r>
        <w:rPr>
          <w:rFonts w:hint="eastAsia" w:ascii="宋体" w:hAnsi="宋体" w:cs="宋体"/>
          <w:color w:val="auto"/>
          <w:szCs w:val="21"/>
        </w:rPr>
        <w:t>（3）信用信息查询记录和证据留存方式：在查询网站中直接打印查询记录，打印材料作为采购活动资料保存。</w:t>
      </w:r>
    </w:p>
    <w:p w14:paraId="70D2C0AA">
      <w:pPr>
        <w:spacing w:line="360" w:lineRule="auto"/>
        <w:ind w:firstLine="210" w:firstLineChars="100"/>
        <w:rPr>
          <w:rFonts w:ascii="宋体" w:hAnsi="宋体" w:cs="宋体"/>
          <w:color w:val="auto"/>
          <w:szCs w:val="21"/>
        </w:rPr>
      </w:pPr>
      <w:r>
        <w:rPr>
          <w:rFonts w:hint="eastAsia" w:ascii="宋体" w:hAnsi="宋体" w:cs="宋体"/>
          <w:color w:val="auto"/>
          <w:szCs w:val="21"/>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532EF2C1">
      <w:pPr>
        <w:spacing w:line="360" w:lineRule="auto"/>
        <w:ind w:firstLine="420" w:firstLineChars="200"/>
        <w:rPr>
          <w:rFonts w:ascii="宋体" w:hAnsi="宋体" w:cs="宋体"/>
          <w:color w:val="auto"/>
        </w:rPr>
      </w:pPr>
      <w:r>
        <w:rPr>
          <w:rFonts w:hint="eastAsia" w:ascii="宋体" w:hAnsi="宋体" w:cs="宋体"/>
          <w:color w:val="auto"/>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1D5EFE6">
      <w:pPr>
        <w:pStyle w:val="4"/>
        <w:spacing w:line="360" w:lineRule="auto"/>
        <w:ind w:firstLine="420" w:firstLineChars="200"/>
        <w:rPr>
          <w:rFonts w:ascii="宋体" w:hAnsi="宋体" w:cs="宋体"/>
          <w:color w:val="auto"/>
          <w:sz w:val="21"/>
          <w:szCs w:val="21"/>
        </w:rPr>
      </w:pPr>
      <w:bookmarkStart w:id="120" w:name="_Toc778"/>
      <w:bookmarkStart w:id="121" w:name="_Toc9438"/>
      <w:r>
        <w:rPr>
          <w:rFonts w:hint="eastAsia" w:ascii="宋体" w:hAnsi="宋体" w:cs="宋体"/>
          <w:color w:val="auto"/>
          <w:sz w:val="21"/>
          <w:szCs w:val="21"/>
        </w:rPr>
        <w:t>27. 成交结果公告及成交通知书</w:t>
      </w:r>
      <w:bookmarkEnd w:id="120"/>
      <w:bookmarkEnd w:id="121"/>
    </w:p>
    <w:p w14:paraId="65458D02">
      <w:pPr>
        <w:spacing w:line="360" w:lineRule="auto"/>
        <w:ind w:firstLine="420" w:firstLineChars="200"/>
        <w:rPr>
          <w:rFonts w:ascii="宋体" w:hAnsi="宋体" w:cs="宋体"/>
          <w:color w:val="auto"/>
          <w:szCs w:val="21"/>
        </w:rPr>
      </w:pPr>
      <w:r>
        <w:rPr>
          <w:rFonts w:hint="eastAsia" w:ascii="宋体" w:hAnsi="宋体" w:cs="宋体"/>
          <w:color w:val="auto"/>
          <w:szCs w:val="21"/>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5C2E4DF8">
      <w:pPr>
        <w:spacing w:line="360" w:lineRule="auto"/>
        <w:ind w:firstLine="420" w:firstLineChars="200"/>
        <w:rPr>
          <w:rFonts w:ascii="宋体" w:hAnsi="宋体" w:cs="宋体"/>
          <w:color w:val="auto"/>
          <w:szCs w:val="21"/>
        </w:rPr>
      </w:pPr>
      <w:r>
        <w:rPr>
          <w:rFonts w:hint="eastAsia" w:ascii="宋体" w:hAnsi="宋体" w:cs="宋体"/>
          <w:color w:val="auto"/>
          <w:szCs w:val="21"/>
        </w:rPr>
        <w:t>27.2 在发布成交公告的同时，采购代理机构向成交供应商发出成交通知书。成交供应商自接到通知之日起七个工作日内，办理成交通知书领取手续。</w:t>
      </w:r>
    </w:p>
    <w:p w14:paraId="283D1BBB">
      <w:pPr>
        <w:spacing w:line="360" w:lineRule="auto"/>
        <w:ind w:firstLine="420" w:firstLineChars="200"/>
        <w:rPr>
          <w:rFonts w:ascii="宋体" w:hAnsi="宋体" w:cs="宋体"/>
          <w:color w:val="auto"/>
          <w:szCs w:val="21"/>
        </w:rPr>
      </w:pPr>
      <w:r>
        <w:rPr>
          <w:rFonts w:hint="eastAsia" w:ascii="宋体" w:hAnsi="宋体" w:cs="宋体"/>
          <w:color w:val="auto"/>
          <w:szCs w:val="21"/>
        </w:rPr>
        <w:t>27.3 采购代理机构无义务向未成交的供应商解释未成交原因和退还响应文件。</w:t>
      </w:r>
    </w:p>
    <w:p w14:paraId="367E7A89">
      <w:pPr>
        <w:pStyle w:val="3"/>
        <w:spacing w:line="288" w:lineRule="auto"/>
        <w:jc w:val="center"/>
        <w:rPr>
          <w:rFonts w:ascii="宋体" w:hAnsi="宋体" w:cs="宋体"/>
          <w:b/>
          <w:bCs w:val="0"/>
          <w:color w:val="auto"/>
          <w:szCs w:val="28"/>
        </w:rPr>
      </w:pPr>
      <w:bookmarkStart w:id="122" w:name="_Toc25593"/>
      <w:bookmarkStart w:id="123" w:name="_Toc19479"/>
      <w:r>
        <w:rPr>
          <w:rFonts w:hint="eastAsia" w:ascii="宋体" w:hAnsi="宋体" w:cs="宋体"/>
          <w:b/>
          <w:bCs w:val="0"/>
          <w:color w:val="auto"/>
          <w:szCs w:val="28"/>
        </w:rPr>
        <w:t>五、签订合同</w:t>
      </w:r>
      <w:bookmarkEnd w:id="122"/>
      <w:bookmarkEnd w:id="123"/>
    </w:p>
    <w:p w14:paraId="0490819C">
      <w:pPr>
        <w:ind w:firstLine="420" w:firstLineChars="200"/>
        <w:rPr>
          <w:b/>
          <w:bCs/>
          <w:color w:val="auto"/>
        </w:rPr>
      </w:pPr>
      <w:bookmarkStart w:id="124" w:name="_Toc26520"/>
      <w:bookmarkStart w:id="125" w:name="_Toc2100"/>
      <w:r>
        <w:rPr>
          <w:rFonts w:hint="eastAsia"/>
          <w:b/>
          <w:bCs/>
          <w:color w:val="auto"/>
        </w:rPr>
        <w:t>28. 履约保证金</w:t>
      </w:r>
      <w:bookmarkEnd w:id="124"/>
      <w:bookmarkEnd w:id="125"/>
      <w:r>
        <w:rPr>
          <w:rFonts w:hint="eastAsia"/>
          <w:b/>
          <w:bCs/>
          <w:color w:val="auto"/>
        </w:rPr>
        <w:t>：</w:t>
      </w:r>
    </w:p>
    <w:p w14:paraId="36AA3ADE">
      <w:pPr>
        <w:pStyle w:val="17"/>
        <w:spacing w:line="380" w:lineRule="exact"/>
        <w:ind w:left="6" w:leftChars="3" w:firstLine="420" w:firstLineChars="200"/>
        <w:rPr>
          <w:rFonts w:hAnsi="宋体" w:cs="宋体"/>
          <w:color w:val="auto"/>
          <w:szCs w:val="21"/>
        </w:rPr>
      </w:pPr>
      <w:r>
        <w:rPr>
          <w:rFonts w:hint="eastAsia" w:hAnsi="宋体"/>
          <w:color w:val="auto"/>
          <w:szCs w:val="21"/>
        </w:rPr>
        <w:t>本项目履约保证金：无</w:t>
      </w:r>
      <w:r>
        <w:rPr>
          <w:rFonts w:hint="eastAsia" w:hAnsi="宋体" w:cs="宋体"/>
          <w:color w:val="auto"/>
          <w:szCs w:val="21"/>
        </w:rPr>
        <w:t>。</w:t>
      </w:r>
    </w:p>
    <w:p w14:paraId="1D1415D3">
      <w:pPr>
        <w:ind w:firstLine="420" w:firstLineChars="200"/>
        <w:jc w:val="left"/>
        <w:rPr>
          <w:b/>
          <w:bCs/>
          <w:color w:val="auto"/>
        </w:rPr>
      </w:pPr>
      <w:bookmarkStart w:id="126" w:name="_Toc4956"/>
      <w:bookmarkStart w:id="127" w:name="_Toc1023"/>
      <w:r>
        <w:rPr>
          <w:rFonts w:hint="eastAsia"/>
          <w:b/>
          <w:bCs/>
          <w:color w:val="auto"/>
        </w:rPr>
        <w:t>29. 签订合同</w:t>
      </w:r>
      <w:bookmarkEnd w:id="126"/>
      <w:bookmarkEnd w:id="127"/>
    </w:p>
    <w:p w14:paraId="19E40784">
      <w:pPr>
        <w:spacing w:line="288" w:lineRule="auto"/>
        <w:ind w:firstLine="420" w:firstLineChars="200"/>
        <w:rPr>
          <w:rFonts w:ascii="宋体" w:hAnsi="宋体" w:cs="宋体"/>
          <w:b/>
          <w:bCs/>
          <w:color w:val="auto"/>
          <w:szCs w:val="21"/>
        </w:rPr>
      </w:pPr>
      <w:r>
        <w:rPr>
          <w:rFonts w:hint="eastAsia" w:ascii="宋体" w:hAnsi="宋体" w:cs="宋体"/>
          <w:b/>
          <w:bCs/>
          <w:color w:val="auto"/>
          <w:szCs w:val="21"/>
        </w:rPr>
        <w:t>29.1 签订合同时间：成交通知书发出之日起8个工作日内签订合同。成交供应商领取成交通知书后，应按规定与采购人签订合同。</w:t>
      </w:r>
    </w:p>
    <w:p w14:paraId="0CAED4D2">
      <w:pPr>
        <w:spacing w:line="288" w:lineRule="auto"/>
        <w:ind w:firstLine="420" w:firstLineChars="200"/>
        <w:rPr>
          <w:rFonts w:ascii="宋体" w:hAnsi="宋体" w:cs="宋体"/>
          <w:color w:val="auto"/>
          <w:szCs w:val="21"/>
        </w:rPr>
      </w:pPr>
      <w:r>
        <w:rPr>
          <w:rFonts w:hint="eastAsia" w:ascii="宋体" w:hAnsi="宋体" w:cs="宋体"/>
          <w:color w:val="auto"/>
          <w:szCs w:val="21"/>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24FC9AB6">
      <w:pPr>
        <w:spacing w:line="288" w:lineRule="auto"/>
        <w:ind w:firstLine="420" w:firstLineChars="200"/>
        <w:rPr>
          <w:rFonts w:ascii="宋体" w:hAnsi="宋体" w:cs="宋体"/>
          <w:color w:val="auto"/>
          <w:szCs w:val="21"/>
        </w:rPr>
      </w:pPr>
      <w:r>
        <w:rPr>
          <w:rFonts w:hint="eastAsia" w:ascii="宋体" w:hAnsi="宋体" w:cs="宋体"/>
          <w:color w:val="auto"/>
          <w:szCs w:val="21"/>
        </w:rPr>
        <w:t>（1）成交后不与采购人签订合同的（不可抗力除外）；</w:t>
      </w:r>
    </w:p>
    <w:p w14:paraId="4DE51FDE">
      <w:pPr>
        <w:spacing w:line="288" w:lineRule="auto"/>
        <w:ind w:firstLine="420" w:firstLineChars="200"/>
        <w:rPr>
          <w:rFonts w:ascii="宋体" w:hAnsi="宋体" w:cs="宋体"/>
          <w:color w:val="auto"/>
          <w:szCs w:val="21"/>
        </w:rPr>
      </w:pPr>
      <w:r>
        <w:rPr>
          <w:rFonts w:hint="eastAsia" w:ascii="宋体" w:hAnsi="宋体" w:cs="宋体"/>
          <w:color w:val="auto"/>
          <w:szCs w:val="21"/>
        </w:rPr>
        <w:t>（2）将成交项目转让给他人，或者在响应文件中未说明，且未经采购人同意，将成交项目分包给他人的；</w:t>
      </w:r>
    </w:p>
    <w:p w14:paraId="7446B83F">
      <w:pPr>
        <w:spacing w:line="288" w:lineRule="auto"/>
        <w:ind w:firstLine="420" w:firstLineChars="200"/>
        <w:rPr>
          <w:rFonts w:ascii="宋体" w:hAnsi="宋体" w:cs="宋体"/>
          <w:color w:val="auto"/>
          <w:szCs w:val="21"/>
        </w:rPr>
      </w:pPr>
      <w:r>
        <w:rPr>
          <w:rFonts w:hint="eastAsia" w:ascii="宋体" w:hAnsi="宋体" w:cs="宋体"/>
          <w:color w:val="auto"/>
          <w:szCs w:val="21"/>
        </w:rPr>
        <w:t>（3）拒绝履行合同义务的。</w:t>
      </w:r>
    </w:p>
    <w:p w14:paraId="01F64044">
      <w:pPr>
        <w:spacing w:line="288" w:lineRule="auto"/>
        <w:ind w:firstLine="420" w:firstLineChars="200"/>
        <w:rPr>
          <w:rFonts w:ascii="宋体" w:hAnsi="宋体" w:cs="宋体"/>
          <w:color w:val="auto"/>
        </w:rPr>
      </w:pPr>
      <w:r>
        <w:rPr>
          <w:rFonts w:hint="eastAsia" w:ascii="宋体" w:hAnsi="宋体" w:cs="宋体"/>
          <w:color w:val="auto"/>
          <w:szCs w:val="21"/>
        </w:rPr>
        <w:t>29.3 合同备案存档：</w:t>
      </w:r>
      <w:r>
        <w:rPr>
          <w:rFonts w:hint="eastAsia" w:ascii="宋体" w:hAnsi="宋体" w:cs="宋体"/>
          <w:color w:val="auto"/>
        </w:rPr>
        <w:t>政府采购合同双方自签订之日起1个工作日内将合同原件一份交采购代理机构，采购代理机构将政府采购合同在省级以上人民政府财政部门指定媒体上公告。采购人于合同签订之日起7个工作日内将一份合同原件送本级财政部门备案，一份由欧邦工程管理集团有限公司存档。</w:t>
      </w:r>
    </w:p>
    <w:p w14:paraId="1E5952E6">
      <w:pPr>
        <w:pStyle w:val="3"/>
        <w:spacing w:line="288" w:lineRule="auto"/>
        <w:jc w:val="center"/>
        <w:rPr>
          <w:rFonts w:ascii="宋体" w:hAnsi="宋体" w:cs="宋体"/>
          <w:b/>
          <w:bCs w:val="0"/>
          <w:color w:val="auto"/>
          <w:szCs w:val="28"/>
        </w:rPr>
      </w:pPr>
      <w:bookmarkStart w:id="128" w:name="_Toc16348"/>
      <w:bookmarkStart w:id="129" w:name="_Toc24170"/>
      <w:r>
        <w:rPr>
          <w:rFonts w:hint="eastAsia" w:ascii="宋体" w:hAnsi="宋体" w:cs="宋体"/>
          <w:b/>
          <w:bCs w:val="0"/>
          <w:color w:val="auto"/>
          <w:szCs w:val="28"/>
        </w:rPr>
        <w:t>六、其他事项</w:t>
      </w:r>
      <w:bookmarkEnd w:id="128"/>
      <w:bookmarkEnd w:id="129"/>
    </w:p>
    <w:p w14:paraId="7C5B5A58">
      <w:pPr>
        <w:ind w:firstLine="420" w:firstLineChars="200"/>
        <w:rPr>
          <w:b/>
          <w:bCs/>
          <w:color w:val="auto"/>
        </w:rPr>
      </w:pPr>
      <w:bookmarkStart w:id="130" w:name="_Toc28647"/>
      <w:bookmarkStart w:id="131" w:name="_Toc2872"/>
      <w:r>
        <w:rPr>
          <w:rFonts w:hint="eastAsia"/>
          <w:b/>
          <w:bCs/>
          <w:color w:val="auto"/>
        </w:rPr>
        <w:t>30. 采购代理服务费</w:t>
      </w:r>
      <w:bookmarkEnd w:id="130"/>
      <w:bookmarkEnd w:id="131"/>
    </w:p>
    <w:p w14:paraId="1EBCE9CA">
      <w:pPr>
        <w:spacing w:line="380" w:lineRule="exact"/>
        <w:ind w:firstLine="420" w:firstLineChars="200"/>
        <w:rPr>
          <w:color w:val="auto"/>
          <w:szCs w:val="21"/>
        </w:rPr>
      </w:pPr>
      <w:bookmarkStart w:id="132" w:name="_Toc8271"/>
      <w:bookmarkStart w:id="133" w:name="_Toc12374"/>
      <w:r>
        <w:rPr>
          <w:rFonts w:hint="eastAsia" w:ascii="宋体" w:hAnsi="宋体"/>
          <w:color w:val="auto"/>
          <w:szCs w:val="21"/>
        </w:rPr>
        <w:t>30.1代理服务费：</w:t>
      </w:r>
      <w:r>
        <w:rPr>
          <w:rFonts w:hint="eastAsia" w:ascii="宋体" w:hAnsi="宋体" w:cs="宋体"/>
          <w:color w:val="auto"/>
        </w:rPr>
        <w:t>本项目</w:t>
      </w:r>
      <w:r>
        <w:rPr>
          <w:rFonts w:hint="eastAsia" w:ascii="宋体" w:hAnsi="宋体"/>
          <w:color w:val="auto"/>
        </w:rPr>
        <w:t>采购代理服务费在合同总金额的基础上按本须知第30.2条</w:t>
      </w:r>
      <w:r>
        <w:rPr>
          <w:rFonts w:hint="eastAsia" w:ascii="宋体" w:hAnsi="宋体" w:cs="宋体"/>
          <w:color w:val="auto"/>
        </w:rPr>
        <w:t>招标代理服务费标准参照计价格[2002]1980号《招标代理服务收费管理暂行办法》和《招标代理服务收费管理暂行办法》（桂价费[2</w:t>
      </w:r>
      <w:r>
        <w:rPr>
          <w:rFonts w:hint="eastAsia" w:ascii="宋体" w:hAnsi="宋体" w:cs="宋体"/>
          <w:color w:val="auto"/>
          <w:szCs w:val="21"/>
        </w:rPr>
        <w:t>005]283号文）服务类收费标准下浮30%计算，由成交供应商在领取成交通知书前，向采购代理机构一次性支付（如不足6000.00元按6000.00元收取）。</w:t>
      </w:r>
      <w:r>
        <w:rPr>
          <w:rFonts w:hint="eastAsia" w:ascii="宋体" w:hAnsi="宋体"/>
          <w:color w:val="auto"/>
        </w:rPr>
        <w:t>根据本项目采购代理协议该“采购代理服务费”由中标人在成交公告发出之日起5个工作日内一次性向采购代理机构付清（否则，该不利后果由成交人承担）</w:t>
      </w:r>
      <w:r>
        <w:rPr>
          <w:rFonts w:hint="eastAsia" w:ascii="宋体" w:hAnsi="宋体"/>
          <w:color w:val="auto"/>
          <w:szCs w:val="21"/>
        </w:rPr>
        <w:t>。</w:t>
      </w:r>
    </w:p>
    <w:p w14:paraId="7FC68994">
      <w:pPr>
        <w:spacing w:line="380" w:lineRule="exact"/>
        <w:ind w:firstLine="420" w:firstLineChars="200"/>
        <w:rPr>
          <w:rFonts w:ascii="宋体" w:hAnsi="宋体"/>
          <w:color w:val="auto"/>
          <w:szCs w:val="21"/>
        </w:rPr>
      </w:pPr>
      <w:r>
        <w:rPr>
          <w:rFonts w:hint="eastAsia" w:ascii="宋体" w:hAnsi="宋体"/>
          <w:color w:val="auto"/>
          <w:szCs w:val="21"/>
        </w:rPr>
        <w:t>30.2代理服务收费标准：</w:t>
      </w:r>
    </w:p>
    <w:tbl>
      <w:tblPr>
        <w:tblStyle w:val="28"/>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20094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880" w:type="dxa"/>
          </w:tcPr>
          <w:p w14:paraId="640C7D52">
            <w:pPr>
              <w:pStyle w:val="17"/>
              <w:spacing w:line="380" w:lineRule="exact"/>
              <w:ind w:left="25"/>
              <w:rPr>
                <w:rFonts w:hAnsi="宋体"/>
                <w:color w:val="auto"/>
              </w:rPr>
            </w:pPr>
            <w:r>
              <w:rPr>
                <w:rFonts w:hAnsi="宋体"/>
                <w:color w:val="auto"/>
              </w:rPr>
              <mc:AlternateContent>
                <mc:Choice Requires="wps">
                  <w:drawing>
                    <wp:anchor distT="0" distB="0" distL="114300" distR="114300" simplePos="0" relativeHeight="251662336"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1" name="直线 2"/>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3.35pt;margin-top:0.85pt;height:51.45pt;width:115.25pt;z-index:251662336;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gFT&#10;NNYAAAAIAQAADwAAAAAAAAABACAAAAAiAAAAZHJzL2Rvd25yZXYueG1sUEsBAhQAFAAAAAgAh07i&#10;QPEgWDfrAQAA4AMAAA4AAAAAAAAAAQAgAAAAJQEAAGRycy9lMm9Eb2MueG1sUEsFBgAAAAAGAAYA&#10;WQEAAIIFAAAAAA==&#10;">
                      <v:fill on="f" focussize="0,0"/>
                      <v:stroke color="#000000" joinstyle="round"/>
                      <v:imagedata o:title=""/>
                      <o:lock v:ext="edit" aspectratio="f"/>
                    </v:line>
                  </w:pict>
                </mc:Fallback>
              </mc:AlternateContent>
            </w:r>
            <w:r>
              <w:rPr>
                <w:rFonts w:hint="eastAsia" w:hAnsi="宋体"/>
                <w:color w:val="auto"/>
              </w:rPr>
              <w:t>费率           服务类型</w:t>
            </w:r>
          </w:p>
          <w:p w14:paraId="576D8551">
            <w:pPr>
              <w:pStyle w:val="17"/>
              <w:spacing w:line="380" w:lineRule="exact"/>
              <w:ind w:left="25"/>
              <w:rPr>
                <w:rFonts w:hAnsi="宋体"/>
                <w:color w:val="auto"/>
              </w:rPr>
            </w:pPr>
            <w:r>
              <w:rPr>
                <w:rFonts w:hAnsi="宋体"/>
                <w:color w:val="auto"/>
              </w:rPr>
              <mc:AlternateContent>
                <mc:Choice Requires="wps">
                  <w:drawing>
                    <wp:anchor distT="0" distB="0" distL="114300" distR="114300" simplePos="0" relativeHeight="251663360"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2" name="直线 3"/>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5.4pt;margin-top:3.1pt;height:31.2pt;width:144pt;z-index:251663360;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A6vRNYAAAAIAQAADwAAAAAAAAABACAAAAAiAAAAZHJzL2Rvd25yZXYueG1sUEsBAhQAFAAAAAgA&#10;h07iQEwUeI/uAQAA4AMAAA4AAAAAAAAAAQAgAAAAJQEAAGRycy9lMm9Eb2MueG1sUEsFBgAAAAAG&#10;AAYAWQEAAIUFAAAAAA==&#10;">
                      <v:fill on="f" focussize="0,0"/>
                      <v:stroke color="#000000" joinstyle="round"/>
                      <v:imagedata o:title=""/>
                      <o:lock v:ext="edit" aspectratio="f"/>
                    </v:line>
                  </w:pict>
                </mc:Fallback>
              </mc:AlternateContent>
            </w:r>
          </w:p>
          <w:p w14:paraId="1581A79D">
            <w:pPr>
              <w:pStyle w:val="17"/>
              <w:spacing w:line="380" w:lineRule="exact"/>
              <w:ind w:left="25"/>
              <w:rPr>
                <w:rFonts w:hAnsi="宋体"/>
                <w:color w:val="auto"/>
              </w:rPr>
            </w:pPr>
            <w:r>
              <w:rPr>
                <w:rFonts w:hint="eastAsia" w:hAnsi="宋体"/>
                <w:color w:val="auto"/>
              </w:rPr>
              <w:t>成交金额</w:t>
            </w:r>
          </w:p>
        </w:tc>
        <w:tc>
          <w:tcPr>
            <w:tcW w:w="1841" w:type="dxa"/>
            <w:vAlign w:val="center"/>
          </w:tcPr>
          <w:p w14:paraId="0492C18F">
            <w:pPr>
              <w:pStyle w:val="17"/>
              <w:spacing w:line="380" w:lineRule="exact"/>
              <w:ind w:left="25"/>
              <w:jc w:val="center"/>
              <w:rPr>
                <w:rFonts w:hAnsi="宋体"/>
                <w:color w:val="auto"/>
              </w:rPr>
            </w:pPr>
            <w:r>
              <w:rPr>
                <w:rFonts w:hint="eastAsia" w:hAnsi="宋体"/>
                <w:color w:val="auto"/>
              </w:rPr>
              <w:t>货物采购</w:t>
            </w:r>
          </w:p>
        </w:tc>
        <w:tc>
          <w:tcPr>
            <w:tcW w:w="1992" w:type="dxa"/>
            <w:vAlign w:val="center"/>
          </w:tcPr>
          <w:p w14:paraId="56250319">
            <w:pPr>
              <w:pStyle w:val="17"/>
              <w:spacing w:line="380" w:lineRule="exact"/>
              <w:ind w:left="25"/>
              <w:jc w:val="center"/>
              <w:rPr>
                <w:rFonts w:hAnsi="宋体"/>
                <w:color w:val="auto"/>
              </w:rPr>
            </w:pPr>
            <w:r>
              <w:rPr>
                <w:rFonts w:hint="eastAsia" w:hAnsi="宋体"/>
                <w:color w:val="auto"/>
              </w:rPr>
              <w:t>服务采购</w:t>
            </w:r>
          </w:p>
        </w:tc>
        <w:tc>
          <w:tcPr>
            <w:tcW w:w="2293" w:type="dxa"/>
            <w:vAlign w:val="center"/>
          </w:tcPr>
          <w:p w14:paraId="15BE83DB">
            <w:pPr>
              <w:pStyle w:val="17"/>
              <w:spacing w:line="380" w:lineRule="exact"/>
              <w:ind w:left="25"/>
              <w:jc w:val="center"/>
              <w:rPr>
                <w:rFonts w:hAnsi="宋体"/>
                <w:color w:val="auto"/>
              </w:rPr>
            </w:pPr>
            <w:r>
              <w:rPr>
                <w:rFonts w:hint="eastAsia" w:hAnsi="宋体"/>
                <w:color w:val="auto"/>
              </w:rPr>
              <w:t>工程采购</w:t>
            </w:r>
          </w:p>
        </w:tc>
      </w:tr>
      <w:tr w14:paraId="6589E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tcPr>
          <w:p w14:paraId="3B8443AB">
            <w:pPr>
              <w:pStyle w:val="17"/>
              <w:spacing w:line="380" w:lineRule="exact"/>
              <w:ind w:left="25"/>
              <w:rPr>
                <w:rFonts w:hAnsi="宋体"/>
                <w:color w:val="auto"/>
              </w:rPr>
            </w:pPr>
            <w:r>
              <w:rPr>
                <w:rFonts w:hint="eastAsia" w:hAnsi="宋体"/>
                <w:color w:val="auto"/>
              </w:rPr>
              <w:t>100万元以下</w:t>
            </w:r>
          </w:p>
        </w:tc>
        <w:tc>
          <w:tcPr>
            <w:tcW w:w="1841" w:type="dxa"/>
          </w:tcPr>
          <w:p w14:paraId="31D0553D">
            <w:pPr>
              <w:pStyle w:val="51"/>
              <w:spacing w:line="380" w:lineRule="exact"/>
              <w:ind w:left="25"/>
              <w:jc w:val="center"/>
              <w:rPr>
                <w:rFonts w:ascii="宋体" w:hAnsi="宋体"/>
                <w:color w:val="auto"/>
              </w:rPr>
            </w:pPr>
            <w:r>
              <w:rPr>
                <w:rFonts w:hint="eastAsia" w:ascii="宋体" w:hAnsi="宋体"/>
                <w:color w:val="auto"/>
              </w:rPr>
              <w:t>1.5%</w:t>
            </w:r>
          </w:p>
        </w:tc>
        <w:tc>
          <w:tcPr>
            <w:tcW w:w="1992" w:type="dxa"/>
          </w:tcPr>
          <w:p w14:paraId="33C2A575">
            <w:pPr>
              <w:pStyle w:val="51"/>
              <w:spacing w:line="380" w:lineRule="exact"/>
              <w:ind w:left="25"/>
              <w:jc w:val="center"/>
              <w:rPr>
                <w:rFonts w:ascii="宋体" w:hAnsi="宋体"/>
                <w:color w:val="auto"/>
              </w:rPr>
            </w:pPr>
            <w:r>
              <w:rPr>
                <w:rFonts w:hint="eastAsia" w:ascii="宋体" w:hAnsi="宋体"/>
                <w:color w:val="auto"/>
              </w:rPr>
              <w:t>1.5%</w:t>
            </w:r>
          </w:p>
        </w:tc>
        <w:tc>
          <w:tcPr>
            <w:tcW w:w="2293" w:type="dxa"/>
          </w:tcPr>
          <w:p w14:paraId="6B8813FB">
            <w:pPr>
              <w:pStyle w:val="51"/>
              <w:spacing w:line="380" w:lineRule="exact"/>
              <w:ind w:left="25"/>
              <w:jc w:val="center"/>
              <w:rPr>
                <w:rFonts w:ascii="宋体" w:hAnsi="宋体"/>
                <w:color w:val="auto"/>
              </w:rPr>
            </w:pPr>
            <w:r>
              <w:rPr>
                <w:rFonts w:hint="eastAsia" w:ascii="宋体" w:hAnsi="宋体"/>
                <w:color w:val="auto"/>
              </w:rPr>
              <w:t>1.0%</w:t>
            </w:r>
          </w:p>
        </w:tc>
      </w:tr>
      <w:tr w14:paraId="3E75F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tcPr>
          <w:p w14:paraId="42DB6A49">
            <w:pPr>
              <w:pStyle w:val="17"/>
              <w:spacing w:line="380" w:lineRule="exact"/>
              <w:ind w:left="25"/>
              <w:rPr>
                <w:rFonts w:hAnsi="宋体"/>
                <w:color w:val="auto"/>
              </w:rPr>
            </w:pPr>
            <w:r>
              <w:rPr>
                <w:rFonts w:hint="eastAsia" w:hAnsi="宋体"/>
                <w:color w:val="auto"/>
              </w:rPr>
              <w:t>100～500万元</w:t>
            </w:r>
          </w:p>
        </w:tc>
        <w:tc>
          <w:tcPr>
            <w:tcW w:w="1841" w:type="dxa"/>
          </w:tcPr>
          <w:p w14:paraId="6D4FD07C">
            <w:pPr>
              <w:pStyle w:val="51"/>
              <w:spacing w:line="380" w:lineRule="exact"/>
              <w:ind w:left="25"/>
              <w:jc w:val="center"/>
              <w:rPr>
                <w:rFonts w:ascii="宋体" w:hAnsi="宋体"/>
                <w:color w:val="auto"/>
              </w:rPr>
            </w:pPr>
            <w:r>
              <w:rPr>
                <w:rFonts w:hint="eastAsia" w:ascii="宋体" w:hAnsi="宋体"/>
                <w:color w:val="auto"/>
              </w:rPr>
              <w:t>1.1%</w:t>
            </w:r>
          </w:p>
        </w:tc>
        <w:tc>
          <w:tcPr>
            <w:tcW w:w="1992" w:type="dxa"/>
          </w:tcPr>
          <w:p w14:paraId="510DD81D">
            <w:pPr>
              <w:pStyle w:val="51"/>
              <w:spacing w:line="380" w:lineRule="exact"/>
              <w:ind w:left="25"/>
              <w:jc w:val="center"/>
              <w:rPr>
                <w:rFonts w:ascii="宋体" w:hAnsi="宋体"/>
                <w:color w:val="auto"/>
              </w:rPr>
            </w:pPr>
            <w:r>
              <w:rPr>
                <w:rFonts w:hint="eastAsia" w:ascii="宋体" w:hAnsi="宋体"/>
                <w:color w:val="auto"/>
              </w:rPr>
              <w:t>0.8%</w:t>
            </w:r>
          </w:p>
        </w:tc>
        <w:tc>
          <w:tcPr>
            <w:tcW w:w="2293" w:type="dxa"/>
          </w:tcPr>
          <w:p w14:paraId="62C606BC">
            <w:pPr>
              <w:pStyle w:val="51"/>
              <w:spacing w:line="380" w:lineRule="exact"/>
              <w:ind w:left="25"/>
              <w:jc w:val="center"/>
              <w:rPr>
                <w:rFonts w:ascii="宋体" w:hAnsi="宋体"/>
                <w:color w:val="auto"/>
              </w:rPr>
            </w:pPr>
            <w:r>
              <w:rPr>
                <w:rFonts w:hint="eastAsia" w:ascii="宋体" w:hAnsi="宋体"/>
                <w:color w:val="auto"/>
              </w:rPr>
              <w:t>0.7%</w:t>
            </w:r>
          </w:p>
        </w:tc>
      </w:tr>
      <w:tr w14:paraId="35F2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793240EC">
            <w:pPr>
              <w:pStyle w:val="17"/>
              <w:spacing w:line="380" w:lineRule="exact"/>
              <w:ind w:left="25"/>
              <w:rPr>
                <w:rFonts w:hAnsi="宋体"/>
                <w:color w:val="auto"/>
              </w:rPr>
            </w:pPr>
            <w:r>
              <w:rPr>
                <w:rFonts w:hint="eastAsia" w:hAnsi="宋体"/>
                <w:color w:val="auto"/>
              </w:rPr>
              <w:t>500～1000万元</w:t>
            </w:r>
          </w:p>
        </w:tc>
        <w:tc>
          <w:tcPr>
            <w:tcW w:w="1841" w:type="dxa"/>
          </w:tcPr>
          <w:p w14:paraId="59539F13">
            <w:pPr>
              <w:pStyle w:val="17"/>
              <w:spacing w:line="380" w:lineRule="exact"/>
              <w:ind w:left="25"/>
              <w:jc w:val="center"/>
              <w:rPr>
                <w:rFonts w:hAnsi="宋体"/>
                <w:color w:val="auto"/>
              </w:rPr>
            </w:pPr>
            <w:r>
              <w:rPr>
                <w:rFonts w:hint="eastAsia" w:hAnsi="宋体"/>
                <w:color w:val="auto"/>
              </w:rPr>
              <w:t>0.8%</w:t>
            </w:r>
          </w:p>
        </w:tc>
        <w:tc>
          <w:tcPr>
            <w:tcW w:w="1992" w:type="dxa"/>
          </w:tcPr>
          <w:p w14:paraId="72D5F8FC">
            <w:pPr>
              <w:pStyle w:val="17"/>
              <w:spacing w:line="380" w:lineRule="exact"/>
              <w:ind w:left="25"/>
              <w:jc w:val="center"/>
              <w:rPr>
                <w:rFonts w:hAnsi="宋体"/>
                <w:color w:val="auto"/>
              </w:rPr>
            </w:pPr>
            <w:r>
              <w:rPr>
                <w:rFonts w:hint="eastAsia" w:hAnsi="宋体"/>
                <w:color w:val="auto"/>
              </w:rPr>
              <w:t>0.45%</w:t>
            </w:r>
          </w:p>
        </w:tc>
        <w:tc>
          <w:tcPr>
            <w:tcW w:w="2293" w:type="dxa"/>
          </w:tcPr>
          <w:p w14:paraId="7920C157">
            <w:pPr>
              <w:pStyle w:val="17"/>
              <w:spacing w:line="380" w:lineRule="exact"/>
              <w:ind w:left="25"/>
              <w:jc w:val="center"/>
              <w:rPr>
                <w:rFonts w:hAnsi="宋体"/>
                <w:color w:val="auto"/>
              </w:rPr>
            </w:pPr>
            <w:r>
              <w:rPr>
                <w:rFonts w:hint="eastAsia" w:hAnsi="宋体"/>
                <w:color w:val="auto"/>
              </w:rPr>
              <w:t>0.55%</w:t>
            </w:r>
          </w:p>
        </w:tc>
      </w:tr>
      <w:tr w14:paraId="2E449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2759E12B">
            <w:pPr>
              <w:pStyle w:val="17"/>
              <w:spacing w:line="380" w:lineRule="exact"/>
              <w:ind w:left="25"/>
              <w:rPr>
                <w:rFonts w:hAnsi="宋体"/>
                <w:color w:val="auto"/>
              </w:rPr>
            </w:pPr>
            <w:r>
              <w:rPr>
                <w:rFonts w:hint="eastAsia" w:hAnsi="宋体"/>
                <w:color w:val="auto"/>
              </w:rPr>
              <w:t>1000～5000万元</w:t>
            </w:r>
          </w:p>
        </w:tc>
        <w:tc>
          <w:tcPr>
            <w:tcW w:w="1841" w:type="dxa"/>
          </w:tcPr>
          <w:p w14:paraId="519B4A8B">
            <w:pPr>
              <w:pStyle w:val="17"/>
              <w:spacing w:line="380" w:lineRule="exact"/>
              <w:ind w:left="25"/>
              <w:jc w:val="center"/>
              <w:rPr>
                <w:rFonts w:hAnsi="宋体"/>
                <w:color w:val="auto"/>
              </w:rPr>
            </w:pPr>
            <w:r>
              <w:rPr>
                <w:rFonts w:hint="eastAsia" w:hAnsi="宋体"/>
                <w:color w:val="auto"/>
              </w:rPr>
              <w:t>0.5%</w:t>
            </w:r>
          </w:p>
        </w:tc>
        <w:tc>
          <w:tcPr>
            <w:tcW w:w="1992" w:type="dxa"/>
          </w:tcPr>
          <w:p w14:paraId="0FE3B79C">
            <w:pPr>
              <w:pStyle w:val="17"/>
              <w:spacing w:line="380" w:lineRule="exact"/>
              <w:ind w:left="25"/>
              <w:jc w:val="center"/>
              <w:rPr>
                <w:rFonts w:hAnsi="宋体"/>
                <w:color w:val="auto"/>
              </w:rPr>
            </w:pPr>
            <w:r>
              <w:rPr>
                <w:rFonts w:hint="eastAsia" w:hAnsi="宋体"/>
                <w:color w:val="auto"/>
              </w:rPr>
              <w:t>0.25%</w:t>
            </w:r>
          </w:p>
        </w:tc>
        <w:tc>
          <w:tcPr>
            <w:tcW w:w="2293" w:type="dxa"/>
          </w:tcPr>
          <w:p w14:paraId="01B0479C">
            <w:pPr>
              <w:pStyle w:val="17"/>
              <w:spacing w:line="380" w:lineRule="exact"/>
              <w:ind w:left="25"/>
              <w:jc w:val="center"/>
              <w:rPr>
                <w:rFonts w:hAnsi="宋体"/>
                <w:color w:val="auto"/>
              </w:rPr>
            </w:pPr>
            <w:r>
              <w:rPr>
                <w:rFonts w:hint="eastAsia" w:hAnsi="宋体"/>
                <w:color w:val="auto"/>
              </w:rPr>
              <w:t>0.35%</w:t>
            </w:r>
          </w:p>
        </w:tc>
      </w:tr>
      <w:tr w14:paraId="7D8F1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21625AC9">
            <w:pPr>
              <w:pStyle w:val="17"/>
              <w:spacing w:line="380" w:lineRule="exact"/>
              <w:ind w:left="25"/>
              <w:rPr>
                <w:rFonts w:hAnsi="宋体"/>
                <w:color w:val="auto"/>
              </w:rPr>
            </w:pPr>
            <w:r>
              <w:rPr>
                <w:rFonts w:hint="eastAsia" w:hAnsi="宋体"/>
                <w:color w:val="auto"/>
              </w:rPr>
              <w:t>5000万元～1亿元</w:t>
            </w:r>
          </w:p>
        </w:tc>
        <w:tc>
          <w:tcPr>
            <w:tcW w:w="1841" w:type="dxa"/>
          </w:tcPr>
          <w:p w14:paraId="16D08536">
            <w:pPr>
              <w:pStyle w:val="17"/>
              <w:spacing w:line="380" w:lineRule="exact"/>
              <w:ind w:left="25"/>
              <w:jc w:val="center"/>
              <w:rPr>
                <w:rFonts w:hAnsi="宋体"/>
                <w:color w:val="auto"/>
              </w:rPr>
            </w:pPr>
            <w:r>
              <w:rPr>
                <w:rFonts w:hint="eastAsia" w:hAnsi="宋体"/>
                <w:color w:val="auto"/>
              </w:rPr>
              <w:t>0.25%</w:t>
            </w:r>
          </w:p>
        </w:tc>
        <w:tc>
          <w:tcPr>
            <w:tcW w:w="1992" w:type="dxa"/>
          </w:tcPr>
          <w:p w14:paraId="3DDF1C24">
            <w:pPr>
              <w:pStyle w:val="17"/>
              <w:spacing w:line="380" w:lineRule="exact"/>
              <w:ind w:left="25"/>
              <w:jc w:val="center"/>
              <w:rPr>
                <w:rFonts w:hAnsi="宋体"/>
                <w:color w:val="auto"/>
              </w:rPr>
            </w:pPr>
            <w:r>
              <w:rPr>
                <w:rFonts w:hint="eastAsia" w:hAnsi="宋体"/>
                <w:color w:val="auto"/>
              </w:rPr>
              <w:t>0.1%</w:t>
            </w:r>
          </w:p>
        </w:tc>
        <w:tc>
          <w:tcPr>
            <w:tcW w:w="2293" w:type="dxa"/>
          </w:tcPr>
          <w:p w14:paraId="1663EC6D">
            <w:pPr>
              <w:pStyle w:val="17"/>
              <w:spacing w:line="380" w:lineRule="exact"/>
              <w:ind w:left="25"/>
              <w:jc w:val="center"/>
              <w:rPr>
                <w:rFonts w:hAnsi="宋体"/>
                <w:color w:val="auto"/>
              </w:rPr>
            </w:pPr>
            <w:r>
              <w:rPr>
                <w:rFonts w:hint="eastAsia" w:hAnsi="宋体"/>
                <w:color w:val="auto"/>
              </w:rPr>
              <w:t>0.2%</w:t>
            </w:r>
          </w:p>
        </w:tc>
      </w:tr>
      <w:tr w14:paraId="5F67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3F4054B7">
            <w:pPr>
              <w:pStyle w:val="17"/>
              <w:spacing w:line="380" w:lineRule="exact"/>
              <w:ind w:left="25"/>
              <w:rPr>
                <w:rFonts w:hAnsi="宋体"/>
                <w:color w:val="auto"/>
              </w:rPr>
            </w:pPr>
            <w:r>
              <w:rPr>
                <w:rFonts w:hint="eastAsia" w:hAnsi="宋体"/>
                <w:color w:val="auto"/>
              </w:rPr>
              <w:t>1～5亿元</w:t>
            </w:r>
          </w:p>
        </w:tc>
        <w:tc>
          <w:tcPr>
            <w:tcW w:w="1841" w:type="dxa"/>
          </w:tcPr>
          <w:p w14:paraId="51116FB0">
            <w:pPr>
              <w:pStyle w:val="17"/>
              <w:spacing w:line="380" w:lineRule="exact"/>
              <w:ind w:left="25"/>
              <w:jc w:val="center"/>
              <w:rPr>
                <w:rFonts w:hAnsi="宋体"/>
                <w:color w:val="auto"/>
              </w:rPr>
            </w:pPr>
            <w:r>
              <w:rPr>
                <w:rFonts w:hint="eastAsia" w:hAnsi="宋体"/>
                <w:color w:val="auto"/>
              </w:rPr>
              <w:t>0.05%</w:t>
            </w:r>
          </w:p>
        </w:tc>
        <w:tc>
          <w:tcPr>
            <w:tcW w:w="1992" w:type="dxa"/>
          </w:tcPr>
          <w:p w14:paraId="552B2DE3">
            <w:pPr>
              <w:pStyle w:val="17"/>
              <w:spacing w:line="380" w:lineRule="exact"/>
              <w:ind w:left="25"/>
              <w:jc w:val="center"/>
              <w:rPr>
                <w:rFonts w:hAnsi="宋体"/>
                <w:color w:val="auto"/>
              </w:rPr>
            </w:pPr>
            <w:r>
              <w:rPr>
                <w:rFonts w:hint="eastAsia" w:hAnsi="宋体"/>
                <w:color w:val="auto"/>
              </w:rPr>
              <w:t>0.05%</w:t>
            </w:r>
          </w:p>
        </w:tc>
        <w:tc>
          <w:tcPr>
            <w:tcW w:w="2293" w:type="dxa"/>
          </w:tcPr>
          <w:p w14:paraId="69957F78">
            <w:pPr>
              <w:pStyle w:val="17"/>
              <w:spacing w:line="380" w:lineRule="exact"/>
              <w:ind w:left="25"/>
              <w:jc w:val="center"/>
              <w:rPr>
                <w:rFonts w:hAnsi="宋体"/>
                <w:color w:val="auto"/>
              </w:rPr>
            </w:pPr>
            <w:r>
              <w:rPr>
                <w:rFonts w:hint="eastAsia" w:hAnsi="宋体"/>
                <w:color w:val="auto"/>
              </w:rPr>
              <w:t>0.05%</w:t>
            </w:r>
          </w:p>
        </w:tc>
      </w:tr>
      <w:tr w14:paraId="2C0BD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13D0CD3D">
            <w:pPr>
              <w:pStyle w:val="17"/>
              <w:spacing w:line="380" w:lineRule="exact"/>
              <w:ind w:left="25"/>
              <w:rPr>
                <w:rFonts w:hAnsi="宋体"/>
                <w:color w:val="auto"/>
              </w:rPr>
            </w:pPr>
            <w:r>
              <w:rPr>
                <w:rFonts w:hint="eastAsia" w:hAnsi="宋体"/>
                <w:color w:val="auto"/>
              </w:rPr>
              <w:t>5～10亿元</w:t>
            </w:r>
          </w:p>
        </w:tc>
        <w:tc>
          <w:tcPr>
            <w:tcW w:w="1841" w:type="dxa"/>
          </w:tcPr>
          <w:p w14:paraId="3E2BAA68">
            <w:pPr>
              <w:pStyle w:val="17"/>
              <w:spacing w:line="380" w:lineRule="exact"/>
              <w:ind w:left="25"/>
              <w:jc w:val="center"/>
              <w:rPr>
                <w:rFonts w:hAnsi="宋体"/>
                <w:color w:val="auto"/>
              </w:rPr>
            </w:pPr>
            <w:r>
              <w:rPr>
                <w:rFonts w:hint="eastAsia" w:hAnsi="宋体"/>
                <w:color w:val="auto"/>
              </w:rPr>
              <w:t>0.035%</w:t>
            </w:r>
          </w:p>
        </w:tc>
        <w:tc>
          <w:tcPr>
            <w:tcW w:w="1992" w:type="dxa"/>
          </w:tcPr>
          <w:p w14:paraId="70B4A9C4">
            <w:pPr>
              <w:pStyle w:val="17"/>
              <w:spacing w:line="380" w:lineRule="exact"/>
              <w:ind w:left="25"/>
              <w:jc w:val="center"/>
              <w:rPr>
                <w:rFonts w:hAnsi="宋体"/>
                <w:color w:val="auto"/>
              </w:rPr>
            </w:pPr>
            <w:r>
              <w:rPr>
                <w:rFonts w:hint="eastAsia" w:hAnsi="宋体"/>
                <w:color w:val="auto"/>
              </w:rPr>
              <w:t>0.035%</w:t>
            </w:r>
          </w:p>
        </w:tc>
        <w:tc>
          <w:tcPr>
            <w:tcW w:w="2293" w:type="dxa"/>
          </w:tcPr>
          <w:p w14:paraId="25016727">
            <w:pPr>
              <w:pStyle w:val="17"/>
              <w:spacing w:line="380" w:lineRule="exact"/>
              <w:ind w:left="25"/>
              <w:jc w:val="center"/>
              <w:rPr>
                <w:rFonts w:hAnsi="宋体"/>
                <w:color w:val="auto"/>
              </w:rPr>
            </w:pPr>
            <w:r>
              <w:rPr>
                <w:rFonts w:hint="eastAsia" w:hAnsi="宋体"/>
                <w:color w:val="auto"/>
              </w:rPr>
              <w:t>0.035%</w:t>
            </w:r>
          </w:p>
        </w:tc>
      </w:tr>
      <w:tr w14:paraId="19995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504EDA18">
            <w:pPr>
              <w:pStyle w:val="17"/>
              <w:spacing w:line="380" w:lineRule="exact"/>
              <w:ind w:left="25"/>
              <w:rPr>
                <w:rFonts w:hAnsi="宋体"/>
                <w:color w:val="auto"/>
              </w:rPr>
            </w:pPr>
            <w:r>
              <w:rPr>
                <w:rFonts w:hint="eastAsia" w:hAnsi="宋体"/>
                <w:color w:val="auto"/>
              </w:rPr>
              <w:t>10～50亿元</w:t>
            </w:r>
          </w:p>
        </w:tc>
        <w:tc>
          <w:tcPr>
            <w:tcW w:w="1841" w:type="dxa"/>
          </w:tcPr>
          <w:p w14:paraId="02E6E28C">
            <w:pPr>
              <w:pStyle w:val="17"/>
              <w:spacing w:line="380" w:lineRule="exact"/>
              <w:ind w:left="25"/>
              <w:jc w:val="center"/>
              <w:rPr>
                <w:rFonts w:hAnsi="宋体"/>
                <w:color w:val="auto"/>
              </w:rPr>
            </w:pPr>
            <w:r>
              <w:rPr>
                <w:rFonts w:hint="eastAsia" w:hAnsi="宋体"/>
                <w:color w:val="auto"/>
              </w:rPr>
              <w:t>0.008%</w:t>
            </w:r>
          </w:p>
        </w:tc>
        <w:tc>
          <w:tcPr>
            <w:tcW w:w="1992" w:type="dxa"/>
          </w:tcPr>
          <w:p w14:paraId="2ED94912">
            <w:pPr>
              <w:pStyle w:val="17"/>
              <w:spacing w:line="380" w:lineRule="exact"/>
              <w:ind w:left="25"/>
              <w:jc w:val="center"/>
              <w:rPr>
                <w:rFonts w:hAnsi="宋体"/>
                <w:color w:val="auto"/>
              </w:rPr>
            </w:pPr>
            <w:r>
              <w:rPr>
                <w:rFonts w:hint="eastAsia" w:hAnsi="宋体"/>
                <w:color w:val="auto"/>
              </w:rPr>
              <w:t>0.008%</w:t>
            </w:r>
          </w:p>
        </w:tc>
        <w:tc>
          <w:tcPr>
            <w:tcW w:w="2293" w:type="dxa"/>
          </w:tcPr>
          <w:p w14:paraId="666B7339">
            <w:pPr>
              <w:pStyle w:val="17"/>
              <w:spacing w:line="380" w:lineRule="exact"/>
              <w:ind w:left="25"/>
              <w:jc w:val="center"/>
              <w:rPr>
                <w:rFonts w:hAnsi="宋体"/>
                <w:color w:val="auto"/>
              </w:rPr>
            </w:pPr>
            <w:r>
              <w:rPr>
                <w:rFonts w:hint="eastAsia" w:hAnsi="宋体"/>
                <w:color w:val="auto"/>
              </w:rPr>
              <w:t>0.008%</w:t>
            </w:r>
          </w:p>
        </w:tc>
      </w:tr>
      <w:tr w14:paraId="654A3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0F97BAC0">
            <w:pPr>
              <w:pStyle w:val="17"/>
              <w:spacing w:line="380" w:lineRule="exact"/>
              <w:ind w:left="25"/>
              <w:rPr>
                <w:rFonts w:hAnsi="宋体"/>
                <w:color w:val="auto"/>
              </w:rPr>
            </w:pPr>
            <w:r>
              <w:rPr>
                <w:rFonts w:hint="eastAsia" w:hAnsi="宋体"/>
                <w:color w:val="auto"/>
              </w:rPr>
              <w:t>50～100亿元</w:t>
            </w:r>
          </w:p>
        </w:tc>
        <w:tc>
          <w:tcPr>
            <w:tcW w:w="1841" w:type="dxa"/>
          </w:tcPr>
          <w:p w14:paraId="52F3B072">
            <w:pPr>
              <w:pStyle w:val="17"/>
              <w:spacing w:line="380" w:lineRule="exact"/>
              <w:ind w:left="25"/>
              <w:jc w:val="center"/>
              <w:rPr>
                <w:rFonts w:hAnsi="宋体"/>
                <w:color w:val="auto"/>
              </w:rPr>
            </w:pPr>
            <w:r>
              <w:rPr>
                <w:rFonts w:hint="eastAsia" w:hAnsi="宋体"/>
                <w:color w:val="auto"/>
              </w:rPr>
              <w:t>0.006%</w:t>
            </w:r>
          </w:p>
        </w:tc>
        <w:tc>
          <w:tcPr>
            <w:tcW w:w="1992" w:type="dxa"/>
          </w:tcPr>
          <w:p w14:paraId="0F596E70">
            <w:pPr>
              <w:pStyle w:val="17"/>
              <w:spacing w:line="380" w:lineRule="exact"/>
              <w:ind w:left="25"/>
              <w:jc w:val="center"/>
              <w:rPr>
                <w:rFonts w:hAnsi="宋体"/>
                <w:color w:val="auto"/>
              </w:rPr>
            </w:pPr>
            <w:r>
              <w:rPr>
                <w:rFonts w:hint="eastAsia" w:hAnsi="宋体"/>
                <w:color w:val="auto"/>
              </w:rPr>
              <w:t>0.006%</w:t>
            </w:r>
          </w:p>
        </w:tc>
        <w:tc>
          <w:tcPr>
            <w:tcW w:w="2293" w:type="dxa"/>
          </w:tcPr>
          <w:p w14:paraId="6CFB5B5C">
            <w:pPr>
              <w:pStyle w:val="17"/>
              <w:spacing w:line="380" w:lineRule="exact"/>
              <w:ind w:left="25"/>
              <w:jc w:val="center"/>
              <w:rPr>
                <w:rFonts w:hAnsi="宋体"/>
                <w:color w:val="auto"/>
              </w:rPr>
            </w:pPr>
            <w:r>
              <w:rPr>
                <w:rFonts w:hint="eastAsia" w:hAnsi="宋体"/>
                <w:color w:val="auto"/>
              </w:rPr>
              <w:t>0.006%</w:t>
            </w:r>
          </w:p>
        </w:tc>
      </w:tr>
      <w:tr w14:paraId="316F5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3DEC9BA1">
            <w:pPr>
              <w:pStyle w:val="17"/>
              <w:spacing w:line="380" w:lineRule="exact"/>
              <w:ind w:left="25"/>
              <w:rPr>
                <w:rFonts w:hAnsi="宋体"/>
                <w:color w:val="auto"/>
              </w:rPr>
            </w:pPr>
            <w:r>
              <w:rPr>
                <w:rFonts w:hint="eastAsia" w:hAnsi="宋体"/>
                <w:color w:val="auto"/>
              </w:rPr>
              <w:t>100亿以上</w:t>
            </w:r>
          </w:p>
        </w:tc>
        <w:tc>
          <w:tcPr>
            <w:tcW w:w="1841" w:type="dxa"/>
          </w:tcPr>
          <w:p w14:paraId="4DCBFABC">
            <w:pPr>
              <w:pStyle w:val="17"/>
              <w:spacing w:line="380" w:lineRule="exact"/>
              <w:ind w:left="25"/>
              <w:jc w:val="center"/>
              <w:rPr>
                <w:rFonts w:hAnsi="宋体"/>
                <w:color w:val="auto"/>
              </w:rPr>
            </w:pPr>
            <w:r>
              <w:rPr>
                <w:rFonts w:hint="eastAsia" w:hAnsi="宋体"/>
                <w:color w:val="auto"/>
              </w:rPr>
              <w:t>0.004%</w:t>
            </w:r>
          </w:p>
        </w:tc>
        <w:tc>
          <w:tcPr>
            <w:tcW w:w="1992" w:type="dxa"/>
          </w:tcPr>
          <w:p w14:paraId="44A9CFCC">
            <w:pPr>
              <w:pStyle w:val="17"/>
              <w:spacing w:line="380" w:lineRule="exact"/>
              <w:ind w:left="25"/>
              <w:jc w:val="center"/>
              <w:rPr>
                <w:rFonts w:hAnsi="宋体"/>
                <w:color w:val="auto"/>
              </w:rPr>
            </w:pPr>
            <w:r>
              <w:rPr>
                <w:rFonts w:hint="eastAsia" w:hAnsi="宋体"/>
                <w:color w:val="auto"/>
              </w:rPr>
              <w:t>0.004%</w:t>
            </w:r>
          </w:p>
        </w:tc>
        <w:tc>
          <w:tcPr>
            <w:tcW w:w="2293" w:type="dxa"/>
          </w:tcPr>
          <w:p w14:paraId="37B45EF7">
            <w:pPr>
              <w:pStyle w:val="17"/>
              <w:spacing w:line="380" w:lineRule="exact"/>
              <w:ind w:left="25"/>
              <w:jc w:val="center"/>
              <w:rPr>
                <w:rFonts w:hAnsi="宋体"/>
                <w:color w:val="auto"/>
              </w:rPr>
            </w:pPr>
            <w:r>
              <w:rPr>
                <w:rFonts w:hint="eastAsia" w:hAnsi="宋体"/>
                <w:color w:val="auto"/>
              </w:rPr>
              <w:t>0.004%</w:t>
            </w:r>
          </w:p>
        </w:tc>
      </w:tr>
    </w:tbl>
    <w:p w14:paraId="5069BE50">
      <w:pPr>
        <w:pStyle w:val="17"/>
        <w:spacing w:line="380" w:lineRule="exact"/>
        <w:ind w:left="25"/>
        <w:rPr>
          <w:rFonts w:hAnsi="宋体"/>
          <w:color w:val="auto"/>
        </w:rPr>
      </w:pPr>
      <w:r>
        <w:rPr>
          <w:rFonts w:hint="eastAsia" w:hAnsi="宋体"/>
          <w:color w:val="auto"/>
        </w:rPr>
        <w:t>注：代理服务收费按差额定率累进法计算。</w:t>
      </w:r>
    </w:p>
    <w:p w14:paraId="27067E12">
      <w:pPr>
        <w:spacing w:line="380" w:lineRule="exact"/>
        <w:ind w:firstLine="420" w:firstLineChars="200"/>
        <w:rPr>
          <w:rFonts w:ascii="宋体" w:hAnsi="宋体"/>
          <w:b/>
          <w:color w:val="auto"/>
        </w:rPr>
      </w:pPr>
      <w:r>
        <w:rPr>
          <w:rFonts w:hint="eastAsia" w:ascii="宋体" w:hAnsi="宋体"/>
          <w:b/>
          <w:color w:val="auto"/>
        </w:rPr>
        <w:t>采购代理机构银行账户：</w:t>
      </w:r>
    </w:p>
    <w:p w14:paraId="52FA920C">
      <w:pPr>
        <w:spacing w:line="360" w:lineRule="exact"/>
        <w:ind w:firstLine="420" w:firstLineChars="200"/>
        <w:rPr>
          <w:rFonts w:ascii="宋体" w:hAnsi="宋体"/>
          <w:color w:val="auto"/>
          <w:szCs w:val="21"/>
        </w:rPr>
      </w:pPr>
      <w:r>
        <w:rPr>
          <w:rFonts w:hint="eastAsia" w:ascii="宋体" w:hAnsi="宋体"/>
          <w:color w:val="auto"/>
          <w:szCs w:val="21"/>
        </w:rPr>
        <w:t xml:space="preserve">开户名称：欧邦工程管理集团有限公司桂林分公司  </w:t>
      </w:r>
    </w:p>
    <w:p w14:paraId="5679FED7">
      <w:pPr>
        <w:spacing w:line="360" w:lineRule="exact"/>
        <w:ind w:firstLine="420" w:firstLineChars="200"/>
        <w:rPr>
          <w:rFonts w:ascii="宋体" w:hAnsi="宋体"/>
          <w:color w:val="auto"/>
          <w:szCs w:val="21"/>
        </w:rPr>
      </w:pPr>
      <w:r>
        <w:rPr>
          <w:rFonts w:hint="eastAsia" w:ascii="宋体" w:hAnsi="宋体"/>
          <w:color w:val="auto"/>
          <w:szCs w:val="21"/>
        </w:rPr>
        <w:t>开户银行：桂林银行股份有限公司观音阁支行</w:t>
      </w:r>
    </w:p>
    <w:p w14:paraId="50F048DD">
      <w:pPr>
        <w:ind w:firstLine="420" w:firstLineChars="200"/>
        <w:rPr>
          <w:color w:val="auto"/>
        </w:rPr>
      </w:pPr>
      <w:r>
        <w:rPr>
          <w:rFonts w:hint="eastAsia" w:hAnsi="宋体"/>
          <w:color w:val="auto"/>
          <w:szCs w:val="21"/>
        </w:rPr>
        <w:t xml:space="preserve">银行账号：660010123185600010   </w:t>
      </w:r>
    </w:p>
    <w:p w14:paraId="21B0700F">
      <w:pPr>
        <w:numPr>
          <w:ilvl w:val="0"/>
          <w:numId w:val="7"/>
        </w:numPr>
        <w:spacing w:line="288" w:lineRule="auto"/>
        <w:ind w:firstLine="420" w:firstLineChars="200"/>
        <w:rPr>
          <w:color w:val="auto"/>
        </w:rPr>
      </w:pPr>
      <w:r>
        <w:rPr>
          <w:rStyle w:val="49"/>
          <w:rFonts w:hint="eastAsia" w:ascii="宋体" w:hAnsi="宋体" w:cs="宋体"/>
          <w:color w:val="auto"/>
          <w:sz w:val="21"/>
          <w:szCs w:val="21"/>
        </w:rPr>
        <w:t>解释权</w:t>
      </w:r>
      <w:bookmarkEnd w:id="132"/>
      <w:bookmarkEnd w:id="133"/>
      <w:r>
        <w:rPr>
          <w:rFonts w:hint="eastAsia" w:ascii="宋体" w:hAnsi="宋体" w:cs="宋体"/>
          <w:color w:val="auto"/>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36AF18FC">
      <w:pPr>
        <w:spacing w:line="360" w:lineRule="exact"/>
        <w:rPr>
          <w:rFonts w:ascii="宋体" w:hAnsi="宋体" w:cs="宋体"/>
          <w:color w:val="auto"/>
          <w:kern w:val="0"/>
          <w:szCs w:val="21"/>
        </w:rPr>
      </w:pPr>
      <w:bookmarkStart w:id="134" w:name="_Toc24443"/>
      <w:r>
        <w:rPr>
          <w:rStyle w:val="49"/>
          <w:rFonts w:hint="eastAsia" w:ascii="宋体" w:hAnsi="宋体" w:cs="宋体"/>
          <w:color w:val="auto"/>
          <w:sz w:val="21"/>
          <w:szCs w:val="21"/>
        </w:rPr>
        <w:t>32. 监督管理机构</w:t>
      </w:r>
      <w:bookmarkEnd w:id="134"/>
      <w:r>
        <w:rPr>
          <w:rFonts w:hint="eastAsia" w:ascii="宋体" w:hAnsi="宋体" w:cs="宋体"/>
          <w:color w:val="auto"/>
          <w:szCs w:val="21"/>
        </w:rPr>
        <w:t>：桂林市政府采购管理办公室</w:t>
      </w:r>
      <w:r>
        <w:rPr>
          <w:rFonts w:hint="eastAsia" w:ascii="宋体" w:hAnsi="宋体" w:cs="宋体"/>
          <w:color w:val="auto"/>
          <w:kern w:val="0"/>
          <w:szCs w:val="21"/>
        </w:rPr>
        <w:t xml:space="preserve">      联系电话：0773-2829504</w:t>
      </w:r>
    </w:p>
    <w:p w14:paraId="70885E65">
      <w:pPr>
        <w:pStyle w:val="11"/>
        <w:numPr>
          <w:ilvl w:val="0"/>
          <w:numId w:val="8"/>
        </w:numPr>
        <w:spacing w:line="360" w:lineRule="exact"/>
        <w:ind w:firstLine="420" w:firstLineChars="200"/>
        <w:rPr>
          <w:rFonts w:ascii="宋体" w:hAnsi="宋体" w:cs="宋体"/>
          <w:color w:val="auto"/>
          <w:kern w:val="0"/>
          <w:szCs w:val="21"/>
        </w:rPr>
      </w:pPr>
      <w:bookmarkStart w:id="135" w:name="_Toc10892"/>
      <w:bookmarkStart w:id="136" w:name="_Toc29649"/>
      <w:r>
        <w:rPr>
          <w:rFonts w:hint="eastAsia" w:ascii="宋体" w:hAnsi="宋体" w:cs="宋体"/>
          <w:b/>
          <w:bCs/>
          <w:color w:val="auto"/>
          <w:kern w:val="0"/>
          <w:szCs w:val="21"/>
        </w:rPr>
        <w:t>其他：</w:t>
      </w:r>
      <w:r>
        <w:rPr>
          <w:rFonts w:hint="eastAsia" w:ascii="宋体" w:hAnsi="宋体" w:cs="宋体"/>
          <w:color w:val="auto"/>
          <w:kern w:val="0"/>
          <w:szCs w:val="21"/>
        </w:rPr>
        <w:t>为让政府采购供应商知晓运用政采贷政策，加强政采贷的推广力度，现将《中国人民银行桂林市中心支行桂林市财政局关于转发《中国人民银行南宁中心支行广西壮族自治区财政厅关于推广线上“政采贷”融资模式的通知》的通知》转发。具体内容详见附表。</w:t>
      </w:r>
    </w:p>
    <w:p w14:paraId="04EFDBE3">
      <w:pPr>
        <w:rPr>
          <w:rFonts w:ascii="宋体" w:hAnsi="宋体" w:cs="宋体"/>
          <w:color w:val="auto"/>
          <w:kern w:val="0"/>
          <w:szCs w:val="21"/>
        </w:rPr>
      </w:pPr>
    </w:p>
    <w:p w14:paraId="14AB5B00">
      <w:pPr>
        <w:rPr>
          <w:rFonts w:ascii="宋体" w:hAnsi="宋体" w:cs="宋体"/>
          <w:color w:val="auto"/>
          <w:kern w:val="0"/>
          <w:szCs w:val="21"/>
        </w:rPr>
      </w:pPr>
    </w:p>
    <w:p w14:paraId="2DE2EACD">
      <w:pPr>
        <w:rPr>
          <w:rFonts w:ascii="宋体" w:hAnsi="宋体" w:cs="宋体"/>
          <w:color w:val="auto"/>
          <w:kern w:val="0"/>
          <w:szCs w:val="21"/>
        </w:rPr>
      </w:pPr>
    </w:p>
    <w:p w14:paraId="67689DBA">
      <w:pPr>
        <w:rPr>
          <w:rFonts w:ascii="宋体" w:hAnsi="宋体" w:cs="宋体"/>
          <w:color w:val="auto"/>
          <w:kern w:val="0"/>
          <w:szCs w:val="21"/>
        </w:rPr>
      </w:pPr>
    </w:p>
    <w:p w14:paraId="6094DBC5">
      <w:pPr>
        <w:rPr>
          <w:rFonts w:ascii="宋体" w:hAnsi="宋体" w:cs="宋体"/>
          <w:color w:val="auto"/>
          <w:kern w:val="0"/>
          <w:szCs w:val="21"/>
        </w:rPr>
      </w:pPr>
    </w:p>
    <w:p w14:paraId="1FDABDE0">
      <w:pPr>
        <w:rPr>
          <w:rFonts w:ascii="宋体" w:hAnsi="宋体" w:cs="宋体"/>
          <w:color w:val="auto"/>
          <w:kern w:val="0"/>
          <w:szCs w:val="21"/>
        </w:rPr>
      </w:pPr>
    </w:p>
    <w:p w14:paraId="1D46AE8A">
      <w:pPr>
        <w:rPr>
          <w:rFonts w:ascii="宋体" w:hAnsi="宋体" w:cs="宋体"/>
          <w:color w:val="auto"/>
          <w:kern w:val="0"/>
          <w:szCs w:val="21"/>
        </w:rPr>
      </w:pPr>
    </w:p>
    <w:p w14:paraId="0FCBCFD6">
      <w:pPr>
        <w:rPr>
          <w:rFonts w:ascii="宋体" w:hAnsi="宋体" w:cs="宋体"/>
          <w:color w:val="auto"/>
          <w:kern w:val="0"/>
          <w:szCs w:val="21"/>
        </w:rPr>
      </w:pPr>
    </w:p>
    <w:p w14:paraId="1BEE3389">
      <w:pPr>
        <w:pStyle w:val="2"/>
        <w:jc w:val="both"/>
        <w:rPr>
          <w:color w:val="auto"/>
        </w:rPr>
      </w:pPr>
    </w:p>
    <w:p w14:paraId="58DB5707">
      <w:pPr>
        <w:pStyle w:val="19"/>
        <w:rPr>
          <w:color w:val="auto"/>
        </w:rPr>
      </w:pPr>
    </w:p>
    <w:p w14:paraId="711E23F9">
      <w:pPr>
        <w:pStyle w:val="19"/>
        <w:rPr>
          <w:color w:val="auto"/>
        </w:rPr>
      </w:pPr>
    </w:p>
    <w:p w14:paraId="5204986E">
      <w:pPr>
        <w:rPr>
          <w:color w:val="auto"/>
        </w:rPr>
      </w:pPr>
    </w:p>
    <w:p w14:paraId="2AD3E7DA">
      <w:pPr>
        <w:pStyle w:val="19"/>
        <w:rPr>
          <w:color w:val="auto"/>
        </w:rPr>
      </w:pPr>
    </w:p>
    <w:p w14:paraId="2B43BA2E">
      <w:pPr>
        <w:pStyle w:val="19"/>
        <w:rPr>
          <w:color w:val="auto"/>
        </w:rPr>
      </w:pPr>
    </w:p>
    <w:p w14:paraId="5C98FAC2">
      <w:pPr>
        <w:pStyle w:val="19"/>
        <w:rPr>
          <w:color w:val="auto"/>
        </w:rPr>
      </w:pPr>
    </w:p>
    <w:p w14:paraId="0C186F1A">
      <w:pPr>
        <w:pStyle w:val="2"/>
        <w:rPr>
          <w:color w:val="auto"/>
        </w:rPr>
      </w:pPr>
      <w:r>
        <w:rPr>
          <w:color w:val="auto"/>
        </w:rPr>
        <w:drawing>
          <wp:anchor distT="0" distB="0" distL="114300" distR="114300" simplePos="0" relativeHeight="251665408" behindDoc="0" locked="0" layoutInCell="1" allowOverlap="1">
            <wp:simplePos x="0" y="0"/>
            <wp:positionH relativeFrom="column">
              <wp:posOffset>-54610</wp:posOffset>
            </wp:positionH>
            <wp:positionV relativeFrom="paragraph">
              <wp:posOffset>-321945</wp:posOffset>
            </wp:positionV>
            <wp:extent cx="6113780" cy="6652895"/>
            <wp:effectExtent l="0" t="0" r="1270" b="14605"/>
            <wp:wrapNone/>
            <wp:docPr id="10" name="图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29"/>
                    <pic:cNvPicPr>
                      <a:picLocks noChangeAspect="1"/>
                    </pic:cNvPicPr>
                  </pic:nvPicPr>
                  <pic:blipFill>
                    <a:blip r:embed="rId9"/>
                    <a:stretch>
                      <a:fillRect/>
                    </a:stretch>
                  </pic:blipFill>
                  <pic:spPr>
                    <a:xfrm>
                      <a:off x="0" y="0"/>
                      <a:ext cx="6113780" cy="6652895"/>
                    </a:xfrm>
                    <a:prstGeom prst="rect">
                      <a:avLst/>
                    </a:prstGeom>
                    <a:noFill/>
                    <a:ln w="9525">
                      <a:noFill/>
                      <a:miter/>
                    </a:ln>
                  </pic:spPr>
                </pic:pic>
              </a:graphicData>
            </a:graphic>
          </wp:anchor>
        </w:drawing>
      </w:r>
    </w:p>
    <w:p w14:paraId="7D53660D">
      <w:pPr>
        <w:pStyle w:val="2"/>
        <w:rPr>
          <w:color w:val="auto"/>
        </w:rPr>
      </w:pPr>
    </w:p>
    <w:p w14:paraId="5750B421">
      <w:pPr>
        <w:pStyle w:val="2"/>
        <w:jc w:val="both"/>
        <w:rPr>
          <w:color w:val="auto"/>
        </w:rPr>
      </w:pPr>
    </w:p>
    <w:p w14:paraId="1968B53C">
      <w:pPr>
        <w:pStyle w:val="2"/>
        <w:rPr>
          <w:color w:val="auto"/>
        </w:rPr>
      </w:pPr>
    </w:p>
    <w:p w14:paraId="2BF63F2A">
      <w:pPr>
        <w:pStyle w:val="2"/>
        <w:rPr>
          <w:color w:val="auto"/>
        </w:rPr>
      </w:pPr>
    </w:p>
    <w:p w14:paraId="0DEB7036">
      <w:pPr>
        <w:pStyle w:val="2"/>
        <w:rPr>
          <w:color w:val="auto"/>
        </w:rPr>
      </w:pPr>
    </w:p>
    <w:p w14:paraId="001F3EE2">
      <w:pPr>
        <w:rPr>
          <w:color w:val="auto"/>
        </w:rPr>
      </w:pPr>
    </w:p>
    <w:p w14:paraId="789D6152">
      <w:pPr>
        <w:rPr>
          <w:color w:val="auto"/>
        </w:rPr>
      </w:pPr>
    </w:p>
    <w:p w14:paraId="1C5E5F2E">
      <w:pPr>
        <w:rPr>
          <w:color w:val="auto"/>
        </w:rPr>
      </w:pPr>
    </w:p>
    <w:p w14:paraId="41A96183">
      <w:pPr>
        <w:rPr>
          <w:color w:val="auto"/>
        </w:rPr>
      </w:pPr>
    </w:p>
    <w:p w14:paraId="0F581452">
      <w:pPr>
        <w:rPr>
          <w:color w:val="auto"/>
        </w:rPr>
      </w:pPr>
    </w:p>
    <w:bookmarkEnd w:id="135"/>
    <w:bookmarkEnd w:id="136"/>
    <w:p w14:paraId="3DBBF5E5">
      <w:pPr>
        <w:rPr>
          <w:rFonts w:ascii="宋体" w:hAnsi="宋体" w:cs="宋体"/>
          <w:b/>
          <w:color w:val="auto"/>
          <w:sz w:val="32"/>
          <w:szCs w:val="32"/>
        </w:rPr>
      </w:pPr>
      <w:bookmarkStart w:id="137" w:name="_Toc24716"/>
      <w:r>
        <w:rPr>
          <w:rFonts w:hint="eastAsia" w:ascii="宋体" w:hAnsi="宋体" w:cs="宋体"/>
          <w:b/>
          <w:color w:val="auto"/>
          <w:sz w:val="32"/>
          <w:szCs w:val="32"/>
        </w:rPr>
        <w:br w:type="page"/>
      </w:r>
    </w:p>
    <w:p w14:paraId="4B41D51D">
      <w:pPr>
        <w:tabs>
          <w:tab w:val="center" w:pos="4410"/>
          <w:tab w:val="left" w:pos="6735"/>
        </w:tabs>
        <w:spacing w:line="480" w:lineRule="auto"/>
        <w:jc w:val="center"/>
        <w:rPr>
          <w:rFonts w:hAnsi="宋体" w:cs="宋体"/>
          <w:b/>
          <w:color w:val="auto"/>
          <w:sz w:val="32"/>
        </w:rPr>
      </w:pPr>
      <w:r>
        <w:rPr>
          <w:rFonts w:hint="eastAsia" w:ascii="宋体" w:hAnsi="宋体" w:cs="宋体"/>
          <w:b/>
          <w:color w:val="auto"/>
          <w:sz w:val="32"/>
          <w:szCs w:val="32"/>
        </w:rPr>
        <w:t>第三章  服务采购需求</w:t>
      </w:r>
    </w:p>
    <w:p w14:paraId="13F99322">
      <w:pPr>
        <w:spacing w:line="560" w:lineRule="exact"/>
        <w:ind w:firstLine="420" w:firstLineChars="200"/>
        <w:outlineLvl w:val="1"/>
        <w:rPr>
          <w:rFonts w:ascii="宋体" w:hAnsi="宋体" w:cs="宋体"/>
          <w:b/>
          <w:bCs/>
          <w:color w:val="auto"/>
          <w:szCs w:val="21"/>
        </w:rPr>
      </w:pPr>
      <w:r>
        <w:rPr>
          <w:rFonts w:hint="eastAsia" w:ascii="宋体" w:hAnsi="宋体" w:cs="宋体"/>
          <w:b/>
          <w:bCs/>
          <w:color w:val="auto"/>
          <w:szCs w:val="21"/>
          <w:lang w:val="zh-CN"/>
        </w:rPr>
        <w:t>一、</w:t>
      </w:r>
      <w:r>
        <w:rPr>
          <w:rFonts w:hint="eastAsia" w:ascii="宋体" w:hAnsi="宋体" w:cs="宋体"/>
          <w:b/>
          <w:bCs/>
          <w:color w:val="auto"/>
          <w:szCs w:val="21"/>
        </w:rPr>
        <w:t>服务内容及范围</w:t>
      </w:r>
    </w:p>
    <w:p w14:paraId="73BE46D3">
      <w:pPr>
        <w:pStyle w:val="62"/>
        <w:spacing w:line="560" w:lineRule="exact"/>
        <w:ind w:left="11"/>
        <w:rPr>
          <w:rFonts w:ascii="宋体" w:hAnsi="宋体" w:cs="宋体"/>
          <w:color w:val="auto"/>
          <w:szCs w:val="21"/>
        </w:rPr>
      </w:pPr>
      <w:r>
        <w:rPr>
          <w:rFonts w:hint="eastAsia" w:ascii="宋体" w:hAnsi="宋体" w:cs="宋体"/>
          <w:color w:val="auto"/>
          <w:szCs w:val="21"/>
        </w:rPr>
        <w:t>成交人提供凤北路院区、东镇路院区、女性健康管理中心、清风护理</w:t>
      </w:r>
      <w:r>
        <w:rPr>
          <w:rFonts w:hint="eastAsia" w:ascii="宋体" w:hAnsi="宋体" w:cs="宋体"/>
          <w:color w:val="auto"/>
          <w:szCs w:val="21"/>
          <w:lang w:val="en-US" w:eastAsia="zh-CN"/>
        </w:rPr>
        <w:t>中心</w:t>
      </w:r>
      <w:r>
        <w:rPr>
          <w:rFonts w:hint="eastAsia" w:ascii="宋体" w:hAnsi="宋体" w:cs="宋体"/>
          <w:color w:val="auto"/>
          <w:szCs w:val="21"/>
        </w:rPr>
        <w:t>等院区医用织物租赁洗涤服务：</w:t>
      </w:r>
    </w:p>
    <w:p w14:paraId="04B38E21">
      <w:pPr>
        <w:pStyle w:val="62"/>
        <w:spacing w:line="560" w:lineRule="exact"/>
        <w:ind w:left="11"/>
        <w:rPr>
          <w:rFonts w:ascii="宋体" w:hAnsi="宋体" w:cs="宋体"/>
          <w:color w:val="auto"/>
          <w:szCs w:val="21"/>
        </w:rPr>
      </w:pPr>
      <w:r>
        <w:rPr>
          <w:rFonts w:hint="eastAsia" w:ascii="宋体" w:hAnsi="宋体" w:cs="宋体"/>
          <w:color w:val="auto"/>
          <w:szCs w:val="21"/>
        </w:rPr>
        <w:t>1、医用织物的洗涤包含清洗、消毒、保管、分类、收集、收送、缝补、平烫、折叠和熨烫等服务；</w:t>
      </w:r>
    </w:p>
    <w:p w14:paraId="0977D4F3">
      <w:pPr>
        <w:pStyle w:val="62"/>
        <w:spacing w:line="560" w:lineRule="exact"/>
        <w:ind w:left="11"/>
        <w:rPr>
          <w:rFonts w:hint="eastAsia" w:ascii="宋体" w:hAnsi="宋体" w:cs="宋体"/>
          <w:color w:val="auto"/>
          <w:szCs w:val="21"/>
        </w:rPr>
      </w:pPr>
      <w:r>
        <w:rPr>
          <w:rFonts w:hint="eastAsia" w:ascii="宋体" w:hAnsi="宋体" w:cs="宋体"/>
          <w:color w:val="auto"/>
          <w:szCs w:val="21"/>
        </w:rPr>
        <w:t>2、医用织物租赁包含医用织物配置、洗涤及缝补等（具体须清洗、消毒、保管、分类、收集、收送、缝补、平烫、折叠、熨烫及租赁的织物数量以合同履行过程中的实质产生的数量为准）。</w:t>
      </w:r>
    </w:p>
    <w:p w14:paraId="1767FCE0">
      <w:pPr>
        <w:pStyle w:val="62"/>
        <w:spacing w:line="560" w:lineRule="exact"/>
        <w:ind w:left="11"/>
        <w:rPr>
          <w:rFonts w:hint="eastAsia" w:ascii="宋体" w:hAnsi="宋体" w:cs="宋体"/>
          <w:color w:val="auto"/>
          <w:szCs w:val="21"/>
        </w:rPr>
      </w:pPr>
      <w:r>
        <w:rPr>
          <w:rFonts w:hint="eastAsia" w:ascii="宋体" w:hAnsi="宋体" w:cs="宋体"/>
          <w:color w:val="0000FF"/>
          <w:szCs w:val="21"/>
          <w:lang w:val="en-US" w:eastAsia="zh-CN"/>
        </w:rPr>
        <w:t>3、本项目所属行业划分为</w:t>
      </w:r>
      <w:r>
        <w:rPr>
          <w:rFonts w:hint="eastAsia" w:ascii="宋体" w:hAnsi="宋体" w:cs="宋体"/>
          <w:color w:val="0000FF"/>
          <w:kern w:val="0"/>
          <w:sz w:val="18"/>
          <w:szCs w:val="18"/>
        </w:rPr>
        <w:t>租赁和商务服务业</w:t>
      </w:r>
      <w:r>
        <w:rPr>
          <w:rFonts w:hint="eastAsia" w:ascii="宋体" w:hAnsi="宋体" w:cs="宋体"/>
          <w:color w:val="0000FF"/>
          <w:kern w:val="0"/>
          <w:sz w:val="18"/>
          <w:szCs w:val="18"/>
          <w:lang w:eastAsia="zh-CN"/>
        </w:rPr>
        <w:t>。</w:t>
      </w:r>
    </w:p>
    <w:p w14:paraId="3ACBE0F8">
      <w:pPr>
        <w:spacing w:line="560" w:lineRule="exact"/>
        <w:ind w:firstLine="420" w:firstLineChars="200"/>
        <w:outlineLvl w:val="1"/>
        <w:rPr>
          <w:rFonts w:ascii="宋体" w:hAnsi="宋体" w:cs="宋体"/>
          <w:b/>
          <w:bCs/>
          <w:color w:val="auto"/>
          <w:szCs w:val="21"/>
        </w:rPr>
      </w:pPr>
      <w:r>
        <w:rPr>
          <w:rFonts w:hint="eastAsia" w:ascii="宋体" w:hAnsi="宋体" w:cs="宋体"/>
          <w:b/>
          <w:bCs/>
          <w:color w:val="auto"/>
          <w:szCs w:val="21"/>
        </w:rPr>
        <w:t>二、服务要求</w:t>
      </w:r>
    </w:p>
    <w:p w14:paraId="7302FEB1">
      <w:pPr>
        <w:pStyle w:val="62"/>
        <w:numPr>
          <w:ilvl w:val="0"/>
          <w:numId w:val="9"/>
        </w:numPr>
        <w:spacing w:line="560" w:lineRule="exact"/>
        <w:ind w:firstLineChars="0"/>
        <w:rPr>
          <w:rFonts w:ascii="宋体" w:hAnsi="宋体" w:cs="宋体"/>
          <w:color w:val="auto"/>
          <w:szCs w:val="21"/>
        </w:rPr>
      </w:pPr>
      <w:r>
        <w:rPr>
          <w:rFonts w:hint="eastAsia" w:ascii="宋体" w:hAnsi="宋体" w:cs="宋体"/>
          <w:color w:val="auto"/>
          <w:szCs w:val="21"/>
        </w:rPr>
        <w:t>厂房环境、设施及管理要求</w:t>
      </w:r>
    </w:p>
    <w:p w14:paraId="40306B97">
      <w:pPr>
        <w:pStyle w:val="11"/>
        <w:numPr>
          <w:ilvl w:val="0"/>
          <w:numId w:val="0"/>
        </w:numPr>
        <w:spacing w:line="360" w:lineRule="auto"/>
        <w:ind w:leftChars="0" w:firstLine="210" w:firstLineChars="100"/>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1</w:t>
      </w:r>
      <w:r>
        <w:rPr>
          <w:rFonts w:hint="eastAsia" w:ascii="宋体" w:hAnsi="宋体" w:cs="宋体"/>
          <w:color w:val="auto"/>
          <w:szCs w:val="21"/>
          <w:lang w:eastAsia="zh-CN"/>
        </w:rPr>
        <w:t>）</w:t>
      </w:r>
      <w:r>
        <w:rPr>
          <w:rFonts w:hint="eastAsia" w:ascii="宋体" w:hAnsi="宋体" w:cs="宋体"/>
          <w:color w:val="auto"/>
          <w:szCs w:val="21"/>
        </w:rPr>
        <w:t>要求具有独立法人资格，并符合商务、生态环境卫生健康等有关部门管理规定、管理制度（含突发事件的应急预案），医用织物运送、洗 涤、消毒、整理操作流程合理合规。</w:t>
      </w:r>
    </w:p>
    <w:p w14:paraId="2AB1F5E3">
      <w:pPr>
        <w:pStyle w:val="62"/>
        <w:numPr>
          <w:ilvl w:val="0"/>
          <w:numId w:val="0"/>
        </w:numPr>
        <w:spacing w:line="560" w:lineRule="exact"/>
        <w:ind w:leftChars="0" w:firstLine="210" w:firstLineChars="100"/>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lang w:eastAsia="zh-CN"/>
        </w:rPr>
        <w:t>）</w:t>
      </w:r>
      <w:r>
        <w:rPr>
          <w:rFonts w:hint="eastAsia" w:ascii="宋体" w:hAnsi="宋体" w:cs="宋体"/>
          <w:color w:val="auto"/>
          <w:szCs w:val="21"/>
        </w:rPr>
        <w:t>供应商洗涤工厂要符合国家WS/T508-2016《医院医用织物洗涤消毒技术规范》要求。</w:t>
      </w:r>
    </w:p>
    <w:p w14:paraId="02C30E46">
      <w:pPr>
        <w:pStyle w:val="62"/>
        <w:numPr>
          <w:ilvl w:val="0"/>
          <w:numId w:val="0"/>
        </w:numPr>
        <w:spacing w:line="560" w:lineRule="exact"/>
        <w:ind w:leftChars="0" w:firstLine="210" w:firstLineChars="100"/>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3</w:t>
      </w:r>
      <w:r>
        <w:rPr>
          <w:rFonts w:hint="eastAsia" w:ascii="宋体" w:hAnsi="宋体" w:cs="宋体"/>
          <w:color w:val="auto"/>
          <w:szCs w:val="21"/>
          <w:lang w:eastAsia="zh-CN"/>
        </w:rPr>
        <w:t>）</w:t>
      </w:r>
      <w:r>
        <w:rPr>
          <w:rFonts w:hint="eastAsia" w:ascii="宋体" w:hAnsi="宋体" w:cs="宋体"/>
          <w:color w:val="auto"/>
          <w:szCs w:val="21"/>
        </w:rPr>
        <w:t>供应商具有洗涤医用织物要求的设施设备。包括加热（最高温度达80℃）功能的专用洗涤和烘干、熨烫等设备（供应商于响应文件中提供相关功能区平面图、设备清单及图片）。</w:t>
      </w:r>
    </w:p>
    <w:p w14:paraId="67A132FC">
      <w:pPr>
        <w:pStyle w:val="62"/>
        <w:numPr>
          <w:ilvl w:val="0"/>
          <w:numId w:val="0"/>
        </w:numPr>
        <w:spacing w:line="560" w:lineRule="exact"/>
        <w:ind w:firstLine="210" w:firstLineChars="100"/>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4</w:t>
      </w:r>
      <w:r>
        <w:rPr>
          <w:rFonts w:hint="eastAsia" w:ascii="宋体" w:hAnsi="宋体" w:cs="宋体"/>
          <w:color w:val="auto"/>
          <w:szCs w:val="21"/>
          <w:lang w:eastAsia="zh-CN"/>
        </w:rPr>
        <w:t>）</w:t>
      </w:r>
      <w:r>
        <w:rPr>
          <w:rFonts w:hint="eastAsia" w:ascii="宋体" w:hAnsi="宋体" w:cs="宋体"/>
          <w:color w:val="auto"/>
          <w:szCs w:val="21"/>
        </w:rPr>
        <w:t>供应商的洗涤工厂和租赁织物配置能满足医院的日常供应及应急管理方案，满足医院正常诊疗工作。</w:t>
      </w:r>
    </w:p>
    <w:p w14:paraId="39DD97B1">
      <w:pPr>
        <w:pStyle w:val="62"/>
        <w:numPr>
          <w:ilvl w:val="0"/>
          <w:numId w:val="0"/>
        </w:numPr>
        <w:spacing w:line="560" w:lineRule="exact"/>
        <w:ind w:leftChars="0" w:firstLine="210" w:firstLineChars="100"/>
        <w:rPr>
          <w:rFonts w:ascii="宋体" w:hAnsi="宋体" w:cs="宋体"/>
          <w:b/>
          <w:bCs/>
          <w:color w:val="auto"/>
          <w:szCs w:val="21"/>
        </w:rPr>
      </w:pPr>
      <w:r>
        <w:rPr>
          <w:rFonts w:hint="eastAsia" w:ascii="宋体" w:hAnsi="宋体" w:cs="宋体"/>
          <w:b/>
          <w:bCs/>
          <w:color w:val="auto"/>
          <w:szCs w:val="21"/>
          <w:lang w:eastAsia="zh-CN"/>
        </w:rPr>
        <w:t>（</w:t>
      </w:r>
      <w:r>
        <w:rPr>
          <w:rFonts w:hint="eastAsia" w:ascii="宋体" w:hAnsi="宋体" w:cs="宋体"/>
          <w:b/>
          <w:bCs/>
          <w:color w:val="auto"/>
          <w:szCs w:val="21"/>
          <w:lang w:val="en-US" w:eastAsia="zh-CN"/>
        </w:rPr>
        <w:t>5</w:t>
      </w:r>
      <w:r>
        <w:rPr>
          <w:rFonts w:hint="eastAsia" w:ascii="宋体" w:hAnsi="宋体" w:cs="宋体"/>
          <w:b/>
          <w:bCs/>
          <w:color w:val="auto"/>
          <w:szCs w:val="21"/>
          <w:lang w:eastAsia="zh-CN"/>
        </w:rPr>
        <w:t>）</w:t>
      </w:r>
      <w:r>
        <w:rPr>
          <w:rFonts w:hint="eastAsia" w:ascii="宋体" w:hAnsi="宋体" w:cs="宋体"/>
          <w:b/>
          <w:bCs/>
          <w:color w:val="auto"/>
          <w:szCs w:val="21"/>
        </w:rPr>
        <w:t>公司投入的织物，</w:t>
      </w:r>
      <w:r>
        <w:rPr>
          <w:rFonts w:hint="eastAsia" w:ascii="宋体" w:hAnsi="宋体" w:cs="宋体"/>
          <w:b/>
          <w:bCs/>
          <w:color w:val="auto"/>
          <w:szCs w:val="21"/>
          <w:lang w:val="en-US" w:eastAsia="zh-CN"/>
        </w:rPr>
        <w:t>需要定期更新和投入，全新被套、大单、枕套、工作服等使用周期贰年，病衣裤、巾类使用周期壹年等，超过使用周期的织物经自然损耗后应增补。</w:t>
      </w:r>
    </w:p>
    <w:p w14:paraId="7DE2653A">
      <w:pPr>
        <w:pStyle w:val="62"/>
        <w:numPr>
          <w:ilvl w:val="0"/>
          <w:numId w:val="0"/>
        </w:numPr>
        <w:spacing w:line="560" w:lineRule="exact"/>
        <w:ind w:leftChars="0" w:firstLine="210" w:firstLineChars="100"/>
        <w:rPr>
          <w:rFonts w:ascii="宋体" w:hAnsi="宋体" w:cs="宋体"/>
          <w:b/>
          <w:bCs/>
          <w:color w:val="auto"/>
          <w:szCs w:val="21"/>
        </w:rPr>
      </w:pPr>
      <w:r>
        <w:rPr>
          <w:rFonts w:hint="eastAsia" w:ascii="宋体" w:hAnsi="宋体" w:cs="宋体"/>
          <w:b/>
          <w:bCs/>
          <w:color w:val="auto"/>
          <w:szCs w:val="21"/>
          <w:lang w:eastAsia="zh-CN"/>
        </w:rPr>
        <w:t>（</w:t>
      </w:r>
      <w:r>
        <w:rPr>
          <w:rFonts w:hint="eastAsia" w:ascii="宋体" w:hAnsi="宋体" w:cs="宋体"/>
          <w:b/>
          <w:bCs/>
          <w:color w:val="auto"/>
          <w:szCs w:val="21"/>
          <w:lang w:val="en-US" w:eastAsia="zh-CN"/>
        </w:rPr>
        <w:t>6</w:t>
      </w:r>
      <w:r>
        <w:rPr>
          <w:rFonts w:hint="eastAsia" w:ascii="宋体" w:hAnsi="宋体" w:cs="宋体"/>
          <w:b/>
          <w:bCs/>
          <w:color w:val="auto"/>
          <w:szCs w:val="21"/>
          <w:lang w:eastAsia="zh-CN"/>
        </w:rPr>
        <w:t>）</w:t>
      </w:r>
      <w:r>
        <w:rPr>
          <w:rFonts w:hint="eastAsia" w:ascii="宋体" w:hAnsi="宋体" w:cs="宋体"/>
          <w:b/>
          <w:bCs/>
          <w:color w:val="auto"/>
          <w:szCs w:val="21"/>
        </w:rPr>
        <w:t>供应商必须提供服务过程中预防交叉感染控制方案，如有接洗感染性疾病医院业务的，必须提供杜绝交叉感染的全流程洗涤消毒运送方案，并承诺严格履行。</w:t>
      </w:r>
    </w:p>
    <w:p w14:paraId="5ACFF3BA">
      <w:pPr>
        <w:pStyle w:val="62"/>
        <w:numPr>
          <w:ilvl w:val="0"/>
          <w:numId w:val="9"/>
        </w:numPr>
        <w:spacing w:line="560" w:lineRule="exact"/>
        <w:ind w:firstLineChars="0"/>
        <w:rPr>
          <w:rFonts w:ascii="宋体" w:hAnsi="宋体" w:cs="宋体"/>
          <w:b/>
          <w:bCs/>
          <w:color w:val="auto"/>
          <w:szCs w:val="21"/>
        </w:rPr>
      </w:pPr>
      <w:r>
        <w:rPr>
          <w:rFonts w:hint="eastAsia" w:ascii="宋体" w:hAnsi="宋体" w:cs="宋体"/>
          <w:color w:val="auto"/>
          <w:szCs w:val="21"/>
        </w:rPr>
        <w:t>服务人员配置及要求：根据医院目前工作量需求，</w:t>
      </w:r>
      <w:r>
        <w:rPr>
          <w:rFonts w:hint="eastAsia" w:ascii="宋体" w:hAnsi="宋体" w:cs="宋体"/>
          <w:b/>
          <w:bCs/>
          <w:color w:val="auto"/>
          <w:szCs w:val="21"/>
        </w:rPr>
        <w:t>供应商至少派遣</w:t>
      </w: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名工</w:t>
      </w:r>
      <w:r>
        <w:rPr>
          <w:rFonts w:hint="eastAsia" w:ascii="宋体" w:hAnsi="宋体" w:cs="宋体"/>
          <w:b/>
          <w:bCs/>
          <w:color w:val="auto"/>
          <w:szCs w:val="21"/>
        </w:rPr>
        <w:t>作人员</w:t>
      </w:r>
      <w:r>
        <w:rPr>
          <w:rFonts w:hint="eastAsia" w:ascii="宋体" w:hAnsi="宋体" w:cs="宋体"/>
          <w:color w:val="auto"/>
          <w:szCs w:val="21"/>
        </w:rPr>
        <w:t>，负责医院所有院区医院织物的分类、收发、缝补、日常排班等工作。</w:t>
      </w:r>
      <w:r>
        <w:rPr>
          <w:rFonts w:hint="eastAsia" w:ascii="宋体" w:hAnsi="宋体" w:cs="宋体"/>
          <w:b/>
          <w:bCs/>
          <w:color w:val="auto"/>
          <w:szCs w:val="21"/>
        </w:rPr>
        <w:t>（承诺可根据医院实际工作量情况增减人员）</w:t>
      </w:r>
    </w:p>
    <w:p w14:paraId="179004C1">
      <w:pPr>
        <w:pStyle w:val="62"/>
        <w:numPr>
          <w:ilvl w:val="0"/>
          <w:numId w:val="9"/>
        </w:numPr>
        <w:spacing w:line="560" w:lineRule="exact"/>
        <w:ind w:firstLineChars="0"/>
        <w:rPr>
          <w:rFonts w:ascii="宋体" w:hAnsi="宋体" w:cs="宋体"/>
          <w:color w:val="auto"/>
          <w:szCs w:val="21"/>
        </w:rPr>
      </w:pPr>
      <w:r>
        <w:rPr>
          <w:rFonts w:hint="eastAsia" w:ascii="宋体" w:hAnsi="宋体" w:cs="宋体"/>
          <w:color w:val="auto"/>
          <w:szCs w:val="21"/>
        </w:rPr>
        <w:t>所有租赁的织物</w:t>
      </w:r>
      <w:r>
        <w:rPr>
          <w:rFonts w:hint="eastAsia" w:ascii="宋体" w:hAnsi="宋体" w:cs="宋体"/>
          <w:b/>
          <w:bCs/>
          <w:color w:val="auto"/>
          <w:szCs w:val="21"/>
        </w:rPr>
        <w:t>实行租赁系统智能信息化管理，</w:t>
      </w:r>
      <w:r>
        <w:rPr>
          <w:rFonts w:hint="eastAsia" w:ascii="宋体" w:hAnsi="宋体" w:cs="宋体"/>
          <w:color w:val="auto"/>
          <w:szCs w:val="21"/>
        </w:rPr>
        <w:t>记录租赁织物的使用时间和使用次数，方便跟踪追溯管理。</w:t>
      </w:r>
    </w:p>
    <w:p w14:paraId="7BA758BF">
      <w:pPr>
        <w:pStyle w:val="62"/>
        <w:numPr>
          <w:ilvl w:val="0"/>
          <w:numId w:val="9"/>
        </w:numPr>
        <w:spacing w:line="560" w:lineRule="exact"/>
        <w:ind w:firstLineChars="0"/>
        <w:rPr>
          <w:rFonts w:ascii="宋体" w:hAnsi="宋体" w:cs="宋体"/>
          <w:color w:val="auto"/>
          <w:szCs w:val="21"/>
        </w:rPr>
      </w:pPr>
      <w:r>
        <w:rPr>
          <w:rFonts w:hint="eastAsia" w:ascii="宋体" w:hAnsi="宋体" w:cs="宋体"/>
          <w:color w:val="auto"/>
          <w:szCs w:val="21"/>
        </w:rPr>
        <w:t>医院提供存放洗涤、处置医院织物场地，但供应商需按照医院感控管理规范装修、配置，要求保持场地的清洁卫生要求，以符合消毒、灭菌要求。</w:t>
      </w:r>
    </w:p>
    <w:p w14:paraId="547DCBD4">
      <w:pPr>
        <w:pStyle w:val="62"/>
        <w:numPr>
          <w:ilvl w:val="0"/>
          <w:numId w:val="9"/>
        </w:numPr>
        <w:spacing w:line="560" w:lineRule="exact"/>
        <w:ind w:firstLineChars="0"/>
        <w:rPr>
          <w:rFonts w:ascii="宋体" w:hAnsi="宋体" w:cs="宋体"/>
          <w:color w:val="auto"/>
          <w:szCs w:val="21"/>
        </w:rPr>
      </w:pPr>
      <w:r>
        <w:rPr>
          <w:rFonts w:hint="eastAsia" w:ascii="宋体" w:hAnsi="宋体" w:cs="宋体"/>
          <w:color w:val="auto"/>
          <w:szCs w:val="21"/>
        </w:rPr>
        <w:t>清洁织物卫生质量要求</w:t>
      </w:r>
    </w:p>
    <w:p w14:paraId="67B29279">
      <w:pPr>
        <w:pStyle w:val="11"/>
        <w:spacing w:line="360" w:lineRule="auto"/>
        <w:ind w:firstLine="210" w:firstLineChars="100"/>
        <w:rPr>
          <w:rFonts w:ascii="宋体" w:hAnsi="宋体" w:cs="宋体"/>
          <w:color w:val="auto"/>
          <w:szCs w:val="21"/>
        </w:rPr>
      </w:pPr>
      <w:r>
        <w:rPr>
          <w:rFonts w:hint="eastAsia" w:ascii="宋体" w:hAnsi="宋体" w:cs="宋体"/>
          <w:color w:val="auto"/>
          <w:szCs w:val="21"/>
        </w:rPr>
        <w:t>（1）指标要求</w:t>
      </w:r>
    </w:p>
    <w:p w14:paraId="2FA907B4">
      <w:pPr>
        <w:pStyle w:val="11"/>
        <w:spacing w:line="360" w:lineRule="auto"/>
        <w:ind w:firstLine="420"/>
        <w:rPr>
          <w:rFonts w:ascii="宋体" w:hAnsi="宋体" w:cs="宋体"/>
          <w:color w:val="auto"/>
          <w:szCs w:val="21"/>
        </w:rPr>
      </w:pPr>
      <w:r>
        <w:rPr>
          <w:rFonts w:hint="eastAsia" w:ascii="宋体" w:hAnsi="宋体" w:cs="宋体"/>
          <w:color w:val="auto"/>
          <w:szCs w:val="21"/>
        </w:rPr>
        <w:t>1）感观指标 清洁织物外观整洁、干燥，无异味、异物、破损。</w:t>
      </w:r>
    </w:p>
    <w:p w14:paraId="7B277440">
      <w:pPr>
        <w:pStyle w:val="11"/>
        <w:spacing w:line="360" w:lineRule="auto"/>
        <w:ind w:firstLine="420"/>
        <w:rPr>
          <w:rFonts w:ascii="宋体" w:hAnsi="宋体" w:cs="宋体"/>
          <w:color w:val="auto"/>
          <w:szCs w:val="21"/>
        </w:rPr>
      </w:pPr>
      <w:r>
        <w:rPr>
          <w:rFonts w:hint="eastAsia" w:ascii="宋体" w:hAnsi="宋体" w:cs="宋体"/>
          <w:color w:val="auto"/>
          <w:szCs w:val="21"/>
        </w:rPr>
        <w:t>2）微生物指标</w:t>
      </w:r>
    </w:p>
    <w:p w14:paraId="05B9F28D">
      <w:pPr>
        <w:pStyle w:val="11"/>
        <w:spacing w:line="360" w:lineRule="auto"/>
        <w:ind w:firstLine="420"/>
        <w:rPr>
          <w:rFonts w:ascii="宋体" w:hAnsi="宋体" w:cs="宋体"/>
          <w:color w:val="auto"/>
          <w:szCs w:val="21"/>
        </w:rPr>
      </w:pPr>
      <w:r>
        <w:rPr>
          <w:rFonts w:hint="eastAsia" w:ascii="宋体" w:hAnsi="宋体" w:cs="宋体"/>
          <w:color w:val="auto"/>
          <w:szCs w:val="21"/>
        </w:rPr>
        <w:t>清洁织物微生物指标应符合表1要求。</w:t>
      </w:r>
    </w:p>
    <w:p w14:paraId="4C51A9A7">
      <w:pPr>
        <w:pStyle w:val="11"/>
        <w:spacing w:line="360" w:lineRule="auto"/>
        <w:rPr>
          <w:rFonts w:ascii="宋体" w:hAnsi="宋体" w:cs="宋体"/>
          <w:color w:val="auto"/>
          <w:szCs w:val="21"/>
        </w:rPr>
      </w:pPr>
      <w:r>
        <w:rPr>
          <w:rFonts w:ascii="宋体" w:hAnsi="宋体" w:cs="宋体"/>
          <w:color w:val="auto"/>
          <w:szCs w:val="21"/>
        </w:rPr>
        <w:drawing>
          <wp:inline distT="0" distB="0" distL="114300" distR="114300">
            <wp:extent cx="5898515" cy="1442085"/>
            <wp:effectExtent l="0" t="0" r="6985" b="5715"/>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10"/>
                    <a:stretch>
                      <a:fillRect/>
                    </a:stretch>
                  </pic:blipFill>
                  <pic:spPr>
                    <a:xfrm>
                      <a:off x="0" y="0"/>
                      <a:ext cx="5898515" cy="1442085"/>
                    </a:xfrm>
                    <a:prstGeom prst="rect">
                      <a:avLst/>
                    </a:prstGeom>
                    <a:noFill/>
                    <a:ln>
                      <a:noFill/>
                    </a:ln>
                  </pic:spPr>
                </pic:pic>
              </a:graphicData>
            </a:graphic>
          </wp:inline>
        </w:drawing>
      </w:r>
    </w:p>
    <w:p w14:paraId="54CF86FB">
      <w:pPr>
        <w:pStyle w:val="11"/>
        <w:spacing w:line="360" w:lineRule="auto"/>
        <w:ind w:firstLine="420"/>
        <w:rPr>
          <w:rFonts w:ascii="宋体" w:hAnsi="宋体" w:cs="宋体"/>
          <w:color w:val="auto"/>
          <w:szCs w:val="21"/>
        </w:rPr>
      </w:pPr>
      <w:r>
        <w:rPr>
          <w:rFonts w:hint="eastAsia" w:ascii="宋体" w:hAnsi="宋体" w:cs="宋体"/>
          <w:color w:val="auto"/>
          <w:szCs w:val="21"/>
        </w:rPr>
        <w:t>(2）检测要求</w:t>
      </w:r>
    </w:p>
    <w:p w14:paraId="4DCD09C2">
      <w:pPr>
        <w:pStyle w:val="11"/>
        <w:spacing w:line="360" w:lineRule="auto"/>
        <w:ind w:firstLine="420"/>
        <w:rPr>
          <w:rFonts w:ascii="宋体" w:hAnsi="宋体" w:cs="宋体"/>
          <w:color w:val="auto"/>
          <w:szCs w:val="21"/>
        </w:rPr>
      </w:pPr>
      <w:r>
        <w:rPr>
          <w:rFonts w:hint="eastAsia" w:ascii="宋体" w:hAnsi="宋体" w:cs="宋体"/>
          <w:color w:val="auto"/>
          <w:szCs w:val="21"/>
        </w:rPr>
        <w:t>1）感观指标应每批次进行检查。</w:t>
      </w:r>
    </w:p>
    <w:p w14:paraId="4B6F9C5A">
      <w:pPr>
        <w:pStyle w:val="11"/>
        <w:spacing w:line="360" w:lineRule="auto"/>
        <w:ind w:firstLine="420"/>
        <w:rPr>
          <w:rFonts w:ascii="宋体" w:hAnsi="宋体" w:cs="宋体"/>
          <w:b/>
          <w:bCs/>
          <w:color w:val="auto"/>
          <w:szCs w:val="21"/>
        </w:rPr>
      </w:pPr>
      <w:r>
        <w:rPr>
          <w:rFonts w:hint="eastAsia" w:ascii="宋体" w:hAnsi="宋体" w:cs="宋体"/>
          <w:b/>
          <w:bCs/>
          <w:color w:val="auto"/>
          <w:szCs w:val="21"/>
        </w:rPr>
        <w:t>2）根据工作需要，应定期开展其主洗环节的温度与维持时间的质控和清洁织物pH测定。</w:t>
      </w:r>
    </w:p>
    <w:p w14:paraId="0D3733F3">
      <w:pPr>
        <w:pStyle w:val="11"/>
        <w:spacing w:line="360" w:lineRule="auto"/>
        <w:ind w:firstLine="420"/>
        <w:rPr>
          <w:rFonts w:ascii="宋体" w:hAnsi="宋体" w:cs="宋体"/>
          <w:b/>
          <w:bCs/>
          <w:color w:val="auto"/>
          <w:szCs w:val="21"/>
        </w:rPr>
      </w:pPr>
      <w:r>
        <w:rPr>
          <w:rFonts w:hint="eastAsia" w:ascii="宋体" w:hAnsi="宋体" w:cs="宋体"/>
          <w:b/>
          <w:bCs/>
          <w:color w:val="auto"/>
          <w:szCs w:val="21"/>
        </w:rPr>
        <w:t>3）微生物指标的细菌菌落总数、大肠菌群、金黄色葡萄球菌应每半年检测1次。</w:t>
      </w:r>
    </w:p>
    <w:p w14:paraId="758F2134">
      <w:pPr>
        <w:pStyle w:val="62"/>
        <w:spacing w:line="560" w:lineRule="exact"/>
        <w:ind w:left="11" w:firstLine="422"/>
        <w:rPr>
          <w:rFonts w:ascii="宋体" w:hAnsi="宋体" w:cs="宋体"/>
          <w:b/>
          <w:bCs/>
          <w:color w:val="auto"/>
          <w:szCs w:val="21"/>
        </w:rPr>
      </w:pPr>
    </w:p>
    <w:p w14:paraId="1A367FC1">
      <w:pPr>
        <w:pStyle w:val="62"/>
        <w:spacing w:line="560" w:lineRule="exact"/>
        <w:ind w:left="11"/>
        <w:rPr>
          <w:rFonts w:ascii="宋体" w:hAnsi="宋体" w:cs="宋体"/>
          <w:color w:val="auto"/>
          <w:szCs w:val="21"/>
        </w:rPr>
      </w:pPr>
    </w:p>
    <w:p w14:paraId="7743E220">
      <w:pPr>
        <w:widowControl/>
        <w:jc w:val="center"/>
        <w:rPr>
          <w:rFonts w:ascii="宋体" w:hAnsi="宋体" w:cs="宋体"/>
          <w:color w:val="auto"/>
          <w:kern w:val="0"/>
          <w:szCs w:val="21"/>
        </w:rPr>
      </w:pPr>
    </w:p>
    <w:p w14:paraId="4E759754">
      <w:pPr>
        <w:rPr>
          <w:rFonts w:hint="eastAsia" w:ascii="宋体" w:hAnsi="宋体" w:cs="宋体"/>
          <w:color w:val="auto"/>
          <w:kern w:val="0"/>
          <w:szCs w:val="21"/>
        </w:rPr>
      </w:pPr>
    </w:p>
    <w:p w14:paraId="39D7A1AF">
      <w:pPr>
        <w:rPr>
          <w:rFonts w:hint="eastAsia" w:ascii="宋体" w:hAnsi="宋体" w:cs="宋体"/>
          <w:color w:val="auto"/>
          <w:kern w:val="0"/>
          <w:szCs w:val="21"/>
        </w:rPr>
      </w:pPr>
      <w:r>
        <w:rPr>
          <w:rFonts w:hint="eastAsia" w:ascii="宋体" w:hAnsi="宋体" w:cs="宋体"/>
          <w:color w:val="auto"/>
          <w:kern w:val="0"/>
          <w:szCs w:val="21"/>
        </w:rPr>
        <w:br w:type="page"/>
      </w:r>
    </w:p>
    <w:p w14:paraId="23B0D966">
      <w:pPr>
        <w:rPr>
          <w:rFonts w:hint="eastAsia" w:ascii="宋体" w:hAnsi="宋体" w:cs="宋体"/>
          <w:color w:val="auto"/>
          <w:kern w:val="0"/>
          <w:szCs w:val="21"/>
        </w:rPr>
      </w:pPr>
    </w:p>
    <w:p w14:paraId="4840078F">
      <w:pPr>
        <w:widowControl/>
        <w:jc w:val="center"/>
        <w:rPr>
          <w:rFonts w:hint="eastAsia" w:ascii="宋体" w:hAnsi="宋体" w:cs="宋体"/>
          <w:color w:val="auto"/>
          <w:kern w:val="0"/>
          <w:szCs w:val="21"/>
        </w:rPr>
      </w:pPr>
      <w:r>
        <w:rPr>
          <w:rFonts w:hint="eastAsia" w:ascii="宋体" w:hAnsi="宋体" w:cs="宋体"/>
          <w:color w:val="auto"/>
          <w:kern w:val="0"/>
          <w:szCs w:val="21"/>
        </w:rPr>
        <w:t>采购需求</w:t>
      </w:r>
      <w:r>
        <w:rPr>
          <w:rFonts w:hint="eastAsia" w:ascii="宋体" w:hAnsi="宋体" w:cs="宋体"/>
          <w:color w:val="auto"/>
          <w:kern w:val="0"/>
          <w:szCs w:val="21"/>
          <w:lang w:eastAsia="zh-CN"/>
        </w:rPr>
        <w:t>单价</w:t>
      </w:r>
      <w:r>
        <w:rPr>
          <w:rFonts w:hint="eastAsia" w:ascii="宋体" w:hAnsi="宋体" w:cs="宋体"/>
          <w:color w:val="auto"/>
          <w:kern w:val="0"/>
          <w:szCs w:val="21"/>
          <w:lang w:val="en-US" w:eastAsia="zh-CN"/>
        </w:rPr>
        <w:t>报</w:t>
      </w:r>
      <w:r>
        <w:rPr>
          <w:rFonts w:hint="eastAsia" w:ascii="宋体" w:hAnsi="宋体" w:cs="宋体"/>
          <w:color w:val="auto"/>
          <w:kern w:val="0"/>
          <w:szCs w:val="21"/>
        </w:rPr>
        <w:t>价参考表</w:t>
      </w:r>
    </w:p>
    <w:p w14:paraId="369B6C9C">
      <w:pPr>
        <w:rPr>
          <w:rFonts w:hint="eastAsia" w:ascii="宋体" w:hAnsi="宋体" w:cs="宋体"/>
          <w:color w:val="auto"/>
          <w:kern w:val="0"/>
          <w:szCs w:val="21"/>
        </w:rPr>
      </w:pPr>
    </w:p>
    <w:tbl>
      <w:tblPr>
        <w:tblStyle w:val="28"/>
        <w:tblW w:w="1004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0"/>
        <w:gridCol w:w="1165"/>
        <w:gridCol w:w="807"/>
        <w:gridCol w:w="2373"/>
        <w:gridCol w:w="1550"/>
        <w:gridCol w:w="1763"/>
        <w:gridCol w:w="1650"/>
      </w:tblGrid>
      <w:tr w14:paraId="7E950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7" w:hRule="atLeast"/>
        </w:trPr>
        <w:tc>
          <w:tcPr>
            <w:tcW w:w="740" w:type="dxa"/>
            <w:tcBorders>
              <w:top w:val="single" w:color="auto" w:sz="4" w:space="0"/>
              <w:left w:val="single" w:color="auto" w:sz="4" w:space="0"/>
              <w:bottom w:val="single" w:color="auto" w:sz="4" w:space="0"/>
              <w:right w:val="single" w:color="auto" w:sz="4" w:space="0"/>
            </w:tcBorders>
            <w:noWrap/>
            <w:vAlign w:val="center"/>
          </w:tcPr>
          <w:p w14:paraId="62072DA6">
            <w:pPr>
              <w:spacing w:line="300" w:lineRule="exact"/>
              <w:jc w:val="center"/>
              <w:rPr>
                <w:rFonts w:ascii="宋体" w:hAnsi="宋体"/>
                <w:b/>
                <w:bCs/>
                <w:color w:val="auto"/>
                <w:sz w:val="21"/>
                <w:szCs w:val="21"/>
              </w:rPr>
            </w:pPr>
            <w:r>
              <w:rPr>
                <w:rFonts w:hint="eastAsia" w:ascii="宋体" w:hAnsi="宋体"/>
                <w:b/>
                <w:bCs/>
                <w:color w:val="auto"/>
                <w:sz w:val="21"/>
                <w:szCs w:val="21"/>
              </w:rPr>
              <w:t>序号</w:t>
            </w:r>
          </w:p>
        </w:tc>
        <w:tc>
          <w:tcPr>
            <w:tcW w:w="1165" w:type="dxa"/>
            <w:tcBorders>
              <w:top w:val="single" w:color="auto" w:sz="4" w:space="0"/>
              <w:left w:val="single" w:color="auto" w:sz="4" w:space="0"/>
              <w:bottom w:val="single" w:color="auto" w:sz="4" w:space="0"/>
              <w:right w:val="single" w:color="auto" w:sz="4" w:space="0"/>
            </w:tcBorders>
            <w:noWrap/>
            <w:vAlign w:val="center"/>
          </w:tcPr>
          <w:p w14:paraId="78A53FF5">
            <w:pPr>
              <w:spacing w:line="280" w:lineRule="exact"/>
              <w:jc w:val="center"/>
              <w:rPr>
                <w:rFonts w:ascii="宋体" w:hAnsi="宋体"/>
                <w:b/>
                <w:bCs/>
                <w:color w:val="auto"/>
                <w:sz w:val="21"/>
                <w:szCs w:val="21"/>
              </w:rPr>
            </w:pPr>
            <w:r>
              <w:rPr>
                <w:rFonts w:hint="eastAsia" w:ascii="宋体" w:hAnsi="宋体"/>
                <w:b/>
                <w:bCs/>
                <w:color w:val="auto"/>
                <w:sz w:val="21"/>
                <w:szCs w:val="21"/>
              </w:rPr>
              <w:t>服务名称</w:t>
            </w:r>
          </w:p>
        </w:tc>
        <w:tc>
          <w:tcPr>
            <w:tcW w:w="807" w:type="dxa"/>
            <w:tcBorders>
              <w:top w:val="single" w:color="auto" w:sz="4" w:space="0"/>
              <w:left w:val="single" w:color="auto" w:sz="4" w:space="0"/>
              <w:bottom w:val="single" w:color="auto" w:sz="4" w:space="0"/>
              <w:right w:val="single" w:color="auto" w:sz="4" w:space="0"/>
            </w:tcBorders>
            <w:noWrap/>
            <w:vAlign w:val="center"/>
          </w:tcPr>
          <w:p w14:paraId="10A79A50">
            <w:pPr>
              <w:spacing w:line="300" w:lineRule="exact"/>
              <w:jc w:val="center"/>
              <w:rPr>
                <w:rFonts w:ascii="宋体" w:hAnsi="宋体"/>
                <w:b/>
                <w:bCs/>
                <w:color w:val="auto"/>
                <w:sz w:val="21"/>
                <w:szCs w:val="21"/>
              </w:rPr>
            </w:pPr>
            <w:r>
              <w:rPr>
                <w:rFonts w:hint="eastAsia" w:ascii="宋体" w:hAnsi="宋体"/>
                <w:b/>
                <w:bCs/>
                <w:color w:val="auto"/>
                <w:sz w:val="21"/>
                <w:szCs w:val="21"/>
              </w:rPr>
              <w:t>单位</w:t>
            </w:r>
          </w:p>
        </w:tc>
        <w:tc>
          <w:tcPr>
            <w:tcW w:w="2373" w:type="dxa"/>
            <w:tcBorders>
              <w:top w:val="single" w:color="auto" w:sz="4" w:space="0"/>
              <w:left w:val="single" w:color="auto" w:sz="4" w:space="0"/>
              <w:bottom w:val="single" w:color="auto" w:sz="4" w:space="0"/>
              <w:right w:val="single" w:color="auto" w:sz="4" w:space="0"/>
            </w:tcBorders>
            <w:noWrap/>
            <w:vAlign w:val="center"/>
          </w:tcPr>
          <w:p w14:paraId="23EEA895">
            <w:pPr>
              <w:spacing w:line="300" w:lineRule="exact"/>
              <w:jc w:val="center"/>
              <w:rPr>
                <w:rFonts w:ascii="宋体" w:hAnsi="宋体"/>
                <w:b/>
                <w:bCs/>
                <w:color w:val="auto"/>
                <w:sz w:val="21"/>
                <w:szCs w:val="21"/>
              </w:rPr>
            </w:pPr>
            <w:r>
              <w:rPr>
                <w:rFonts w:hint="eastAsia" w:ascii="宋体" w:hAnsi="宋体"/>
                <w:b/>
                <w:bCs/>
                <w:color w:val="auto"/>
                <w:sz w:val="21"/>
                <w:szCs w:val="21"/>
              </w:rPr>
              <w:t>服务内容</w:t>
            </w:r>
          </w:p>
        </w:tc>
        <w:tc>
          <w:tcPr>
            <w:tcW w:w="1550" w:type="dxa"/>
            <w:tcBorders>
              <w:top w:val="single" w:color="auto" w:sz="4" w:space="0"/>
              <w:left w:val="single" w:color="auto" w:sz="4" w:space="0"/>
              <w:bottom w:val="single" w:color="auto" w:sz="4" w:space="0"/>
              <w:right w:val="single" w:color="auto" w:sz="4" w:space="0"/>
            </w:tcBorders>
            <w:noWrap/>
            <w:vAlign w:val="center"/>
          </w:tcPr>
          <w:p w14:paraId="42C7F509">
            <w:pPr>
              <w:spacing w:line="300" w:lineRule="exact"/>
              <w:jc w:val="center"/>
              <w:rPr>
                <w:rFonts w:hint="eastAsia" w:ascii="宋体" w:hAnsi="宋体" w:cs="宋体"/>
                <w:b/>
                <w:bCs/>
                <w:color w:val="auto"/>
                <w:sz w:val="21"/>
                <w:szCs w:val="21"/>
                <w:lang w:val="en-US" w:eastAsia="zh-CN"/>
              </w:rPr>
            </w:pPr>
            <w:r>
              <w:rPr>
                <w:rFonts w:hint="eastAsia" w:ascii="宋体" w:hAnsi="宋体" w:cs="宋体"/>
                <w:b/>
                <w:bCs/>
                <w:color w:val="auto"/>
                <w:sz w:val="21"/>
                <w:szCs w:val="21"/>
              </w:rPr>
              <w:t>报价</w:t>
            </w:r>
            <w:r>
              <w:rPr>
                <w:rFonts w:hint="eastAsia" w:ascii="宋体" w:hAnsi="宋体" w:cs="宋体"/>
                <w:b/>
                <w:bCs/>
                <w:color w:val="auto"/>
                <w:sz w:val="21"/>
                <w:szCs w:val="21"/>
                <w:lang w:val="en-US" w:eastAsia="zh-CN"/>
              </w:rPr>
              <w:t>/单价</w:t>
            </w:r>
          </w:p>
          <w:p w14:paraId="45A01CAD">
            <w:pPr>
              <w:spacing w:line="300" w:lineRule="exact"/>
              <w:jc w:val="center"/>
              <w:rPr>
                <w:rFonts w:ascii="宋体" w:hAnsi="宋体" w:eastAsia="仿宋_GB2312"/>
                <w:b/>
                <w:bCs/>
                <w:color w:val="auto"/>
                <w:sz w:val="21"/>
                <w:szCs w:val="21"/>
              </w:rPr>
            </w:pPr>
            <w:r>
              <w:rPr>
                <w:rFonts w:hint="eastAsia" w:ascii="宋体" w:hAnsi="宋体" w:cs="宋体"/>
                <w:b/>
                <w:bCs/>
                <w:color w:val="auto"/>
                <w:sz w:val="21"/>
                <w:szCs w:val="21"/>
              </w:rPr>
              <w:t>（元/床/天）</w:t>
            </w:r>
          </w:p>
        </w:tc>
        <w:tc>
          <w:tcPr>
            <w:tcW w:w="1763" w:type="dxa"/>
            <w:tcBorders>
              <w:bottom w:val="single" w:color="auto" w:sz="4" w:space="0"/>
              <w:right w:val="single" w:color="auto" w:sz="4" w:space="0"/>
            </w:tcBorders>
            <w:noWrap/>
            <w:vAlign w:val="center"/>
          </w:tcPr>
          <w:p w14:paraId="0F46C431">
            <w:pPr>
              <w:spacing w:line="300" w:lineRule="exact"/>
              <w:jc w:val="center"/>
              <w:rPr>
                <w:rFonts w:hint="eastAsia" w:ascii="宋体" w:hAnsi="宋体"/>
                <w:b/>
                <w:bCs/>
                <w:color w:val="auto"/>
                <w:sz w:val="21"/>
                <w:szCs w:val="21"/>
                <w:lang w:val="en-US" w:eastAsia="zh-CN"/>
              </w:rPr>
            </w:pPr>
            <w:r>
              <w:rPr>
                <w:rFonts w:hint="eastAsia" w:ascii="宋体" w:hAnsi="宋体"/>
                <w:b/>
                <w:bCs/>
                <w:color w:val="auto"/>
                <w:sz w:val="21"/>
                <w:szCs w:val="21"/>
                <w:lang w:val="en-US" w:eastAsia="zh-CN"/>
              </w:rPr>
              <w:t>每月参考</w:t>
            </w:r>
          </w:p>
          <w:p w14:paraId="7F602F14">
            <w:pPr>
              <w:spacing w:line="300" w:lineRule="exact"/>
              <w:jc w:val="center"/>
              <w:rPr>
                <w:rFonts w:ascii="宋体" w:hAnsi="宋体"/>
                <w:b/>
                <w:bCs/>
                <w:color w:val="auto"/>
                <w:sz w:val="21"/>
                <w:szCs w:val="21"/>
              </w:rPr>
            </w:pPr>
            <w:r>
              <w:rPr>
                <w:rFonts w:hint="eastAsia" w:ascii="宋体" w:hAnsi="宋体"/>
                <w:b/>
                <w:bCs/>
                <w:color w:val="auto"/>
                <w:sz w:val="21"/>
                <w:szCs w:val="21"/>
                <w:lang w:val="en-US" w:eastAsia="zh-CN"/>
              </w:rPr>
              <w:t>洗涤量</w:t>
            </w:r>
          </w:p>
        </w:tc>
        <w:tc>
          <w:tcPr>
            <w:tcW w:w="1650" w:type="dxa"/>
            <w:tcBorders>
              <w:left w:val="single" w:color="auto" w:sz="4" w:space="0"/>
              <w:bottom w:val="single" w:color="auto" w:sz="4" w:space="0"/>
            </w:tcBorders>
            <w:noWrap/>
            <w:vAlign w:val="center"/>
          </w:tcPr>
          <w:p w14:paraId="21BDFD82">
            <w:pPr>
              <w:spacing w:line="300" w:lineRule="exact"/>
              <w:jc w:val="center"/>
              <w:rPr>
                <w:rFonts w:hint="default" w:ascii="宋体" w:hAnsi="宋体"/>
                <w:b/>
                <w:bCs/>
                <w:color w:val="auto"/>
                <w:sz w:val="21"/>
                <w:szCs w:val="21"/>
                <w:lang w:val="en-US" w:eastAsia="zh-CN"/>
              </w:rPr>
            </w:pPr>
            <w:r>
              <w:rPr>
                <w:rFonts w:hint="eastAsia" w:ascii="宋体" w:hAnsi="宋体"/>
                <w:b/>
                <w:bCs/>
                <w:color w:val="auto"/>
                <w:sz w:val="21"/>
                <w:szCs w:val="21"/>
                <w:lang w:val="en-US" w:eastAsia="zh-CN"/>
              </w:rPr>
              <w:t>备注</w:t>
            </w:r>
          </w:p>
        </w:tc>
      </w:tr>
      <w:tr w14:paraId="4C003A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89" w:hRule="exact"/>
        </w:trPr>
        <w:tc>
          <w:tcPr>
            <w:tcW w:w="740" w:type="dxa"/>
            <w:tcBorders>
              <w:top w:val="single" w:color="auto" w:sz="4" w:space="0"/>
              <w:left w:val="single" w:color="auto" w:sz="4" w:space="0"/>
              <w:bottom w:val="single" w:color="auto" w:sz="4" w:space="0"/>
              <w:right w:val="single" w:color="auto" w:sz="4" w:space="0"/>
            </w:tcBorders>
            <w:noWrap/>
            <w:vAlign w:val="center"/>
          </w:tcPr>
          <w:p w14:paraId="5763A830">
            <w:pPr>
              <w:jc w:val="center"/>
              <w:rPr>
                <w:rFonts w:ascii="宋体" w:hAnsi="宋体" w:cs="宋体"/>
                <w:color w:val="auto"/>
                <w:sz w:val="21"/>
                <w:szCs w:val="21"/>
              </w:rPr>
            </w:pPr>
            <w:r>
              <w:rPr>
                <w:rFonts w:hint="eastAsia" w:ascii="宋体" w:hAnsi="宋体" w:cs="宋体"/>
                <w:color w:val="auto"/>
                <w:sz w:val="21"/>
                <w:szCs w:val="21"/>
              </w:rPr>
              <w:t>1</w:t>
            </w:r>
          </w:p>
        </w:tc>
        <w:tc>
          <w:tcPr>
            <w:tcW w:w="1165" w:type="dxa"/>
            <w:tcBorders>
              <w:top w:val="single" w:color="auto" w:sz="4" w:space="0"/>
              <w:left w:val="single" w:color="auto" w:sz="4" w:space="0"/>
              <w:bottom w:val="single" w:color="auto" w:sz="4" w:space="0"/>
              <w:right w:val="single" w:color="auto" w:sz="4" w:space="0"/>
            </w:tcBorders>
            <w:noWrap/>
            <w:vAlign w:val="center"/>
          </w:tcPr>
          <w:p w14:paraId="5DF80AF5">
            <w:pPr>
              <w:snapToGrid w:val="0"/>
              <w:spacing w:line="320" w:lineRule="exact"/>
              <w:jc w:val="center"/>
              <w:rPr>
                <w:rFonts w:ascii="宋体" w:hAnsi="宋体" w:cs="宋体"/>
                <w:color w:val="auto"/>
                <w:sz w:val="21"/>
                <w:szCs w:val="21"/>
              </w:rPr>
            </w:pPr>
            <w:r>
              <w:rPr>
                <w:rFonts w:hint="eastAsia" w:ascii="宋体" w:hAnsi="宋体" w:cs="宋体"/>
                <w:color w:val="auto"/>
                <w:sz w:val="21"/>
                <w:szCs w:val="21"/>
              </w:rPr>
              <w:t>病区</w:t>
            </w:r>
          </w:p>
        </w:tc>
        <w:tc>
          <w:tcPr>
            <w:tcW w:w="807" w:type="dxa"/>
            <w:tcBorders>
              <w:top w:val="single" w:color="auto" w:sz="4" w:space="0"/>
              <w:left w:val="single" w:color="auto" w:sz="4" w:space="0"/>
              <w:bottom w:val="single" w:color="auto" w:sz="4" w:space="0"/>
              <w:right w:val="single" w:color="auto" w:sz="4" w:space="0"/>
            </w:tcBorders>
            <w:noWrap/>
            <w:vAlign w:val="center"/>
          </w:tcPr>
          <w:p w14:paraId="624ADB39">
            <w:pPr>
              <w:jc w:val="center"/>
              <w:rPr>
                <w:rFonts w:ascii="宋体" w:hAnsi="宋体" w:cs="宋体"/>
                <w:color w:val="auto"/>
                <w:sz w:val="21"/>
                <w:szCs w:val="21"/>
              </w:rPr>
            </w:pPr>
            <w:r>
              <w:rPr>
                <w:rFonts w:hint="eastAsia" w:ascii="宋体" w:hAnsi="宋体" w:cs="宋体"/>
                <w:color w:val="auto"/>
                <w:sz w:val="21"/>
                <w:szCs w:val="21"/>
              </w:rPr>
              <w:t>床</w:t>
            </w:r>
          </w:p>
        </w:tc>
        <w:tc>
          <w:tcPr>
            <w:tcW w:w="2373" w:type="dxa"/>
            <w:tcBorders>
              <w:top w:val="single" w:color="auto" w:sz="4" w:space="0"/>
              <w:left w:val="single" w:color="auto" w:sz="4" w:space="0"/>
              <w:bottom w:val="single" w:color="auto" w:sz="4" w:space="0"/>
              <w:right w:val="single" w:color="auto" w:sz="4" w:space="0"/>
            </w:tcBorders>
            <w:noWrap/>
            <w:vAlign w:val="center"/>
          </w:tcPr>
          <w:p w14:paraId="29DAB5C9">
            <w:pPr>
              <w:snapToGrid w:val="0"/>
              <w:spacing w:line="320" w:lineRule="exact"/>
              <w:jc w:val="center"/>
              <w:rPr>
                <w:rFonts w:ascii="宋体" w:hAnsi="宋体"/>
                <w:b/>
                <w:bCs/>
                <w:color w:val="auto"/>
                <w:sz w:val="21"/>
                <w:szCs w:val="21"/>
              </w:rPr>
            </w:pPr>
            <w:r>
              <w:rPr>
                <w:rFonts w:hint="eastAsia" w:ascii="宋体" w:hAnsi="宋体" w:cs="宋体"/>
                <w:color w:val="auto"/>
                <w:sz w:val="21"/>
                <w:szCs w:val="21"/>
              </w:rPr>
              <w:t>床单、被套、枕套、病衣、病裤、枕芯、垫被、冬（夏）被</w:t>
            </w:r>
          </w:p>
        </w:tc>
        <w:tc>
          <w:tcPr>
            <w:tcW w:w="1550" w:type="dxa"/>
            <w:tcBorders>
              <w:top w:val="single" w:color="auto" w:sz="4" w:space="0"/>
              <w:left w:val="single" w:color="auto" w:sz="4" w:space="0"/>
              <w:bottom w:val="single" w:color="auto" w:sz="4" w:space="0"/>
              <w:right w:val="single" w:color="auto" w:sz="4" w:space="0"/>
            </w:tcBorders>
            <w:noWrap/>
            <w:vAlign w:val="center"/>
          </w:tcPr>
          <w:p w14:paraId="236A3EA6">
            <w:pPr>
              <w:keepNext w:val="0"/>
              <w:keepLines w:val="0"/>
              <w:widowControl/>
              <w:suppressLineNumbers w:val="0"/>
              <w:jc w:val="center"/>
              <w:textAlignment w:val="center"/>
              <w:rPr>
                <w:rFonts w:ascii="宋体" w:hAnsi="宋体"/>
                <w:b/>
                <w:bCs/>
                <w:color w:val="auto"/>
                <w:sz w:val="21"/>
                <w:szCs w:val="21"/>
              </w:rPr>
            </w:pPr>
          </w:p>
        </w:tc>
        <w:tc>
          <w:tcPr>
            <w:tcW w:w="1763" w:type="dxa"/>
            <w:tcBorders>
              <w:top w:val="single" w:color="auto" w:sz="4" w:space="0"/>
              <w:bottom w:val="single" w:color="auto" w:sz="4" w:space="0"/>
              <w:right w:val="single" w:color="auto" w:sz="4" w:space="0"/>
            </w:tcBorders>
            <w:noWrap/>
            <w:vAlign w:val="center"/>
          </w:tcPr>
          <w:p w14:paraId="3AB48A9C">
            <w:pPr>
              <w:snapToGrid w:val="0"/>
              <w:spacing w:line="320" w:lineRule="exact"/>
              <w:jc w:val="center"/>
              <w:rPr>
                <w:rFonts w:ascii="宋体" w:hAnsi="宋体"/>
                <w:b/>
                <w:bCs/>
                <w:color w:val="auto"/>
                <w:sz w:val="21"/>
                <w:szCs w:val="21"/>
              </w:rPr>
            </w:pPr>
            <w:r>
              <w:rPr>
                <w:rFonts w:hint="eastAsia" w:ascii="宋体" w:hAnsi="宋体" w:cs="宋体"/>
                <w:color w:val="auto"/>
                <w:sz w:val="21"/>
                <w:szCs w:val="21"/>
              </w:rPr>
              <w:t>14719</w:t>
            </w:r>
          </w:p>
        </w:tc>
        <w:tc>
          <w:tcPr>
            <w:tcW w:w="1650" w:type="dxa"/>
            <w:tcBorders>
              <w:top w:val="single" w:color="auto" w:sz="4" w:space="0"/>
              <w:left w:val="single" w:color="auto" w:sz="4" w:space="0"/>
              <w:bottom w:val="single" w:color="auto" w:sz="4" w:space="0"/>
            </w:tcBorders>
            <w:noWrap/>
            <w:vAlign w:val="center"/>
          </w:tcPr>
          <w:p w14:paraId="6CA88940">
            <w:pPr>
              <w:snapToGrid w:val="0"/>
              <w:spacing w:line="320" w:lineRule="exact"/>
              <w:jc w:val="center"/>
              <w:rPr>
                <w:rFonts w:hint="eastAsia" w:ascii="宋体" w:hAnsi="宋体" w:cs="宋体"/>
                <w:color w:val="auto"/>
                <w:sz w:val="21"/>
                <w:szCs w:val="21"/>
              </w:rPr>
            </w:pPr>
          </w:p>
        </w:tc>
      </w:tr>
      <w:tr w14:paraId="354318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7" w:hRule="exact"/>
        </w:trPr>
        <w:tc>
          <w:tcPr>
            <w:tcW w:w="740" w:type="dxa"/>
            <w:tcBorders>
              <w:top w:val="single" w:color="auto" w:sz="4" w:space="0"/>
              <w:left w:val="single" w:color="auto" w:sz="4" w:space="0"/>
              <w:bottom w:val="single" w:color="auto" w:sz="4" w:space="0"/>
              <w:right w:val="single" w:color="auto" w:sz="4" w:space="0"/>
            </w:tcBorders>
            <w:noWrap/>
            <w:vAlign w:val="center"/>
          </w:tcPr>
          <w:p w14:paraId="199F3D47">
            <w:pPr>
              <w:jc w:val="center"/>
              <w:rPr>
                <w:rFonts w:ascii="宋体" w:hAnsi="宋体" w:cs="宋体"/>
                <w:color w:val="auto"/>
                <w:sz w:val="21"/>
                <w:szCs w:val="21"/>
              </w:rPr>
            </w:pPr>
            <w:r>
              <w:rPr>
                <w:rFonts w:hint="eastAsia" w:ascii="宋体" w:hAnsi="宋体" w:cs="宋体"/>
                <w:color w:val="auto"/>
                <w:sz w:val="21"/>
                <w:szCs w:val="21"/>
              </w:rPr>
              <w:t>2</w:t>
            </w:r>
          </w:p>
        </w:tc>
        <w:tc>
          <w:tcPr>
            <w:tcW w:w="1165" w:type="dxa"/>
            <w:tcBorders>
              <w:top w:val="single" w:color="auto" w:sz="4" w:space="0"/>
              <w:left w:val="single" w:color="auto" w:sz="4" w:space="0"/>
              <w:bottom w:val="single" w:color="auto" w:sz="4" w:space="0"/>
              <w:right w:val="single" w:color="auto" w:sz="4" w:space="0"/>
            </w:tcBorders>
            <w:noWrap/>
            <w:vAlign w:val="center"/>
          </w:tcPr>
          <w:p w14:paraId="631518AC">
            <w:pPr>
              <w:snapToGrid w:val="0"/>
              <w:spacing w:line="320" w:lineRule="exact"/>
              <w:jc w:val="center"/>
              <w:rPr>
                <w:rFonts w:ascii="宋体" w:hAnsi="宋体" w:cs="宋体"/>
                <w:color w:val="auto"/>
                <w:sz w:val="21"/>
                <w:szCs w:val="21"/>
              </w:rPr>
            </w:pPr>
            <w:r>
              <w:rPr>
                <w:rFonts w:hint="eastAsia" w:ascii="宋体" w:hAnsi="宋体" w:cs="宋体"/>
                <w:color w:val="auto"/>
                <w:sz w:val="21"/>
                <w:szCs w:val="21"/>
                <w:highlight w:val="none"/>
              </w:rPr>
              <w:t>新生儿科</w:t>
            </w:r>
          </w:p>
        </w:tc>
        <w:tc>
          <w:tcPr>
            <w:tcW w:w="807" w:type="dxa"/>
            <w:tcBorders>
              <w:top w:val="single" w:color="auto" w:sz="4" w:space="0"/>
              <w:left w:val="single" w:color="auto" w:sz="4" w:space="0"/>
              <w:bottom w:val="single" w:color="auto" w:sz="4" w:space="0"/>
              <w:right w:val="single" w:color="auto" w:sz="4" w:space="0"/>
            </w:tcBorders>
            <w:noWrap/>
            <w:vAlign w:val="center"/>
          </w:tcPr>
          <w:p w14:paraId="198FE9A5">
            <w:pPr>
              <w:jc w:val="center"/>
              <w:rPr>
                <w:rFonts w:ascii="宋体" w:hAnsi="宋体" w:cs="宋体"/>
                <w:color w:val="auto"/>
                <w:sz w:val="21"/>
                <w:szCs w:val="21"/>
              </w:rPr>
            </w:pPr>
            <w:r>
              <w:rPr>
                <w:rFonts w:hint="eastAsia" w:ascii="宋体" w:hAnsi="宋体" w:cs="宋体"/>
                <w:color w:val="auto"/>
                <w:sz w:val="21"/>
                <w:szCs w:val="21"/>
              </w:rPr>
              <w:t>床</w:t>
            </w:r>
          </w:p>
        </w:tc>
        <w:tc>
          <w:tcPr>
            <w:tcW w:w="2373" w:type="dxa"/>
            <w:tcBorders>
              <w:top w:val="single" w:color="auto" w:sz="4" w:space="0"/>
              <w:left w:val="single" w:color="auto" w:sz="4" w:space="0"/>
              <w:bottom w:val="single" w:color="auto" w:sz="4" w:space="0"/>
              <w:right w:val="single" w:color="auto" w:sz="4" w:space="0"/>
            </w:tcBorders>
            <w:noWrap/>
            <w:vAlign w:val="center"/>
          </w:tcPr>
          <w:p w14:paraId="07D54394">
            <w:pPr>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小床单、小被套、小包被、浴巾、毛毛衣</w:t>
            </w:r>
            <w:r>
              <w:rPr>
                <w:rFonts w:hint="eastAsia" w:ascii="宋体" w:hAnsi="宋体" w:cs="宋体"/>
                <w:color w:val="auto"/>
                <w:sz w:val="21"/>
                <w:szCs w:val="21"/>
                <w:lang w:eastAsia="zh-CN"/>
              </w:rPr>
              <w:t>、</w:t>
            </w:r>
            <w:r>
              <w:rPr>
                <w:rFonts w:hint="eastAsia" w:ascii="宋体" w:hAnsi="宋体" w:cs="宋体"/>
                <w:color w:val="auto"/>
                <w:sz w:val="21"/>
                <w:szCs w:val="21"/>
              </w:rPr>
              <w:t>包被</w:t>
            </w:r>
            <w:r>
              <w:rPr>
                <w:rFonts w:hint="eastAsia" w:ascii="宋体" w:hAnsi="宋体" w:cs="宋体"/>
                <w:color w:val="auto"/>
                <w:sz w:val="21"/>
                <w:szCs w:val="21"/>
                <w:lang w:eastAsia="zh-CN"/>
              </w:rPr>
              <w:t>、</w:t>
            </w:r>
            <w:r>
              <w:rPr>
                <w:rFonts w:hint="eastAsia" w:ascii="宋体" w:hAnsi="宋体" w:cs="宋体"/>
                <w:color w:val="auto"/>
                <w:sz w:val="21"/>
                <w:szCs w:val="21"/>
              </w:rPr>
              <w:t>棉被单</w:t>
            </w:r>
            <w:r>
              <w:rPr>
                <w:rFonts w:hint="eastAsia" w:ascii="宋体" w:hAnsi="宋体" w:cs="宋体"/>
                <w:color w:val="auto"/>
                <w:sz w:val="21"/>
                <w:szCs w:val="21"/>
                <w:lang w:eastAsia="zh-CN"/>
              </w:rPr>
              <w:t>、</w:t>
            </w:r>
            <w:r>
              <w:rPr>
                <w:rFonts w:hint="eastAsia" w:ascii="宋体" w:hAnsi="宋体" w:cs="宋体"/>
                <w:color w:val="auto"/>
                <w:sz w:val="21"/>
                <w:szCs w:val="21"/>
              </w:rPr>
              <w:t>棉布单</w:t>
            </w:r>
          </w:p>
        </w:tc>
        <w:tc>
          <w:tcPr>
            <w:tcW w:w="1550" w:type="dxa"/>
            <w:tcBorders>
              <w:top w:val="single" w:color="auto" w:sz="4" w:space="0"/>
              <w:left w:val="single" w:color="auto" w:sz="4" w:space="0"/>
              <w:bottom w:val="single" w:color="auto" w:sz="4" w:space="0"/>
              <w:right w:val="single" w:color="auto" w:sz="4" w:space="0"/>
            </w:tcBorders>
            <w:noWrap/>
            <w:vAlign w:val="center"/>
          </w:tcPr>
          <w:p w14:paraId="4310E337">
            <w:pPr>
              <w:keepNext w:val="0"/>
              <w:keepLines w:val="0"/>
              <w:widowControl/>
              <w:suppressLineNumbers w:val="0"/>
              <w:jc w:val="center"/>
              <w:textAlignment w:val="center"/>
              <w:rPr>
                <w:rFonts w:ascii="宋体" w:hAnsi="宋体"/>
                <w:b/>
                <w:bCs/>
                <w:color w:val="auto"/>
                <w:sz w:val="21"/>
                <w:szCs w:val="21"/>
              </w:rPr>
            </w:pPr>
          </w:p>
        </w:tc>
        <w:tc>
          <w:tcPr>
            <w:tcW w:w="1763" w:type="dxa"/>
            <w:tcBorders>
              <w:top w:val="single" w:color="auto" w:sz="4" w:space="0"/>
              <w:bottom w:val="single" w:color="auto" w:sz="4" w:space="0"/>
              <w:right w:val="single" w:color="auto" w:sz="4" w:space="0"/>
            </w:tcBorders>
            <w:noWrap/>
            <w:vAlign w:val="center"/>
          </w:tcPr>
          <w:p w14:paraId="7EBF2965">
            <w:pPr>
              <w:snapToGrid w:val="0"/>
              <w:spacing w:line="320" w:lineRule="exact"/>
              <w:jc w:val="center"/>
              <w:rPr>
                <w:rFonts w:ascii="宋体" w:hAnsi="宋体"/>
                <w:b/>
                <w:bCs/>
                <w:color w:val="auto"/>
                <w:sz w:val="21"/>
                <w:szCs w:val="21"/>
              </w:rPr>
            </w:pPr>
            <w:r>
              <w:rPr>
                <w:rFonts w:hint="eastAsia" w:ascii="宋体" w:hAnsi="宋体" w:cs="宋体"/>
                <w:color w:val="auto"/>
                <w:sz w:val="21"/>
                <w:szCs w:val="21"/>
              </w:rPr>
              <w:t>1400</w:t>
            </w:r>
          </w:p>
        </w:tc>
        <w:tc>
          <w:tcPr>
            <w:tcW w:w="1650" w:type="dxa"/>
            <w:tcBorders>
              <w:top w:val="single" w:color="auto" w:sz="4" w:space="0"/>
              <w:left w:val="single" w:color="auto" w:sz="4" w:space="0"/>
              <w:bottom w:val="single" w:color="auto" w:sz="4" w:space="0"/>
            </w:tcBorders>
            <w:noWrap/>
            <w:vAlign w:val="center"/>
          </w:tcPr>
          <w:p w14:paraId="1846E476">
            <w:pPr>
              <w:snapToGrid w:val="0"/>
              <w:spacing w:line="320" w:lineRule="exact"/>
              <w:jc w:val="center"/>
              <w:rPr>
                <w:rFonts w:hint="eastAsia" w:ascii="宋体" w:hAnsi="宋体" w:cs="宋体"/>
                <w:color w:val="auto"/>
                <w:sz w:val="21"/>
                <w:szCs w:val="21"/>
              </w:rPr>
            </w:pPr>
          </w:p>
        </w:tc>
      </w:tr>
      <w:tr w14:paraId="7ADE1B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2" w:hRule="exact"/>
        </w:trPr>
        <w:tc>
          <w:tcPr>
            <w:tcW w:w="740" w:type="dxa"/>
            <w:tcBorders>
              <w:top w:val="single" w:color="auto" w:sz="4" w:space="0"/>
              <w:left w:val="single" w:color="auto" w:sz="4" w:space="0"/>
              <w:bottom w:val="single" w:color="auto" w:sz="4" w:space="0"/>
              <w:right w:val="single" w:color="auto" w:sz="4" w:space="0"/>
            </w:tcBorders>
            <w:noWrap/>
            <w:vAlign w:val="center"/>
          </w:tcPr>
          <w:p w14:paraId="61A30C1D">
            <w:pPr>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165" w:type="dxa"/>
            <w:tcBorders>
              <w:top w:val="single" w:color="auto" w:sz="4" w:space="0"/>
              <w:left w:val="single" w:color="auto" w:sz="4" w:space="0"/>
              <w:bottom w:val="single" w:color="auto" w:sz="4" w:space="0"/>
              <w:right w:val="single" w:color="auto" w:sz="4" w:space="0"/>
            </w:tcBorders>
            <w:noWrap/>
            <w:vAlign w:val="center"/>
          </w:tcPr>
          <w:p w14:paraId="5FD8F26F">
            <w:pPr>
              <w:snapToGrid w:val="0"/>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诊疗床</w:t>
            </w:r>
          </w:p>
        </w:tc>
        <w:tc>
          <w:tcPr>
            <w:tcW w:w="807" w:type="dxa"/>
            <w:tcBorders>
              <w:top w:val="single" w:color="auto" w:sz="4" w:space="0"/>
              <w:left w:val="single" w:color="auto" w:sz="4" w:space="0"/>
              <w:bottom w:val="single" w:color="auto" w:sz="4" w:space="0"/>
              <w:right w:val="single" w:color="auto" w:sz="4" w:space="0"/>
            </w:tcBorders>
            <w:noWrap/>
            <w:vAlign w:val="center"/>
          </w:tcPr>
          <w:p w14:paraId="17C87023">
            <w:pPr>
              <w:jc w:val="center"/>
              <w:rPr>
                <w:rFonts w:ascii="宋体" w:hAnsi="宋体" w:cs="宋体"/>
                <w:color w:val="auto"/>
                <w:sz w:val="21"/>
                <w:szCs w:val="21"/>
                <w:highlight w:val="none"/>
              </w:rPr>
            </w:pPr>
            <w:r>
              <w:rPr>
                <w:rFonts w:hint="eastAsia" w:ascii="宋体" w:hAnsi="宋体" w:cs="宋体"/>
                <w:color w:val="auto"/>
                <w:sz w:val="21"/>
                <w:szCs w:val="21"/>
                <w:highlight w:val="none"/>
              </w:rPr>
              <w:t>床</w:t>
            </w:r>
          </w:p>
        </w:tc>
        <w:tc>
          <w:tcPr>
            <w:tcW w:w="2373" w:type="dxa"/>
            <w:tcBorders>
              <w:top w:val="single" w:color="auto" w:sz="4" w:space="0"/>
              <w:left w:val="single" w:color="auto" w:sz="4" w:space="0"/>
              <w:bottom w:val="single" w:color="auto" w:sz="4" w:space="0"/>
              <w:right w:val="single" w:color="auto" w:sz="4" w:space="0"/>
            </w:tcBorders>
            <w:noWrap/>
            <w:vAlign w:val="center"/>
          </w:tcPr>
          <w:p w14:paraId="433FD2C4">
            <w:pPr>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床单、被套、枕套、枕芯、垫被、冬（夏）被</w:t>
            </w:r>
          </w:p>
        </w:tc>
        <w:tc>
          <w:tcPr>
            <w:tcW w:w="1550" w:type="dxa"/>
            <w:tcBorders>
              <w:top w:val="single" w:color="auto" w:sz="4" w:space="0"/>
              <w:left w:val="single" w:color="auto" w:sz="4" w:space="0"/>
              <w:bottom w:val="single" w:color="auto" w:sz="4" w:space="0"/>
              <w:right w:val="single" w:color="auto" w:sz="4" w:space="0"/>
            </w:tcBorders>
            <w:noWrap/>
            <w:vAlign w:val="center"/>
          </w:tcPr>
          <w:p w14:paraId="1FD67C9B">
            <w:pPr>
              <w:keepNext w:val="0"/>
              <w:keepLines w:val="0"/>
              <w:widowControl/>
              <w:suppressLineNumbers w:val="0"/>
              <w:jc w:val="center"/>
              <w:textAlignment w:val="center"/>
              <w:rPr>
                <w:rFonts w:ascii="宋体" w:hAnsi="宋体"/>
                <w:b/>
                <w:bCs/>
                <w:color w:val="auto"/>
                <w:sz w:val="21"/>
                <w:szCs w:val="21"/>
                <w:highlight w:val="none"/>
              </w:rPr>
            </w:pPr>
          </w:p>
        </w:tc>
        <w:tc>
          <w:tcPr>
            <w:tcW w:w="1763" w:type="dxa"/>
            <w:tcBorders>
              <w:top w:val="single" w:color="auto" w:sz="4" w:space="0"/>
              <w:bottom w:val="single" w:color="auto" w:sz="4" w:space="0"/>
              <w:right w:val="single" w:color="auto" w:sz="4" w:space="0"/>
            </w:tcBorders>
            <w:noWrap/>
            <w:vAlign w:val="center"/>
          </w:tcPr>
          <w:p w14:paraId="3A7958C5">
            <w:pPr>
              <w:snapToGrid w:val="0"/>
              <w:spacing w:line="320" w:lineRule="exact"/>
              <w:jc w:val="center"/>
              <w:rPr>
                <w:rFonts w:ascii="宋体" w:hAnsi="宋体"/>
                <w:b/>
                <w:bCs/>
                <w:color w:val="auto"/>
                <w:sz w:val="21"/>
                <w:szCs w:val="21"/>
                <w:highlight w:val="none"/>
              </w:rPr>
            </w:pPr>
            <w:r>
              <w:rPr>
                <w:rFonts w:hint="eastAsia" w:ascii="宋体" w:hAnsi="宋体" w:cs="宋体"/>
                <w:color w:val="auto"/>
                <w:sz w:val="21"/>
                <w:szCs w:val="21"/>
                <w:highlight w:val="none"/>
              </w:rPr>
              <w:t>200</w:t>
            </w:r>
          </w:p>
        </w:tc>
        <w:tc>
          <w:tcPr>
            <w:tcW w:w="1650" w:type="dxa"/>
            <w:tcBorders>
              <w:top w:val="single" w:color="auto" w:sz="4" w:space="0"/>
              <w:left w:val="single" w:color="auto" w:sz="4" w:space="0"/>
              <w:bottom w:val="single" w:color="auto" w:sz="4" w:space="0"/>
            </w:tcBorders>
            <w:noWrap/>
            <w:vAlign w:val="center"/>
          </w:tcPr>
          <w:p w14:paraId="06FEAEA7">
            <w:pPr>
              <w:snapToGrid w:val="0"/>
              <w:spacing w:line="320" w:lineRule="exact"/>
              <w:jc w:val="center"/>
              <w:rPr>
                <w:rFonts w:hint="eastAsia" w:ascii="宋体" w:hAnsi="宋体" w:cs="宋体"/>
                <w:color w:val="auto"/>
                <w:sz w:val="21"/>
                <w:szCs w:val="21"/>
                <w:highlight w:val="none"/>
              </w:rPr>
            </w:pPr>
          </w:p>
        </w:tc>
      </w:tr>
      <w:tr w14:paraId="1A0F3D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64" w:hRule="exact"/>
        </w:trPr>
        <w:tc>
          <w:tcPr>
            <w:tcW w:w="10048" w:type="dxa"/>
            <w:gridSpan w:val="7"/>
            <w:tcBorders>
              <w:top w:val="single" w:color="auto" w:sz="4" w:space="0"/>
              <w:left w:val="single" w:color="auto" w:sz="4" w:space="0"/>
              <w:bottom w:val="single" w:color="auto" w:sz="4" w:space="0"/>
            </w:tcBorders>
            <w:noWrap/>
            <w:vAlign w:val="center"/>
          </w:tcPr>
          <w:p w14:paraId="5A2A19DC">
            <w:pPr>
              <w:snapToGrid w:val="0"/>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说明：</w:t>
            </w:r>
          </w:p>
          <w:p w14:paraId="387533A2">
            <w:pPr>
              <w:numPr>
                <w:ilvl w:val="0"/>
                <w:numId w:val="0"/>
              </w:numPr>
              <w:snapToGrid w:val="0"/>
              <w:spacing w:line="320" w:lineRule="exact"/>
              <w:ind w:firstLine="210" w:firstLineChars="1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供应商本次报价包含全院工作服、值班室三件套的租赁洗涤、手术类织物</w:t>
            </w:r>
            <w:r>
              <w:rPr>
                <w:rFonts w:hint="eastAsia" w:ascii="宋体" w:hAnsi="宋体" w:cs="宋体"/>
                <w:color w:val="auto"/>
                <w:szCs w:val="21"/>
                <w:highlight w:val="none"/>
                <w:lang w:val="en-US" w:eastAsia="zh-CN"/>
              </w:rPr>
              <w:t>及医院自购部分织物</w:t>
            </w:r>
            <w:r>
              <w:rPr>
                <w:rFonts w:hint="eastAsia" w:ascii="宋体" w:hAnsi="宋体" w:cs="宋体"/>
                <w:color w:val="auto"/>
                <w:szCs w:val="21"/>
                <w:highlight w:val="none"/>
              </w:rPr>
              <w:t>的洗涤费用，提供本次服务范围的人员工资、奖金、劳保费用、加班费、各项服务待遇、保险费用；医用织物洗涤所用的所有清洁剂和清洁用品等、洗涤专业设施等专业工具设备；租赁医用织物的配置/更新费用、信息化费用、运输费、管理费、法定税费等，供应商应综合考虑以上项目的费用已包括。</w:t>
            </w:r>
          </w:p>
          <w:p w14:paraId="6096D107">
            <w:pPr>
              <w:numPr>
                <w:ilvl w:val="0"/>
                <w:numId w:val="0"/>
              </w:numPr>
              <w:snapToGrid w:val="0"/>
              <w:spacing w:line="32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  2.如甲方有本次采购参数外的特殊织物租赁，双方共同协商定价。</w:t>
            </w:r>
          </w:p>
          <w:p w14:paraId="19D4A0BF">
            <w:pPr>
              <w:snapToGrid w:val="0"/>
              <w:spacing w:line="320" w:lineRule="exact"/>
              <w:jc w:val="center"/>
              <w:rPr>
                <w:rFonts w:hint="eastAsia" w:ascii="宋体" w:hAnsi="宋体" w:cs="宋体"/>
                <w:color w:val="auto"/>
                <w:sz w:val="21"/>
                <w:szCs w:val="21"/>
                <w:highlight w:val="none"/>
              </w:rPr>
            </w:pPr>
          </w:p>
        </w:tc>
      </w:tr>
    </w:tbl>
    <w:p w14:paraId="57EA37ED">
      <w:pPr>
        <w:spacing w:line="560" w:lineRule="exact"/>
        <w:ind w:firstLine="420" w:firstLineChars="200"/>
        <w:outlineLvl w:val="1"/>
        <w:rPr>
          <w:rFonts w:ascii="宋体" w:hAnsi="宋体" w:cs="宋体"/>
          <w:b/>
          <w:bCs/>
          <w:color w:val="auto"/>
          <w:szCs w:val="21"/>
        </w:rPr>
      </w:pPr>
      <w:r>
        <w:rPr>
          <w:rFonts w:hint="eastAsia" w:ascii="宋体" w:hAnsi="宋体" w:cs="宋体"/>
          <w:b/>
          <w:bCs/>
          <w:color w:val="auto"/>
          <w:szCs w:val="21"/>
        </w:rPr>
        <w:t>三、商务要求</w:t>
      </w:r>
    </w:p>
    <w:p w14:paraId="64C3DC68">
      <w:pPr>
        <w:pStyle w:val="62"/>
        <w:spacing w:line="560" w:lineRule="exact"/>
        <w:ind w:left="11"/>
        <w:rPr>
          <w:rFonts w:ascii="宋体" w:hAnsi="宋体" w:cs="宋体"/>
          <w:color w:val="auto"/>
          <w:szCs w:val="21"/>
        </w:rPr>
      </w:pPr>
      <w:r>
        <w:rPr>
          <w:rFonts w:hint="eastAsia" w:ascii="宋体" w:hAnsi="宋体" w:cs="宋体"/>
          <w:color w:val="auto"/>
          <w:szCs w:val="21"/>
        </w:rPr>
        <w:t>（一）服务期限及地点：</w:t>
      </w:r>
    </w:p>
    <w:p w14:paraId="50512FB5">
      <w:pPr>
        <w:pStyle w:val="62"/>
        <w:spacing w:line="560" w:lineRule="exact"/>
        <w:ind w:left="11"/>
        <w:rPr>
          <w:rFonts w:ascii="宋体" w:hAnsi="宋体" w:cs="宋体"/>
          <w:color w:val="auto"/>
          <w:szCs w:val="21"/>
        </w:rPr>
      </w:pPr>
      <w:r>
        <w:rPr>
          <w:rFonts w:hint="eastAsia" w:ascii="宋体" w:hAnsi="宋体" w:cs="宋体"/>
          <w:color w:val="auto"/>
          <w:szCs w:val="21"/>
        </w:rPr>
        <w:t>1.服务期限：自签订合同之日起2年。</w:t>
      </w:r>
    </w:p>
    <w:p w14:paraId="665C5959">
      <w:pPr>
        <w:pStyle w:val="62"/>
        <w:spacing w:line="560" w:lineRule="exact"/>
        <w:ind w:left="11"/>
        <w:rPr>
          <w:rFonts w:ascii="宋体" w:hAnsi="宋体" w:cs="宋体"/>
          <w:color w:val="auto"/>
          <w:szCs w:val="21"/>
        </w:rPr>
      </w:pPr>
      <w:r>
        <w:rPr>
          <w:rFonts w:hint="eastAsia" w:ascii="宋体" w:hAnsi="宋体" w:cs="宋体"/>
          <w:color w:val="auto"/>
          <w:szCs w:val="21"/>
        </w:rPr>
        <w:t>2.服务地点：广西桂林市内采购人指定地点。</w:t>
      </w:r>
    </w:p>
    <w:p w14:paraId="4B1C4FE8">
      <w:pPr>
        <w:pStyle w:val="62"/>
        <w:spacing w:line="560" w:lineRule="exact"/>
        <w:ind w:left="11"/>
        <w:rPr>
          <w:rFonts w:ascii="宋体" w:hAnsi="宋体" w:cs="宋体"/>
          <w:color w:val="auto"/>
          <w:szCs w:val="21"/>
        </w:rPr>
      </w:pPr>
      <w:r>
        <w:rPr>
          <w:rFonts w:hint="eastAsia" w:ascii="宋体" w:hAnsi="宋体" w:cs="宋体"/>
          <w:color w:val="auto"/>
          <w:szCs w:val="21"/>
        </w:rPr>
        <w:t>（二）付款条件</w:t>
      </w:r>
    </w:p>
    <w:p w14:paraId="0DCC98EA">
      <w:pPr>
        <w:pStyle w:val="62"/>
        <w:spacing w:line="560" w:lineRule="exact"/>
        <w:ind w:left="11"/>
        <w:rPr>
          <w:rFonts w:ascii="宋体" w:hAnsi="宋体" w:cs="宋体"/>
          <w:color w:val="auto"/>
          <w:szCs w:val="21"/>
        </w:rPr>
      </w:pPr>
      <w:r>
        <w:rPr>
          <w:rFonts w:hint="eastAsia" w:ascii="宋体" w:hAnsi="宋体" w:cs="宋体"/>
          <w:color w:val="auto"/>
          <w:szCs w:val="21"/>
        </w:rPr>
        <w:t>1.租赁洗涤服务总费用实行按月支付，即：每月20日以前（遇休息日或法定节假日则顺延）采购人以转账方式将上月经采购人考核后产生的实际租赁洗涤服务费（按上月实际送交的洗涤物品品种、数量、价格及双方签单为结算凭证）转至成交供应商指定账户，转账前成交供应商将采购人实际的洗涤费发票交给采购人，否则，采购人有权拒绝付费且不承担任何责任。</w:t>
      </w:r>
    </w:p>
    <w:p w14:paraId="7AA3ECC4">
      <w:pPr>
        <w:pStyle w:val="62"/>
        <w:spacing w:line="560" w:lineRule="exact"/>
        <w:ind w:left="11"/>
        <w:rPr>
          <w:rFonts w:ascii="宋体" w:hAnsi="宋体" w:cs="宋体"/>
          <w:color w:val="auto"/>
          <w:szCs w:val="21"/>
        </w:rPr>
      </w:pPr>
      <w:r>
        <w:rPr>
          <w:rFonts w:hint="eastAsia" w:ascii="宋体" w:hAnsi="宋体" w:cs="宋体"/>
          <w:color w:val="auto"/>
          <w:szCs w:val="21"/>
        </w:rPr>
        <w:t>2.本合同结束前2个月的洗涤服务费，待确定成交供应商按约定的服务标准及合同规定履约完毕并无其他违约情况的，采购人于合同结束后1个月内付给成交供应商合同结束前2个月的洗涤费。</w:t>
      </w:r>
    </w:p>
    <w:p w14:paraId="14BD6CE4">
      <w:pPr>
        <w:pStyle w:val="62"/>
        <w:spacing w:line="560" w:lineRule="exact"/>
        <w:ind w:left="11"/>
        <w:rPr>
          <w:rFonts w:ascii="宋体" w:hAnsi="宋体" w:cs="宋体"/>
          <w:color w:val="auto"/>
          <w:szCs w:val="21"/>
        </w:rPr>
      </w:pPr>
      <w:r>
        <w:rPr>
          <w:rFonts w:hint="eastAsia" w:ascii="宋体" w:hAnsi="宋体" w:cs="宋体"/>
          <w:color w:val="auto"/>
          <w:szCs w:val="21"/>
        </w:rPr>
        <w:t>（三）磋商报价及结算方式</w:t>
      </w:r>
    </w:p>
    <w:p w14:paraId="63E12AD2">
      <w:pPr>
        <w:pStyle w:val="62"/>
        <w:spacing w:line="560" w:lineRule="exact"/>
        <w:ind w:left="11"/>
        <w:rPr>
          <w:rFonts w:ascii="宋体" w:hAnsi="宋体" w:cs="宋体"/>
          <w:color w:val="auto"/>
          <w:szCs w:val="21"/>
        </w:rPr>
      </w:pPr>
      <w:r>
        <w:rPr>
          <w:rFonts w:hint="eastAsia" w:ascii="宋体" w:hAnsi="宋体" w:cs="宋体"/>
          <w:color w:val="auto"/>
          <w:szCs w:val="21"/>
        </w:rPr>
        <w:t>1.供应商磋商报价采用各类医用织物洗涤、租赁费用相应单价分别报价。</w:t>
      </w:r>
    </w:p>
    <w:p w14:paraId="2145DB80">
      <w:pPr>
        <w:pStyle w:val="62"/>
        <w:spacing w:line="560" w:lineRule="exact"/>
        <w:ind w:left="11"/>
        <w:rPr>
          <w:rFonts w:ascii="宋体" w:hAnsi="宋体" w:cs="宋体"/>
          <w:color w:val="auto"/>
          <w:szCs w:val="21"/>
        </w:rPr>
      </w:pPr>
      <w:r>
        <w:rPr>
          <w:rFonts w:hint="eastAsia" w:ascii="宋体" w:hAnsi="宋体" w:cs="宋体"/>
          <w:color w:val="auto"/>
          <w:szCs w:val="21"/>
        </w:rPr>
        <w:t>3.供应商必须就“采购需求”中的所有内容作完整唯一报价，否则，其响应文件按无效处理；响应文件只允许有一个报价方案。</w:t>
      </w:r>
    </w:p>
    <w:p w14:paraId="469C9C10">
      <w:pPr>
        <w:pStyle w:val="62"/>
        <w:spacing w:line="560" w:lineRule="exact"/>
        <w:ind w:left="11"/>
        <w:rPr>
          <w:rFonts w:ascii="宋体" w:hAnsi="宋体" w:cs="宋体"/>
          <w:color w:val="auto"/>
          <w:szCs w:val="21"/>
        </w:rPr>
      </w:pPr>
      <w:r>
        <w:rPr>
          <w:rFonts w:hint="eastAsia" w:ascii="宋体" w:hAnsi="宋体" w:cs="宋体"/>
          <w:color w:val="auto"/>
          <w:szCs w:val="21"/>
        </w:rPr>
        <w:t>4.磋商报价包含供应商本次报价包含全院工作服、值班室三件套的租赁洗涤、手术类织物的洗涤费用，提供本次服务范围的人员工资、奖金、劳保费用、加班费、各项服务待遇、保险费用；医用织物洗涤所用的所有清洁剂和清洁用品等、洗涤专业设施等专业工具设备；租赁医用织物的配置/更新费用、信息化费用、运输费、管理费、法定税费等，供应商应综合考虑以上项目的费用已包括。</w:t>
      </w:r>
    </w:p>
    <w:p w14:paraId="7AD65F8C">
      <w:pPr>
        <w:pStyle w:val="62"/>
        <w:spacing w:line="560" w:lineRule="exact"/>
        <w:ind w:left="11"/>
        <w:rPr>
          <w:rFonts w:ascii="宋体" w:hAnsi="宋体" w:cs="宋体"/>
          <w:color w:val="auto"/>
          <w:szCs w:val="21"/>
        </w:rPr>
      </w:pPr>
      <w:r>
        <w:rPr>
          <w:rFonts w:hint="eastAsia" w:ascii="宋体" w:hAnsi="宋体" w:cs="宋体"/>
          <w:color w:val="auto"/>
          <w:szCs w:val="21"/>
        </w:rPr>
        <w:t>5.结算方式：</w:t>
      </w:r>
    </w:p>
    <w:p w14:paraId="2176D61F">
      <w:pPr>
        <w:pStyle w:val="62"/>
        <w:spacing w:line="560" w:lineRule="exact"/>
        <w:ind w:left="11"/>
        <w:rPr>
          <w:rFonts w:ascii="宋体" w:hAnsi="宋体" w:cs="宋体"/>
          <w:color w:val="auto"/>
          <w:szCs w:val="21"/>
        </w:rPr>
      </w:pPr>
      <w:r>
        <w:rPr>
          <w:rFonts w:hint="eastAsia" w:ascii="宋体" w:hAnsi="宋体" w:cs="宋体"/>
          <w:color w:val="auto"/>
          <w:szCs w:val="21"/>
        </w:rPr>
        <w:t>服务期限内，成交供应商对“采购需求”中所列“各类医用织物洗涤单价明细表”中医用织物进行洗涤（或租赁），洗涤（或租赁）服务总费用实行按月支付。结算金额为：各类医用织物洗涤（或租赁）费用=“各类医用织物洗涤（或租赁）费用相应单价”×实际</w:t>
      </w:r>
      <w:r>
        <w:rPr>
          <w:rFonts w:hint="eastAsia" w:ascii="宋体" w:hAnsi="宋体" w:cs="宋体"/>
          <w:color w:val="auto"/>
          <w:szCs w:val="21"/>
          <w:lang w:val="en-US" w:eastAsia="zh-CN"/>
        </w:rPr>
        <w:t>占床数</w:t>
      </w:r>
      <w:r>
        <w:rPr>
          <w:rFonts w:hint="eastAsia" w:ascii="宋体" w:hAnsi="宋体" w:cs="宋体"/>
          <w:color w:val="auto"/>
          <w:szCs w:val="21"/>
        </w:rPr>
        <w:t>。</w:t>
      </w:r>
    </w:p>
    <w:p w14:paraId="6E5C545C">
      <w:pPr>
        <w:pStyle w:val="62"/>
        <w:spacing w:line="560" w:lineRule="exact"/>
        <w:ind w:left="11"/>
        <w:rPr>
          <w:rFonts w:ascii="宋体" w:hAnsi="宋体" w:cs="宋体"/>
          <w:color w:val="auto"/>
          <w:szCs w:val="21"/>
        </w:rPr>
      </w:pPr>
      <w:r>
        <w:rPr>
          <w:rFonts w:hint="eastAsia" w:ascii="宋体" w:hAnsi="宋体" w:cs="宋体"/>
          <w:color w:val="auto"/>
          <w:szCs w:val="21"/>
        </w:rPr>
        <w:t>注：“采购需求”中所列“各类医用织物洗涤（或租赁）费用相应单价”的</w:t>
      </w:r>
      <w:r>
        <w:rPr>
          <w:rFonts w:hint="eastAsia" w:ascii="宋体" w:hAnsi="宋体" w:cs="宋体"/>
          <w:color w:val="auto"/>
          <w:szCs w:val="21"/>
          <w:lang w:val="en-US" w:eastAsia="zh-CN"/>
        </w:rPr>
        <w:t>每月参考占床数</w:t>
      </w:r>
      <w:r>
        <w:rPr>
          <w:rFonts w:hint="eastAsia" w:ascii="宋体" w:hAnsi="宋体" w:cs="宋体"/>
          <w:color w:val="auto"/>
          <w:szCs w:val="21"/>
        </w:rPr>
        <w:t>为“暂估数量”，为采购</w:t>
      </w:r>
      <w:r>
        <w:rPr>
          <w:rFonts w:hint="eastAsia" w:ascii="宋体" w:hAnsi="宋体" w:cs="宋体"/>
          <w:color w:val="auto"/>
          <w:szCs w:val="21"/>
          <w:lang w:val="en-US" w:eastAsia="zh-CN"/>
        </w:rPr>
        <w:t>人</w:t>
      </w:r>
      <w:r>
        <w:rPr>
          <w:rFonts w:hint="eastAsia" w:ascii="宋体" w:hAnsi="宋体" w:cs="宋体"/>
          <w:color w:val="auto"/>
          <w:szCs w:val="21"/>
        </w:rPr>
        <w:t>参考以往洗涤数据暂时设定。实际结算金额以实际</w:t>
      </w:r>
      <w:r>
        <w:rPr>
          <w:rFonts w:hint="eastAsia" w:ascii="宋体" w:hAnsi="宋体" w:cs="宋体"/>
          <w:color w:val="auto"/>
          <w:szCs w:val="21"/>
          <w:lang w:val="en-US" w:eastAsia="zh-CN"/>
        </w:rPr>
        <w:t>占床</w:t>
      </w:r>
      <w:r>
        <w:rPr>
          <w:rFonts w:hint="eastAsia" w:ascii="宋体" w:hAnsi="宋体" w:cs="宋体"/>
          <w:color w:val="auto"/>
          <w:szCs w:val="21"/>
        </w:rPr>
        <w:t>数量进行结算。</w:t>
      </w:r>
    </w:p>
    <w:p w14:paraId="0C2B0636">
      <w:pPr>
        <w:pStyle w:val="62"/>
        <w:spacing w:line="560" w:lineRule="exact"/>
        <w:ind w:left="11"/>
        <w:rPr>
          <w:rFonts w:ascii="宋体" w:hAnsi="宋体" w:cs="宋体"/>
          <w:color w:val="auto"/>
          <w:szCs w:val="21"/>
        </w:rPr>
      </w:pPr>
      <w:r>
        <w:rPr>
          <w:rFonts w:hint="eastAsia" w:ascii="宋体" w:hAnsi="宋体" w:cs="宋体"/>
          <w:color w:val="auto"/>
          <w:szCs w:val="21"/>
        </w:rPr>
        <w:t>（四）质量标准及验收标准：</w:t>
      </w:r>
    </w:p>
    <w:p w14:paraId="1905843E">
      <w:pPr>
        <w:pStyle w:val="62"/>
        <w:spacing w:line="560" w:lineRule="exact"/>
        <w:ind w:left="11"/>
        <w:rPr>
          <w:rFonts w:ascii="宋体" w:hAnsi="宋体" w:cs="宋体"/>
          <w:color w:val="auto"/>
          <w:szCs w:val="21"/>
        </w:rPr>
      </w:pPr>
      <w:r>
        <w:rPr>
          <w:rFonts w:hint="eastAsia" w:ascii="宋体" w:hAnsi="宋体" w:cs="宋体"/>
          <w:color w:val="auto"/>
          <w:szCs w:val="21"/>
        </w:rPr>
        <w:t>1.采购标的需执行国家相关标准、行业标准等相关标准、规范。</w:t>
      </w:r>
    </w:p>
    <w:p w14:paraId="5815D708">
      <w:pPr>
        <w:pStyle w:val="62"/>
        <w:spacing w:line="560" w:lineRule="exact"/>
        <w:ind w:left="11"/>
        <w:rPr>
          <w:rFonts w:ascii="宋体" w:hAnsi="宋体" w:cs="宋体"/>
          <w:color w:val="auto"/>
          <w:szCs w:val="21"/>
        </w:rPr>
      </w:pPr>
      <w:r>
        <w:rPr>
          <w:rFonts w:hint="eastAsia" w:ascii="宋体" w:hAnsi="宋体" w:cs="宋体"/>
          <w:color w:val="auto"/>
          <w:szCs w:val="21"/>
        </w:rPr>
        <w:t>2.按照竞争性磋商文件要求、响应文件承诺以及合同条款进行验收。</w:t>
      </w:r>
    </w:p>
    <w:p w14:paraId="5EDC1BB6">
      <w:pPr>
        <w:pStyle w:val="62"/>
        <w:spacing w:line="560" w:lineRule="exact"/>
        <w:ind w:left="11"/>
        <w:rPr>
          <w:rFonts w:ascii="宋体" w:hAnsi="宋体" w:cs="宋体"/>
          <w:color w:val="auto"/>
          <w:szCs w:val="21"/>
        </w:rPr>
      </w:pPr>
      <w:r>
        <w:rPr>
          <w:rFonts w:hint="eastAsia" w:ascii="宋体" w:hAnsi="宋体" w:cs="宋体"/>
          <w:color w:val="auto"/>
          <w:szCs w:val="21"/>
        </w:rPr>
        <w:t>（五）知识产权要求</w:t>
      </w:r>
    </w:p>
    <w:p w14:paraId="3B2EEF79">
      <w:pPr>
        <w:pStyle w:val="62"/>
        <w:spacing w:line="560" w:lineRule="exact"/>
        <w:ind w:left="11"/>
        <w:rPr>
          <w:rFonts w:ascii="宋体" w:hAnsi="宋体" w:cs="宋体"/>
          <w:color w:val="auto"/>
          <w:szCs w:val="21"/>
        </w:rPr>
      </w:pPr>
      <w:r>
        <w:rPr>
          <w:rFonts w:hint="eastAsia" w:ascii="宋体" w:hAnsi="宋体" w:cs="宋体"/>
          <w:color w:val="auto"/>
          <w:szCs w:val="21"/>
        </w:rPr>
        <w:t>1.供应商应保证采购单位在使用本采购合同项下的标的时免受第三方侵犯其知识产权、商标权的起诉。</w:t>
      </w:r>
    </w:p>
    <w:p w14:paraId="4ECB5767">
      <w:pPr>
        <w:pStyle w:val="62"/>
        <w:spacing w:line="560" w:lineRule="exact"/>
        <w:ind w:left="11"/>
        <w:rPr>
          <w:rFonts w:ascii="宋体" w:hAnsi="宋体" w:cs="宋体"/>
          <w:color w:val="auto"/>
          <w:szCs w:val="21"/>
        </w:rPr>
      </w:pPr>
      <w:r>
        <w:rPr>
          <w:rFonts w:hint="eastAsia" w:ascii="宋体" w:hAnsi="宋体" w:cs="宋体"/>
          <w:color w:val="auto"/>
          <w:szCs w:val="21"/>
        </w:rPr>
        <w:t>2.采购单位不对供应商提供的标的内容是否侵犯他人的权利负责，如因供应商提供的内容引发争议或违法导致采购单位受损的，供应商应赔偿。</w:t>
      </w:r>
    </w:p>
    <w:p w14:paraId="7CB126EC">
      <w:pPr>
        <w:pStyle w:val="62"/>
        <w:spacing w:line="560" w:lineRule="exact"/>
        <w:ind w:left="11"/>
        <w:rPr>
          <w:rFonts w:ascii="宋体" w:hAnsi="宋体" w:cs="宋体"/>
          <w:color w:val="auto"/>
          <w:szCs w:val="21"/>
        </w:rPr>
      </w:pPr>
    </w:p>
    <w:p w14:paraId="0267B2C3">
      <w:pPr>
        <w:pStyle w:val="62"/>
        <w:spacing w:line="560" w:lineRule="exact"/>
        <w:ind w:left="11"/>
        <w:rPr>
          <w:rFonts w:ascii="宋体" w:hAnsi="宋体" w:cs="宋体"/>
          <w:color w:val="auto"/>
          <w:szCs w:val="21"/>
        </w:rPr>
      </w:pPr>
    </w:p>
    <w:p w14:paraId="7B6AD8B8">
      <w:pPr>
        <w:pStyle w:val="62"/>
        <w:spacing w:line="560" w:lineRule="exact"/>
        <w:ind w:left="11"/>
        <w:rPr>
          <w:rFonts w:ascii="宋体" w:hAnsi="宋体" w:cs="宋体"/>
          <w:color w:val="auto"/>
          <w:szCs w:val="21"/>
        </w:rPr>
      </w:pPr>
    </w:p>
    <w:bookmarkEnd w:id="137"/>
    <w:p w14:paraId="37D6F86C">
      <w:pPr>
        <w:pStyle w:val="17"/>
        <w:spacing w:line="440" w:lineRule="exact"/>
        <w:jc w:val="both"/>
        <w:rPr>
          <w:rFonts w:hAnsi="宋体" w:cs="宋体"/>
          <w:b/>
          <w:color w:val="auto"/>
          <w:sz w:val="32"/>
        </w:rPr>
      </w:pPr>
    </w:p>
    <w:p w14:paraId="6BF13DB5">
      <w:pPr>
        <w:pStyle w:val="17"/>
        <w:spacing w:line="440" w:lineRule="exact"/>
        <w:jc w:val="center"/>
        <w:rPr>
          <w:rFonts w:hAnsi="宋体" w:cs="宋体"/>
          <w:b/>
          <w:color w:val="auto"/>
          <w:sz w:val="32"/>
        </w:rPr>
      </w:pPr>
    </w:p>
    <w:p w14:paraId="67C789D7">
      <w:pPr>
        <w:pStyle w:val="17"/>
        <w:spacing w:line="440" w:lineRule="exact"/>
        <w:jc w:val="center"/>
        <w:rPr>
          <w:rFonts w:hAnsi="宋体" w:cs="宋体"/>
          <w:b/>
          <w:color w:val="auto"/>
          <w:sz w:val="32"/>
          <w:highlight w:val="none"/>
        </w:rPr>
      </w:pPr>
      <w:r>
        <w:rPr>
          <w:rFonts w:hint="eastAsia" w:hAnsi="宋体" w:cs="宋体"/>
          <w:b/>
          <w:color w:val="auto"/>
          <w:sz w:val="32"/>
          <w:highlight w:val="none"/>
        </w:rPr>
        <w:t>第四章  评审办法</w:t>
      </w:r>
    </w:p>
    <w:p w14:paraId="7117E4CF">
      <w:pPr>
        <w:pStyle w:val="17"/>
        <w:numPr>
          <w:ilvl w:val="0"/>
          <w:numId w:val="10"/>
        </w:numPr>
        <w:spacing w:line="380" w:lineRule="exact"/>
        <w:rPr>
          <w:rFonts w:hAnsi="宋体" w:cs="宋体"/>
          <w:b/>
          <w:bCs/>
          <w:color w:val="auto"/>
          <w:szCs w:val="21"/>
        </w:rPr>
      </w:pPr>
      <w:r>
        <w:rPr>
          <w:rFonts w:hint="eastAsia" w:hAnsi="宋体" w:cs="宋体"/>
          <w:b/>
          <w:bCs/>
          <w:color w:val="auto"/>
          <w:szCs w:val="21"/>
        </w:rPr>
        <w:t>评审依据及方式</w:t>
      </w:r>
    </w:p>
    <w:p w14:paraId="72F12007">
      <w:pPr>
        <w:numPr>
          <w:ilvl w:val="0"/>
          <w:numId w:val="11"/>
        </w:numPr>
        <w:spacing w:line="440" w:lineRule="exact"/>
        <w:rPr>
          <w:rFonts w:ascii="宋体" w:hAnsi="Courier New"/>
          <w:color w:val="auto"/>
          <w:szCs w:val="21"/>
        </w:rPr>
      </w:pPr>
      <w:r>
        <w:rPr>
          <w:rFonts w:hint="eastAsia" w:ascii="宋体" w:hAnsi="Courier New"/>
          <w:color w:val="auto"/>
          <w:szCs w:val="21"/>
        </w:rPr>
        <w:t>评审依据：磋商小组以磋商文件和响应文件为评审依据，对磋商供应商的磋商报价、项目管理方案、履约能力、售后服务方案、业绩等方面内容按百分制打分。</w:t>
      </w:r>
    </w:p>
    <w:p w14:paraId="7B6FAB70">
      <w:pPr>
        <w:numPr>
          <w:ilvl w:val="0"/>
          <w:numId w:val="11"/>
        </w:numPr>
        <w:spacing w:line="440" w:lineRule="exact"/>
        <w:rPr>
          <w:rFonts w:ascii="宋体" w:hAnsi="Courier New"/>
          <w:color w:val="auto"/>
          <w:szCs w:val="21"/>
        </w:rPr>
      </w:pPr>
      <w:r>
        <w:rPr>
          <w:rFonts w:hint="eastAsia" w:ascii="宋体" w:hAnsi="Courier New"/>
          <w:color w:val="auto"/>
          <w:szCs w:val="21"/>
        </w:rPr>
        <w:t>评审方式：以封闭方式进行评审。</w:t>
      </w:r>
    </w:p>
    <w:p w14:paraId="33E05229">
      <w:pPr>
        <w:numPr>
          <w:ilvl w:val="0"/>
          <w:numId w:val="11"/>
        </w:numPr>
        <w:spacing w:line="440" w:lineRule="exact"/>
        <w:rPr>
          <w:rFonts w:ascii="宋体" w:hAnsi="Courier New"/>
          <w:color w:val="auto"/>
          <w:szCs w:val="21"/>
        </w:rPr>
      </w:pPr>
      <w:r>
        <w:rPr>
          <w:rFonts w:hint="eastAsia" w:ascii="宋体" w:hAnsi="Courier New"/>
          <w:color w:val="auto"/>
          <w:szCs w:val="21"/>
        </w:rPr>
        <w:t>根据财库〔2012〕69号文规定，采购人和采购代理机构、磋商小级成员要严格遵守采购相关法律制度，依法履行各自职责，公正、客观、审慎地组织和参与评审工作。</w:t>
      </w:r>
    </w:p>
    <w:p w14:paraId="0DC2DAD3">
      <w:pPr>
        <w:numPr>
          <w:ilvl w:val="0"/>
          <w:numId w:val="11"/>
        </w:numPr>
        <w:spacing w:line="440" w:lineRule="exact"/>
        <w:rPr>
          <w:rFonts w:ascii="宋体" w:hAnsi="Courier New"/>
          <w:color w:val="auto"/>
          <w:szCs w:val="21"/>
        </w:rPr>
      </w:pPr>
      <w:r>
        <w:rPr>
          <w:rFonts w:hint="eastAsia" w:ascii="宋体" w:hAnsi="Courier New"/>
          <w:color w:val="auto"/>
          <w:szCs w:val="21"/>
        </w:rPr>
        <w:t>评审办法</w:t>
      </w:r>
    </w:p>
    <w:p w14:paraId="7BC6CB7E">
      <w:pPr>
        <w:spacing w:line="440" w:lineRule="exact"/>
        <w:ind w:firstLine="420"/>
        <w:jc w:val="left"/>
        <w:rPr>
          <w:rFonts w:hAnsi="宋体" w:cs="宋体"/>
          <w:color w:val="auto"/>
          <w:szCs w:val="21"/>
        </w:rPr>
      </w:pPr>
      <w:r>
        <w:rPr>
          <w:rFonts w:hint="eastAsia" w:hAnsi="宋体" w:cs="宋体"/>
          <w:color w:val="auto"/>
          <w:szCs w:val="21"/>
        </w:rPr>
        <w:t>（一）对进入详评的，采用综合评分法。</w:t>
      </w:r>
    </w:p>
    <w:p w14:paraId="6D956C55">
      <w:pPr>
        <w:spacing w:line="440" w:lineRule="exact"/>
        <w:ind w:firstLine="420"/>
        <w:jc w:val="left"/>
        <w:rPr>
          <w:rFonts w:hAnsi="宋体" w:cs="宋体"/>
          <w:color w:val="auto"/>
          <w:szCs w:val="21"/>
        </w:rPr>
      </w:pPr>
      <w:r>
        <w:rPr>
          <w:rFonts w:hint="eastAsia" w:hAnsi="宋体" w:cs="宋体"/>
          <w:color w:val="auto"/>
          <w:szCs w:val="21"/>
        </w:rPr>
        <w:t>（二）计分办法（按四舍五入取至小数点后二位）</w:t>
      </w:r>
    </w:p>
    <w:p w14:paraId="7BD00C04">
      <w:pPr>
        <w:numPr>
          <w:ilvl w:val="0"/>
          <w:numId w:val="12"/>
        </w:numPr>
        <w:spacing w:line="440" w:lineRule="exact"/>
        <w:jc w:val="left"/>
        <w:rPr>
          <w:rFonts w:hAnsi="宋体" w:cs="宋体"/>
          <w:b/>
          <w:color w:val="auto"/>
          <w:szCs w:val="21"/>
        </w:rPr>
      </w:pPr>
      <w:r>
        <w:rPr>
          <w:rFonts w:hint="eastAsia" w:hAnsi="宋体" w:cs="宋体"/>
          <w:b/>
          <w:color w:val="auto"/>
          <w:szCs w:val="21"/>
        </w:rPr>
        <w:t>价格分………………………………………………………………………………………30分</w:t>
      </w:r>
    </w:p>
    <w:p w14:paraId="2EAD7150">
      <w:pPr>
        <w:pStyle w:val="17"/>
        <w:spacing w:line="400" w:lineRule="exact"/>
        <w:ind w:firstLine="630" w:firstLineChars="300"/>
        <w:rPr>
          <w:rFonts w:hint="default" w:hAnsi="宋体" w:eastAsia="宋体"/>
          <w:bCs/>
          <w:color w:val="auto"/>
          <w:kern w:val="0"/>
          <w:lang w:val="en-US" w:eastAsia="zh-CN"/>
        </w:rPr>
      </w:pPr>
      <w:r>
        <w:rPr>
          <w:rFonts w:hint="eastAsia" w:cs="宋体" w:asciiTheme="majorEastAsia" w:hAnsiTheme="majorEastAsia" w:eastAsiaTheme="majorEastAsia"/>
          <w:color w:val="0000FF"/>
          <w:kern w:val="0"/>
          <w:highlight w:val="none"/>
        </w:rPr>
        <w:t>本项目属于专门面向中小微企业采购的项目（供应商应为中小微企业或监狱企业或残疾人福利性单位），不再进行政府采购政策性扣除计算。</w:t>
      </w:r>
      <w:r>
        <w:rPr>
          <w:rFonts w:hint="eastAsia"/>
          <w:color w:val="auto"/>
          <w:kern w:val="0"/>
        </w:rPr>
        <w:t>以进入评标的最低的评标报价为30分。</w:t>
      </w:r>
      <w:r>
        <w:rPr>
          <w:rFonts w:hint="eastAsia"/>
          <w:color w:val="auto"/>
          <w:kern w:val="0"/>
          <w:lang w:val="en-US" w:eastAsia="zh-CN"/>
        </w:rPr>
        <w:t xml:space="preserve">                </w:t>
      </w:r>
    </w:p>
    <w:p w14:paraId="52F364F8">
      <w:pPr>
        <w:pStyle w:val="17"/>
        <w:spacing w:line="400" w:lineRule="exact"/>
        <w:ind w:firstLine="2730" w:firstLineChars="1300"/>
        <w:rPr>
          <w:rFonts w:hAnsi="宋体"/>
          <w:bCs/>
          <w:color w:val="auto"/>
          <w:kern w:val="0"/>
        </w:rPr>
      </w:pPr>
      <w:r>
        <w:rPr>
          <w:rFonts w:hint="eastAsia" w:hAnsi="宋体"/>
          <w:bCs/>
          <w:color w:val="auto"/>
          <w:kern w:val="0"/>
        </w:rPr>
        <w:t>最低供应商</w:t>
      </w:r>
      <w:r>
        <w:rPr>
          <w:rFonts w:hint="eastAsia" w:hAnsi="宋体"/>
          <w:color w:val="auto"/>
          <w:kern w:val="0"/>
        </w:rPr>
        <w:t>评标报价（</w:t>
      </w:r>
      <w:r>
        <w:rPr>
          <w:rFonts w:hint="eastAsia" w:hAnsi="宋体"/>
          <w:color w:val="auto"/>
          <w:spacing w:val="-6"/>
        </w:rPr>
        <w:t>磋商单价合计报价</w:t>
      </w:r>
      <w:r>
        <w:rPr>
          <w:rFonts w:hint="eastAsia" w:hAnsi="宋体"/>
          <w:color w:val="auto"/>
          <w:kern w:val="0"/>
        </w:rPr>
        <w:t>）</w:t>
      </w:r>
      <w:r>
        <w:rPr>
          <w:rFonts w:hint="eastAsia" w:hAnsi="宋体"/>
          <w:bCs/>
          <w:color w:val="auto"/>
          <w:kern w:val="0"/>
        </w:rPr>
        <w:t xml:space="preserve">金额         </w:t>
      </w:r>
    </w:p>
    <w:p w14:paraId="57578F29">
      <w:pPr>
        <w:pStyle w:val="17"/>
        <w:spacing w:line="400" w:lineRule="exact"/>
        <w:ind w:firstLine="420"/>
        <w:rPr>
          <w:rFonts w:hAnsi="宋体"/>
          <w:bCs/>
          <w:color w:val="auto"/>
          <w:kern w:val="0"/>
        </w:rPr>
      </w:pPr>
      <w:r>
        <w:rPr>
          <w:rFonts w:hAnsi="宋体"/>
          <w:bCs/>
          <w:color w:val="auto"/>
          <w:kern w:val="0"/>
        </w:rPr>
        <mc:AlternateContent>
          <mc:Choice Requires="wps">
            <w:drawing>
              <wp:anchor distT="0" distB="0" distL="114300" distR="114300" simplePos="0" relativeHeight="251664384" behindDoc="0" locked="0" layoutInCell="1" allowOverlap="1">
                <wp:simplePos x="0" y="0"/>
                <wp:positionH relativeFrom="column">
                  <wp:posOffset>1828800</wp:posOffset>
                </wp:positionH>
                <wp:positionV relativeFrom="paragraph">
                  <wp:posOffset>196850</wp:posOffset>
                </wp:positionV>
                <wp:extent cx="2199640" cy="0"/>
                <wp:effectExtent l="0" t="4445" r="0" b="0"/>
                <wp:wrapNone/>
                <wp:docPr id="3" name="直接连接符 7"/>
                <wp:cNvGraphicFramePr/>
                <a:graphic xmlns:a="http://schemas.openxmlformats.org/drawingml/2006/main">
                  <a:graphicData uri="http://schemas.microsoft.com/office/word/2010/wordprocessingShape">
                    <wps:wsp>
                      <wps:cNvCnPr/>
                      <wps:spPr>
                        <a:xfrm>
                          <a:off x="0" y="0"/>
                          <a:ext cx="21996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7" o:spid="_x0000_s1026" o:spt="20" style="position:absolute;left:0pt;margin-left:144pt;margin-top:15.5pt;height:0pt;width:173.2pt;z-index:251664384;mso-width-relative:page;mso-height-relative:page;" filled="f" stroked="t" coordsize="21600,21600" o:gfxdata="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0EShU1wAAAAkBAAAPAAAAAAAAAAEAIAAAACIAAABkcnMvZG93bnJldi54bWxQSwEC&#10;FAAUAAAACACHTuJAQbdm6/UBAADkAwAADgAAAAAAAAABACAAAAAmAQAAZHJzL2Uyb0RvYy54bWxQ&#10;SwUGAAAAAAYABgBZAQAAjQUAAAAA&#10;">
                <v:fill on="f" focussize="0,0"/>
                <v:stroke color="#000000" joinstyle="round"/>
                <v:imagedata o:title=""/>
                <o:lock v:ext="edit" aspectratio="f"/>
              </v:line>
            </w:pict>
          </mc:Fallback>
        </mc:AlternateContent>
      </w:r>
      <w:r>
        <w:rPr>
          <w:rFonts w:hint="eastAsia" w:hAnsi="宋体"/>
          <w:bCs/>
          <w:color w:val="auto"/>
          <w:kern w:val="0"/>
        </w:rPr>
        <w:t xml:space="preserve">  供应商价格分 =                    </w:t>
      </w:r>
      <w:r>
        <w:rPr>
          <w:rFonts w:hint="eastAsia" w:hAnsi="宋体"/>
          <w:bCs/>
          <w:color w:val="auto"/>
          <w:kern w:val="0"/>
          <w:lang w:val="en-US" w:eastAsia="zh-CN"/>
        </w:rPr>
        <w:t xml:space="preserve">                       </w:t>
      </w:r>
      <w:r>
        <w:rPr>
          <w:rFonts w:hint="eastAsia" w:hAnsi="宋体"/>
          <w:bCs/>
          <w:color w:val="auto"/>
          <w:kern w:val="0"/>
        </w:rPr>
        <w:t xml:space="preserve"> </w:t>
      </w:r>
      <w:r>
        <w:rPr>
          <w:rFonts w:hint="eastAsia" w:hAnsi="宋体"/>
          <w:bCs/>
          <w:color w:val="auto"/>
          <w:kern w:val="0"/>
          <w:lang w:val="en-US" w:eastAsia="zh-CN"/>
        </w:rPr>
        <w:t xml:space="preserve">    </w:t>
      </w:r>
      <w:r>
        <w:rPr>
          <w:rFonts w:hint="eastAsia" w:hAnsi="宋体"/>
          <w:bCs/>
          <w:color w:val="auto"/>
          <w:kern w:val="0"/>
        </w:rPr>
        <w:t>×  30分</w:t>
      </w:r>
    </w:p>
    <w:p w14:paraId="361E4647">
      <w:pPr>
        <w:pStyle w:val="17"/>
        <w:spacing w:line="400" w:lineRule="exact"/>
        <w:rPr>
          <w:rFonts w:hAnsi="宋体"/>
          <w:bCs/>
          <w:color w:val="auto"/>
          <w:kern w:val="0"/>
        </w:rPr>
      </w:pPr>
      <w:r>
        <w:rPr>
          <w:rFonts w:hint="eastAsia" w:hAnsi="宋体"/>
          <w:bCs/>
          <w:color w:val="auto"/>
          <w:kern w:val="0"/>
        </w:rPr>
        <w:t xml:space="preserve">                           供应商</w:t>
      </w:r>
      <w:r>
        <w:rPr>
          <w:rFonts w:hint="eastAsia" w:hAnsi="宋体"/>
          <w:color w:val="auto"/>
          <w:kern w:val="0"/>
        </w:rPr>
        <w:t>评标报价（</w:t>
      </w:r>
      <w:r>
        <w:rPr>
          <w:rFonts w:hint="eastAsia" w:hAnsi="宋体"/>
          <w:color w:val="auto"/>
          <w:spacing w:val="-6"/>
        </w:rPr>
        <w:t>磋商单价合计报价</w:t>
      </w:r>
      <w:r>
        <w:rPr>
          <w:rFonts w:hint="eastAsia" w:hAnsi="宋体"/>
          <w:color w:val="auto"/>
          <w:kern w:val="0"/>
        </w:rPr>
        <w:t>）</w:t>
      </w:r>
      <w:r>
        <w:rPr>
          <w:rFonts w:hint="eastAsia" w:hAnsi="宋体"/>
          <w:bCs/>
          <w:color w:val="auto"/>
          <w:kern w:val="0"/>
        </w:rPr>
        <w:t xml:space="preserve">金额  </w:t>
      </w:r>
    </w:p>
    <w:p w14:paraId="7C29018A">
      <w:pPr>
        <w:numPr>
          <w:ilvl w:val="0"/>
          <w:numId w:val="12"/>
        </w:numPr>
        <w:spacing w:line="440" w:lineRule="exact"/>
        <w:jc w:val="left"/>
        <w:rPr>
          <w:rFonts w:hAnsi="宋体" w:cs="宋体"/>
          <w:b/>
          <w:color w:val="auto"/>
          <w:szCs w:val="21"/>
        </w:rPr>
      </w:pPr>
      <w:r>
        <w:rPr>
          <w:rFonts w:hint="eastAsia" w:hAnsi="宋体" w:cs="宋体"/>
          <w:b/>
          <w:color w:val="auto"/>
          <w:szCs w:val="21"/>
        </w:rPr>
        <w:t>项目管理方案分………………………………………………………………………………28分</w:t>
      </w:r>
    </w:p>
    <w:p w14:paraId="279CB366">
      <w:pPr>
        <w:pStyle w:val="11"/>
        <w:ind w:firstLine="420" w:firstLineChars="200"/>
        <w:outlineLvl w:val="5"/>
        <w:rPr>
          <w:rFonts w:ascii="宋体" w:hAnsi="Courier New"/>
          <w:color w:val="auto"/>
          <w:szCs w:val="21"/>
        </w:rPr>
      </w:pPr>
      <w:r>
        <w:rPr>
          <w:rFonts w:hint="eastAsia" w:ascii="宋体" w:hAnsi="Courier New"/>
          <w:color w:val="auto"/>
          <w:szCs w:val="21"/>
        </w:rPr>
        <w:t>（1）项目管理方案（18分）</w:t>
      </w:r>
    </w:p>
    <w:p w14:paraId="3AE572CE">
      <w:pPr>
        <w:pStyle w:val="11"/>
        <w:ind w:firstLine="420" w:firstLineChars="200"/>
        <w:outlineLvl w:val="5"/>
        <w:rPr>
          <w:rFonts w:ascii="宋体" w:hAnsi="宋体" w:cs="宋体"/>
          <w:color w:val="auto"/>
          <w:szCs w:val="21"/>
        </w:rPr>
      </w:pPr>
      <w:r>
        <w:rPr>
          <w:rFonts w:hint="eastAsia" w:ascii="宋体" w:hAnsi="Courier New"/>
          <w:color w:val="auto"/>
          <w:szCs w:val="21"/>
        </w:rPr>
        <w:t>由评委根据供应商</w:t>
      </w:r>
      <w:r>
        <w:rPr>
          <w:rFonts w:hint="eastAsia" w:ascii="宋体" w:hAnsi="宋体" w:cs="宋体"/>
          <w:color w:val="auto"/>
          <w:szCs w:val="21"/>
        </w:rPr>
        <w:t>提供</w:t>
      </w:r>
      <w:r>
        <w:rPr>
          <w:rFonts w:hint="eastAsia" w:ascii="宋体" w:hAnsi="Courier New"/>
          <w:color w:val="auto"/>
          <w:szCs w:val="21"/>
        </w:rPr>
        <w:t>的项目管理方案（包括但不限于洗涤工厂布局、设备配置方案、各岗位职责及工作流程、洗涤/租赁管理方案、人员管理方案、预防感染控制方案等）</w:t>
      </w:r>
      <w:r>
        <w:rPr>
          <w:rFonts w:hint="eastAsia" w:ascii="宋体" w:hAnsi="宋体" w:cs="宋体"/>
          <w:color w:val="auto"/>
          <w:szCs w:val="21"/>
        </w:rPr>
        <w:t xml:space="preserve">的完整性、合理性、针对性进行独立评审。 </w:t>
      </w:r>
    </w:p>
    <w:p w14:paraId="22F248B1">
      <w:pPr>
        <w:pStyle w:val="11"/>
        <w:ind w:firstLine="420" w:firstLineChars="200"/>
        <w:outlineLvl w:val="5"/>
        <w:rPr>
          <w:rFonts w:ascii="宋体" w:hAnsi="宋体" w:cs="宋体"/>
          <w:color w:val="auto"/>
          <w:szCs w:val="21"/>
        </w:rPr>
      </w:pPr>
      <w:r>
        <w:rPr>
          <w:rFonts w:hint="eastAsia" w:ascii="宋体" w:hAnsi="宋体" w:cs="宋体"/>
          <w:color w:val="auto"/>
          <w:szCs w:val="21"/>
        </w:rPr>
        <w:t>一档：响应文件提供的方案内容无相应内容的，得0分。</w:t>
      </w:r>
    </w:p>
    <w:p w14:paraId="6D63CF53">
      <w:pPr>
        <w:pStyle w:val="11"/>
        <w:ind w:firstLine="420" w:firstLineChars="200"/>
        <w:outlineLvl w:val="5"/>
        <w:rPr>
          <w:rFonts w:ascii="宋体" w:hAnsi="宋体" w:cs="宋体"/>
          <w:color w:val="auto"/>
          <w:szCs w:val="21"/>
        </w:rPr>
      </w:pPr>
      <w:r>
        <w:rPr>
          <w:rFonts w:hint="eastAsia" w:ascii="宋体" w:hAnsi="宋体" w:cs="宋体"/>
          <w:color w:val="auto"/>
          <w:szCs w:val="21"/>
        </w:rPr>
        <w:t>二档：方案内容全面（4项要求内容均有提供）且有1项内容经评定为优秀的，得8分；</w:t>
      </w:r>
    </w:p>
    <w:p w14:paraId="1A0CB159">
      <w:pPr>
        <w:pStyle w:val="11"/>
        <w:ind w:firstLine="420" w:firstLineChars="200"/>
        <w:outlineLvl w:val="5"/>
        <w:rPr>
          <w:rFonts w:ascii="宋体" w:hAnsi="宋体" w:cs="宋体"/>
          <w:color w:val="auto"/>
          <w:szCs w:val="21"/>
        </w:rPr>
      </w:pPr>
      <w:r>
        <w:rPr>
          <w:rFonts w:hint="eastAsia" w:ascii="宋体" w:hAnsi="宋体" w:cs="宋体"/>
          <w:color w:val="auto"/>
          <w:szCs w:val="21"/>
        </w:rPr>
        <w:t>三档：方案内容全面（4项要求内容均有提供）且有2项内容评定为优秀的，得10分；</w:t>
      </w:r>
    </w:p>
    <w:p w14:paraId="764C1395">
      <w:pPr>
        <w:pStyle w:val="11"/>
        <w:ind w:firstLine="420" w:firstLineChars="200"/>
        <w:outlineLvl w:val="5"/>
        <w:rPr>
          <w:rFonts w:ascii="宋体" w:hAnsi="宋体" w:cs="宋体"/>
          <w:color w:val="auto"/>
          <w:szCs w:val="21"/>
        </w:rPr>
      </w:pPr>
      <w:r>
        <w:rPr>
          <w:rFonts w:hint="eastAsia" w:ascii="宋体" w:hAnsi="宋体" w:cs="宋体"/>
          <w:color w:val="auto"/>
          <w:szCs w:val="21"/>
        </w:rPr>
        <w:t>四档：方案内容全面（4项要求内容均有提供）且有3项内容评定为优秀的，得15分。</w:t>
      </w:r>
    </w:p>
    <w:p w14:paraId="37C9B62C">
      <w:pPr>
        <w:pStyle w:val="11"/>
        <w:ind w:firstLine="420" w:firstLineChars="200"/>
        <w:outlineLvl w:val="5"/>
        <w:rPr>
          <w:rFonts w:ascii="宋体" w:hAnsi="宋体" w:cs="宋体"/>
          <w:color w:val="auto"/>
          <w:szCs w:val="21"/>
        </w:rPr>
      </w:pPr>
      <w:r>
        <w:rPr>
          <w:rFonts w:hint="eastAsia" w:ascii="宋体" w:hAnsi="宋体" w:cs="宋体"/>
          <w:color w:val="auto"/>
          <w:szCs w:val="21"/>
        </w:rPr>
        <w:t>五档：方案内容全面（4项要求内容均有提供）且4项内容均评定为优秀的，得18分。</w:t>
      </w:r>
    </w:p>
    <w:p w14:paraId="26CE1972">
      <w:pPr>
        <w:pStyle w:val="11"/>
        <w:ind w:firstLine="420" w:firstLineChars="200"/>
        <w:outlineLvl w:val="5"/>
        <w:rPr>
          <w:rFonts w:ascii="宋体" w:hAnsi="宋体" w:cs="宋体"/>
          <w:color w:val="auto"/>
          <w:szCs w:val="21"/>
        </w:rPr>
      </w:pPr>
      <w:r>
        <w:rPr>
          <w:rFonts w:hint="eastAsia" w:ascii="宋体" w:hAnsi="宋体" w:cs="宋体"/>
          <w:b/>
          <w:bCs/>
          <w:color w:val="auto"/>
          <w:szCs w:val="21"/>
        </w:rPr>
        <w:t>备注：</w:t>
      </w:r>
      <w:r>
        <w:rPr>
          <w:rFonts w:hint="eastAsia" w:ascii="宋体" w:hAnsi="宋体" w:cs="宋体"/>
          <w:color w:val="auto"/>
          <w:szCs w:val="21"/>
        </w:rPr>
        <w:t>优秀的定位为：方案详细，步骤清晰；提供的具体措施符合项目实际情况，具有可行性；计划安排标注有明确的时间且符合项目情况。</w:t>
      </w:r>
    </w:p>
    <w:p w14:paraId="0BF9AB20">
      <w:pPr>
        <w:pStyle w:val="11"/>
        <w:ind w:firstLine="420" w:firstLineChars="200"/>
        <w:outlineLvl w:val="5"/>
        <w:rPr>
          <w:rFonts w:ascii="宋体" w:hAnsi="宋体" w:cs="宋体"/>
          <w:b w:val="0"/>
          <w:bCs w:val="0"/>
          <w:color w:val="auto"/>
          <w:szCs w:val="21"/>
        </w:rPr>
      </w:pPr>
      <w:r>
        <w:rPr>
          <w:rFonts w:hint="eastAsia" w:ascii="宋体" w:hAnsi="宋体" w:cs="宋体"/>
          <w:b w:val="0"/>
          <w:bCs w:val="0"/>
          <w:color w:val="auto"/>
          <w:szCs w:val="21"/>
        </w:rPr>
        <w:t>（2）人员资质证书（10分）</w:t>
      </w:r>
    </w:p>
    <w:p w14:paraId="549ABF96">
      <w:pPr>
        <w:pStyle w:val="11"/>
        <w:ind w:firstLine="420" w:firstLineChars="200"/>
        <w:outlineLvl w:val="5"/>
        <w:rPr>
          <w:rFonts w:ascii="宋体" w:hAnsi="宋体" w:cs="宋体"/>
          <w:b w:val="0"/>
          <w:bCs w:val="0"/>
          <w:color w:val="auto"/>
          <w:szCs w:val="21"/>
        </w:rPr>
      </w:pPr>
      <w:r>
        <w:rPr>
          <w:rFonts w:hint="eastAsia" w:ascii="宋体" w:hAnsi="宋体" w:cs="宋体"/>
          <w:b w:val="0"/>
          <w:bCs w:val="0"/>
          <w:color w:val="auto"/>
          <w:szCs w:val="21"/>
        </w:rPr>
        <w:t>供应商提供的人员管理方案至少要求配置人员持高级洗衣师证 2 名、公共卫生消毒员证 2 名、证明有参加过企业安全生产培训 2 名等专业能力。</w:t>
      </w:r>
    </w:p>
    <w:p w14:paraId="7AE0AFB1">
      <w:pPr>
        <w:pStyle w:val="11"/>
        <w:ind w:firstLine="420" w:firstLineChars="200"/>
        <w:outlineLvl w:val="5"/>
        <w:rPr>
          <w:rFonts w:ascii="宋体" w:hAnsi="宋体" w:cs="宋体"/>
          <w:b w:val="0"/>
          <w:bCs w:val="0"/>
          <w:color w:val="auto"/>
          <w:szCs w:val="21"/>
        </w:rPr>
      </w:pPr>
      <w:r>
        <w:rPr>
          <w:rFonts w:hint="eastAsia" w:ascii="宋体" w:hAnsi="宋体" w:cs="宋体"/>
          <w:b w:val="0"/>
          <w:bCs w:val="0"/>
          <w:color w:val="auto"/>
          <w:szCs w:val="21"/>
        </w:rPr>
        <w:t>一档：未提供人员管理方案的，得0分；</w:t>
      </w:r>
    </w:p>
    <w:p w14:paraId="23F806D0">
      <w:pPr>
        <w:pStyle w:val="11"/>
        <w:ind w:firstLine="420" w:firstLineChars="200"/>
        <w:outlineLvl w:val="5"/>
        <w:rPr>
          <w:rFonts w:ascii="宋体" w:hAnsi="宋体" w:cs="宋体"/>
          <w:b w:val="0"/>
          <w:bCs w:val="0"/>
          <w:color w:val="auto"/>
          <w:szCs w:val="21"/>
        </w:rPr>
      </w:pPr>
      <w:r>
        <w:rPr>
          <w:rFonts w:hint="eastAsia" w:ascii="宋体" w:hAnsi="宋体" w:cs="宋体"/>
          <w:b w:val="0"/>
          <w:bCs w:val="0"/>
          <w:color w:val="auto"/>
          <w:szCs w:val="21"/>
        </w:rPr>
        <w:t>二档：三项评审因素有一项内容经评审合理、可行且具有针对性的，得2分；</w:t>
      </w:r>
    </w:p>
    <w:p w14:paraId="3313310D">
      <w:pPr>
        <w:pStyle w:val="11"/>
        <w:ind w:firstLine="420" w:firstLineChars="200"/>
        <w:outlineLvl w:val="5"/>
        <w:rPr>
          <w:rFonts w:ascii="宋体" w:hAnsi="宋体" w:cs="宋体"/>
          <w:b w:val="0"/>
          <w:bCs w:val="0"/>
          <w:color w:val="auto"/>
          <w:szCs w:val="21"/>
        </w:rPr>
      </w:pPr>
      <w:r>
        <w:rPr>
          <w:rFonts w:hint="eastAsia" w:ascii="宋体" w:hAnsi="宋体" w:cs="宋体"/>
          <w:b w:val="0"/>
          <w:bCs w:val="0"/>
          <w:color w:val="auto"/>
          <w:szCs w:val="21"/>
        </w:rPr>
        <w:t>三档：三项评审因素有二项内容经评审合理、可行且具有针对性的，得5分；</w:t>
      </w:r>
    </w:p>
    <w:p w14:paraId="564E6B20">
      <w:pPr>
        <w:pStyle w:val="11"/>
        <w:ind w:firstLine="420" w:firstLineChars="200"/>
        <w:outlineLvl w:val="5"/>
        <w:rPr>
          <w:rFonts w:ascii="宋体" w:hAnsi="宋体" w:cs="宋体"/>
          <w:b w:val="0"/>
          <w:bCs w:val="0"/>
          <w:color w:val="auto"/>
          <w:szCs w:val="21"/>
        </w:rPr>
      </w:pPr>
      <w:r>
        <w:rPr>
          <w:rFonts w:hint="eastAsia" w:ascii="宋体" w:hAnsi="宋体" w:cs="宋体"/>
          <w:b w:val="0"/>
          <w:bCs w:val="0"/>
          <w:color w:val="auto"/>
          <w:szCs w:val="21"/>
        </w:rPr>
        <w:t>四档：三项评审因素均合理、可行且具有针对性的，得10分。</w:t>
      </w:r>
    </w:p>
    <w:p w14:paraId="74C01928">
      <w:pPr>
        <w:numPr>
          <w:ilvl w:val="0"/>
          <w:numId w:val="12"/>
        </w:numPr>
        <w:spacing w:line="440" w:lineRule="exact"/>
        <w:jc w:val="left"/>
        <w:rPr>
          <w:rFonts w:hAnsi="宋体" w:cs="宋体"/>
          <w:b/>
          <w:bCs/>
          <w:color w:val="auto"/>
          <w:szCs w:val="21"/>
        </w:rPr>
      </w:pPr>
      <w:r>
        <w:rPr>
          <w:rFonts w:hint="eastAsia" w:hAnsi="宋体" w:cs="宋体"/>
          <w:b/>
          <w:bCs/>
          <w:color w:val="auto"/>
          <w:szCs w:val="21"/>
        </w:rPr>
        <w:t>售后服务方案分…………………………………………………………………满分16分</w:t>
      </w:r>
    </w:p>
    <w:p w14:paraId="3127D427">
      <w:pPr>
        <w:pStyle w:val="11"/>
        <w:ind w:firstLine="420" w:firstLineChars="200"/>
        <w:outlineLvl w:val="5"/>
        <w:rPr>
          <w:rFonts w:ascii="宋体" w:hAnsi="宋体" w:cs="宋体"/>
          <w:b w:val="0"/>
          <w:bCs w:val="0"/>
          <w:color w:val="auto"/>
          <w:szCs w:val="21"/>
        </w:rPr>
      </w:pPr>
      <w:r>
        <w:rPr>
          <w:rFonts w:hint="eastAsia" w:ascii="宋体" w:hAnsi="宋体" w:cs="宋体"/>
          <w:b w:val="0"/>
          <w:bCs w:val="0"/>
          <w:color w:val="auto"/>
          <w:szCs w:val="21"/>
        </w:rPr>
        <w:t>（1）评委根据各响应文件提供的售后服务方案内容（10分）</w:t>
      </w:r>
    </w:p>
    <w:p w14:paraId="14CB6881">
      <w:pPr>
        <w:pStyle w:val="11"/>
        <w:ind w:firstLine="420" w:firstLineChars="200"/>
        <w:outlineLvl w:val="5"/>
        <w:rPr>
          <w:rFonts w:hint="eastAsia" w:ascii="宋体" w:hAnsi="宋体" w:cs="宋体"/>
          <w:color w:val="auto"/>
          <w:szCs w:val="21"/>
        </w:rPr>
      </w:pPr>
      <w:r>
        <w:rPr>
          <w:rFonts w:hint="eastAsia" w:ascii="宋体" w:hAnsi="宋体" w:cs="宋体"/>
          <w:color w:val="auto"/>
          <w:szCs w:val="21"/>
        </w:rPr>
        <w:t>包含但不限于：</w:t>
      </w:r>
    </w:p>
    <w:p w14:paraId="6F7CAD16">
      <w:pPr>
        <w:pStyle w:val="11"/>
        <w:ind w:firstLine="420" w:firstLineChars="200"/>
        <w:outlineLvl w:val="5"/>
        <w:rPr>
          <w:rFonts w:hint="eastAsia" w:ascii="宋体" w:hAnsi="宋体" w:cs="宋体"/>
          <w:color w:val="auto"/>
          <w:szCs w:val="21"/>
          <w:lang w:val="en-US" w:eastAsia="zh-CN"/>
        </w:rPr>
      </w:pPr>
      <w:r>
        <w:rPr>
          <w:rFonts w:hint="eastAsia" w:ascii="宋体" w:hAnsi="宋体" w:cs="宋体"/>
          <w:color w:val="auto"/>
          <w:szCs w:val="21"/>
        </w:rPr>
        <w:t>①服务态度、服务效率、服务质量承诺：包括投诉处理及回访率、对服务满意率等；</w:t>
      </w:r>
      <w:r>
        <w:rPr>
          <w:rFonts w:hint="eastAsia" w:ascii="宋体" w:hAnsi="宋体" w:cs="宋体"/>
          <w:color w:val="auto"/>
          <w:szCs w:val="21"/>
          <w:lang w:val="en-US" w:eastAsia="zh-CN"/>
        </w:rPr>
        <w:t xml:space="preserve">  </w:t>
      </w:r>
    </w:p>
    <w:p w14:paraId="024751D2">
      <w:pPr>
        <w:pStyle w:val="11"/>
        <w:ind w:firstLine="420" w:firstLineChars="200"/>
        <w:outlineLvl w:val="5"/>
        <w:rPr>
          <w:rFonts w:hint="eastAsia" w:ascii="宋体" w:hAnsi="宋体" w:cs="宋体"/>
          <w:color w:val="auto"/>
          <w:szCs w:val="21"/>
        </w:rPr>
      </w:pPr>
      <w:r>
        <w:rPr>
          <w:rFonts w:hint="eastAsia" w:ascii="宋体" w:hAnsi="宋体" w:cs="宋体"/>
          <w:color w:val="auto"/>
          <w:szCs w:val="21"/>
        </w:rPr>
        <w:t>②对责任事故的处理承诺；</w:t>
      </w:r>
    </w:p>
    <w:p w14:paraId="2F5A3345">
      <w:pPr>
        <w:pStyle w:val="11"/>
        <w:ind w:firstLine="420" w:firstLineChars="200"/>
        <w:outlineLvl w:val="5"/>
        <w:rPr>
          <w:rFonts w:hint="eastAsia" w:ascii="宋体" w:hAnsi="宋体" w:cs="宋体"/>
          <w:color w:val="auto"/>
          <w:szCs w:val="21"/>
        </w:rPr>
      </w:pPr>
      <w:r>
        <w:rPr>
          <w:rFonts w:hint="eastAsia" w:ascii="宋体" w:hAnsi="宋体" w:cs="宋体"/>
          <w:color w:val="auto"/>
          <w:szCs w:val="21"/>
        </w:rPr>
        <w:t>③其他服务承诺；</w:t>
      </w:r>
    </w:p>
    <w:p w14:paraId="6ED04F72">
      <w:pPr>
        <w:pStyle w:val="11"/>
        <w:ind w:firstLine="420" w:firstLineChars="200"/>
        <w:outlineLvl w:val="5"/>
        <w:rPr>
          <w:rFonts w:ascii="宋体" w:hAnsi="宋体" w:cs="宋体"/>
          <w:color w:val="auto"/>
          <w:szCs w:val="21"/>
        </w:rPr>
      </w:pPr>
      <w:r>
        <w:rPr>
          <w:rFonts w:hint="eastAsia" w:ascii="宋体" w:hAnsi="宋体" w:cs="宋体"/>
          <w:color w:val="auto"/>
          <w:szCs w:val="21"/>
        </w:rPr>
        <w:t xml:space="preserve">④售后服务保障的完整性、合理性、针对性进行独立评审。 </w:t>
      </w:r>
    </w:p>
    <w:p w14:paraId="1B975A88">
      <w:pPr>
        <w:pStyle w:val="11"/>
        <w:ind w:firstLine="420" w:firstLineChars="200"/>
        <w:outlineLvl w:val="5"/>
        <w:rPr>
          <w:rFonts w:ascii="宋体" w:hAnsi="宋体" w:cs="宋体"/>
          <w:color w:val="auto"/>
          <w:szCs w:val="21"/>
        </w:rPr>
      </w:pPr>
      <w:r>
        <w:rPr>
          <w:rFonts w:hint="eastAsia" w:ascii="宋体" w:hAnsi="宋体" w:cs="宋体"/>
          <w:color w:val="auto"/>
          <w:szCs w:val="21"/>
        </w:rPr>
        <w:t>一档：响应文件提供的方案内容无相应内容的，得0分。</w:t>
      </w:r>
    </w:p>
    <w:p w14:paraId="699E0004">
      <w:pPr>
        <w:pStyle w:val="11"/>
        <w:ind w:firstLine="420" w:firstLineChars="200"/>
        <w:outlineLvl w:val="5"/>
        <w:rPr>
          <w:rFonts w:ascii="宋体" w:hAnsi="宋体" w:cs="宋体"/>
          <w:color w:val="auto"/>
          <w:szCs w:val="21"/>
        </w:rPr>
      </w:pPr>
      <w:r>
        <w:rPr>
          <w:rFonts w:hint="eastAsia" w:ascii="宋体" w:hAnsi="宋体" w:cs="宋体"/>
          <w:color w:val="auto"/>
          <w:szCs w:val="21"/>
        </w:rPr>
        <w:t>二档：方案内容全面（4项要求内容均有提供）且有1项内容经评定为优秀的，得2分；</w:t>
      </w:r>
    </w:p>
    <w:p w14:paraId="541776B3">
      <w:pPr>
        <w:pStyle w:val="11"/>
        <w:ind w:firstLine="420" w:firstLineChars="200"/>
        <w:outlineLvl w:val="5"/>
        <w:rPr>
          <w:rFonts w:ascii="宋体" w:hAnsi="宋体" w:cs="宋体"/>
          <w:color w:val="auto"/>
          <w:szCs w:val="21"/>
        </w:rPr>
      </w:pPr>
      <w:r>
        <w:rPr>
          <w:rFonts w:hint="eastAsia" w:ascii="宋体" w:hAnsi="宋体" w:cs="宋体"/>
          <w:color w:val="auto"/>
          <w:szCs w:val="21"/>
        </w:rPr>
        <w:t>三档：方案内容全面（4项要求内容均有提供）且有2项内容评定为优秀的，得5分；</w:t>
      </w:r>
    </w:p>
    <w:p w14:paraId="45004828">
      <w:pPr>
        <w:pStyle w:val="11"/>
        <w:ind w:firstLine="420" w:firstLineChars="200"/>
        <w:outlineLvl w:val="5"/>
        <w:rPr>
          <w:rFonts w:ascii="宋体" w:hAnsi="宋体" w:cs="宋体"/>
          <w:color w:val="auto"/>
          <w:szCs w:val="21"/>
        </w:rPr>
      </w:pPr>
      <w:r>
        <w:rPr>
          <w:rFonts w:hint="eastAsia" w:ascii="宋体" w:hAnsi="宋体" w:cs="宋体"/>
          <w:color w:val="auto"/>
          <w:szCs w:val="21"/>
        </w:rPr>
        <w:t>四档：方案内容全面（4项要求内容均有提供）且有3项内容评定为优秀的，得8分。</w:t>
      </w:r>
    </w:p>
    <w:p w14:paraId="51331F90">
      <w:pPr>
        <w:pStyle w:val="11"/>
        <w:ind w:firstLine="420" w:firstLineChars="200"/>
        <w:outlineLvl w:val="5"/>
        <w:rPr>
          <w:rFonts w:ascii="宋体" w:hAnsi="宋体" w:cs="宋体"/>
          <w:color w:val="auto"/>
          <w:szCs w:val="21"/>
        </w:rPr>
      </w:pPr>
      <w:r>
        <w:rPr>
          <w:rFonts w:hint="eastAsia" w:ascii="宋体" w:hAnsi="宋体" w:cs="宋体"/>
          <w:color w:val="auto"/>
          <w:szCs w:val="21"/>
        </w:rPr>
        <w:t>五档：方案内容全面（4项要求内容均有提供）且4项内容均评定为优秀的，得10分。</w:t>
      </w:r>
    </w:p>
    <w:p w14:paraId="342A3DCF">
      <w:pPr>
        <w:pStyle w:val="11"/>
        <w:ind w:firstLine="420" w:firstLineChars="200"/>
        <w:outlineLvl w:val="5"/>
        <w:rPr>
          <w:rFonts w:ascii="宋体" w:hAnsi="宋体" w:cs="宋体"/>
          <w:color w:val="auto"/>
          <w:szCs w:val="21"/>
        </w:rPr>
      </w:pPr>
      <w:r>
        <w:rPr>
          <w:rFonts w:hint="eastAsia" w:ascii="宋体" w:hAnsi="宋体" w:cs="宋体"/>
          <w:b/>
          <w:bCs/>
          <w:color w:val="auto"/>
          <w:szCs w:val="21"/>
        </w:rPr>
        <w:t>备注：</w:t>
      </w:r>
      <w:r>
        <w:rPr>
          <w:rFonts w:hint="eastAsia" w:ascii="宋体" w:hAnsi="宋体" w:cs="宋体"/>
          <w:color w:val="auto"/>
          <w:szCs w:val="21"/>
        </w:rPr>
        <w:t>优秀的定位为：方案详细，步骤清晰；提供的具体措施符合项目实际情况，具有可行性；计划安排标注有明确的时间且符合项目情况。</w:t>
      </w:r>
    </w:p>
    <w:p w14:paraId="7C51B63F">
      <w:pPr>
        <w:pStyle w:val="11"/>
        <w:numPr>
          <w:ilvl w:val="0"/>
          <w:numId w:val="0"/>
        </w:numPr>
        <w:ind w:firstLine="420" w:firstLineChars="200"/>
        <w:outlineLvl w:val="5"/>
        <w:rPr>
          <w:rFonts w:ascii="宋体" w:hAnsi="宋体" w:cs="宋体"/>
          <w:b w:val="0"/>
          <w:bCs w:val="0"/>
          <w:color w:val="auto"/>
          <w:szCs w:val="21"/>
        </w:rPr>
      </w:pPr>
      <w:r>
        <w:rPr>
          <w:rFonts w:hint="eastAsia" w:ascii="宋体" w:hAnsi="宋体" w:cs="宋体"/>
          <w:b w:val="0"/>
          <w:bCs w:val="0"/>
          <w:color w:val="auto"/>
          <w:szCs w:val="21"/>
          <w:lang w:eastAsia="zh-CN"/>
        </w:rPr>
        <w:t>（</w:t>
      </w:r>
      <w:r>
        <w:rPr>
          <w:rFonts w:hint="eastAsia" w:ascii="宋体" w:hAnsi="宋体" w:cs="宋体"/>
          <w:b w:val="0"/>
          <w:bCs w:val="0"/>
          <w:color w:val="auto"/>
          <w:szCs w:val="21"/>
          <w:lang w:val="en-US" w:eastAsia="zh-CN"/>
        </w:rPr>
        <w:t>2</w:t>
      </w:r>
      <w:r>
        <w:rPr>
          <w:rFonts w:hint="eastAsia" w:ascii="宋体" w:hAnsi="宋体" w:cs="宋体"/>
          <w:b w:val="0"/>
          <w:bCs w:val="0"/>
          <w:color w:val="auto"/>
          <w:szCs w:val="21"/>
          <w:lang w:eastAsia="zh-CN"/>
        </w:rPr>
        <w:t>）</w:t>
      </w:r>
      <w:r>
        <w:rPr>
          <w:rFonts w:hint="eastAsia" w:ascii="宋体" w:hAnsi="宋体" w:cs="宋体"/>
          <w:b w:val="0"/>
          <w:bCs w:val="0"/>
          <w:color w:val="auto"/>
          <w:szCs w:val="21"/>
        </w:rPr>
        <w:t>突发事件响应时间承诺及日常及紧急服务响应方案（6分）</w:t>
      </w:r>
    </w:p>
    <w:p w14:paraId="4D422FA7">
      <w:pPr>
        <w:pStyle w:val="11"/>
        <w:ind w:left="420" w:leftChars="200"/>
        <w:outlineLvl w:val="5"/>
        <w:rPr>
          <w:rFonts w:ascii="宋体" w:hAnsi="宋体" w:cs="宋体"/>
          <w:b w:val="0"/>
          <w:bCs w:val="0"/>
          <w:color w:val="auto"/>
          <w:szCs w:val="21"/>
        </w:rPr>
      </w:pPr>
      <w:r>
        <w:rPr>
          <w:rFonts w:hint="eastAsia" w:ascii="宋体" w:hAnsi="宋体" w:cs="宋体"/>
          <w:b w:val="0"/>
          <w:bCs w:val="0"/>
          <w:color w:val="auto"/>
          <w:szCs w:val="21"/>
        </w:rPr>
        <w:t>一档（0分）：超过 3 个小时或未能提供以上承诺的，且不提供日常及紧急服务响应方案不得分；</w:t>
      </w:r>
    </w:p>
    <w:p w14:paraId="57CE427D">
      <w:pPr>
        <w:pStyle w:val="11"/>
        <w:ind w:firstLine="420" w:firstLineChars="200"/>
        <w:outlineLvl w:val="5"/>
        <w:rPr>
          <w:rFonts w:ascii="宋体" w:hAnsi="宋体" w:cs="宋体"/>
          <w:b w:val="0"/>
          <w:bCs w:val="0"/>
          <w:color w:val="auto"/>
          <w:szCs w:val="21"/>
        </w:rPr>
      </w:pPr>
      <w:r>
        <w:rPr>
          <w:rFonts w:hint="eastAsia" w:ascii="宋体" w:hAnsi="宋体" w:cs="宋体"/>
          <w:b w:val="0"/>
          <w:bCs w:val="0"/>
          <w:color w:val="auto"/>
          <w:szCs w:val="21"/>
        </w:rPr>
        <w:t>二档（2分）：2-3小时（含）内到达采购人指定地点进行医用织物取送服务的，日常及紧急服务响应方案，基本能满足医院需求的；</w:t>
      </w:r>
    </w:p>
    <w:p w14:paraId="2D073C61">
      <w:pPr>
        <w:pStyle w:val="11"/>
        <w:ind w:firstLine="420" w:firstLineChars="200"/>
        <w:outlineLvl w:val="5"/>
        <w:rPr>
          <w:rFonts w:ascii="宋体" w:hAnsi="宋体" w:cs="宋体"/>
          <w:b w:val="0"/>
          <w:bCs w:val="0"/>
          <w:color w:val="auto"/>
          <w:szCs w:val="21"/>
        </w:rPr>
      </w:pPr>
      <w:r>
        <w:rPr>
          <w:rFonts w:hint="eastAsia" w:ascii="宋体" w:hAnsi="宋体" w:cs="宋体"/>
          <w:b w:val="0"/>
          <w:bCs w:val="0"/>
          <w:color w:val="auto"/>
          <w:szCs w:val="21"/>
        </w:rPr>
        <w:t>三档（4分）：1-2小时（含）内到达采购人指定地点进行医用织物取送服务的，日常及紧急服务响应方案良好，能满足医院需求的；</w:t>
      </w:r>
    </w:p>
    <w:p w14:paraId="281819CE">
      <w:pPr>
        <w:pStyle w:val="11"/>
        <w:ind w:firstLine="420" w:firstLineChars="200"/>
        <w:outlineLvl w:val="5"/>
        <w:rPr>
          <w:rFonts w:ascii="宋体" w:hAnsi="宋体" w:cs="宋体"/>
          <w:b w:val="0"/>
          <w:bCs w:val="0"/>
          <w:color w:val="auto"/>
          <w:szCs w:val="21"/>
        </w:rPr>
      </w:pPr>
      <w:r>
        <w:rPr>
          <w:rFonts w:hint="eastAsia" w:ascii="宋体" w:hAnsi="宋体" w:cs="宋体"/>
          <w:b w:val="0"/>
          <w:bCs w:val="0"/>
          <w:color w:val="auto"/>
          <w:szCs w:val="21"/>
        </w:rPr>
        <w:t>四档（6分）：1小时以下到达采购人指定地点进行医用织物取送服务的，日常及紧急服务响应方案优秀，能完全满足医院需求的。</w:t>
      </w:r>
    </w:p>
    <w:p w14:paraId="6B5199B4">
      <w:pPr>
        <w:numPr>
          <w:ilvl w:val="0"/>
          <w:numId w:val="12"/>
        </w:numPr>
        <w:spacing w:line="440" w:lineRule="exact"/>
        <w:jc w:val="left"/>
        <w:rPr>
          <w:rFonts w:hAnsi="宋体" w:cs="宋体"/>
          <w:b/>
          <w:color w:val="auto"/>
          <w:szCs w:val="21"/>
        </w:rPr>
      </w:pPr>
      <w:r>
        <w:rPr>
          <w:rFonts w:hint="eastAsia" w:hAnsi="宋体" w:cs="宋体"/>
          <w:b/>
          <w:color w:val="auto"/>
          <w:szCs w:val="21"/>
        </w:rPr>
        <w:t>履约能力分………………………………………………………………………………………16分</w:t>
      </w:r>
    </w:p>
    <w:p w14:paraId="503C3427">
      <w:pPr>
        <w:pStyle w:val="11"/>
        <w:numPr>
          <w:ilvl w:val="0"/>
          <w:numId w:val="13"/>
        </w:numPr>
        <w:outlineLvl w:val="5"/>
        <w:rPr>
          <w:rFonts w:ascii="宋体" w:hAnsi="宋体" w:cs="宋体"/>
          <w:color w:val="auto"/>
          <w:szCs w:val="21"/>
        </w:rPr>
      </w:pPr>
      <w:r>
        <w:rPr>
          <w:rFonts w:hint="eastAsia" w:ascii="宋体" w:hAnsi="宋体" w:cs="宋体"/>
          <w:color w:val="auto"/>
          <w:szCs w:val="21"/>
        </w:rPr>
        <w:t>厂房使用面积及功能区域划分分（11分）</w:t>
      </w:r>
    </w:p>
    <w:p w14:paraId="600DF56B">
      <w:pPr>
        <w:pStyle w:val="11"/>
        <w:ind w:firstLine="420" w:firstLineChars="200"/>
        <w:outlineLvl w:val="5"/>
        <w:rPr>
          <w:rFonts w:ascii="宋体" w:hAnsi="宋体" w:cs="宋体"/>
          <w:color w:val="auto"/>
          <w:szCs w:val="21"/>
        </w:rPr>
      </w:pPr>
      <w:r>
        <w:rPr>
          <w:rFonts w:hint="eastAsia" w:ascii="宋体" w:hAnsi="宋体" w:cs="宋体"/>
          <w:color w:val="auto"/>
          <w:szCs w:val="21"/>
        </w:rPr>
        <w:t>磋商小组根据供应商提供的厂房使用面积及功能区域划分方面内容（包含但不限于：①洗涤厂的相关各功能区平面图，②各区域情况介绍，③各区域功能说明，④设施配置的情况）的合理可行性、针对性进行独立评审并按以下规则独立打分：</w:t>
      </w:r>
    </w:p>
    <w:p w14:paraId="46AFCEC2">
      <w:pPr>
        <w:pStyle w:val="11"/>
        <w:ind w:firstLine="420" w:firstLineChars="200"/>
        <w:outlineLvl w:val="5"/>
        <w:rPr>
          <w:rFonts w:ascii="宋体" w:hAnsi="宋体" w:cs="宋体"/>
          <w:color w:val="auto"/>
          <w:szCs w:val="21"/>
        </w:rPr>
      </w:pPr>
      <w:r>
        <w:rPr>
          <w:rFonts w:hint="eastAsia" w:ascii="宋体" w:hAnsi="宋体" w:cs="宋体"/>
          <w:color w:val="auto"/>
          <w:szCs w:val="21"/>
        </w:rPr>
        <w:t>一档（0分）：未提供厂房使用面积及功能区域划分的；</w:t>
      </w:r>
    </w:p>
    <w:p w14:paraId="4F13084D">
      <w:pPr>
        <w:pStyle w:val="11"/>
        <w:ind w:firstLine="420" w:firstLineChars="200"/>
        <w:outlineLvl w:val="5"/>
        <w:rPr>
          <w:rFonts w:ascii="宋体" w:hAnsi="宋体" w:cs="宋体"/>
          <w:color w:val="auto"/>
          <w:szCs w:val="21"/>
        </w:rPr>
      </w:pPr>
      <w:r>
        <w:rPr>
          <w:rFonts w:hint="eastAsia" w:ascii="宋体" w:hAnsi="宋体" w:cs="宋体"/>
          <w:color w:val="auto"/>
          <w:szCs w:val="21"/>
        </w:rPr>
        <w:t>二档（</w:t>
      </w:r>
      <w:r>
        <w:rPr>
          <w:rFonts w:hint="eastAsia" w:ascii="宋体" w:hAnsi="宋体" w:cs="宋体"/>
          <w:color w:val="auto"/>
          <w:szCs w:val="21"/>
          <w:lang w:val="en-US" w:eastAsia="zh-CN"/>
        </w:rPr>
        <w:t>4</w:t>
      </w:r>
      <w:r>
        <w:rPr>
          <w:rFonts w:hint="eastAsia" w:ascii="宋体" w:hAnsi="宋体" w:cs="宋体"/>
          <w:color w:val="auto"/>
          <w:szCs w:val="21"/>
        </w:rPr>
        <w:t>分）：三项评审因素有一项内容经评审合理、可行且具有针对性的。</w:t>
      </w:r>
    </w:p>
    <w:p w14:paraId="3CBF087E">
      <w:pPr>
        <w:pStyle w:val="11"/>
        <w:ind w:firstLine="420" w:firstLineChars="200"/>
        <w:outlineLvl w:val="5"/>
        <w:rPr>
          <w:rFonts w:ascii="宋体" w:hAnsi="宋体" w:cs="宋体"/>
          <w:color w:val="auto"/>
          <w:szCs w:val="21"/>
        </w:rPr>
      </w:pPr>
      <w:r>
        <w:rPr>
          <w:rFonts w:hint="eastAsia" w:ascii="宋体" w:hAnsi="宋体" w:cs="宋体"/>
          <w:color w:val="auto"/>
          <w:szCs w:val="21"/>
        </w:rPr>
        <w:t>三档（</w:t>
      </w:r>
      <w:r>
        <w:rPr>
          <w:rFonts w:hint="eastAsia" w:ascii="宋体" w:hAnsi="宋体" w:cs="宋体"/>
          <w:color w:val="auto"/>
          <w:szCs w:val="21"/>
          <w:lang w:val="en-US" w:eastAsia="zh-CN"/>
        </w:rPr>
        <w:t>8</w:t>
      </w:r>
      <w:r>
        <w:rPr>
          <w:rFonts w:hint="eastAsia" w:ascii="宋体" w:hAnsi="宋体" w:cs="宋体"/>
          <w:color w:val="auto"/>
          <w:szCs w:val="21"/>
        </w:rPr>
        <w:t>分）：三项评审因素有二项内容经评审合理、可行且具有针对性的。</w:t>
      </w:r>
    </w:p>
    <w:p w14:paraId="2326E985">
      <w:pPr>
        <w:pStyle w:val="11"/>
        <w:ind w:firstLine="420" w:firstLineChars="200"/>
        <w:outlineLvl w:val="5"/>
        <w:rPr>
          <w:rFonts w:ascii="宋体" w:hAnsi="宋体" w:cs="宋体"/>
          <w:color w:val="auto"/>
          <w:szCs w:val="21"/>
        </w:rPr>
      </w:pPr>
      <w:r>
        <w:rPr>
          <w:rFonts w:hint="eastAsia" w:ascii="宋体" w:hAnsi="宋体" w:cs="宋体"/>
          <w:color w:val="auto"/>
          <w:szCs w:val="21"/>
        </w:rPr>
        <w:t>四档（</w:t>
      </w:r>
      <w:r>
        <w:rPr>
          <w:rFonts w:hint="eastAsia" w:ascii="宋体" w:hAnsi="宋体" w:cs="宋体"/>
          <w:color w:val="auto"/>
          <w:szCs w:val="21"/>
          <w:lang w:val="en-US" w:eastAsia="zh-CN"/>
        </w:rPr>
        <w:t>11</w:t>
      </w:r>
      <w:r>
        <w:rPr>
          <w:rFonts w:hint="eastAsia" w:ascii="宋体" w:hAnsi="宋体" w:cs="宋体"/>
          <w:color w:val="auto"/>
          <w:szCs w:val="21"/>
        </w:rPr>
        <w:t>分）：三项评审因素均合理、可行且具有针对性的。</w:t>
      </w:r>
    </w:p>
    <w:p w14:paraId="11BA518A">
      <w:pPr>
        <w:pStyle w:val="11"/>
        <w:numPr>
          <w:ilvl w:val="0"/>
          <w:numId w:val="13"/>
        </w:numPr>
        <w:outlineLvl w:val="5"/>
        <w:rPr>
          <w:rFonts w:ascii="宋体" w:hAnsi="宋体" w:cs="宋体"/>
          <w:color w:val="auto"/>
          <w:szCs w:val="21"/>
        </w:rPr>
      </w:pPr>
      <w:r>
        <w:rPr>
          <w:rFonts w:hint="eastAsia" w:ascii="宋体" w:hAnsi="宋体" w:cs="宋体"/>
          <w:color w:val="auto"/>
          <w:szCs w:val="21"/>
        </w:rPr>
        <w:t>供应商获得在有效期内的 ISO9001 质量管理体系、OSHAS18001 职业健康安全管理体系、ISO14001 环境管理体系、 ISO/IEC27001 信息安全管理体系、 ISO50001 能源管理体系；（证书认证范围与本项目专业洗涤服务相关且在有效期内），以上资料均要求提供复印件加盖公章。（投标文件中提供相关有效认证 证书复印件，加盖供应商公章或者电子签章），每获得一项得1分，最多得5分。（满分5分）</w:t>
      </w:r>
    </w:p>
    <w:p w14:paraId="67B25A91">
      <w:pPr>
        <w:numPr>
          <w:ilvl w:val="0"/>
          <w:numId w:val="12"/>
        </w:numPr>
        <w:spacing w:line="440" w:lineRule="exact"/>
        <w:jc w:val="left"/>
        <w:rPr>
          <w:rFonts w:hAnsi="宋体" w:cs="宋体"/>
          <w:b/>
          <w:color w:val="auto"/>
          <w:szCs w:val="21"/>
        </w:rPr>
      </w:pPr>
      <w:r>
        <w:rPr>
          <w:rFonts w:hint="eastAsia" w:hAnsi="宋体" w:cs="宋体"/>
          <w:b/>
          <w:color w:val="auto"/>
          <w:szCs w:val="21"/>
        </w:rPr>
        <w:t>业绩分……………………………………………………………………………………………10分</w:t>
      </w:r>
    </w:p>
    <w:p w14:paraId="66372022">
      <w:pPr>
        <w:ind w:firstLine="420" w:firstLineChars="200"/>
        <w:rPr>
          <w:rFonts w:ascii="宋体" w:hAnsi="Courier New"/>
          <w:color w:val="auto"/>
          <w:szCs w:val="21"/>
        </w:rPr>
      </w:pPr>
      <w:r>
        <w:rPr>
          <w:rFonts w:hint="eastAsia" w:ascii="宋体" w:hAnsi="Courier New"/>
          <w:color w:val="auto"/>
          <w:szCs w:val="21"/>
        </w:rPr>
        <w:t>2021年以来供应商有完成过</w:t>
      </w:r>
      <w:r>
        <w:rPr>
          <w:rFonts w:hint="eastAsia" w:ascii="宋体" w:hAnsi="宋体" w:cs="宋体"/>
          <w:color w:val="auto"/>
          <w:szCs w:val="21"/>
        </w:rPr>
        <w:t>同类业绩（指医院织物洗涤或租赁[无不良记录，以中标、成交通知书或相应的销售合同为准，并能清晰反映所销售的合同主体、货物名称、数量、签订时间等，否则，不得分；同一个编号的项目有两个或两个以上的分标中标的只算一次]），每个得2分，</w:t>
      </w:r>
      <w:r>
        <w:rPr>
          <w:rFonts w:hint="eastAsia" w:ascii="宋体" w:hAnsi="宋体" w:cs="宋体"/>
          <w:b/>
          <w:bCs/>
          <w:color w:val="auto"/>
          <w:szCs w:val="21"/>
        </w:rPr>
        <w:t>满分10分</w:t>
      </w:r>
      <w:r>
        <w:rPr>
          <w:rFonts w:hint="eastAsia" w:ascii="宋体" w:hAnsi="宋体" w:cs="宋体"/>
          <w:color w:val="auto"/>
          <w:szCs w:val="21"/>
        </w:rPr>
        <w:t>。</w:t>
      </w:r>
    </w:p>
    <w:p w14:paraId="398BF17A">
      <w:pPr>
        <w:pStyle w:val="8"/>
        <w:ind w:left="0"/>
        <w:rPr>
          <w:b/>
          <w:bCs/>
          <w:color w:val="auto"/>
        </w:rPr>
      </w:pPr>
      <w:r>
        <w:rPr>
          <w:rFonts w:hint="eastAsia"/>
          <w:b/>
          <w:bCs/>
          <w:color w:val="auto"/>
        </w:rPr>
        <w:t>注：以上证明材料复印件必须加盖供应商公章，否则不得分。</w:t>
      </w:r>
    </w:p>
    <w:p w14:paraId="06AC9E53">
      <w:pPr>
        <w:numPr>
          <w:ilvl w:val="0"/>
          <w:numId w:val="12"/>
        </w:numPr>
        <w:spacing w:line="440" w:lineRule="exact"/>
        <w:jc w:val="left"/>
        <w:rPr>
          <w:rFonts w:hAnsi="宋体" w:cs="宋体"/>
          <w:b/>
          <w:color w:val="auto"/>
          <w:szCs w:val="21"/>
        </w:rPr>
      </w:pPr>
      <w:r>
        <w:rPr>
          <w:rFonts w:hint="eastAsia" w:hAnsi="宋体" w:cs="宋体"/>
          <w:b/>
          <w:color w:val="auto"/>
          <w:szCs w:val="21"/>
        </w:rPr>
        <w:t>总得分=1+2+3+4+5</w:t>
      </w:r>
    </w:p>
    <w:p w14:paraId="4DB05923">
      <w:pPr>
        <w:pStyle w:val="17"/>
        <w:numPr>
          <w:ilvl w:val="0"/>
          <w:numId w:val="10"/>
        </w:numPr>
        <w:spacing w:line="380" w:lineRule="exact"/>
        <w:rPr>
          <w:rFonts w:hAnsi="宋体" w:cs="宋体"/>
          <w:b/>
          <w:bCs/>
          <w:color w:val="auto"/>
          <w:szCs w:val="21"/>
        </w:rPr>
      </w:pPr>
      <w:r>
        <w:rPr>
          <w:rFonts w:hint="eastAsia" w:hAnsi="宋体" w:cs="宋体"/>
          <w:b/>
          <w:bCs/>
          <w:color w:val="auto"/>
          <w:szCs w:val="21"/>
        </w:rPr>
        <w:t>推荐及确定中标候选供应商原则</w:t>
      </w:r>
    </w:p>
    <w:p w14:paraId="5166EE3D">
      <w:pPr>
        <w:spacing w:line="400" w:lineRule="exact"/>
        <w:ind w:firstLine="420" w:firstLineChars="200"/>
        <w:rPr>
          <w:rFonts w:ascii="宋体" w:hAnsi="Courier New"/>
          <w:color w:val="auto"/>
          <w:szCs w:val="21"/>
        </w:rPr>
      </w:pPr>
      <w:r>
        <w:rPr>
          <w:rFonts w:hint="eastAsia" w:ascii="宋体" w:hAnsi="Courier New"/>
          <w:color w:val="auto"/>
          <w:szCs w:val="21"/>
        </w:rPr>
        <w:t>（1）磋商小组应当根据综合得分情况，按照综合得分由高到低顺序推荐成交候选供应商，并编写评审报告。磋商小组根据综合得分由高到低排列次序，若得分相同时，以最后报价由低到高顺序排列；若仍相同的，依次按项目管理方案、履约能力、售后服务方案、业绩由高到低顺序排列并推荐成交候选供应商。</w:t>
      </w:r>
    </w:p>
    <w:p w14:paraId="709EDC3A">
      <w:pPr>
        <w:spacing w:line="400" w:lineRule="exact"/>
        <w:ind w:firstLine="420" w:firstLineChars="200"/>
        <w:rPr>
          <w:rFonts w:ascii="宋体" w:hAnsi="Courier New"/>
          <w:color w:val="auto"/>
          <w:szCs w:val="21"/>
        </w:rPr>
      </w:pPr>
      <w:r>
        <w:rPr>
          <w:rFonts w:hint="eastAsia" w:ascii="宋体" w:hAnsi="Courier New"/>
          <w:color w:val="auto"/>
          <w:szCs w:val="21"/>
        </w:rPr>
        <w:t>（2）本项目共确定一名成交供应商。采购单位应当确定磋商小组推荐排名第一的成交候选供应商为成交供应商。</w:t>
      </w:r>
    </w:p>
    <w:p w14:paraId="6723DCB2">
      <w:pPr>
        <w:pStyle w:val="17"/>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b/>
          <w:bCs/>
          <w:color w:val="auto"/>
          <w:sz w:val="21"/>
          <w:szCs w:val="21"/>
        </w:rPr>
      </w:pPr>
      <w:r>
        <w:rPr>
          <w:rFonts w:hint="eastAsia" w:ascii="宋体" w:hAnsi="Courier New"/>
          <w:color w:val="auto"/>
          <w:szCs w:val="21"/>
          <w:highlight w:val="none"/>
        </w:rPr>
        <w:t>（3）排名第一的成交候选供应商放弃成交、因不可抗力提出不能履行合同，或因失信行为被取消成交候选人资格的，</w:t>
      </w:r>
      <w:r>
        <w:rPr>
          <w:rFonts w:hint="eastAsia" w:ascii="宋体" w:hAnsi="宋体" w:eastAsia="宋体" w:cs="宋体"/>
          <w:b/>
          <w:bCs/>
          <w:color w:val="auto"/>
          <w:sz w:val="21"/>
          <w:szCs w:val="21"/>
        </w:rPr>
        <w:t>采</w:t>
      </w:r>
      <w:r>
        <w:rPr>
          <w:rFonts w:hint="eastAsia" w:ascii="宋体" w:hAnsi="宋体" w:eastAsia="宋体" w:cs="宋体"/>
          <w:b/>
          <w:bCs/>
          <w:color w:val="auto"/>
          <w:sz w:val="21"/>
          <w:szCs w:val="21"/>
          <w:highlight w:val="none"/>
        </w:rPr>
        <w:t>购</w:t>
      </w:r>
      <w:r>
        <w:rPr>
          <w:rFonts w:hint="eastAsia"/>
          <w:b/>
          <w:bCs/>
          <w:color w:val="auto"/>
          <w:szCs w:val="21"/>
          <w:highlight w:val="none"/>
          <w:lang w:val="en-US" w:eastAsia="zh-CN"/>
        </w:rPr>
        <w:t>人</w:t>
      </w:r>
      <w:r>
        <w:rPr>
          <w:rFonts w:hint="eastAsia" w:ascii="宋体" w:hAnsi="宋体" w:eastAsia="宋体" w:cs="宋体"/>
          <w:b/>
          <w:bCs/>
          <w:color w:val="auto"/>
          <w:sz w:val="21"/>
          <w:szCs w:val="21"/>
          <w:highlight w:val="none"/>
        </w:rPr>
        <w:t>可</w:t>
      </w:r>
      <w:r>
        <w:rPr>
          <w:rFonts w:hint="eastAsia" w:ascii="宋体" w:hAnsi="宋体" w:eastAsia="宋体" w:cs="宋体"/>
          <w:b/>
          <w:bCs/>
          <w:color w:val="auto"/>
          <w:sz w:val="21"/>
          <w:szCs w:val="21"/>
        </w:rPr>
        <w:t>以按照评审报告推荐的成交候选供应商名单排序，确定下一候选供应商成交</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以此类推</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，也可以重新</w:t>
      </w:r>
      <w:r>
        <w:rPr>
          <w:rFonts w:hint="eastAsia" w:ascii="宋体" w:hAnsi="宋体" w:eastAsia="宋体" w:cs="宋体"/>
          <w:b/>
          <w:bCs/>
          <w:color w:val="auto"/>
          <w:kern w:val="0"/>
          <w:sz w:val="21"/>
          <w:szCs w:val="21"/>
        </w:rPr>
        <w:t>组织采购活动</w:t>
      </w:r>
      <w:r>
        <w:rPr>
          <w:rFonts w:hint="eastAsia" w:ascii="宋体" w:hAnsi="宋体" w:eastAsia="宋体" w:cs="宋体"/>
          <w:b/>
          <w:bCs/>
          <w:color w:val="auto"/>
          <w:sz w:val="21"/>
          <w:szCs w:val="21"/>
        </w:rPr>
        <w:t>。</w:t>
      </w:r>
    </w:p>
    <w:p w14:paraId="326BDD58">
      <w:pPr>
        <w:rPr>
          <w:color w:val="auto"/>
        </w:rPr>
      </w:pPr>
    </w:p>
    <w:p w14:paraId="686E6720">
      <w:pPr>
        <w:spacing w:line="280" w:lineRule="exact"/>
        <w:rPr>
          <w:rFonts w:hint="eastAsia" w:ascii="宋体" w:hAnsi="宋体" w:cs="宋体"/>
          <w:b/>
          <w:bCs/>
          <w:color w:val="auto"/>
          <w:sz w:val="24"/>
        </w:rPr>
      </w:pPr>
    </w:p>
    <w:p w14:paraId="78035BDB">
      <w:pPr>
        <w:spacing w:line="280" w:lineRule="exact"/>
        <w:rPr>
          <w:rFonts w:hint="eastAsia" w:ascii="宋体" w:hAnsi="宋体" w:cs="宋体"/>
          <w:b/>
          <w:bCs/>
          <w:color w:val="auto"/>
          <w:sz w:val="24"/>
        </w:rPr>
      </w:pPr>
    </w:p>
    <w:p w14:paraId="7D12B18B">
      <w:pPr>
        <w:spacing w:line="280" w:lineRule="exact"/>
        <w:rPr>
          <w:rFonts w:hint="eastAsia" w:ascii="宋体" w:hAnsi="宋体" w:cs="宋体"/>
          <w:b/>
          <w:bCs/>
          <w:color w:val="auto"/>
          <w:sz w:val="24"/>
        </w:rPr>
      </w:pPr>
    </w:p>
    <w:p w14:paraId="641BC68D">
      <w:pPr>
        <w:spacing w:line="280" w:lineRule="exact"/>
        <w:rPr>
          <w:rFonts w:hint="eastAsia" w:ascii="宋体" w:hAnsi="宋体" w:cs="宋体"/>
          <w:b/>
          <w:bCs/>
          <w:color w:val="auto"/>
          <w:sz w:val="24"/>
        </w:rPr>
      </w:pPr>
    </w:p>
    <w:p w14:paraId="3070E565">
      <w:pPr>
        <w:spacing w:line="280" w:lineRule="exact"/>
        <w:rPr>
          <w:rFonts w:hint="eastAsia" w:ascii="宋体" w:hAnsi="宋体" w:cs="宋体"/>
          <w:b/>
          <w:bCs/>
          <w:color w:val="auto"/>
          <w:sz w:val="24"/>
        </w:rPr>
      </w:pPr>
    </w:p>
    <w:p w14:paraId="071C8994">
      <w:pPr>
        <w:spacing w:line="280" w:lineRule="exact"/>
        <w:rPr>
          <w:rFonts w:hint="eastAsia" w:ascii="宋体" w:hAnsi="宋体" w:cs="宋体"/>
          <w:b/>
          <w:bCs/>
          <w:color w:val="auto"/>
          <w:sz w:val="24"/>
        </w:rPr>
      </w:pPr>
    </w:p>
    <w:p w14:paraId="1303DDE5">
      <w:pPr>
        <w:spacing w:line="280" w:lineRule="exact"/>
        <w:rPr>
          <w:rFonts w:hint="eastAsia" w:ascii="宋体" w:hAnsi="宋体" w:cs="宋体"/>
          <w:b/>
          <w:bCs/>
          <w:color w:val="auto"/>
          <w:sz w:val="24"/>
        </w:rPr>
      </w:pPr>
    </w:p>
    <w:p w14:paraId="4577EF6A">
      <w:pPr>
        <w:spacing w:line="280" w:lineRule="exact"/>
        <w:rPr>
          <w:rFonts w:hint="eastAsia" w:ascii="宋体" w:hAnsi="宋体" w:cs="宋体"/>
          <w:b/>
          <w:bCs/>
          <w:color w:val="auto"/>
          <w:sz w:val="24"/>
        </w:rPr>
      </w:pPr>
    </w:p>
    <w:p w14:paraId="7D2ADB1B">
      <w:pPr>
        <w:spacing w:line="280" w:lineRule="exact"/>
        <w:rPr>
          <w:rFonts w:hint="eastAsia" w:ascii="宋体" w:hAnsi="宋体" w:cs="宋体"/>
          <w:b/>
          <w:bCs/>
          <w:color w:val="auto"/>
          <w:sz w:val="24"/>
        </w:rPr>
      </w:pPr>
    </w:p>
    <w:p w14:paraId="4D2A23FB">
      <w:pPr>
        <w:spacing w:line="280" w:lineRule="exact"/>
        <w:rPr>
          <w:rFonts w:hint="eastAsia" w:ascii="宋体" w:hAnsi="宋体" w:cs="宋体"/>
          <w:b/>
          <w:bCs/>
          <w:color w:val="auto"/>
          <w:sz w:val="24"/>
        </w:rPr>
      </w:pPr>
    </w:p>
    <w:p w14:paraId="0CCC2CDD">
      <w:pPr>
        <w:spacing w:line="280" w:lineRule="exact"/>
        <w:rPr>
          <w:rFonts w:hint="eastAsia" w:ascii="宋体" w:hAnsi="宋体" w:cs="宋体"/>
          <w:b/>
          <w:bCs/>
          <w:color w:val="auto"/>
          <w:sz w:val="24"/>
        </w:rPr>
      </w:pPr>
    </w:p>
    <w:p w14:paraId="61A67258">
      <w:pPr>
        <w:spacing w:line="280" w:lineRule="exact"/>
        <w:rPr>
          <w:rFonts w:hint="eastAsia" w:ascii="宋体" w:hAnsi="宋体" w:cs="宋体"/>
          <w:b/>
          <w:bCs/>
          <w:color w:val="auto"/>
          <w:sz w:val="24"/>
        </w:rPr>
      </w:pPr>
    </w:p>
    <w:p w14:paraId="21DB5301">
      <w:pPr>
        <w:spacing w:line="280" w:lineRule="exact"/>
        <w:rPr>
          <w:rFonts w:hint="eastAsia" w:ascii="宋体" w:hAnsi="宋体" w:cs="宋体"/>
          <w:b/>
          <w:bCs/>
          <w:color w:val="auto"/>
          <w:sz w:val="24"/>
        </w:rPr>
      </w:pPr>
    </w:p>
    <w:p w14:paraId="4583DAF3">
      <w:pPr>
        <w:spacing w:line="280" w:lineRule="exact"/>
        <w:rPr>
          <w:rFonts w:hint="eastAsia" w:ascii="宋体" w:hAnsi="宋体" w:cs="宋体"/>
          <w:b/>
          <w:bCs/>
          <w:color w:val="auto"/>
          <w:sz w:val="24"/>
        </w:rPr>
      </w:pPr>
    </w:p>
    <w:p w14:paraId="6B88F2BD">
      <w:pPr>
        <w:spacing w:line="280" w:lineRule="exact"/>
        <w:rPr>
          <w:rFonts w:hint="eastAsia" w:ascii="宋体" w:hAnsi="宋体" w:cs="宋体"/>
          <w:b/>
          <w:bCs/>
          <w:color w:val="auto"/>
          <w:sz w:val="24"/>
        </w:rPr>
      </w:pPr>
    </w:p>
    <w:p w14:paraId="610597CC">
      <w:pPr>
        <w:spacing w:line="280" w:lineRule="exact"/>
        <w:rPr>
          <w:rFonts w:hint="eastAsia" w:ascii="宋体" w:hAnsi="宋体" w:cs="宋体"/>
          <w:b/>
          <w:bCs/>
          <w:color w:val="auto"/>
          <w:sz w:val="24"/>
        </w:rPr>
      </w:pPr>
    </w:p>
    <w:p w14:paraId="501DD368">
      <w:pPr>
        <w:spacing w:line="280" w:lineRule="exact"/>
        <w:rPr>
          <w:rFonts w:hint="eastAsia" w:ascii="宋体" w:hAnsi="宋体" w:cs="宋体"/>
          <w:b/>
          <w:bCs/>
          <w:color w:val="auto"/>
          <w:sz w:val="24"/>
        </w:rPr>
      </w:pPr>
    </w:p>
    <w:p w14:paraId="707B6CEE">
      <w:pPr>
        <w:spacing w:line="280" w:lineRule="exact"/>
        <w:rPr>
          <w:rFonts w:hint="eastAsia" w:ascii="宋体" w:hAnsi="宋体" w:cs="宋体"/>
          <w:b/>
          <w:bCs/>
          <w:color w:val="auto"/>
          <w:sz w:val="24"/>
        </w:rPr>
      </w:pPr>
    </w:p>
    <w:p w14:paraId="0C955775">
      <w:pPr>
        <w:spacing w:line="280" w:lineRule="exact"/>
        <w:rPr>
          <w:rFonts w:hint="eastAsia" w:ascii="宋体" w:hAnsi="宋体" w:cs="宋体"/>
          <w:b/>
          <w:bCs/>
          <w:color w:val="auto"/>
          <w:sz w:val="24"/>
        </w:rPr>
      </w:pPr>
    </w:p>
    <w:p w14:paraId="0B303839">
      <w:pPr>
        <w:spacing w:line="280" w:lineRule="exact"/>
        <w:rPr>
          <w:rFonts w:hint="eastAsia" w:ascii="宋体" w:hAnsi="宋体" w:cs="宋体"/>
          <w:b/>
          <w:bCs/>
          <w:color w:val="auto"/>
          <w:sz w:val="24"/>
        </w:rPr>
      </w:pPr>
    </w:p>
    <w:p w14:paraId="794EF097">
      <w:pPr>
        <w:spacing w:line="280" w:lineRule="exact"/>
        <w:rPr>
          <w:rFonts w:hint="eastAsia" w:ascii="宋体" w:hAnsi="宋体" w:cs="宋体"/>
          <w:b/>
          <w:bCs/>
          <w:color w:val="auto"/>
          <w:sz w:val="24"/>
        </w:rPr>
      </w:pPr>
    </w:p>
    <w:p w14:paraId="39252FA3">
      <w:pPr>
        <w:spacing w:line="280" w:lineRule="exact"/>
        <w:rPr>
          <w:rFonts w:hint="eastAsia" w:ascii="宋体" w:hAnsi="宋体" w:cs="宋体"/>
          <w:b/>
          <w:bCs/>
          <w:color w:val="auto"/>
          <w:sz w:val="24"/>
        </w:rPr>
      </w:pPr>
    </w:p>
    <w:p w14:paraId="47DEB0C2">
      <w:pPr>
        <w:spacing w:line="280" w:lineRule="exact"/>
        <w:rPr>
          <w:rFonts w:hint="eastAsia" w:ascii="宋体" w:hAnsi="宋体" w:cs="宋体"/>
          <w:b/>
          <w:bCs/>
          <w:color w:val="auto"/>
          <w:sz w:val="24"/>
        </w:rPr>
      </w:pPr>
    </w:p>
    <w:p w14:paraId="6A219D41">
      <w:pPr>
        <w:spacing w:line="280" w:lineRule="exact"/>
        <w:rPr>
          <w:rFonts w:hint="eastAsia" w:ascii="宋体" w:hAnsi="宋体" w:cs="宋体"/>
          <w:b/>
          <w:bCs/>
          <w:color w:val="auto"/>
          <w:sz w:val="24"/>
        </w:rPr>
      </w:pPr>
    </w:p>
    <w:p w14:paraId="3EE3AB74">
      <w:pPr>
        <w:spacing w:line="280" w:lineRule="exact"/>
        <w:rPr>
          <w:rFonts w:hint="eastAsia" w:ascii="宋体" w:hAnsi="宋体" w:cs="宋体"/>
          <w:b/>
          <w:bCs/>
          <w:color w:val="auto"/>
          <w:sz w:val="24"/>
        </w:rPr>
      </w:pPr>
    </w:p>
    <w:p w14:paraId="6002FA1C">
      <w:pPr>
        <w:spacing w:line="280" w:lineRule="exact"/>
        <w:rPr>
          <w:rFonts w:hint="eastAsia" w:ascii="宋体" w:hAnsi="宋体" w:cs="宋体"/>
          <w:b/>
          <w:bCs/>
          <w:color w:val="auto"/>
          <w:sz w:val="24"/>
        </w:rPr>
      </w:pPr>
    </w:p>
    <w:p w14:paraId="71AAEECC">
      <w:pPr>
        <w:spacing w:line="280" w:lineRule="exact"/>
        <w:rPr>
          <w:rFonts w:hint="eastAsia" w:ascii="宋体" w:hAnsi="宋体" w:cs="宋体"/>
          <w:b/>
          <w:bCs/>
          <w:color w:val="auto"/>
          <w:sz w:val="24"/>
        </w:rPr>
      </w:pPr>
    </w:p>
    <w:p w14:paraId="69CFEBED">
      <w:pPr>
        <w:spacing w:line="280" w:lineRule="exact"/>
        <w:rPr>
          <w:rFonts w:hint="eastAsia" w:ascii="宋体" w:hAnsi="宋体" w:cs="宋体"/>
          <w:b/>
          <w:bCs/>
          <w:color w:val="auto"/>
          <w:sz w:val="24"/>
        </w:rPr>
      </w:pPr>
    </w:p>
    <w:p w14:paraId="4EAC99ED">
      <w:pPr>
        <w:spacing w:line="280" w:lineRule="exact"/>
        <w:rPr>
          <w:rFonts w:hint="eastAsia" w:ascii="宋体" w:hAnsi="宋体" w:cs="宋体"/>
          <w:b/>
          <w:bCs/>
          <w:color w:val="auto"/>
          <w:sz w:val="24"/>
        </w:rPr>
      </w:pPr>
    </w:p>
    <w:p w14:paraId="67E9C06B">
      <w:pPr>
        <w:spacing w:line="280" w:lineRule="exact"/>
        <w:rPr>
          <w:rFonts w:hint="eastAsia" w:ascii="宋体" w:hAnsi="宋体" w:cs="宋体"/>
          <w:b/>
          <w:bCs/>
          <w:color w:val="auto"/>
          <w:sz w:val="24"/>
        </w:rPr>
      </w:pPr>
    </w:p>
    <w:p w14:paraId="76A7F014">
      <w:pPr>
        <w:spacing w:line="280" w:lineRule="exact"/>
        <w:rPr>
          <w:rFonts w:hint="eastAsia" w:ascii="宋体" w:hAnsi="宋体" w:cs="宋体"/>
          <w:b/>
          <w:bCs/>
          <w:color w:val="auto"/>
          <w:sz w:val="24"/>
        </w:rPr>
      </w:pPr>
    </w:p>
    <w:p w14:paraId="3014467E">
      <w:pPr>
        <w:spacing w:line="280" w:lineRule="exact"/>
        <w:rPr>
          <w:rFonts w:hint="eastAsia" w:ascii="宋体" w:hAnsi="宋体" w:cs="宋体"/>
          <w:b/>
          <w:bCs/>
          <w:color w:val="auto"/>
          <w:sz w:val="24"/>
        </w:rPr>
      </w:pPr>
    </w:p>
    <w:p w14:paraId="2EA04A24">
      <w:pPr>
        <w:spacing w:line="280" w:lineRule="exact"/>
        <w:rPr>
          <w:rFonts w:hint="eastAsia" w:ascii="宋体" w:hAnsi="宋体" w:cs="宋体"/>
          <w:b/>
          <w:bCs/>
          <w:color w:val="auto"/>
          <w:sz w:val="24"/>
        </w:rPr>
      </w:pPr>
    </w:p>
    <w:p w14:paraId="037B1028">
      <w:pPr>
        <w:spacing w:line="280" w:lineRule="exact"/>
        <w:rPr>
          <w:rFonts w:hint="eastAsia" w:ascii="宋体" w:hAnsi="宋体" w:cs="宋体"/>
          <w:b/>
          <w:bCs/>
          <w:color w:val="auto"/>
          <w:sz w:val="24"/>
        </w:rPr>
      </w:pPr>
    </w:p>
    <w:p w14:paraId="31C17F2C">
      <w:pPr>
        <w:spacing w:line="280" w:lineRule="exact"/>
        <w:rPr>
          <w:rFonts w:hint="eastAsia" w:ascii="宋体" w:hAnsi="宋体" w:cs="宋体"/>
          <w:b/>
          <w:bCs/>
          <w:color w:val="auto"/>
          <w:sz w:val="24"/>
        </w:rPr>
      </w:pPr>
    </w:p>
    <w:p w14:paraId="57B817B9">
      <w:pPr>
        <w:spacing w:line="280" w:lineRule="exact"/>
        <w:rPr>
          <w:rFonts w:hint="eastAsia" w:ascii="宋体" w:hAnsi="宋体" w:cs="宋体"/>
          <w:b/>
          <w:bCs/>
          <w:color w:val="auto"/>
          <w:sz w:val="24"/>
        </w:rPr>
      </w:pPr>
    </w:p>
    <w:p w14:paraId="22E57D62">
      <w:pPr>
        <w:spacing w:line="280" w:lineRule="exact"/>
        <w:rPr>
          <w:rFonts w:hint="eastAsia" w:ascii="宋体" w:hAnsi="宋体" w:cs="宋体"/>
          <w:b/>
          <w:bCs/>
          <w:color w:val="auto"/>
          <w:sz w:val="24"/>
        </w:rPr>
      </w:pPr>
    </w:p>
    <w:p w14:paraId="027A11AA">
      <w:pPr>
        <w:spacing w:line="280" w:lineRule="exact"/>
        <w:rPr>
          <w:rFonts w:hint="eastAsia" w:ascii="宋体" w:hAnsi="宋体" w:cs="宋体"/>
          <w:b/>
          <w:bCs/>
          <w:color w:val="auto"/>
          <w:sz w:val="24"/>
        </w:rPr>
      </w:pPr>
    </w:p>
    <w:p w14:paraId="0834E834">
      <w:pPr>
        <w:spacing w:line="280" w:lineRule="exact"/>
        <w:rPr>
          <w:rFonts w:hint="eastAsia" w:ascii="宋体" w:hAnsi="宋体" w:cs="宋体"/>
          <w:b/>
          <w:bCs/>
          <w:color w:val="auto"/>
          <w:sz w:val="24"/>
        </w:rPr>
      </w:pPr>
    </w:p>
    <w:p w14:paraId="4770509D">
      <w:pPr>
        <w:spacing w:line="280" w:lineRule="exact"/>
        <w:rPr>
          <w:rFonts w:ascii="宋体" w:hAnsi="宋体" w:cs="宋体"/>
          <w:b/>
          <w:bCs/>
          <w:color w:val="auto"/>
          <w:sz w:val="24"/>
        </w:rPr>
      </w:pPr>
      <w:r>
        <w:rPr>
          <w:rFonts w:hint="eastAsia" w:ascii="宋体" w:hAnsi="宋体" w:cs="宋体"/>
          <w:b/>
          <w:bCs/>
          <w:color w:val="auto"/>
          <w:sz w:val="24"/>
        </w:rPr>
        <w:t>附表</w:t>
      </w:r>
    </w:p>
    <w:p w14:paraId="2F9AF245">
      <w:pPr>
        <w:widowControl/>
        <w:spacing w:beforeLines="50" w:afterLines="50" w:line="280" w:lineRule="exact"/>
        <w:jc w:val="center"/>
        <w:rPr>
          <w:rFonts w:ascii="宋体" w:hAnsi="宋体" w:cs="宋体"/>
          <w:b/>
          <w:bCs/>
          <w:color w:val="auto"/>
          <w:kern w:val="0"/>
          <w:sz w:val="30"/>
          <w:szCs w:val="30"/>
        </w:rPr>
      </w:pPr>
      <w:bookmarkStart w:id="138" w:name="_Toc28361_WPSOffice_Level2"/>
      <w:r>
        <w:rPr>
          <w:rFonts w:hint="eastAsia" w:ascii="宋体" w:hAnsi="宋体" w:cs="宋体"/>
          <w:b/>
          <w:bCs/>
          <w:color w:val="auto"/>
          <w:kern w:val="0"/>
          <w:sz w:val="30"/>
          <w:szCs w:val="30"/>
        </w:rPr>
        <w:t>统计上大中小微型企业划分标准</w:t>
      </w:r>
      <w:bookmarkEnd w:id="138"/>
    </w:p>
    <w:tbl>
      <w:tblPr>
        <w:tblStyle w:val="28"/>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6DA70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FFFFFF"/>
            <w:vAlign w:val="center"/>
          </w:tcPr>
          <w:p w14:paraId="78D71888">
            <w:pPr>
              <w:widowControl/>
              <w:spacing w:line="28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shd w:val="clear" w:color="auto" w:fill="FFFFFF"/>
            <w:vAlign w:val="center"/>
          </w:tcPr>
          <w:p w14:paraId="286E7C94">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shd w:val="clear" w:color="auto" w:fill="FFFFFF"/>
            <w:vAlign w:val="center"/>
          </w:tcPr>
          <w:p w14:paraId="199332EE">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计量</w:t>
            </w:r>
          </w:p>
          <w:p w14:paraId="36EF5219">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单位</w:t>
            </w:r>
          </w:p>
        </w:tc>
        <w:tc>
          <w:tcPr>
            <w:tcW w:w="1125" w:type="dxa"/>
            <w:shd w:val="clear" w:color="auto" w:fill="FFFFFF"/>
            <w:vAlign w:val="center"/>
          </w:tcPr>
          <w:p w14:paraId="37914C83">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shd w:val="clear" w:color="auto" w:fill="FFFFFF"/>
            <w:vAlign w:val="center"/>
          </w:tcPr>
          <w:p w14:paraId="5623DC90">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shd w:val="clear" w:color="auto" w:fill="FFFFFF"/>
            <w:vAlign w:val="center"/>
          </w:tcPr>
          <w:p w14:paraId="680B1935">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shd w:val="clear" w:color="auto" w:fill="FFFFFF"/>
            <w:vAlign w:val="center"/>
          </w:tcPr>
          <w:p w14:paraId="7C892D6A">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14:paraId="4EAFB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1980593E">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农、林、牧、渔业</w:t>
            </w:r>
          </w:p>
        </w:tc>
        <w:tc>
          <w:tcPr>
            <w:tcW w:w="1369" w:type="dxa"/>
            <w:vAlign w:val="center"/>
          </w:tcPr>
          <w:p w14:paraId="208C820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3E62538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64BD351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vAlign w:val="center"/>
          </w:tcPr>
          <w:p w14:paraId="477C078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vAlign w:val="center"/>
          </w:tcPr>
          <w:p w14:paraId="3F68F56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50≤Y＜500</w:t>
            </w:r>
          </w:p>
        </w:tc>
        <w:tc>
          <w:tcPr>
            <w:tcW w:w="992" w:type="dxa"/>
            <w:vAlign w:val="center"/>
          </w:tcPr>
          <w:p w14:paraId="4B20CC4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3423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81C5FD2">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工业 *</w:t>
            </w:r>
          </w:p>
        </w:tc>
        <w:tc>
          <w:tcPr>
            <w:tcW w:w="1369" w:type="dxa"/>
            <w:vAlign w:val="center"/>
          </w:tcPr>
          <w:p w14:paraId="70FB6DD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2EF5D74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1B1C002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vAlign w:val="center"/>
          </w:tcPr>
          <w:p w14:paraId="5B8882A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vAlign w:val="center"/>
          </w:tcPr>
          <w:p w14:paraId="5427B51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vAlign w:val="center"/>
          </w:tcPr>
          <w:p w14:paraId="228A222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66A0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59F7C82">
            <w:pPr>
              <w:widowControl/>
              <w:spacing w:line="280" w:lineRule="exact"/>
              <w:jc w:val="left"/>
              <w:rPr>
                <w:rFonts w:ascii="宋体" w:hAnsi="宋体" w:cs="宋体"/>
                <w:color w:val="auto"/>
                <w:kern w:val="0"/>
                <w:sz w:val="18"/>
                <w:szCs w:val="18"/>
              </w:rPr>
            </w:pPr>
          </w:p>
        </w:tc>
        <w:tc>
          <w:tcPr>
            <w:tcW w:w="1369" w:type="dxa"/>
            <w:vAlign w:val="center"/>
          </w:tcPr>
          <w:p w14:paraId="277D824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04B2114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197AFD9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vAlign w:val="center"/>
          </w:tcPr>
          <w:p w14:paraId="5879ACD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426" w:type="dxa"/>
            <w:vAlign w:val="center"/>
          </w:tcPr>
          <w:p w14:paraId="785F520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300≤Y＜2000</w:t>
            </w:r>
          </w:p>
        </w:tc>
        <w:tc>
          <w:tcPr>
            <w:tcW w:w="992" w:type="dxa"/>
            <w:vAlign w:val="center"/>
          </w:tcPr>
          <w:p w14:paraId="2C9A2E9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0E96D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E4189F3">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建筑业</w:t>
            </w:r>
          </w:p>
        </w:tc>
        <w:tc>
          <w:tcPr>
            <w:tcW w:w="1369" w:type="dxa"/>
            <w:vAlign w:val="center"/>
          </w:tcPr>
          <w:p w14:paraId="2D91654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11A8AFC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0DB1D25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Y≥80000</w:t>
            </w:r>
          </w:p>
        </w:tc>
        <w:tc>
          <w:tcPr>
            <w:tcW w:w="1701" w:type="dxa"/>
            <w:vAlign w:val="center"/>
          </w:tcPr>
          <w:p w14:paraId="1ABFAA6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426" w:type="dxa"/>
            <w:vAlign w:val="center"/>
          </w:tcPr>
          <w:p w14:paraId="228C411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300≤Y＜6000</w:t>
            </w:r>
          </w:p>
        </w:tc>
        <w:tc>
          <w:tcPr>
            <w:tcW w:w="992" w:type="dxa"/>
            <w:vAlign w:val="center"/>
          </w:tcPr>
          <w:p w14:paraId="70A4D8C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5860E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20DE17F">
            <w:pPr>
              <w:widowControl/>
              <w:spacing w:line="280" w:lineRule="exact"/>
              <w:jc w:val="left"/>
              <w:rPr>
                <w:rFonts w:ascii="宋体" w:hAnsi="宋体" w:cs="宋体"/>
                <w:color w:val="auto"/>
                <w:kern w:val="0"/>
                <w:sz w:val="18"/>
                <w:szCs w:val="18"/>
              </w:rPr>
            </w:pPr>
          </w:p>
        </w:tc>
        <w:tc>
          <w:tcPr>
            <w:tcW w:w="1369" w:type="dxa"/>
            <w:vAlign w:val="center"/>
          </w:tcPr>
          <w:p w14:paraId="3E99173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vAlign w:val="center"/>
          </w:tcPr>
          <w:p w14:paraId="6EE645E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005D413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Z≥80000</w:t>
            </w:r>
          </w:p>
        </w:tc>
        <w:tc>
          <w:tcPr>
            <w:tcW w:w="1701" w:type="dxa"/>
            <w:vAlign w:val="center"/>
          </w:tcPr>
          <w:p w14:paraId="6574205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426" w:type="dxa"/>
            <w:vAlign w:val="center"/>
          </w:tcPr>
          <w:p w14:paraId="3D70CCF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300≤Z＜5000</w:t>
            </w:r>
          </w:p>
        </w:tc>
        <w:tc>
          <w:tcPr>
            <w:tcW w:w="992" w:type="dxa"/>
            <w:vAlign w:val="center"/>
          </w:tcPr>
          <w:p w14:paraId="7468135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Z＜300</w:t>
            </w:r>
          </w:p>
        </w:tc>
      </w:tr>
      <w:tr w14:paraId="48574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3E80C60">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批发业</w:t>
            </w:r>
          </w:p>
        </w:tc>
        <w:tc>
          <w:tcPr>
            <w:tcW w:w="1369" w:type="dxa"/>
            <w:vAlign w:val="center"/>
          </w:tcPr>
          <w:p w14:paraId="124F0E9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0AA8F66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64367C5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vAlign w:val="center"/>
          </w:tcPr>
          <w:p w14:paraId="6655F2A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426" w:type="dxa"/>
            <w:vAlign w:val="center"/>
          </w:tcPr>
          <w:p w14:paraId="56F535A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5≤X＜20</w:t>
            </w:r>
          </w:p>
        </w:tc>
        <w:tc>
          <w:tcPr>
            <w:tcW w:w="992" w:type="dxa"/>
            <w:vAlign w:val="center"/>
          </w:tcPr>
          <w:p w14:paraId="739F925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X＜5</w:t>
            </w:r>
          </w:p>
        </w:tc>
      </w:tr>
      <w:tr w14:paraId="18B58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AD08723">
            <w:pPr>
              <w:widowControl/>
              <w:spacing w:line="280" w:lineRule="exact"/>
              <w:jc w:val="left"/>
              <w:rPr>
                <w:rFonts w:ascii="宋体" w:hAnsi="宋体" w:cs="宋体"/>
                <w:color w:val="auto"/>
                <w:kern w:val="0"/>
                <w:sz w:val="18"/>
                <w:szCs w:val="18"/>
              </w:rPr>
            </w:pPr>
          </w:p>
        </w:tc>
        <w:tc>
          <w:tcPr>
            <w:tcW w:w="1369" w:type="dxa"/>
            <w:vAlign w:val="center"/>
          </w:tcPr>
          <w:p w14:paraId="0D34983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6D57F86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30A9211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vAlign w:val="center"/>
          </w:tcPr>
          <w:p w14:paraId="74B892C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426" w:type="dxa"/>
            <w:vAlign w:val="center"/>
          </w:tcPr>
          <w:p w14:paraId="07E40415">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992" w:type="dxa"/>
            <w:vAlign w:val="center"/>
          </w:tcPr>
          <w:p w14:paraId="7668D65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w:t>
            </w:r>
          </w:p>
        </w:tc>
      </w:tr>
      <w:tr w14:paraId="0FE89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AAB561C">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零售业</w:t>
            </w:r>
          </w:p>
        </w:tc>
        <w:tc>
          <w:tcPr>
            <w:tcW w:w="1369" w:type="dxa"/>
            <w:vAlign w:val="center"/>
          </w:tcPr>
          <w:p w14:paraId="0B33ED6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6010F3A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0D87AAB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14:paraId="0814BB5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426" w:type="dxa"/>
            <w:vAlign w:val="center"/>
          </w:tcPr>
          <w:p w14:paraId="46B1A7E0">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vAlign w:val="center"/>
          </w:tcPr>
          <w:p w14:paraId="74D17EB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0222A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FEADAA2">
            <w:pPr>
              <w:widowControl/>
              <w:spacing w:line="280" w:lineRule="exact"/>
              <w:jc w:val="left"/>
              <w:rPr>
                <w:rFonts w:ascii="宋体" w:hAnsi="宋体" w:cs="宋体"/>
                <w:color w:val="auto"/>
                <w:kern w:val="0"/>
                <w:sz w:val="18"/>
                <w:szCs w:val="18"/>
              </w:rPr>
            </w:pPr>
          </w:p>
        </w:tc>
        <w:tc>
          <w:tcPr>
            <w:tcW w:w="1369" w:type="dxa"/>
            <w:vAlign w:val="center"/>
          </w:tcPr>
          <w:p w14:paraId="5CFF490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4B95196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7129EC2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vAlign w:val="center"/>
          </w:tcPr>
          <w:p w14:paraId="14D0BD5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vAlign w:val="center"/>
          </w:tcPr>
          <w:p w14:paraId="2883AD1B">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100≤Y＜500</w:t>
            </w:r>
          </w:p>
        </w:tc>
        <w:tc>
          <w:tcPr>
            <w:tcW w:w="992" w:type="dxa"/>
            <w:vAlign w:val="center"/>
          </w:tcPr>
          <w:p w14:paraId="67FA8D2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6B4B9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96C6EA3">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交通运输业 *</w:t>
            </w:r>
          </w:p>
        </w:tc>
        <w:tc>
          <w:tcPr>
            <w:tcW w:w="1369" w:type="dxa"/>
            <w:vAlign w:val="center"/>
          </w:tcPr>
          <w:p w14:paraId="5F932C3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4FCE7EA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2940609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vAlign w:val="center"/>
          </w:tcPr>
          <w:p w14:paraId="0772424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vAlign w:val="center"/>
          </w:tcPr>
          <w:p w14:paraId="3574984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vAlign w:val="center"/>
          </w:tcPr>
          <w:p w14:paraId="60869DD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6CC09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F3B9F3D">
            <w:pPr>
              <w:widowControl/>
              <w:spacing w:line="280" w:lineRule="exact"/>
              <w:jc w:val="left"/>
              <w:rPr>
                <w:rFonts w:ascii="宋体" w:hAnsi="宋体" w:cs="宋体"/>
                <w:color w:val="auto"/>
                <w:kern w:val="0"/>
                <w:sz w:val="18"/>
                <w:szCs w:val="18"/>
              </w:rPr>
            </w:pPr>
          </w:p>
        </w:tc>
        <w:tc>
          <w:tcPr>
            <w:tcW w:w="1369" w:type="dxa"/>
            <w:vAlign w:val="center"/>
          </w:tcPr>
          <w:p w14:paraId="3CF735E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1BB6168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506D8AD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vAlign w:val="center"/>
          </w:tcPr>
          <w:p w14:paraId="0419CC7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426" w:type="dxa"/>
            <w:vAlign w:val="center"/>
          </w:tcPr>
          <w:p w14:paraId="5F13234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200≤Y＜3000</w:t>
            </w:r>
          </w:p>
        </w:tc>
        <w:tc>
          <w:tcPr>
            <w:tcW w:w="992" w:type="dxa"/>
            <w:vAlign w:val="center"/>
          </w:tcPr>
          <w:p w14:paraId="717E67C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w:t>
            </w:r>
          </w:p>
        </w:tc>
      </w:tr>
      <w:tr w14:paraId="6CFC7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91EC788">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仓储业*</w:t>
            </w:r>
          </w:p>
        </w:tc>
        <w:tc>
          <w:tcPr>
            <w:tcW w:w="1369" w:type="dxa"/>
            <w:vAlign w:val="center"/>
          </w:tcPr>
          <w:p w14:paraId="0C15B1D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6EFC884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0CD8905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vAlign w:val="center"/>
          </w:tcPr>
          <w:p w14:paraId="0C79208B">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426" w:type="dxa"/>
            <w:vAlign w:val="center"/>
          </w:tcPr>
          <w:p w14:paraId="4E0469A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20≤X＜100</w:t>
            </w:r>
          </w:p>
        </w:tc>
        <w:tc>
          <w:tcPr>
            <w:tcW w:w="992" w:type="dxa"/>
            <w:vAlign w:val="center"/>
          </w:tcPr>
          <w:p w14:paraId="25A59A0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4E321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F6CB081">
            <w:pPr>
              <w:widowControl/>
              <w:spacing w:line="280" w:lineRule="exact"/>
              <w:jc w:val="left"/>
              <w:rPr>
                <w:rFonts w:ascii="宋体" w:hAnsi="宋体" w:cs="宋体"/>
                <w:color w:val="auto"/>
                <w:kern w:val="0"/>
                <w:sz w:val="18"/>
                <w:szCs w:val="18"/>
              </w:rPr>
            </w:pPr>
          </w:p>
        </w:tc>
        <w:tc>
          <w:tcPr>
            <w:tcW w:w="1369" w:type="dxa"/>
            <w:vAlign w:val="center"/>
          </w:tcPr>
          <w:p w14:paraId="4743371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5D969E6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5263263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vAlign w:val="center"/>
          </w:tcPr>
          <w:p w14:paraId="303A264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426" w:type="dxa"/>
            <w:vAlign w:val="center"/>
          </w:tcPr>
          <w:p w14:paraId="2C682D2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vAlign w:val="center"/>
          </w:tcPr>
          <w:p w14:paraId="1047F77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3F86E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4FB8CCE">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邮政业</w:t>
            </w:r>
          </w:p>
        </w:tc>
        <w:tc>
          <w:tcPr>
            <w:tcW w:w="1369" w:type="dxa"/>
            <w:vAlign w:val="center"/>
          </w:tcPr>
          <w:p w14:paraId="3272AAE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1FA11FB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0C1573B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vAlign w:val="center"/>
          </w:tcPr>
          <w:p w14:paraId="42FAA68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vAlign w:val="center"/>
          </w:tcPr>
          <w:p w14:paraId="0742B3F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vAlign w:val="center"/>
          </w:tcPr>
          <w:p w14:paraId="586F5C5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6A014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3FFC156">
            <w:pPr>
              <w:widowControl/>
              <w:spacing w:line="280" w:lineRule="exact"/>
              <w:jc w:val="left"/>
              <w:rPr>
                <w:rFonts w:ascii="宋体" w:hAnsi="宋体" w:cs="宋体"/>
                <w:color w:val="auto"/>
                <w:kern w:val="0"/>
                <w:sz w:val="18"/>
                <w:szCs w:val="18"/>
              </w:rPr>
            </w:pPr>
          </w:p>
        </w:tc>
        <w:tc>
          <w:tcPr>
            <w:tcW w:w="1369" w:type="dxa"/>
            <w:vAlign w:val="center"/>
          </w:tcPr>
          <w:p w14:paraId="4CA3836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53082B0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7325144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vAlign w:val="center"/>
          </w:tcPr>
          <w:p w14:paraId="1A19A74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426" w:type="dxa"/>
            <w:vAlign w:val="center"/>
          </w:tcPr>
          <w:p w14:paraId="2562802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vAlign w:val="center"/>
          </w:tcPr>
          <w:p w14:paraId="2AABE03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64340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1F02D4C">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住宿业</w:t>
            </w:r>
          </w:p>
        </w:tc>
        <w:tc>
          <w:tcPr>
            <w:tcW w:w="1369" w:type="dxa"/>
            <w:vAlign w:val="center"/>
          </w:tcPr>
          <w:p w14:paraId="4741C35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533FE8E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18874DF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14:paraId="614AAF0F">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vAlign w:val="center"/>
          </w:tcPr>
          <w:p w14:paraId="7E62276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14:paraId="595C30D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6FBC6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9CEF235">
            <w:pPr>
              <w:widowControl/>
              <w:spacing w:line="280" w:lineRule="exact"/>
              <w:jc w:val="left"/>
              <w:rPr>
                <w:rFonts w:ascii="宋体" w:hAnsi="宋体" w:cs="宋体"/>
                <w:color w:val="auto"/>
                <w:kern w:val="0"/>
                <w:sz w:val="18"/>
                <w:szCs w:val="18"/>
              </w:rPr>
            </w:pPr>
          </w:p>
        </w:tc>
        <w:tc>
          <w:tcPr>
            <w:tcW w:w="1369" w:type="dxa"/>
            <w:vAlign w:val="center"/>
          </w:tcPr>
          <w:p w14:paraId="4273E7C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53D12EE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2B4E324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vAlign w:val="center"/>
          </w:tcPr>
          <w:p w14:paraId="4722CB7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vAlign w:val="center"/>
          </w:tcPr>
          <w:p w14:paraId="628BC68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vAlign w:val="center"/>
          </w:tcPr>
          <w:p w14:paraId="7F7EBD3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65BDE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0B81C7D">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餐饮业</w:t>
            </w:r>
          </w:p>
        </w:tc>
        <w:tc>
          <w:tcPr>
            <w:tcW w:w="1369" w:type="dxa"/>
            <w:vAlign w:val="center"/>
          </w:tcPr>
          <w:p w14:paraId="73EBDEF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3F8F34E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1161093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14:paraId="4CFE57E0">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vAlign w:val="center"/>
          </w:tcPr>
          <w:p w14:paraId="6774450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14:paraId="2E090A4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60111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D923C76">
            <w:pPr>
              <w:widowControl/>
              <w:spacing w:line="280" w:lineRule="exact"/>
              <w:jc w:val="left"/>
              <w:rPr>
                <w:rFonts w:ascii="宋体" w:hAnsi="宋体" w:cs="宋体"/>
                <w:color w:val="auto"/>
                <w:kern w:val="0"/>
                <w:sz w:val="18"/>
                <w:szCs w:val="18"/>
              </w:rPr>
            </w:pPr>
          </w:p>
        </w:tc>
        <w:tc>
          <w:tcPr>
            <w:tcW w:w="1369" w:type="dxa"/>
            <w:vAlign w:val="center"/>
          </w:tcPr>
          <w:p w14:paraId="2464608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382E45C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0B6B00D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vAlign w:val="center"/>
          </w:tcPr>
          <w:p w14:paraId="7151A98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vAlign w:val="center"/>
          </w:tcPr>
          <w:p w14:paraId="35546C3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vAlign w:val="center"/>
          </w:tcPr>
          <w:p w14:paraId="469E00A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1152A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C2A3107">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信息传输业 *</w:t>
            </w:r>
          </w:p>
        </w:tc>
        <w:tc>
          <w:tcPr>
            <w:tcW w:w="1369" w:type="dxa"/>
            <w:vAlign w:val="center"/>
          </w:tcPr>
          <w:p w14:paraId="76DFAC3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5AB988C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73031A8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X≥2000</w:t>
            </w:r>
          </w:p>
        </w:tc>
        <w:tc>
          <w:tcPr>
            <w:tcW w:w="1701" w:type="dxa"/>
            <w:vAlign w:val="center"/>
          </w:tcPr>
          <w:p w14:paraId="6D9E6AA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426" w:type="dxa"/>
            <w:vAlign w:val="center"/>
          </w:tcPr>
          <w:p w14:paraId="206A6ED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14:paraId="2682062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391AC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A63F75C">
            <w:pPr>
              <w:widowControl/>
              <w:spacing w:line="280" w:lineRule="exact"/>
              <w:jc w:val="left"/>
              <w:rPr>
                <w:rFonts w:ascii="宋体" w:hAnsi="宋体" w:cs="宋体"/>
                <w:color w:val="auto"/>
                <w:kern w:val="0"/>
                <w:sz w:val="18"/>
                <w:szCs w:val="18"/>
              </w:rPr>
            </w:pPr>
          </w:p>
        </w:tc>
        <w:tc>
          <w:tcPr>
            <w:tcW w:w="1369" w:type="dxa"/>
            <w:vAlign w:val="center"/>
          </w:tcPr>
          <w:p w14:paraId="67D678E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586E52F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69E4DC3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Y≥100000</w:t>
            </w:r>
          </w:p>
        </w:tc>
        <w:tc>
          <w:tcPr>
            <w:tcW w:w="1701" w:type="dxa"/>
            <w:vAlign w:val="center"/>
          </w:tcPr>
          <w:p w14:paraId="6264EDB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1000≤Y＜100000</w:t>
            </w:r>
          </w:p>
        </w:tc>
        <w:tc>
          <w:tcPr>
            <w:tcW w:w="1426" w:type="dxa"/>
            <w:vAlign w:val="center"/>
          </w:tcPr>
          <w:p w14:paraId="0D90463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vAlign w:val="center"/>
          </w:tcPr>
          <w:p w14:paraId="61F0B90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0605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66997413">
            <w:pPr>
              <w:widowControl/>
              <w:spacing w:line="280" w:lineRule="exact"/>
              <w:jc w:val="left"/>
              <w:rPr>
                <w:rFonts w:ascii="宋体" w:hAnsi="宋体" w:cs="宋体"/>
                <w:color w:val="auto"/>
                <w:spacing w:val="-12"/>
                <w:kern w:val="0"/>
                <w:sz w:val="18"/>
                <w:szCs w:val="18"/>
              </w:rPr>
            </w:pPr>
            <w:r>
              <w:rPr>
                <w:rFonts w:hint="eastAsia" w:ascii="宋体" w:hAnsi="宋体" w:cs="宋体"/>
                <w:color w:val="auto"/>
                <w:spacing w:val="-12"/>
                <w:kern w:val="0"/>
                <w:sz w:val="18"/>
                <w:szCs w:val="18"/>
              </w:rPr>
              <w:t>软件和信息技术服</w:t>
            </w:r>
            <w:r>
              <w:rPr>
                <w:rFonts w:hint="eastAsia" w:ascii="宋体" w:hAnsi="宋体" w:cs="宋体"/>
                <w:color w:val="auto"/>
                <w:kern w:val="0"/>
                <w:sz w:val="18"/>
                <w:szCs w:val="18"/>
              </w:rPr>
              <w:t>务业</w:t>
            </w:r>
          </w:p>
        </w:tc>
        <w:tc>
          <w:tcPr>
            <w:tcW w:w="1369" w:type="dxa"/>
            <w:vAlign w:val="center"/>
          </w:tcPr>
          <w:p w14:paraId="798C879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0A42CA8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01E3EDB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14:paraId="2E7D42DF">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vAlign w:val="center"/>
          </w:tcPr>
          <w:p w14:paraId="6CAD1CC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14:paraId="58F98F7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1F234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3A5BEFB6">
            <w:pPr>
              <w:widowControl/>
              <w:spacing w:line="280" w:lineRule="exact"/>
              <w:jc w:val="left"/>
              <w:rPr>
                <w:rFonts w:ascii="宋体" w:hAnsi="宋体" w:cs="宋体"/>
                <w:color w:val="auto"/>
                <w:spacing w:val="-12"/>
                <w:kern w:val="0"/>
                <w:sz w:val="18"/>
                <w:szCs w:val="18"/>
              </w:rPr>
            </w:pPr>
          </w:p>
        </w:tc>
        <w:tc>
          <w:tcPr>
            <w:tcW w:w="1369" w:type="dxa"/>
            <w:vAlign w:val="center"/>
          </w:tcPr>
          <w:p w14:paraId="73AAC95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669EEF9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4263BE0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vAlign w:val="center"/>
          </w:tcPr>
          <w:p w14:paraId="1917CCB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426" w:type="dxa"/>
            <w:vAlign w:val="center"/>
          </w:tcPr>
          <w:p w14:paraId="027B1CF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50≤Y＜1000</w:t>
            </w:r>
          </w:p>
        </w:tc>
        <w:tc>
          <w:tcPr>
            <w:tcW w:w="992" w:type="dxa"/>
            <w:vAlign w:val="center"/>
          </w:tcPr>
          <w:p w14:paraId="15D7E1C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6EECF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6C9D5C78">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房地产开发经营</w:t>
            </w:r>
          </w:p>
        </w:tc>
        <w:tc>
          <w:tcPr>
            <w:tcW w:w="1369" w:type="dxa"/>
            <w:vAlign w:val="center"/>
          </w:tcPr>
          <w:p w14:paraId="51B0DF3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2CA0C13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313E05B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Y≥200000</w:t>
            </w:r>
          </w:p>
        </w:tc>
        <w:tc>
          <w:tcPr>
            <w:tcW w:w="1701" w:type="dxa"/>
            <w:vAlign w:val="center"/>
          </w:tcPr>
          <w:p w14:paraId="757E68D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1000≤Y＜200000</w:t>
            </w:r>
          </w:p>
        </w:tc>
        <w:tc>
          <w:tcPr>
            <w:tcW w:w="1426" w:type="dxa"/>
            <w:vAlign w:val="center"/>
          </w:tcPr>
          <w:p w14:paraId="01FA185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vAlign w:val="center"/>
          </w:tcPr>
          <w:p w14:paraId="61C42A0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78019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79FD208">
            <w:pPr>
              <w:widowControl/>
              <w:spacing w:line="280" w:lineRule="exact"/>
              <w:jc w:val="left"/>
              <w:rPr>
                <w:rFonts w:ascii="宋体" w:hAnsi="宋体" w:cs="宋体"/>
                <w:color w:val="auto"/>
                <w:kern w:val="0"/>
                <w:sz w:val="18"/>
                <w:szCs w:val="18"/>
              </w:rPr>
            </w:pPr>
          </w:p>
        </w:tc>
        <w:tc>
          <w:tcPr>
            <w:tcW w:w="1369" w:type="dxa"/>
            <w:vAlign w:val="center"/>
          </w:tcPr>
          <w:p w14:paraId="7CE4F4C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vAlign w:val="center"/>
          </w:tcPr>
          <w:p w14:paraId="4CF968D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7B9FEAD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Z≥10000</w:t>
            </w:r>
          </w:p>
        </w:tc>
        <w:tc>
          <w:tcPr>
            <w:tcW w:w="1701" w:type="dxa"/>
            <w:vAlign w:val="center"/>
          </w:tcPr>
          <w:p w14:paraId="6E0C389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426" w:type="dxa"/>
            <w:vAlign w:val="center"/>
          </w:tcPr>
          <w:p w14:paraId="40C4F9D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2000≤Z＜5000</w:t>
            </w:r>
          </w:p>
        </w:tc>
        <w:tc>
          <w:tcPr>
            <w:tcW w:w="992" w:type="dxa"/>
            <w:vAlign w:val="center"/>
          </w:tcPr>
          <w:p w14:paraId="5EEAF6B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Z＜2000</w:t>
            </w:r>
          </w:p>
        </w:tc>
      </w:tr>
      <w:tr w14:paraId="27A3D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966794E">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物业管理</w:t>
            </w:r>
          </w:p>
        </w:tc>
        <w:tc>
          <w:tcPr>
            <w:tcW w:w="1369" w:type="dxa"/>
            <w:vAlign w:val="center"/>
          </w:tcPr>
          <w:p w14:paraId="40E0DF7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257E3DE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3C33244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vAlign w:val="center"/>
          </w:tcPr>
          <w:p w14:paraId="0C73D2B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vAlign w:val="center"/>
          </w:tcPr>
          <w:p w14:paraId="0E7889C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992" w:type="dxa"/>
            <w:vAlign w:val="center"/>
          </w:tcPr>
          <w:p w14:paraId="6E27181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w:t>
            </w:r>
          </w:p>
        </w:tc>
      </w:tr>
      <w:tr w14:paraId="6C2F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A94911B">
            <w:pPr>
              <w:widowControl/>
              <w:spacing w:line="280" w:lineRule="exact"/>
              <w:jc w:val="left"/>
              <w:rPr>
                <w:rFonts w:ascii="宋体" w:hAnsi="宋体" w:cs="宋体"/>
                <w:color w:val="auto"/>
                <w:kern w:val="0"/>
                <w:sz w:val="18"/>
                <w:szCs w:val="18"/>
              </w:rPr>
            </w:pPr>
          </w:p>
        </w:tc>
        <w:tc>
          <w:tcPr>
            <w:tcW w:w="1369" w:type="dxa"/>
            <w:vAlign w:val="center"/>
          </w:tcPr>
          <w:p w14:paraId="3DBD185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57E9A19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13F8B13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Y≥5000</w:t>
            </w:r>
          </w:p>
        </w:tc>
        <w:tc>
          <w:tcPr>
            <w:tcW w:w="1701" w:type="dxa"/>
            <w:vAlign w:val="center"/>
          </w:tcPr>
          <w:p w14:paraId="4000F21C">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1426" w:type="dxa"/>
            <w:vAlign w:val="center"/>
          </w:tcPr>
          <w:p w14:paraId="16719A0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500≤Y＜1000</w:t>
            </w:r>
          </w:p>
        </w:tc>
        <w:tc>
          <w:tcPr>
            <w:tcW w:w="992" w:type="dxa"/>
            <w:vAlign w:val="center"/>
          </w:tcPr>
          <w:p w14:paraId="34249A6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w:t>
            </w:r>
          </w:p>
        </w:tc>
      </w:tr>
      <w:tr w14:paraId="2A27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18C592C7">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租赁和商务服务业</w:t>
            </w:r>
          </w:p>
        </w:tc>
        <w:tc>
          <w:tcPr>
            <w:tcW w:w="1369" w:type="dxa"/>
            <w:vAlign w:val="center"/>
          </w:tcPr>
          <w:p w14:paraId="788F06B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25B2A24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01AE04D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14:paraId="1CF2D4A3">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vAlign w:val="center"/>
          </w:tcPr>
          <w:p w14:paraId="216C708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14:paraId="0CD8981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6093B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3E7169BF">
            <w:pPr>
              <w:widowControl/>
              <w:spacing w:line="280" w:lineRule="exact"/>
              <w:jc w:val="left"/>
              <w:rPr>
                <w:rFonts w:ascii="宋体" w:hAnsi="宋体" w:cs="宋体"/>
                <w:color w:val="auto"/>
                <w:kern w:val="0"/>
                <w:sz w:val="18"/>
                <w:szCs w:val="18"/>
              </w:rPr>
            </w:pPr>
          </w:p>
        </w:tc>
        <w:tc>
          <w:tcPr>
            <w:tcW w:w="1369" w:type="dxa"/>
            <w:vAlign w:val="center"/>
          </w:tcPr>
          <w:p w14:paraId="6E8A9B0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vAlign w:val="center"/>
          </w:tcPr>
          <w:p w14:paraId="0AF2A38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39EA50F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Z≥120000</w:t>
            </w:r>
          </w:p>
        </w:tc>
        <w:tc>
          <w:tcPr>
            <w:tcW w:w="1701" w:type="dxa"/>
            <w:vAlign w:val="center"/>
          </w:tcPr>
          <w:p w14:paraId="770A1F3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8000≤Z＜120000</w:t>
            </w:r>
          </w:p>
        </w:tc>
        <w:tc>
          <w:tcPr>
            <w:tcW w:w="1426" w:type="dxa"/>
            <w:vAlign w:val="center"/>
          </w:tcPr>
          <w:p w14:paraId="264017D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100≤Z＜8000</w:t>
            </w:r>
          </w:p>
        </w:tc>
        <w:tc>
          <w:tcPr>
            <w:tcW w:w="992" w:type="dxa"/>
            <w:vAlign w:val="center"/>
          </w:tcPr>
          <w:p w14:paraId="1BA414D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w:t>
            </w:r>
          </w:p>
        </w:tc>
      </w:tr>
      <w:tr w14:paraId="18D52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74B45490">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其他未列明行业 *</w:t>
            </w:r>
          </w:p>
        </w:tc>
        <w:tc>
          <w:tcPr>
            <w:tcW w:w="1369" w:type="dxa"/>
            <w:vAlign w:val="center"/>
          </w:tcPr>
          <w:p w14:paraId="0E0FB9F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110B0ED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6AB87B9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14:paraId="2A95B565">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vAlign w:val="center"/>
          </w:tcPr>
          <w:p w14:paraId="3722B8C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14:paraId="443326B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14:paraId="40D902D3">
      <w:pPr>
        <w:widowControl/>
        <w:spacing w:line="280" w:lineRule="exact"/>
        <w:rPr>
          <w:rFonts w:ascii="宋体" w:hAnsi="宋体" w:cs="宋体"/>
          <w:color w:val="auto"/>
          <w:spacing w:val="8"/>
          <w:kern w:val="0"/>
          <w:sz w:val="24"/>
        </w:rPr>
      </w:pPr>
    </w:p>
    <w:p w14:paraId="4DE61E62">
      <w:pPr>
        <w:widowControl/>
        <w:spacing w:line="280" w:lineRule="exact"/>
        <w:rPr>
          <w:rFonts w:ascii="宋体" w:hAnsi="宋体" w:cs="宋体"/>
          <w:color w:val="auto"/>
          <w:spacing w:val="8"/>
          <w:kern w:val="0"/>
          <w:sz w:val="24"/>
        </w:rPr>
      </w:pPr>
      <w:r>
        <w:rPr>
          <w:rFonts w:hint="eastAsia" w:ascii="宋体" w:hAnsi="宋体" w:cs="宋体"/>
          <w:color w:val="auto"/>
          <w:spacing w:val="8"/>
          <w:kern w:val="0"/>
          <w:sz w:val="24"/>
        </w:rPr>
        <w:t>说明：</w:t>
      </w:r>
    </w:p>
    <w:p w14:paraId="44B46F0A">
      <w:pPr>
        <w:pStyle w:val="17"/>
        <w:adjustRightInd w:val="0"/>
        <w:spacing w:line="280" w:lineRule="exact"/>
        <w:ind w:firstLine="512" w:firstLineChars="200"/>
        <w:contextualSpacing/>
        <w:rPr>
          <w:rFonts w:hAnsi="宋体" w:cs="宋体"/>
          <w:color w:val="auto"/>
          <w:spacing w:val="8"/>
          <w:kern w:val="0"/>
          <w:sz w:val="24"/>
          <w:szCs w:val="24"/>
        </w:rPr>
      </w:pPr>
      <w:r>
        <w:rPr>
          <w:rFonts w:hint="eastAsia" w:hAnsi="宋体" w:cs="宋体"/>
          <w:color w:val="auto"/>
          <w:spacing w:val="8"/>
          <w:kern w:val="0"/>
          <w:sz w:val="24"/>
          <w:szCs w:val="24"/>
        </w:rPr>
        <w:t>1.大型、中型和小型企业须同时满足所列指标的下限，否则下划一档；微型企业只须满足所列指标中的一项即可。</w:t>
      </w:r>
    </w:p>
    <w:p w14:paraId="1365CBC1">
      <w:pPr>
        <w:pStyle w:val="17"/>
        <w:adjustRightInd w:val="0"/>
        <w:spacing w:line="280" w:lineRule="exact"/>
        <w:ind w:firstLine="512" w:firstLineChars="200"/>
        <w:contextualSpacing/>
        <w:rPr>
          <w:rFonts w:hAnsi="宋体" w:cs="宋体"/>
          <w:color w:val="auto"/>
          <w:spacing w:val="8"/>
          <w:kern w:val="0"/>
          <w:sz w:val="24"/>
          <w:szCs w:val="24"/>
        </w:rPr>
      </w:pPr>
      <w:r>
        <w:rPr>
          <w:rFonts w:hint="eastAsia" w:hAnsi="宋体" w:cs="宋体"/>
          <w:color w:val="auto"/>
          <w:spacing w:val="8"/>
          <w:kern w:val="0"/>
          <w:sz w:val="24"/>
          <w:szCs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2EB0F2E">
      <w:pPr>
        <w:pStyle w:val="17"/>
        <w:spacing w:line="280" w:lineRule="exact"/>
        <w:ind w:firstLine="512" w:firstLineChars="200"/>
        <w:rPr>
          <w:rFonts w:hAnsi="宋体" w:cs="宋体"/>
          <w:color w:val="auto"/>
          <w:spacing w:val="8"/>
          <w:kern w:val="0"/>
          <w:sz w:val="24"/>
          <w:szCs w:val="24"/>
        </w:rPr>
        <w:sectPr>
          <w:footerReference r:id="rId7" w:type="first"/>
          <w:footerReference r:id="rId6" w:type="default"/>
          <w:pgSz w:w="11906" w:h="16838"/>
          <w:pgMar w:top="1500" w:right="1134" w:bottom="1258" w:left="1134" w:header="720" w:footer="720" w:gutter="0"/>
          <w:cols w:space="720" w:num="1"/>
          <w:titlePg/>
          <w:docGrid w:type="linesAndChars" w:linePitch="331" w:charSpace="0"/>
        </w:sectPr>
      </w:pPr>
      <w:r>
        <w:rPr>
          <w:rFonts w:hint="eastAsia" w:hAnsi="宋体" w:cs="宋体"/>
          <w:color w:val="auto"/>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w:t>
      </w:r>
      <w:bookmarkStart w:id="139" w:name="_Toc8466"/>
      <w:bookmarkStart w:id="140" w:name="_Toc4774"/>
    </w:p>
    <w:p w14:paraId="195EDD93">
      <w:pPr>
        <w:pStyle w:val="2"/>
        <w:ind w:firstLine="1800" w:firstLineChars="500"/>
        <w:jc w:val="both"/>
        <w:rPr>
          <w:rFonts w:ascii="宋体" w:hAnsi="宋体"/>
          <w:color w:val="auto"/>
          <w:kern w:val="0"/>
          <w:sz w:val="32"/>
          <w:szCs w:val="32"/>
        </w:rPr>
      </w:pPr>
      <w:bookmarkStart w:id="141" w:name="_Toc25360"/>
      <w:bookmarkStart w:id="142" w:name="_Toc5351"/>
      <w:r>
        <w:rPr>
          <w:rFonts w:hint="eastAsia"/>
          <w:color w:val="auto"/>
        </w:rPr>
        <w:t>第五章采购合同（合同主要条款及格式）</w:t>
      </w:r>
      <w:bookmarkEnd w:id="139"/>
      <w:bookmarkEnd w:id="140"/>
      <w:bookmarkEnd w:id="141"/>
      <w:bookmarkEnd w:id="142"/>
      <w:bookmarkStart w:id="143" w:name="_Toc24269"/>
      <w:bookmarkStart w:id="144" w:name="_Toc10014"/>
      <w:bookmarkStart w:id="145" w:name="_Toc5077"/>
    </w:p>
    <w:p w14:paraId="7D99208B">
      <w:pPr>
        <w:spacing w:line="400" w:lineRule="exact"/>
        <w:rPr>
          <w:rFonts w:ascii="宋体" w:hAnsi="宋体"/>
          <w:color w:val="auto"/>
        </w:rPr>
      </w:pPr>
      <w:r>
        <w:rPr>
          <w:rFonts w:hint="eastAsia" w:ascii="宋体" w:hAnsi="宋体"/>
          <w:color w:val="auto"/>
        </w:rPr>
        <w:t>甲方：（采购人，以下简称甲方）</w:t>
      </w:r>
    </w:p>
    <w:p w14:paraId="08BEE16F">
      <w:pPr>
        <w:spacing w:line="400" w:lineRule="exact"/>
        <w:rPr>
          <w:rFonts w:ascii="宋体" w:hAnsi="宋体"/>
          <w:color w:val="auto"/>
        </w:rPr>
      </w:pPr>
      <w:r>
        <w:rPr>
          <w:rFonts w:hint="eastAsia" w:ascii="宋体" w:hAnsi="宋体"/>
          <w:color w:val="auto"/>
        </w:rPr>
        <w:t>乙方：（成交供应商，以下简称乙方）</w:t>
      </w:r>
    </w:p>
    <w:p w14:paraId="097F3285">
      <w:pPr>
        <w:widowControl/>
        <w:spacing w:line="360" w:lineRule="auto"/>
        <w:ind w:firstLine="420" w:firstLineChars="200"/>
        <w:jc w:val="left"/>
        <w:rPr>
          <w:rFonts w:ascii="宋体" w:hAnsi="宋体"/>
          <w:color w:val="auto"/>
        </w:rPr>
      </w:pPr>
      <w:r>
        <w:rPr>
          <w:rFonts w:hint="eastAsia" w:ascii="宋体" w:hAnsi="宋体"/>
          <w:color w:val="auto"/>
        </w:rPr>
        <w:t>根据《中华人民共和国政府采购法》、《中华人民共和国政府采购法实施条例》、政府采购竞争性磋商采购方式管理暂行办法》、《中华人民共和国民法典》等有关法律、法规规定，按照竞争性磋商文件（以下简称磋商文件）、响应文件规定条款和成交供应商的承诺，甲乙双方签订本采购合同。</w:t>
      </w:r>
    </w:p>
    <w:p w14:paraId="5991E34B">
      <w:pPr>
        <w:adjustRightInd w:val="0"/>
        <w:snapToGrid w:val="0"/>
        <w:spacing w:line="360" w:lineRule="auto"/>
        <w:ind w:firstLine="420" w:firstLineChars="200"/>
        <w:rPr>
          <w:rFonts w:ascii="宋体" w:hAnsi="宋体"/>
          <w:color w:val="auto"/>
        </w:rPr>
      </w:pPr>
      <w:r>
        <w:rPr>
          <w:rFonts w:hint="eastAsia" w:ascii="宋体" w:hAnsi="宋体"/>
          <w:color w:val="auto"/>
        </w:rPr>
        <w:t>一、合同文件</w:t>
      </w:r>
    </w:p>
    <w:p w14:paraId="51F44E60">
      <w:pPr>
        <w:adjustRightInd w:val="0"/>
        <w:snapToGrid w:val="0"/>
        <w:spacing w:line="360" w:lineRule="auto"/>
        <w:ind w:firstLine="420" w:firstLineChars="200"/>
        <w:rPr>
          <w:rFonts w:ascii="宋体" w:hAnsi="宋体"/>
          <w:color w:val="auto"/>
        </w:rPr>
      </w:pPr>
      <w:r>
        <w:rPr>
          <w:rFonts w:hint="eastAsia" w:ascii="宋体" w:hAnsi="宋体"/>
          <w:color w:val="auto"/>
        </w:rPr>
        <w:t>本合同所附下列文件是构成本合同不可分割的部分：</w:t>
      </w:r>
    </w:p>
    <w:p w14:paraId="5DCBA134">
      <w:pPr>
        <w:adjustRightInd w:val="0"/>
        <w:snapToGrid w:val="0"/>
        <w:spacing w:line="360" w:lineRule="auto"/>
        <w:ind w:firstLine="420" w:firstLineChars="200"/>
        <w:rPr>
          <w:rFonts w:ascii="宋体" w:hAnsi="宋体"/>
          <w:color w:val="auto"/>
        </w:rPr>
      </w:pPr>
      <w:r>
        <w:rPr>
          <w:rFonts w:hint="eastAsia" w:ascii="宋体" w:hAnsi="宋体"/>
          <w:color w:val="auto"/>
        </w:rPr>
        <w:t xml:space="preserve">1、招标文件 </w:t>
      </w:r>
    </w:p>
    <w:p w14:paraId="3272203E">
      <w:pPr>
        <w:adjustRightInd w:val="0"/>
        <w:snapToGrid w:val="0"/>
        <w:spacing w:line="360" w:lineRule="auto"/>
        <w:ind w:firstLine="420" w:firstLineChars="200"/>
        <w:rPr>
          <w:rFonts w:ascii="宋体" w:hAnsi="宋体"/>
          <w:color w:val="auto"/>
        </w:rPr>
      </w:pPr>
      <w:r>
        <w:rPr>
          <w:rFonts w:hint="eastAsia" w:ascii="宋体" w:hAnsi="宋体"/>
          <w:color w:val="auto"/>
        </w:rPr>
        <w:t xml:space="preserve">2、乙方提供的投标文件（含应答文件） </w:t>
      </w:r>
    </w:p>
    <w:p w14:paraId="322FB60E">
      <w:pPr>
        <w:adjustRightInd w:val="0"/>
        <w:snapToGrid w:val="0"/>
        <w:spacing w:line="360" w:lineRule="auto"/>
        <w:ind w:firstLine="420" w:firstLineChars="200"/>
        <w:rPr>
          <w:rFonts w:ascii="宋体" w:hAnsi="宋体"/>
          <w:color w:val="auto"/>
        </w:rPr>
      </w:pPr>
      <w:r>
        <w:rPr>
          <w:rFonts w:hint="eastAsia" w:ascii="宋体" w:hAnsi="宋体"/>
          <w:color w:val="auto"/>
        </w:rPr>
        <w:t>3、</w:t>
      </w:r>
      <w:bookmarkStart w:id="146" w:name="OLE_LINK14"/>
      <w:r>
        <w:rPr>
          <w:rFonts w:hint="eastAsia" w:ascii="宋体" w:hAnsi="宋体"/>
          <w:color w:val="auto"/>
        </w:rPr>
        <w:t>报价表</w:t>
      </w:r>
      <w:bookmarkEnd w:id="146"/>
    </w:p>
    <w:p w14:paraId="1C030927">
      <w:pPr>
        <w:adjustRightInd w:val="0"/>
        <w:snapToGrid w:val="0"/>
        <w:spacing w:line="360" w:lineRule="auto"/>
        <w:ind w:firstLine="420" w:firstLineChars="200"/>
        <w:rPr>
          <w:rFonts w:ascii="宋体" w:hAnsi="宋体"/>
          <w:color w:val="auto"/>
        </w:rPr>
      </w:pPr>
      <w:r>
        <w:rPr>
          <w:rFonts w:hint="eastAsia" w:ascii="宋体" w:hAnsi="宋体"/>
          <w:color w:val="auto"/>
        </w:rPr>
        <w:t>4、项目实施方案</w:t>
      </w:r>
    </w:p>
    <w:p w14:paraId="3EAC7177">
      <w:pPr>
        <w:adjustRightInd w:val="0"/>
        <w:snapToGrid w:val="0"/>
        <w:spacing w:line="360" w:lineRule="auto"/>
        <w:ind w:firstLine="420" w:firstLineChars="200"/>
        <w:rPr>
          <w:rFonts w:ascii="宋体" w:hAnsi="宋体"/>
          <w:color w:val="auto"/>
        </w:rPr>
      </w:pPr>
      <w:r>
        <w:rPr>
          <w:rFonts w:hint="eastAsia" w:ascii="宋体" w:hAnsi="宋体"/>
          <w:color w:val="auto"/>
        </w:rPr>
        <w:t xml:space="preserve">5、中标通知书 </w:t>
      </w:r>
    </w:p>
    <w:p w14:paraId="2D0CDCC0">
      <w:pPr>
        <w:adjustRightInd w:val="0"/>
        <w:snapToGrid w:val="0"/>
        <w:spacing w:line="360" w:lineRule="auto"/>
        <w:ind w:firstLine="420" w:firstLineChars="200"/>
        <w:rPr>
          <w:rFonts w:ascii="宋体" w:hAnsi="宋体"/>
          <w:color w:val="auto"/>
        </w:rPr>
      </w:pPr>
      <w:r>
        <w:rPr>
          <w:rFonts w:hint="eastAsia" w:ascii="宋体" w:hAnsi="宋体"/>
          <w:color w:val="auto"/>
        </w:rPr>
        <w:t>二、服务内容</w:t>
      </w:r>
    </w:p>
    <w:p w14:paraId="35AAC0A9">
      <w:pPr>
        <w:widowControl/>
        <w:adjustRightInd w:val="0"/>
        <w:snapToGrid w:val="0"/>
        <w:spacing w:line="360" w:lineRule="auto"/>
        <w:ind w:firstLine="420" w:firstLineChars="200"/>
        <w:rPr>
          <w:rFonts w:ascii="宋体" w:hAnsi="宋体"/>
          <w:color w:val="auto"/>
        </w:rPr>
      </w:pPr>
      <w:r>
        <w:rPr>
          <w:rFonts w:hint="eastAsia" w:ascii="宋体" w:hAnsi="宋体"/>
          <w:color w:val="auto"/>
        </w:rPr>
        <w:t>1、需租赁洗涤的所有织物的租赁、收集、运送、清洗、消毒、缝补、熨烫、折叠、保管等服务。具体服务内容及范围包含竞争性磋商文件中“项目需求”、乙方响应文件的“项目实施方案”和乙方的所有承诺服务内容。</w:t>
      </w:r>
    </w:p>
    <w:p w14:paraId="407E9DEE">
      <w:pPr>
        <w:spacing w:line="360" w:lineRule="auto"/>
        <w:ind w:firstLine="420" w:firstLineChars="200"/>
        <w:rPr>
          <w:rFonts w:ascii="宋体" w:hAnsi="宋体"/>
          <w:color w:val="auto"/>
        </w:rPr>
      </w:pPr>
      <w:r>
        <w:rPr>
          <w:rFonts w:hint="eastAsia" w:ascii="宋体" w:hAnsi="宋体"/>
          <w:color w:val="auto"/>
        </w:rPr>
        <w:t>2、医用织物的采购方</w:t>
      </w:r>
    </w:p>
    <w:p w14:paraId="637A0A21">
      <w:pPr>
        <w:spacing w:line="360" w:lineRule="auto"/>
        <w:ind w:firstLine="420" w:firstLineChars="200"/>
        <w:rPr>
          <w:rFonts w:ascii="宋体" w:hAnsi="宋体"/>
          <w:color w:val="auto"/>
        </w:rPr>
      </w:pPr>
      <w:r>
        <w:rPr>
          <w:rFonts w:hint="eastAsia" w:ascii="宋体" w:hAnsi="宋体"/>
          <w:color w:val="auto"/>
        </w:rPr>
        <w:t>（1）医院提供的医用织物：窗帘、床帘、行政职能工作服、手术类织物（含洗手衣裤）、翻身枕等，不计洗涤费。</w:t>
      </w:r>
    </w:p>
    <w:p w14:paraId="2C8F8423">
      <w:pPr>
        <w:spacing w:line="360" w:lineRule="auto"/>
        <w:ind w:firstLine="420" w:firstLineChars="200"/>
        <w:rPr>
          <w:rFonts w:ascii="宋体" w:hAnsi="宋体"/>
          <w:color w:val="auto"/>
        </w:rPr>
      </w:pPr>
      <w:r>
        <w:rPr>
          <w:rFonts w:hint="eastAsia" w:ascii="宋体" w:hAnsi="宋体"/>
          <w:color w:val="auto"/>
        </w:rPr>
        <w:t>（2）乙方负责提供的医用织物：</w:t>
      </w:r>
    </w:p>
    <w:p w14:paraId="63831953">
      <w:pPr>
        <w:numPr>
          <w:ilvl w:val="0"/>
          <w:numId w:val="14"/>
        </w:numPr>
        <w:spacing w:line="360" w:lineRule="auto"/>
        <w:rPr>
          <w:rFonts w:ascii="宋体" w:hAnsi="宋体"/>
          <w:color w:val="auto"/>
        </w:rPr>
      </w:pPr>
      <w:r>
        <w:rPr>
          <w:rFonts w:hint="eastAsia" w:ascii="宋体" w:hAnsi="宋体"/>
          <w:color w:val="auto"/>
        </w:rPr>
        <w:t>床单元医用织物：被套、床单、枕套、病衣裤、儿科中单，按床位数的3倍配置。</w:t>
      </w:r>
    </w:p>
    <w:p w14:paraId="1DAC0E23">
      <w:pPr>
        <w:numPr>
          <w:ilvl w:val="0"/>
          <w:numId w:val="14"/>
        </w:numPr>
        <w:spacing w:line="360" w:lineRule="auto"/>
        <w:rPr>
          <w:rFonts w:ascii="宋体" w:hAnsi="宋体"/>
          <w:color w:val="auto"/>
        </w:rPr>
      </w:pPr>
      <w:r>
        <w:rPr>
          <w:rFonts w:hint="eastAsia" w:ascii="宋体" w:hAnsi="宋体"/>
          <w:color w:val="auto"/>
        </w:rPr>
        <w:t>絮类（被芯、垫被芯、枕芯）、值班室三件套，按床位数的2倍配置。</w:t>
      </w:r>
    </w:p>
    <w:p w14:paraId="3C5D8966">
      <w:pPr>
        <w:numPr>
          <w:ilvl w:val="0"/>
          <w:numId w:val="14"/>
        </w:numPr>
        <w:spacing w:line="360" w:lineRule="auto"/>
        <w:rPr>
          <w:rFonts w:ascii="宋体" w:hAnsi="宋体"/>
          <w:color w:val="auto"/>
        </w:rPr>
      </w:pPr>
      <w:r>
        <w:rPr>
          <w:rFonts w:hint="eastAsia" w:ascii="宋体" w:hAnsi="宋体"/>
          <w:color w:val="auto"/>
        </w:rPr>
        <w:t>实行租赁科室的疗诊工作服（除洗手衣裤外），按租赁科室人员配置，冬夏装各2套。</w:t>
      </w:r>
    </w:p>
    <w:p w14:paraId="294DFB69">
      <w:pPr>
        <w:adjustRightInd w:val="0"/>
        <w:snapToGrid w:val="0"/>
        <w:spacing w:line="360" w:lineRule="auto"/>
        <w:ind w:firstLine="420" w:firstLineChars="200"/>
        <w:rPr>
          <w:rFonts w:ascii="宋体" w:hAnsi="宋体"/>
          <w:color w:val="auto"/>
        </w:rPr>
      </w:pPr>
      <w:r>
        <w:rPr>
          <w:rFonts w:hint="eastAsia" w:ascii="宋体" w:hAnsi="宋体"/>
          <w:color w:val="auto"/>
        </w:rPr>
        <w:t>三、服务期限</w:t>
      </w:r>
    </w:p>
    <w:p w14:paraId="0A284F13">
      <w:pPr>
        <w:adjustRightInd w:val="0"/>
        <w:snapToGrid w:val="0"/>
        <w:spacing w:line="360" w:lineRule="auto"/>
        <w:ind w:firstLine="420" w:firstLineChars="200"/>
        <w:rPr>
          <w:rFonts w:ascii="宋体" w:hAnsi="宋体"/>
          <w:color w:val="auto"/>
        </w:rPr>
      </w:pPr>
      <w:r>
        <w:rPr>
          <w:rFonts w:hint="eastAsia" w:ascii="宋体" w:hAnsi="宋体"/>
          <w:color w:val="auto"/>
        </w:rPr>
        <w:t>服务期限：自本合同签订之日起2年。</w:t>
      </w:r>
    </w:p>
    <w:p w14:paraId="0360D4BF">
      <w:pPr>
        <w:adjustRightInd w:val="0"/>
        <w:snapToGrid w:val="0"/>
        <w:spacing w:line="360" w:lineRule="auto"/>
        <w:ind w:firstLine="420" w:firstLineChars="200"/>
        <w:rPr>
          <w:rFonts w:ascii="宋体" w:hAnsi="宋体"/>
          <w:color w:val="auto"/>
        </w:rPr>
      </w:pPr>
      <w:r>
        <w:rPr>
          <w:rFonts w:hint="eastAsia" w:ascii="宋体" w:hAnsi="宋体"/>
          <w:color w:val="auto"/>
        </w:rPr>
        <w:t>四、医用织物租赁洗涤、消毒等服务价格及付款方式：</w:t>
      </w:r>
    </w:p>
    <w:p w14:paraId="2F065CA9">
      <w:pPr>
        <w:adjustRightInd w:val="0"/>
        <w:snapToGrid w:val="0"/>
        <w:spacing w:line="360" w:lineRule="auto"/>
        <w:ind w:firstLine="420" w:firstLineChars="200"/>
        <w:rPr>
          <w:rFonts w:ascii="宋体" w:hAnsi="宋体"/>
          <w:b/>
          <w:bCs/>
          <w:color w:val="auto"/>
          <w:highlight w:val="none"/>
        </w:rPr>
      </w:pPr>
      <w:r>
        <w:rPr>
          <w:rFonts w:hint="eastAsia" w:ascii="宋体" w:hAnsi="宋体"/>
          <w:b/>
          <w:bCs/>
          <w:color w:val="auto"/>
          <w:highlight w:val="none"/>
        </w:rPr>
        <w:t>1、各类医用织物租赁洗涤费价格（具体</w:t>
      </w:r>
      <w:r>
        <w:rPr>
          <w:rFonts w:hint="eastAsia" w:ascii="宋体" w:hAnsi="宋体"/>
          <w:b/>
          <w:bCs/>
          <w:color w:val="auto"/>
          <w:highlight w:val="none"/>
          <w:lang w:val="en-US" w:eastAsia="zh-CN"/>
        </w:rPr>
        <w:t>占床数</w:t>
      </w:r>
      <w:r>
        <w:rPr>
          <w:rFonts w:hint="eastAsia" w:ascii="宋体" w:hAnsi="宋体"/>
          <w:b/>
          <w:bCs/>
          <w:color w:val="auto"/>
          <w:highlight w:val="none"/>
        </w:rPr>
        <w:t>以合同履行过程中的实</w:t>
      </w:r>
      <w:r>
        <w:rPr>
          <w:rFonts w:hint="eastAsia" w:ascii="宋体" w:hAnsi="宋体"/>
          <w:b/>
          <w:bCs/>
          <w:color w:val="auto"/>
          <w:highlight w:val="none"/>
          <w:lang w:val="en-US" w:eastAsia="zh-CN"/>
        </w:rPr>
        <w:t>际</w:t>
      </w:r>
      <w:r>
        <w:rPr>
          <w:rFonts w:hint="eastAsia" w:ascii="宋体" w:hAnsi="宋体"/>
          <w:b/>
          <w:bCs/>
          <w:color w:val="auto"/>
          <w:highlight w:val="none"/>
        </w:rPr>
        <w:t>产生数量为准）：</w:t>
      </w:r>
    </w:p>
    <w:p w14:paraId="06BADE52">
      <w:pPr>
        <w:adjustRightInd w:val="0"/>
        <w:snapToGrid w:val="0"/>
        <w:spacing w:line="360" w:lineRule="auto"/>
        <w:ind w:firstLine="420" w:firstLineChars="200"/>
        <w:rPr>
          <w:rFonts w:ascii="宋体" w:hAnsi="宋体"/>
          <w:color w:val="auto"/>
        </w:rPr>
      </w:pPr>
      <w:r>
        <w:rPr>
          <w:rFonts w:hint="eastAsia" w:ascii="宋体" w:hAnsi="宋体"/>
          <w:color w:val="auto"/>
        </w:rPr>
        <w:t>表1：病区、新生儿科医用织物租赁洗涤报价表（租赁洗涤一体，按月实际占床数计算）</w:t>
      </w:r>
    </w:p>
    <w:tbl>
      <w:tblPr>
        <w:tblStyle w:val="28"/>
        <w:tblW w:w="8595" w:type="dxa"/>
        <w:jc w:val="center"/>
        <w:tblLayout w:type="fixed"/>
        <w:tblCellMar>
          <w:top w:w="0" w:type="dxa"/>
          <w:left w:w="108" w:type="dxa"/>
          <w:bottom w:w="0" w:type="dxa"/>
          <w:right w:w="108" w:type="dxa"/>
        </w:tblCellMar>
      </w:tblPr>
      <w:tblGrid>
        <w:gridCol w:w="2589"/>
        <w:gridCol w:w="6006"/>
      </w:tblGrid>
      <w:tr w14:paraId="7CA6224D">
        <w:tblPrEx>
          <w:tblCellMar>
            <w:top w:w="0" w:type="dxa"/>
            <w:left w:w="108" w:type="dxa"/>
            <w:bottom w:w="0" w:type="dxa"/>
            <w:right w:w="108" w:type="dxa"/>
          </w:tblCellMar>
        </w:tblPrEx>
        <w:trPr>
          <w:trHeight w:val="606" w:hRule="atLeast"/>
          <w:jc w:val="center"/>
        </w:trPr>
        <w:tc>
          <w:tcPr>
            <w:tcW w:w="2590" w:type="dxa"/>
            <w:tcBorders>
              <w:top w:val="single" w:color="000000" w:sz="4" w:space="0"/>
              <w:left w:val="single" w:color="000000" w:sz="4" w:space="0"/>
              <w:bottom w:val="single" w:color="000000" w:sz="4" w:space="0"/>
              <w:right w:val="single" w:color="000000" w:sz="4" w:space="0"/>
            </w:tcBorders>
            <w:noWrap/>
            <w:vAlign w:val="center"/>
          </w:tcPr>
          <w:p w14:paraId="272D06B4">
            <w:pPr>
              <w:adjustRightInd w:val="0"/>
              <w:snapToGrid w:val="0"/>
              <w:spacing w:line="360" w:lineRule="auto"/>
              <w:ind w:firstLine="420" w:firstLineChars="200"/>
              <w:jc w:val="center"/>
              <w:rPr>
                <w:rFonts w:ascii="宋体" w:hAnsi="宋体"/>
                <w:color w:val="auto"/>
              </w:rPr>
            </w:pPr>
            <w:bookmarkStart w:id="147" w:name="OLE_LINK1"/>
            <w:r>
              <w:rPr>
                <w:rFonts w:hint="eastAsia" w:ascii="宋体" w:hAnsi="宋体"/>
                <w:color w:val="auto"/>
              </w:rPr>
              <w:t>租赁名称</w:t>
            </w:r>
          </w:p>
        </w:tc>
        <w:tc>
          <w:tcPr>
            <w:tcW w:w="6008" w:type="dxa"/>
            <w:tcBorders>
              <w:top w:val="single" w:color="000000" w:sz="4" w:space="0"/>
              <w:left w:val="single" w:color="000000" w:sz="4" w:space="0"/>
              <w:bottom w:val="single" w:color="000000" w:sz="4" w:space="0"/>
              <w:right w:val="single" w:color="000000" w:sz="4" w:space="0"/>
            </w:tcBorders>
            <w:noWrap/>
            <w:vAlign w:val="center"/>
          </w:tcPr>
          <w:p w14:paraId="509005F5">
            <w:pPr>
              <w:adjustRightInd w:val="0"/>
              <w:snapToGrid w:val="0"/>
              <w:spacing w:line="360" w:lineRule="auto"/>
              <w:ind w:firstLine="420" w:firstLineChars="200"/>
              <w:jc w:val="center"/>
              <w:rPr>
                <w:rFonts w:ascii="宋体" w:hAnsi="宋体"/>
                <w:color w:val="auto"/>
              </w:rPr>
            </w:pPr>
            <w:r>
              <w:rPr>
                <w:rFonts w:hint="eastAsia" w:ascii="宋体" w:hAnsi="宋体"/>
                <w:color w:val="auto"/>
              </w:rPr>
              <w:t>中标单价（元/床/天）</w:t>
            </w:r>
          </w:p>
        </w:tc>
      </w:tr>
      <w:tr w14:paraId="6D66BA5C">
        <w:tblPrEx>
          <w:tblCellMar>
            <w:top w:w="0" w:type="dxa"/>
            <w:left w:w="108" w:type="dxa"/>
            <w:bottom w:w="0" w:type="dxa"/>
            <w:right w:w="108" w:type="dxa"/>
          </w:tblCellMar>
        </w:tblPrEx>
        <w:trPr>
          <w:trHeight w:val="504" w:hRule="atLeast"/>
          <w:jc w:val="center"/>
        </w:trPr>
        <w:tc>
          <w:tcPr>
            <w:tcW w:w="2590" w:type="dxa"/>
            <w:tcBorders>
              <w:top w:val="single" w:color="000000" w:sz="4" w:space="0"/>
              <w:left w:val="single" w:color="000000" w:sz="4" w:space="0"/>
              <w:bottom w:val="single" w:color="000000" w:sz="4" w:space="0"/>
              <w:right w:val="single" w:color="000000" w:sz="4" w:space="0"/>
            </w:tcBorders>
            <w:noWrap/>
            <w:vAlign w:val="center"/>
          </w:tcPr>
          <w:p w14:paraId="618538C0">
            <w:pPr>
              <w:adjustRightInd w:val="0"/>
              <w:snapToGrid w:val="0"/>
              <w:spacing w:line="360" w:lineRule="auto"/>
              <w:ind w:firstLine="420" w:firstLineChars="200"/>
              <w:jc w:val="center"/>
              <w:rPr>
                <w:rFonts w:ascii="宋体" w:hAnsi="宋体"/>
                <w:color w:val="auto"/>
              </w:rPr>
            </w:pPr>
            <w:r>
              <w:rPr>
                <w:rFonts w:hint="eastAsia" w:ascii="宋体" w:hAnsi="宋体"/>
                <w:color w:val="auto"/>
              </w:rPr>
              <w:t>病  区</w:t>
            </w:r>
          </w:p>
        </w:tc>
        <w:tc>
          <w:tcPr>
            <w:tcW w:w="6008" w:type="dxa"/>
            <w:tcBorders>
              <w:top w:val="single" w:color="000000" w:sz="4" w:space="0"/>
              <w:left w:val="single" w:color="000000" w:sz="4" w:space="0"/>
              <w:bottom w:val="single" w:color="000000" w:sz="4" w:space="0"/>
              <w:right w:val="single" w:color="000000" w:sz="4" w:space="0"/>
            </w:tcBorders>
            <w:noWrap/>
            <w:vAlign w:val="center"/>
          </w:tcPr>
          <w:p w14:paraId="4752A302">
            <w:pPr>
              <w:widowControl/>
              <w:jc w:val="left"/>
              <w:rPr>
                <w:color w:val="auto"/>
                <w:kern w:val="0"/>
                <w:sz w:val="20"/>
                <w:szCs w:val="20"/>
              </w:rPr>
            </w:pPr>
          </w:p>
        </w:tc>
      </w:tr>
      <w:tr w14:paraId="52483974">
        <w:tblPrEx>
          <w:tblCellMar>
            <w:top w:w="0" w:type="dxa"/>
            <w:left w:w="108" w:type="dxa"/>
            <w:bottom w:w="0" w:type="dxa"/>
            <w:right w:w="108" w:type="dxa"/>
          </w:tblCellMar>
        </w:tblPrEx>
        <w:trPr>
          <w:trHeight w:val="606" w:hRule="atLeast"/>
          <w:jc w:val="center"/>
        </w:trPr>
        <w:tc>
          <w:tcPr>
            <w:tcW w:w="2590" w:type="dxa"/>
            <w:tcBorders>
              <w:top w:val="single" w:color="000000" w:sz="4" w:space="0"/>
              <w:left w:val="single" w:color="000000" w:sz="4" w:space="0"/>
              <w:bottom w:val="single" w:color="000000" w:sz="4" w:space="0"/>
              <w:right w:val="single" w:color="000000" w:sz="4" w:space="0"/>
            </w:tcBorders>
            <w:noWrap/>
            <w:vAlign w:val="center"/>
          </w:tcPr>
          <w:p w14:paraId="521AFB74">
            <w:pPr>
              <w:adjustRightInd w:val="0"/>
              <w:snapToGrid w:val="0"/>
              <w:spacing w:line="360" w:lineRule="auto"/>
              <w:ind w:firstLine="420" w:firstLineChars="200"/>
              <w:jc w:val="center"/>
              <w:rPr>
                <w:rFonts w:ascii="宋体" w:hAnsi="宋体"/>
                <w:color w:val="auto"/>
              </w:rPr>
            </w:pPr>
            <w:r>
              <w:rPr>
                <w:rFonts w:hint="eastAsia" w:ascii="宋体" w:hAnsi="宋体"/>
                <w:color w:val="auto"/>
              </w:rPr>
              <w:t>新生儿科</w:t>
            </w:r>
          </w:p>
        </w:tc>
        <w:tc>
          <w:tcPr>
            <w:tcW w:w="6008" w:type="dxa"/>
            <w:tcBorders>
              <w:top w:val="single" w:color="000000" w:sz="4" w:space="0"/>
              <w:left w:val="single" w:color="000000" w:sz="4" w:space="0"/>
              <w:bottom w:val="single" w:color="000000" w:sz="4" w:space="0"/>
              <w:right w:val="single" w:color="000000" w:sz="4" w:space="0"/>
            </w:tcBorders>
            <w:noWrap/>
            <w:vAlign w:val="center"/>
          </w:tcPr>
          <w:p w14:paraId="1E4786CE">
            <w:pPr>
              <w:widowControl/>
              <w:jc w:val="left"/>
              <w:rPr>
                <w:color w:val="auto"/>
                <w:kern w:val="0"/>
                <w:sz w:val="20"/>
                <w:szCs w:val="20"/>
              </w:rPr>
            </w:pPr>
          </w:p>
        </w:tc>
      </w:tr>
      <w:bookmarkEnd w:id="147"/>
    </w:tbl>
    <w:p w14:paraId="39B256A9">
      <w:pPr>
        <w:adjustRightInd w:val="0"/>
        <w:snapToGrid w:val="0"/>
        <w:spacing w:line="360" w:lineRule="auto"/>
        <w:ind w:firstLine="420" w:firstLineChars="200"/>
        <w:rPr>
          <w:rFonts w:ascii="宋体" w:hAnsi="宋体"/>
          <w:color w:val="auto"/>
        </w:rPr>
      </w:pPr>
    </w:p>
    <w:p w14:paraId="1194937D">
      <w:pPr>
        <w:adjustRightInd w:val="0"/>
        <w:snapToGrid w:val="0"/>
        <w:spacing w:line="360" w:lineRule="auto"/>
        <w:ind w:firstLine="420" w:firstLineChars="200"/>
        <w:rPr>
          <w:rFonts w:ascii="宋体" w:hAnsi="宋体"/>
          <w:color w:val="auto"/>
        </w:rPr>
      </w:pPr>
      <w:r>
        <w:rPr>
          <w:rFonts w:hint="eastAsia" w:ascii="宋体" w:hAnsi="宋体"/>
          <w:color w:val="auto"/>
        </w:rPr>
        <w:t>表2：诊疗床医用织物租赁洗涤报价表（租赁洗涤一体，按月实际床位数计算）</w:t>
      </w:r>
    </w:p>
    <w:tbl>
      <w:tblPr>
        <w:tblStyle w:val="28"/>
        <w:tblW w:w="8595" w:type="dxa"/>
        <w:jc w:val="center"/>
        <w:tblLayout w:type="fixed"/>
        <w:tblCellMar>
          <w:top w:w="0" w:type="dxa"/>
          <w:left w:w="108" w:type="dxa"/>
          <w:bottom w:w="0" w:type="dxa"/>
          <w:right w:w="108" w:type="dxa"/>
        </w:tblCellMar>
      </w:tblPr>
      <w:tblGrid>
        <w:gridCol w:w="2560"/>
        <w:gridCol w:w="6035"/>
      </w:tblGrid>
      <w:tr w14:paraId="0EE99775">
        <w:tblPrEx>
          <w:tblCellMar>
            <w:top w:w="0" w:type="dxa"/>
            <w:left w:w="108" w:type="dxa"/>
            <w:bottom w:w="0" w:type="dxa"/>
            <w:right w:w="108" w:type="dxa"/>
          </w:tblCellMar>
        </w:tblPrEx>
        <w:trPr>
          <w:trHeight w:val="606" w:hRule="atLeast"/>
          <w:jc w:val="center"/>
        </w:trPr>
        <w:tc>
          <w:tcPr>
            <w:tcW w:w="2561" w:type="dxa"/>
            <w:tcBorders>
              <w:top w:val="single" w:color="000000" w:sz="4" w:space="0"/>
              <w:left w:val="single" w:color="000000" w:sz="4" w:space="0"/>
              <w:bottom w:val="single" w:color="000000" w:sz="4" w:space="0"/>
              <w:right w:val="single" w:color="000000" w:sz="4" w:space="0"/>
            </w:tcBorders>
            <w:noWrap/>
            <w:vAlign w:val="center"/>
          </w:tcPr>
          <w:p w14:paraId="197B2CA8">
            <w:pPr>
              <w:adjustRightInd w:val="0"/>
              <w:snapToGrid w:val="0"/>
              <w:spacing w:line="360" w:lineRule="auto"/>
              <w:ind w:firstLine="420" w:firstLineChars="200"/>
              <w:jc w:val="center"/>
              <w:rPr>
                <w:rFonts w:ascii="宋体" w:hAnsi="宋体"/>
                <w:color w:val="auto"/>
              </w:rPr>
            </w:pPr>
            <w:r>
              <w:rPr>
                <w:rFonts w:hint="eastAsia" w:ascii="宋体" w:hAnsi="宋体"/>
                <w:color w:val="auto"/>
              </w:rPr>
              <w:t>租赁名称</w:t>
            </w:r>
          </w:p>
        </w:tc>
        <w:tc>
          <w:tcPr>
            <w:tcW w:w="6037" w:type="dxa"/>
            <w:tcBorders>
              <w:top w:val="single" w:color="000000" w:sz="4" w:space="0"/>
              <w:left w:val="single" w:color="000000" w:sz="4" w:space="0"/>
              <w:bottom w:val="single" w:color="000000" w:sz="4" w:space="0"/>
              <w:right w:val="single" w:color="000000" w:sz="4" w:space="0"/>
            </w:tcBorders>
            <w:noWrap/>
            <w:vAlign w:val="center"/>
          </w:tcPr>
          <w:p w14:paraId="0B4756CD">
            <w:pPr>
              <w:adjustRightInd w:val="0"/>
              <w:snapToGrid w:val="0"/>
              <w:spacing w:line="360" w:lineRule="auto"/>
              <w:ind w:firstLine="420" w:firstLineChars="200"/>
              <w:jc w:val="center"/>
              <w:rPr>
                <w:rFonts w:ascii="宋体" w:hAnsi="宋体"/>
                <w:color w:val="auto"/>
              </w:rPr>
            </w:pPr>
            <w:r>
              <w:rPr>
                <w:rFonts w:hint="eastAsia" w:ascii="宋体" w:hAnsi="宋体"/>
                <w:color w:val="auto"/>
              </w:rPr>
              <w:t>中标单价（元/床/天）</w:t>
            </w:r>
          </w:p>
        </w:tc>
      </w:tr>
      <w:tr w14:paraId="5B1C2583">
        <w:tblPrEx>
          <w:tblCellMar>
            <w:top w:w="0" w:type="dxa"/>
            <w:left w:w="108" w:type="dxa"/>
            <w:bottom w:w="0" w:type="dxa"/>
            <w:right w:w="108" w:type="dxa"/>
          </w:tblCellMar>
        </w:tblPrEx>
        <w:trPr>
          <w:trHeight w:val="625" w:hRule="atLeast"/>
          <w:jc w:val="center"/>
        </w:trPr>
        <w:tc>
          <w:tcPr>
            <w:tcW w:w="2561" w:type="dxa"/>
            <w:tcBorders>
              <w:top w:val="single" w:color="000000" w:sz="4" w:space="0"/>
              <w:left w:val="single" w:color="000000" w:sz="4" w:space="0"/>
              <w:bottom w:val="single" w:color="000000" w:sz="4" w:space="0"/>
              <w:right w:val="single" w:color="000000" w:sz="4" w:space="0"/>
            </w:tcBorders>
            <w:noWrap/>
            <w:vAlign w:val="center"/>
          </w:tcPr>
          <w:p w14:paraId="6247C6A7">
            <w:pPr>
              <w:adjustRightInd w:val="0"/>
              <w:snapToGrid w:val="0"/>
              <w:spacing w:line="360" w:lineRule="auto"/>
              <w:ind w:firstLine="420" w:firstLineChars="200"/>
              <w:jc w:val="center"/>
              <w:rPr>
                <w:rFonts w:ascii="宋体" w:hAnsi="宋体"/>
                <w:color w:val="auto"/>
              </w:rPr>
            </w:pPr>
            <w:r>
              <w:rPr>
                <w:rFonts w:hint="eastAsia" w:ascii="宋体" w:hAnsi="宋体"/>
                <w:color w:val="auto"/>
              </w:rPr>
              <w:t>诊疗床</w:t>
            </w:r>
          </w:p>
        </w:tc>
        <w:tc>
          <w:tcPr>
            <w:tcW w:w="6037" w:type="dxa"/>
            <w:tcBorders>
              <w:top w:val="single" w:color="000000" w:sz="4" w:space="0"/>
              <w:left w:val="single" w:color="000000" w:sz="4" w:space="0"/>
              <w:bottom w:val="single" w:color="000000" w:sz="4" w:space="0"/>
              <w:right w:val="single" w:color="000000" w:sz="4" w:space="0"/>
            </w:tcBorders>
            <w:noWrap/>
            <w:vAlign w:val="center"/>
          </w:tcPr>
          <w:p w14:paraId="35E0FF3B">
            <w:pPr>
              <w:widowControl/>
              <w:jc w:val="left"/>
              <w:rPr>
                <w:color w:val="auto"/>
                <w:kern w:val="0"/>
                <w:sz w:val="20"/>
                <w:szCs w:val="20"/>
              </w:rPr>
            </w:pPr>
          </w:p>
        </w:tc>
      </w:tr>
    </w:tbl>
    <w:p w14:paraId="36E621CD">
      <w:pPr>
        <w:pStyle w:val="62"/>
        <w:numPr>
          <w:ilvl w:val="0"/>
          <w:numId w:val="15"/>
        </w:numPr>
        <w:spacing w:line="560" w:lineRule="exact"/>
        <w:ind w:firstLine="525" w:firstLineChars="250"/>
        <w:rPr>
          <w:rFonts w:hint="eastAsia" w:ascii="宋体" w:hAnsi="宋体"/>
          <w:b/>
          <w:bCs/>
          <w:color w:val="auto"/>
        </w:rPr>
      </w:pPr>
      <w:r>
        <w:rPr>
          <w:rFonts w:hint="eastAsia" w:ascii="宋体" w:hAnsi="宋体"/>
          <w:b/>
          <w:bCs/>
          <w:color w:val="auto"/>
        </w:rPr>
        <w:t>如</w:t>
      </w:r>
      <w:r>
        <w:rPr>
          <w:rFonts w:hint="eastAsia" w:ascii="宋体" w:hAnsi="宋体"/>
          <w:b/>
          <w:bCs/>
          <w:color w:val="auto"/>
          <w:lang w:val="en-US" w:eastAsia="zh-CN"/>
        </w:rPr>
        <w:t>甲方</w:t>
      </w:r>
      <w:r>
        <w:rPr>
          <w:rFonts w:hint="eastAsia" w:ascii="宋体" w:hAnsi="宋体"/>
          <w:b/>
          <w:bCs/>
          <w:color w:val="auto"/>
        </w:rPr>
        <w:t>有本次采购参数外的特殊织物租赁，双方共同协商定价</w:t>
      </w:r>
      <w:r>
        <w:rPr>
          <w:rFonts w:hint="eastAsia" w:ascii="宋体" w:hAnsi="宋体"/>
          <w:b/>
          <w:bCs/>
          <w:color w:val="auto"/>
          <w:lang w:val="en-US" w:eastAsia="zh-CN"/>
        </w:rPr>
        <w:t>并签订</w:t>
      </w:r>
      <w:r>
        <w:rPr>
          <w:rFonts w:hint="eastAsia" w:ascii="宋体" w:hAnsi="宋体"/>
          <w:b/>
          <w:bCs/>
          <w:color w:val="auto"/>
        </w:rPr>
        <w:t>补充协议</w:t>
      </w:r>
      <w:r>
        <w:rPr>
          <w:rFonts w:hint="eastAsia" w:ascii="宋体" w:hAnsi="宋体"/>
          <w:b/>
          <w:bCs/>
          <w:color w:val="auto"/>
          <w:lang w:eastAsia="zh-CN"/>
        </w:rPr>
        <w:t>，</w:t>
      </w:r>
      <w:r>
        <w:rPr>
          <w:rFonts w:hint="eastAsia" w:ascii="宋体" w:hAnsi="宋体"/>
          <w:b/>
          <w:bCs/>
          <w:color w:val="auto"/>
          <w:lang w:val="en-US" w:eastAsia="zh-CN"/>
        </w:rPr>
        <w:t>按协议价付款</w:t>
      </w:r>
      <w:r>
        <w:rPr>
          <w:rFonts w:hint="eastAsia" w:ascii="宋体" w:hAnsi="宋体"/>
          <w:b/>
          <w:bCs/>
          <w:color w:val="auto"/>
        </w:rPr>
        <w:t>。</w:t>
      </w:r>
    </w:p>
    <w:p w14:paraId="005C95DE">
      <w:pPr>
        <w:pStyle w:val="62"/>
        <w:numPr>
          <w:ilvl w:val="0"/>
          <w:numId w:val="15"/>
        </w:numPr>
        <w:spacing w:line="560" w:lineRule="exact"/>
        <w:ind w:firstLine="525" w:firstLineChars="250"/>
        <w:rPr>
          <w:rFonts w:hint="eastAsia" w:ascii="宋体" w:hAnsi="宋体"/>
          <w:color w:val="auto"/>
        </w:rPr>
      </w:pPr>
      <w:r>
        <w:rPr>
          <w:rFonts w:hint="eastAsia" w:ascii="宋体" w:hAnsi="宋体"/>
          <w:color w:val="auto"/>
        </w:rPr>
        <w:t>付款方式：</w:t>
      </w:r>
    </w:p>
    <w:p w14:paraId="58A7EFD7">
      <w:pPr>
        <w:pStyle w:val="62"/>
        <w:numPr>
          <w:ilvl w:val="0"/>
          <w:numId w:val="0"/>
        </w:numPr>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洗涤服务总费用实行按月支付，即：每月20日以前（遇休息日或法定节假日则顺延）甲方以转账方式将上月经甲方考核后产生的实际洗涤服务费（按上月实际送交的洗涤物品品种、数量、价格及双方签单为结算凭证）转至乙方指定账户，转账前乙方将甲方实际的洗涤费发票交给甲方，否则，甲方有权拒绝付费且不承担任何责任。</w:t>
      </w:r>
    </w:p>
    <w:p w14:paraId="6F9D97B9">
      <w:pPr>
        <w:pStyle w:val="62"/>
        <w:spacing w:line="560" w:lineRule="exact"/>
        <w:ind w:left="0" w:leftChars="0" w:firstLine="420" w:firstLineChars="200"/>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lang w:eastAsia="zh-CN"/>
        </w:rPr>
        <w:t>）</w:t>
      </w:r>
      <w:r>
        <w:rPr>
          <w:rFonts w:hint="eastAsia" w:ascii="宋体" w:hAnsi="宋体" w:cs="宋体"/>
          <w:color w:val="auto"/>
          <w:szCs w:val="21"/>
        </w:rPr>
        <w:t>本合同结束前2个月的洗涤服务费，待确定乙方按约定的服务标准及合同规定履约完毕并无其他违约情况的，甲方于合同结束后1个月内付给乙方合同结束前2个月的洗涤费。</w:t>
      </w:r>
    </w:p>
    <w:p w14:paraId="0FCE09AC">
      <w:pPr>
        <w:adjustRightInd w:val="0"/>
        <w:snapToGrid w:val="0"/>
        <w:spacing w:line="360" w:lineRule="auto"/>
        <w:ind w:firstLine="420" w:firstLineChars="200"/>
        <w:rPr>
          <w:rFonts w:ascii="宋体" w:hAnsi="宋体"/>
          <w:color w:val="auto"/>
        </w:rPr>
      </w:pPr>
      <w:r>
        <w:rPr>
          <w:rFonts w:hint="eastAsia" w:ascii="宋体" w:hAnsi="宋体"/>
          <w:color w:val="auto"/>
        </w:rPr>
        <w:t>五、甲乙双方权利、义务、责任</w:t>
      </w:r>
    </w:p>
    <w:p w14:paraId="7864F875">
      <w:pPr>
        <w:adjustRightInd w:val="0"/>
        <w:snapToGrid w:val="0"/>
        <w:spacing w:line="360" w:lineRule="auto"/>
        <w:ind w:firstLine="420" w:firstLineChars="200"/>
        <w:rPr>
          <w:rFonts w:ascii="宋体" w:hAnsi="宋体"/>
          <w:color w:val="auto"/>
        </w:rPr>
      </w:pPr>
      <w:r>
        <w:rPr>
          <w:rFonts w:hint="eastAsia" w:ascii="宋体" w:hAnsi="宋体"/>
          <w:color w:val="auto"/>
        </w:rPr>
        <w:t>（一）甲方权利、义务、责任</w:t>
      </w:r>
    </w:p>
    <w:p w14:paraId="141DF1EA">
      <w:pPr>
        <w:adjustRightInd w:val="0"/>
        <w:snapToGrid w:val="0"/>
        <w:spacing w:line="360" w:lineRule="auto"/>
        <w:ind w:firstLine="420" w:firstLineChars="200"/>
        <w:rPr>
          <w:rFonts w:ascii="宋体" w:hAnsi="宋体"/>
          <w:color w:val="auto"/>
        </w:rPr>
      </w:pPr>
      <w:r>
        <w:rPr>
          <w:rFonts w:hint="eastAsia" w:ascii="宋体" w:hAnsi="宋体"/>
          <w:color w:val="auto"/>
        </w:rPr>
        <w:t>1、甲方科室按 “医院医用织物洗涤管理规定（详见招标文件采购需求中附件二）”存放、收集，负责安排人员在指定时间内与乙方员工进行医用织物清点交接。</w:t>
      </w:r>
    </w:p>
    <w:p w14:paraId="091D88EF">
      <w:pPr>
        <w:spacing w:line="360" w:lineRule="auto"/>
        <w:ind w:firstLine="420" w:firstLineChars="200"/>
        <w:jc w:val="left"/>
        <w:rPr>
          <w:rFonts w:ascii="宋体" w:hAnsi="宋体"/>
          <w:color w:val="auto"/>
        </w:rPr>
      </w:pPr>
      <w:r>
        <w:rPr>
          <w:rFonts w:hint="eastAsia" w:ascii="宋体" w:hAnsi="宋体"/>
          <w:color w:val="auto"/>
        </w:rPr>
        <w:t>2、甲方为乙方提供洗涤布类堆放分发场所，乙方需按医院感控管理规范、要求对场地布局进行改造，以符合消毒、灭菌要求（改造效果图需经院方感控科审核通过)。协议合作期满后，不能拆除部分归院方。</w:t>
      </w:r>
    </w:p>
    <w:p w14:paraId="7BF9A9B2">
      <w:pPr>
        <w:adjustRightInd w:val="0"/>
        <w:snapToGrid w:val="0"/>
        <w:spacing w:line="360" w:lineRule="auto"/>
        <w:ind w:firstLine="420" w:firstLineChars="200"/>
        <w:rPr>
          <w:rFonts w:ascii="宋体" w:hAnsi="宋体"/>
          <w:color w:val="auto"/>
        </w:rPr>
      </w:pPr>
      <w:r>
        <w:rPr>
          <w:rFonts w:hint="eastAsia" w:ascii="宋体" w:hAnsi="宋体"/>
          <w:color w:val="auto"/>
        </w:rPr>
        <w:t>3、甲方保证乙方运输医用织物的车辆在医院范围出入顺畅。</w:t>
      </w:r>
    </w:p>
    <w:p w14:paraId="0AF60EE5">
      <w:pPr>
        <w:adjustRightInd w:val="0"/>
        <w:snapToGrid w:val="0"/>
        <w:spacing w:line="360" w:lineRule="auto"/>
        <w:ind w:firstLine="420" w:firstLineChars="200"/>
        <w:rPr>
          <w:rFonts w:ascii="宋体" w:hAnsi="宋体"/>
          <w:b/>
          <w:bCs/>
          <w:color w:val="auto"/>
        </w:rPr>
      </w:pPr>
      <w:r>
        <w:rPr>
          <w:rFonts w:hint="eastAsia" w:ascii="宋体" w:hAnsi="宋体"/>
          <w:b/>
          <w:bCs/>
          <w:color w:val="auto"/>
        </w:rPr>
        <w:t>4、甲方管理部门及使用科室有权监督检查乙方的医用织务洗涤、消毒等服务质量，每月根据 “医院医用织物洗涤质量考核标准（详见招标文件采购需求中附件三）”对中标供应商进行考核，考核扣罚金额从当月洗涤费中扣除。</w:t>
      </w:r>
    </w:p>
    <w:p w14:paraId="0E81C2F2">
      <w:pPr>
        <w:adjustRightInd w:val="0"/>
        <w:snapToGrid w:val="0"/>
        <w:spacing w:line="360" w:lineRule="auto"/>
        <w:ind w:firstLine="420" w:firstLineChars="200"/>
        <w:rPr>
          <w:rFonts w:ascii="宋体" w:hAnsi="宋体"/>
          <w:color w:val="auto"/>
        </w:rPr>
      </w:pPr>
      <w:r>
        <w:rPr>
          <w:rFonts w:hint="eastAsia" w:ascii="宋体" w:hAnsi="宋体"/>
          <w:color w:val="auto"/>
        </w:rPr>
        <w:t>5、甲方自采（非租赁织物）确定因布料质地因素而造成褪色、缩水由甲方负责，乙方不承担责任；确定由甲方科室原因在送洗前接触其他化学物品的而导致洗涤过程中破损的，由甲方科室负责，乙方不承担责任。</w:t>
      </w:r>
    </w:p>
    <w:p w14:paraId="095F01E7">
      <w:pPr>
        <w:adjustRightInd w:val="0"/>
        <w:snapToGrid w:val="0"/>
        <w:spacing w:line="360" w:lineRule="auto"/>
        <w:ind w:firstLine="420" w:firstLineChars="200"/>
        <w:rPr>
          <w:rFonts w:ascii="宋体" w:hAnsi="宋体"/>
          <w:color w:val="auto"/>
        </w:rPr>
      </w:pPr>
      <w:r>
        <w:rPr>
          <w:rFonts w:hint="eastAsia" w:ascii="宋体" w:hAnsi="宋体"/>
          <w:color w:val="auto"/>
        </w:rPr>
        <w:t>6、甲方科室或部门收到已洗涤织物后，若发现有破损、未洗净污渍等现象，应在第二天乙方上门收集被服时通知乙方，以便重洗。</w:t>
      </w:r>
    </w:p>
    <w:p w14:paraId="59447AC7">
      <w:pPr>
        <w:adjustRightInd w:val="0"/>
        <w:snapToGrid w:val="0"/>
        <w:spacing w:line="360" w:lineRule="auto"/>
        <w:ind w:firstLine="420" w:firstLineChars="200"/>
        <w:rPr>
          <w:rFonts w:ascii="宋体" w:hAnsi="宋体"/>
          <w:b w:val="0"/>
          <w:bCs w:val="0"/>
          <w:color w:val="auto"/>
        </w:rPr>
      </w:pPr>
      <w:r>
        <w:rPr>
          <w:rFonts w:hint="eastAsia" w:ascii="宋体" w:hAnsi="宋体"/>
          <w:b w:val="0"/>
          <w:bCs w:val="0"/>
          <w:color w:val="auto"/>
        </w:rPr>
        <w:t>7、甲方自采购的全新被套、大单、枕套、工作服、机罩等使用周期贰年，病衣裤、纱卡手术织物使用周期壹年，原白布使用周期为半年，超过使用周期的织物经自然损耗后应增补。</w:t>
      </w:r>
    </w:p>
    <w:p w14:paraId="591C77FF">
      <w:pPr>
        <w:adjustRightInd w:val="0"/>
        <w:snapToGrid w:val="0"/>
        <w:spacing w:line="360" w:lineRule="auto"/>
        <w:ind w:firstLine="420" w:firstLineChars="200"/>
        <w:rPr>
          <w:rFonts w:ascii="宋体" w:hAnsi="宋体"/>
          <w:color w:val="auto"/>
        </w:rPr>
      </w:pPr>
      <w:r>
        <w:rPr>
          <w:rFonts w:hint="eastAsia" w:ascii="宋体" w:hAnsi="宋体"/>
          <w:color w:val="auto"/>
        </w:rPr>
        <w:t>8、甲方自采购的应有医院标记、科室标记、工作服编号，标明启用年月。</w:t>
      </w:r>
    </w:p>
    <w:p w14:paraId="47806CEF">
      <w:pPr>
        <w:adjustRightInd w:val="0"/>
        <w:snapToGrid w:val="0"/>
        <w:spacing w:line="360" w:lineRule="auto"/>
        <w:ind w:firstLine="420" w:firstLineChars="200"/>
        <w:rPr>
          <w:rFonts w:ascii="宋体" w:hAnsi="宋体"/>
          <w:color w:val="auto"/>
        </w:rPr>
      </w:pPr>
      <w:r>
        <w:rPr>
          <w:rFonts w:hint="eastAsia" w:ascii="宋体" w:hAnsi="宋体"/>
          <w:color w:val="auto"/>
        </w:rPr>
        <w:t>9、为保障甲方诊疗工作正常进行，甲方自行采购织物的科室应备足一定的干净被服库存量（按床位1:2.5-3比例，即1张病床配置2.5-3套病床用品，手术织物按日均使用量的3倍配置），以备急需所用。</w:t>
      </w:r>
    </w:p>
    <w:p w14:paraId="72305C51">
      <w:pPr>
        <w:adjustRightInd w:val="0"/>
        <w:snapToGrid w:val="0"/>
        <w:spacing w:line="360" w:lineRule="auto"/>
        <w:ind w:firstLine="420" w:firstLineChars="200"/>
        <w:rPr>
          <w:rFonts w:ascii="宋体" w:hAnsi="宋体"/>
          <w:color w:val="auto"/>
        </w:rPr>
      </w:pPr>
      <w:r>
        <w:rPr>
          <w:rFonts w:hint="eastAsia" w:ascii="宋体" w:hAnsi="宋体"/>
          <w:color w:val="auto"/>
        </w:rPr>
        <w:t>10、甲方按时支付乙方的洗涤费。</w:t>
      </w:r>
    </w:p>
    <w:p w14:paraId="4E14DC8F">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（二）乙方权利、义务、责任</w:t>
      </w:r>
    </w:p>
    <w:p w14:paraId="652F0397">
      <w:pPr>
        <w:pStyle w:val="17"/>
        <w:spacing w:line="360" w:lineRule="auto"/>
        <w:ind w:firstLine="420" w:firstLineChars="200"/>
        <w:rPr>
          <w:rFonts w:hAnsi="宋体"/>
          <w:color w:val="auto"/>
          <w:szCs w:val="24"/>
          <w:highlight w:val="none"/>
        </w:rPr>
      </w:pPr>
      <w:r>
        <w:rPr>
          <w:rFonts w:hint="eastAsia" w:hAnsi="宋体"/>
          <w:color w:val="auto"/>
          <w:szCs w:val="24"/>
          <w:highlight w:val="none"/>
        </w:rPr>
        <w:t>1、乙方负责医用织物分发场地的清洁消毒，保持场地整洁，物品摆放整齐有序。</w:t>
      </w:r>
    </w:p>
    <w:p w14:paraId="21463C17">
      <w:pPr>
        <w:pStyle w:val="17"/>
        <w:spacing w:line="360" w:lineRule="auto"/>
        <w:ind w:firstLine="420" w:firstLineChars="200"/>
        <w:rPr>
          <w:rFonts w:hAnsi="宋体"/>
          <w:color w:val="auto"/>
          <w:szCs w:val="24"/>
          <w:highlight w:val="none"/>
        </w:rPr>
      </w:pPr>
      <w:r>
        <w:rPr>
          <w:rFonts w:hint="eastAsia" w:hAnsi="宋体"/>
          <w:color w:val="auto"/>
          <w:szCs w:val="24"/>
          <w:highlight w:val="none"/>
        </w:rPr>
        <w:t>2、乙方委派一名管理人员，负责管理、协调、质控等工作，即时处理甲方投诉，并做好与甲方负责人的联系工作；每月5日前将当月工作计划情况告知甲方，月末将本月工作计划实施情况以书面形式报告甲方。</w:t>
      </w:r>
    </w:p>
    <w:p w14:paraId="73C97A85">
      <w:pPr>
        <w:pStyle w:val="17"/>
        <w:spacing w:line="360" w:lineRule="auto"/>
        <w:ind w:firstLine="420" w:firstLineChars="200"/>
        <w:rPr>
          <w:rFonts w:hint="eastAsia" w:hAnsi="宋体"/>
          <w:color w:val="auto"/>
          <w:szCs w:val="24"/>
          <w:highlight w:val="none"/>
        </w:rPr>
      </w:pPr>
      <w:r>
        <w:rPr>
          <w:rFonts w:hint="eastAsia" w:hAnsi="宋体"/>
          <w:color w:val="auto"/>
          <w:szCs w:val="24"/>
          <w:highlight w:val="none"/>
        </w:rPr>
        <w:t>3、在承包期内，乙方员工因劳动纠纷引发的各种经济赔偿或因乙方原因出现安全事故，完全由乙方负责，甲方不负任何责任。</w:t>
      </w:r>
    </w:p>
    <w:p w14:paraId="253C6720">
      <w:pPr>
        <w:pStyle w:val="17"/>
        <w:spacing w:line="360" w:lineRule="auto"/>
        <w:ind w:firstLine="420" w:firstLineChars="200"/>
        <w:rPr>
          <w:rFonts w:ascii="宋体" w:hAnsi="宋体" w:cs="宋体"/>
          <w:b/>
          <w:bCs/>
          <w:color w:val="auto"/>
          <w:szCs w:val="21"/>
          <w:highlight w:val="none"/>
        </w:rPr>
      </w:pP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公司投入的织物，</w:t>
      </w:r>
      <w:r>
        <w:rPr>
          <w:rFonts w:hint="eastAsia" w:ascii="宋体" w:hAnsi="宋体" w:cs="宋体"/>
          <w:b/>
          <w:bCs/>
          <w:color w:val="auto"/>
          <w:szCs w:val="21"/>
          <w:highlight w:val="none"/>
          <w:lang w:val="en-US" w:eastAsia="zh-CN"/>
        </w:rPr>
        <w:t>需要定期更新和投入，全新被套、大单、枕套、工作服等使用周期贰年，病衣裤、巾类使用周期壹年等，超过使用周期的织物经自然损耗后应增补。</w:t>
      </w:r>
    </w:p>
    <w:p w14:paraId="1C99329A">
      <w:pPr>
        <w:pStyle w:val="17"/>
        <w:spacing w:line="360" w:lineRule="auto"/>
        <w:ind w:firstLine="420" w:firstLineChars="200"/>
        <w:rPr>
          <w:rFonts w:hAnsi="宋体"/>
          <w:color w:val="auto"/>
          <w:szCs w:val="24"/>
          <w:highlight w:val="none"/>
        </w:rPr>
      </w:pPr>
      <w:r>
        <w:rPr>
          <w:rFonts w:hint="eastAsia" w:hAnsi="宋体"/>
          <w:color w:val="auto"/>
          <w:szCs w:val="24"/>
          <w:highlight w:val="none"/>
          <w:lang w:val="en-US" w:eastAsia="zh-CN"/>
        </w:rPr>
        <w:t>5</w:t>
      </w:r>
      <w:r>
        <w:rPr>
          <w:rFonts w:hint="eastAsia" w:hAnsi="宋体"/>
          <w:color w:val="auto"/>
          <w:szCs w:val="24"/>
          <w:highlight w:val="none"/>
        </w:rPr>
        <w:t>、乙方在服务期内的收送频次：</w:t>
      </w:r>
    </w:p>
    <w:p w14:paraId="1B92C199">
      <w:pPr>
        <w:pStyle w:val="17"/>
        <w:spacing w:line="360" w:lineRule="auto"/>
        <w:ind w:firstLine="420" w:firstLineChars="200"/>
        <w:rPr>
          <w:rFonts w:hAnsi="宋体"/>
          <w:color w:val="auto"/>
          <w:szCs w:val="24"/>
        </w:rPr>
      </w:pPr>
      <w:r>
        <w:rPr>
          <w:rFonts w:hint="eastAsia" w:hAnsi="宋体"/>
          <w:color w:val="auto"/>
          <w:szCs w:val="24"/>
        </w:rPr>
        <w:t>（1）病人被服类：正常情况下，星期一至星期六每天到科室收、送被服一次（法定节假日、医院大检查等特殊情况另行安排），上午12:00时前完成回收工作；下午17:00时前将干净织物送到科室。</w:t>
      </w:r>
    </w:p>
    <w:p w14:paraId="77258225">
      <w:pPr>
        <w:pStyle w:val="17"/>
        <w:spacing w:line="360" w:lineRule="auto"/>
        <w:ind w:firstLine="420" w:firstLineChars="200"/>
        <w:rPr>
          <w:rFonts w:hAnsi="宋体"/>
          <w:color w:val="auto"/>
          <w:szCs w:val="24"/>
        </w:rPr>
      </w:pPr>
      <w:r>
        <w:rPr>
          <w:rFonts w:hint="eastAsia" w:hAnsi="宋体"/>
          <w:color w:val="auto"/>
          <w:szCs w:val="24"/>
        </w:rPr>
        <w:t>（2）工作服：配置足够的工作服，供医务人员在行政班时间到洗衣房净污工作服一对一替换（除周日及法定节假日外）。</w:t>
      </w:r>
    </w:p>
    <w:p w14:paraId="2AD4D1E0">
      <w:pPr>
        <w:pStyle w:val="17"/>
        <w:spacing w:line="360" w:lineRule="auto"/>
        <w:ind w:firstLine="420" w:firstLineChars="200"/>
        <w:rPr>
          <w:rFonts w:hAnsi="宋体"/>
          <w:color w:val="auto"/>
          <w:szCs w:val="24"/>
        </w:rPr>
      </w:pPr>
      <w:r>
        <w:rPr>
          <w:rFonts w:hint="eastAsia" w:hAnsi="宋体"/>
          <w:color w:val="auto"/>
          <w:szCs w:val="24"/>
        </w:rPr>
        <w:t>（3）值班室织物：每周更换一次。</w:t>
      </w:r>
    </w:p>
    <w:p w14:paraId="78B70B8B">
      <w:pPr>
        <w:pStyle w:val="17"/>
        <w:spacing w:line="360" w:lineRule="auto"/>
        <w:ind w:firstLine="420" w:firstLineChars="200"/>
        <w:rPr>
          <w:rFonts w:hAnsi="宋体"/>
          <w:color w:val="auto"/>
          <w:szCs w:val="24"/>
        </w:rPr>
      </w:pPr>
      <w:r>
        <w:rPr>
          <w:rFonts w:hint="eastAsia" w:hAnsi="宋体"/>
          <w:color w:val="auto"/>
          <w:szCs w:val="24"/>
        </w:rPr>
        <w:t>（4）负责每天（除周日及法定节假日外）到甲方科室收、送洗涤布类1次，手术布类收送2次（遇法定节假日及医院大型检查等特殊情况，与甲方主管部门协商安排），上午9:00时前完成回收工作；下午17:00时前将干净织物送到科室；工作服及值班室被服按《桂林市妇女儿童医院医用织物洗涤管理规定》要求收送，收、送医用织物必须经双方工作人员核对签字。</w:t>
      </w:r>
    </w:p>
    <w:p w14:paraId="23A5DFB5">
      <w:pPr>
        <w:pStyle w:val="17"/>
        <w:spacing w:line="360" w:lineRule="auto"/>
        <w:ind w:firstLine="420" w:firstLineChars="200"/>
        <w:rPr>
          <w:rFonts w:hAnsi="宋体"/>
          <w:color w:val="auto"/>
          <w:szCs w:val="24"/>
        </w:rPr>
      </w:pPr>
      <w:r>
        <w:rPr>
          <w:rFonts w:hint="eastAsia" w:hAnsi="宋体"/>
          <w:color w:val="auto"/>
          <w:szCs w:val="24"/>
          <w:lang w:val="en-US" w:eastAsia="zh-CN"/>
        </w:rPr>
        <w:t>6</w:t>
      </w:r>
      <w:r>
        <w:rPr>
          <w:rFonts w:hint="eastAsia" w:hAnsi="宋体"/>
          <w:color w:val="auto"/>
          <w:szCs w:val="24"/>
        </w:rPr>
        <w:t>、乙方按“医院医用织物洗涤管理规定（详见招标文件采购需求中附件二）”要求提供医用织物洗涤、消毒等服务，向甲方提供疾病控制中心对医用织物洗涤消毒抽查报告（每年两次），抽检报告符合要求。</w:t>
      </w:r>
    </w:p>
    <w:p w14:paraId="76D32036">
      <w:pPr>
        <w:pStyle w:val="17"/>
        <w:spacing w:line="360" w:lineRule="auto"/>
        <w:ind w:firstLine="420" w:firstLineChars="200"/>
        <w:rPr>
          <w:rFonts w:hAnsi="宋体"/>
          <w:color w:val="auto"/>
          <w:szCs w:val="24"/>
        </w:rPr>
      </w:pPr>
      <w:r>
        <w:rPr>
          <w:rFonts w:hint="eastAsia" w:hAnsi="宋体"/>
          <w:color w:val="auto"/>
          <w:szCs w:val="24"/>
          <w:lang w:val="en-US" w:eastAsia="zh-CN"/>
        </w:rPr>
        <w:t>7</w:t>
      </w:r>
      <w:r>
        <w:rPr>
          <w:rFonts w:hint="eastAsia" w:hAnsi="宋体"/>
          <w:color w:val="auto"/>
          <w:szCs w:val="24"/>
        </w:rPr>
        <w:t>、由甲方造成的顽固污渍，乙方应尽力进行技术处理。</w:t>
      </w:r>
    </w:p>
    <w:p w14:paraId="1F6F0B31">
      <w:pPr>
        <w:pStyle w:val="17"/>
        <w:spacing w:line="360" w:lineRule="auto"/>
        <w:ind w:firstLine="420" w:firstLineChars="200"/>
        <w:rPr>
          <w:rFonts w:hAnsi="宋体"/>
          <w:color w:val="auto"/>
          <w:szCs w:val="24"/>
        </w:rPr>
      </w:pPr>
      <w:r>
        <w:rPr>
          <w:rFonts w:hint="eastAsia" w:hAnsi="宋体"/>
          <w:color w:val="auto"/>
          <w:szCs w:val="24"/>
          <w:lang w:val="en-US" w:eastAsia="zh-CN"/>
        </w:rPr>
        <w:t>8</w:t>
      </w:r>
      <w:r>
        <w:rPr>
          <w:rFonts w:hint="eastAsia" w:hAnsi="宋体"/>
          <w:color w:val="auto"/>
          <w:szCs w:val="24"/>
        </w:rPr>
        <w:t>、保证洗涤后的织物无污渍（旧床单、老血渍、污渍除外）、无异味、无变色、串色等现象；熨烫平整，按规范整理叠好；因洗涤方面造成的质量问题，乙方负责返工重洗，不得再计费。</w:t>
      </w:r>
    </w:p>
    <w:p w14:paraId="63E428AF">
      <w:pPr>
        <w:pStyle w:val="17"/>
        <w:spacing w:line="360" w:lineRule="auto"/>
        <w:ind w:firstLine="420" w:firstLineChars="200"/>
        <w:rPr>
          <w:rFonts w:hAnsi="宋体"/>
          <w:color w:val="auto"/>
          <w:szCs w:val="24"/>
        </w:rPr>
      </w:pPr>
      <w:r>
        <w:rPr>
          <w:rFonts w:hint="eastAsia" w:hAnsi="宋体"/>
          <w:color w:val="auto"/>
          <w:szCs w:val="24"/>
          <w:lang w:val="en-US" w:eastAsia="zh-CN"/>
        </w:rPr>
        <w:t>9</w:t>
      </w:r>
      <w:r>
        <w:rPr>
          <w:rFonts w:hint="eastAsia" w:hAnsi="宋体"/>
          <w:color w:val="auto"/>
          <w:szCs w:val="24"/>
        </w:rPr>
        <w:t>、乙方提供钉扣、缝补服务及缝补所需的三分带、松紧带、线及扣子等材料。</w:t>
      </w:r>
    </w:p>
    <w:p w14:paraId="559334F4">
      <w:pPr>
        <w:pStyle w:val="17"/>
        <w:spacing w:line="360" w:lineRule="auto"/>
        <w:ind w:firstLine="420" w:firstLineChars="200"/>
        <w:rPr>
          <w:rFonts w:hAnsi="宋体"/>
          <w:color w:val="auto"/>
          <w:szCs w:val="24"/>
        </w:rPr>
      </w:pPr>
      <w:r>
        <w:rPr>
          <w:rFonts w:hint="eastAsia" w:hAnsi="宋体"/>
          <w:color w:val="auto"/>
          <w:szCs w:val="24"/>
          <w:lang w:val="en-US" w:eastAsia="zh-CN"/>
        </w:rPr>
        <w:t>10</w:t>
      </w:r>
      <w:r>
        <w:rPr>
          <w:rFonts w:hint="eastAsia" w:hAnsi="宋体"/>
          <w:color w:val="auto"/>
          <w:szCs w:val="24"/>
        </w:rPr>
        <w:t>、甲方自采医用织物（非租赁织物）因在运输、洗涤过程中造成织物损坏、丢失，乙方应负责赔偿，并建立损坏、丢失记录本，相关部门定期统计。对使用1个月内的洗涤织物，乙方按该物品的100%赔偿；对使用1个月以上至半年（含半年）的洗涤织物，乙方按该物品的80%赔偿；对使用半年以上1年以内的洗涤织物，乙方按该物品的60%赔偿；对使用1年以上2年以内的洗涤织物，乙方按该物品的50%赔偿；超过使用周期继续洗涤的织物，如丢失则按原价的40%赔偿；如过使用年限，则按自然耗损报废。</w:t>
      </w:r>
    </w:p>
    <w:p w14:paraId="055BA2E5">
      <w:pPr>
        <w:pStyle w:val="17"/>
        <w:spacing w:line="360" w:lineRule="auto"/>
        <w:ind w:firstLine="420" w:firstLineChars="200"/>
        <w:rPr>
          <w:rFonts w:hAnsi="宋体"/>
          <w:color w:val="auto"/>
          <w:szCs w:val="24"/>
        </w:rPr>
      </w:pPr>
      <w:r>
        <w:rPr>
          <w:rFonts w:hint="eastAsia" w:hAnsi="宋体"/>
          <w:color w:val="auto"/>
          <w:szCs w:val="24"/>
        </w:rPr>
        <w:t>1</w:t>
      </w:r>
      <w:r>
        <w:rPr>
          <w:rFonts w:hint="eastAsia" w:hAnsi="宋体"/>
          <w:color w:val="auto"/>
          <w:szCs w:val="24"/>
          <w:lang w:val="en-US" w:eastAsia="zh-CN"/>
        </w:rPr>
        <w:t>1</w:t>
      </w:r>
      <w:r>
        <w:rPr>
          <w:rFonts w:hint="eastAsia" w:hAnsi="宋体"/>
          <w:color w:val="auto"/>
          <w:szCs w:val="24"/>
        </w:rPr>
        <w:t>、病区租赁织物使用科室保管好领取的基数，若是有丢失或者损坏科室应负责相应比例赔偿，对使用1个月内的洗涤织物，甲方按该物品的100%赔偿；对使用1个月以上至半年（含半年）的洗涤织物，甲方按该物品的80%赔偿；对使用半年以上1年以内的洗涤织物，甲方按该物品的60%赔偿；对使用1年以上2年以内的洗涤织物，甲方按该物品的50%赔偿，对使用2年以上3年以内的洗涤织物，按该物品的20%赔偿；超过3年使用周期继续洗涤使用的织物，如损坏或丢失则按自然耗损报废。手术织物使用科室应该保管好，若丢失或损坏科室按相应比例赔偿，使用20次以内按原价100%赔偿，使用20~30次按原价50%赔偿，使用31~60次按原价20%赔偿，使用超过60次以后仍继续使用，如有损坏或丢失按自然损耗报废。租赁的全新织物使用时间及次数以芯片录入的使用时间及洗涤次数为准。</w:t>
      </w:r>
    </w:p>
    <w:p w14:paraId="1834E788">
      <w:pPr>
        <w:pStyle w:val="17"/>
        <w:spacing w:line="360" w:lineRule="auto"/>
        <w:ind w:firstLine="420" w:firstLineChars="200"/>
        <w:rPr>
          <w:rFonts w:hAnsi="宋体"/>
          <w:color w:val="auto"/>
          <w:szCs w:val="24"/>
        </w:rPr>
      </w:pPr>
      <w:r>
        <w:rPr>
          <w:rFonts w:hint="eastAsia" w:hAnsi="宋体"/>
          <w:color w:val="auto"/>
          <w:szCs w:val="24"/>
        </w:rPr>
        <w:t>1</w:t>
      </w:r>
      <w:r>
        <w:rPr>
          <w:rFonts w:hint="eastAsia" w:hAnsi="宋体"/>
          <w:color w:val="auto"/>
          <w:szCs w:val="24"/>
          <w:lang w:val="en-US" w:eastAsia="zh-CN"/>
        </w:rPr>
        <w:t>2</w:t>
      </w:r>
      <w:r>
        <w:rPr>
          <w:rFonts w:hint="eastAsia" w:hAnsi="宋体"/>
          <w:color w:val="auto"/>
          <w:szCs w:val="24"/>
        </w:rPr>
        <w:t>、乙方在洗涤过程中发现我院器械等，应及时归还，随意丢弃或损坏我院器械等物件，应负责赔偿。如同类事件发生3次，甲方有权解除合同并追究乙方相关责任。</w:t>
      </w:r>
    </w:p>
    <w:p w14:paraId="56300B40">
      <w:pPr>
        <w:pStyle w:val="17"/>
        <w:spacing w:line="360" w:lineRule="auto"/>
        <w:ind w:firstLine="420" w:firstLineChars="200"/>
        <w:rPr>
          <w:rFonts w:hAnsi="宋体"/>
          <w:color w:val="auto"/>
          <w:szCs w:val="24"/>
        </w:rPr>
      </w:pPr>
      <w:r>
        <w:rPr>
          <w:rFonts w:hint="eastAsia" w:hAnsi="宋体"/>
          <w:color w:val="auto"/>
          <w:szCs w:val="24"/>
        </w:rPr>
        <w:t>1</w:t>
      </w:r>
      <w:r>
        <w:rPr>
          <w:rFonts w:hint="eastAsia" w:hAnsi="宋体"/>
          <w:color w:val="auto"/>
          <w:szCs w:val="24"/>
          <w:lang w:val="en-US" w:eastAsia="zh-CN"/>
        </w:rPr>
        <w:t>3</w:t>
      </w:r>
      <w:r>
        <w:rPr>
          <w:rFonts w:hint="eastAsia" w:hAnsi="宋体"/>
          <w:color w:val="auto"/>
          <w:szCs w:val="24"/>
        </w:rPr>
        <w:t>、乙方制定相应的应急预案，保障甲方突发事件、应急抢救时清洁织物的供应。</w:t>
      </w:r>
    </w:p>
    <w:p w14:paraId="7F626AC5">
      <w:pPr>
        <w:pStyle w:val="17"/>
        <w:spacing w:line="360" w:lineRule="auto"/>
        <w:ind w:firstLine="420" w:firstLineChars="200"/>
        <w:rPr>
          <w:rFonts w:hAnsi="宋体"/>
          <w:color w:val="auto"/>
          <w:szCs w:val="24"/>
        </w:rPr>
      </w:pPr>
      <w:r>
        <w:rPr>
          <w:rFonts w:hint="eastAsia" w:hAnsi="宋体"/>
          <w:color w:val="auto"/>
          <w:szCs w:val="24"/>
        </w:rPr>
        <w:t>1</w:t>
      </w:r>
      <w:r>
        <w:rPr>
          <w:rFonts w:hint="eastAsia" w:hAnsi="宋体"/>
          <w:color w:val="auto"/>
          <w:szCs w:val="24"/>
          <w:lang w:val="en-US" w:eastAsia="zh-CN"/>
        </w:rPr>
        <w:t>4</w:t>
      </w:r>
      <w:r>
        <w:rPr>
          <w:rFonts w:hint="eastAsia" w:hAnsi="宋体"/>
          <w:color w:val="auto"/>
          <w:szCs w:val="24"/>
        </w:rPr>
        <w:t>、因收送不及时，严重影响甲方诊疗工作及医疗秩序，第一次罚款2000元，第二次5000元罚款并提出警告，一年内超过二次甲方有权解除合同。因被服收、送、洗涤等原因造成的医疗纠纷（经济、民事等）均由乙方承担。</w:t>
      </w:r>
    </w:p>
    <w:p w14:paraId="06A9F152">
      <w:pPr>
        <w:pStyle w:val="17"/>
        <w:spacing w:line="360" w:lineRule="auto"/>
        <w:ind w:firstLine="420" w:firstLineChars="200"/>
        <w:rPr>
          <w:rFonts w:hint="eastAsia" w:hAnsi="宋体" w:eastAsia="宋体"/>
          <w:color w:val="auto"/>
          <w:szCs w:val="24"/>
          <w:highlight w:val="none"/>
          <w:lang w:eastAsia="zh-CN"/>
        </w:rPr>
      </w:pPr>
      <w:r>
        <w:rPr>
          <w:rFonts w:hint="eastAsia" w:hAnsi="宋体"/>
          <w:color w:val="auto"/>
          <w:szCs w:val="24"/>
        </w:rPr>
        <w:t>1</w:t>
      </w:r>
      <w:r>
        <w:rPr>
          <w:rFonts w:hint="eastAsia" w:hAnsi="宋体"/>
          <w:color w:val="auto"/>
          <w:szCs w:val="24"/>
          <w:lang w:val="en-US" w:eastAsia="zh-CN"/>
        </w:rPr>
        <w:t>5</w:t>
      </w:r>
      <w:r>
        <w:rPr>
          <w:rFonts w:hint="eastAsia" w:hAnsi="宋体"/>
          <w:color w:val="auto"/>
          <w:szCs w:val="24"/>
        </w:rPr>
        <w:t>、在各上级部门检查中，因乙方原因，导致媒体曝光或点名批评，甲方根据情节轻重予以中标供应商壹仟至伍仟元整（￥1000-5000元）的处罚，并负责挽回影响</w:t>
      </w:r>
      <w:r>
        <w:rPr>
          <w:rFonts w:hint="eastAsia" w:hAnsi="宋体"/>
          <w:color w:val="auto"/>
          <w:szCs w:val="24"/>
          <w:highlight w:val="none"/>
        </w:rPr>
        <w:t>。</w:t>
      </w:r>
      <w:r>
        <w:rPr>
          <w:rFonts w:hint="eastAsia" w:hAnsi="宋体"/>
          <w:color w:val="auto"/>
          <w:szCs w:val="24"/>
          <w:highlight w:val="none"/>
          <w:lang w:val="en-US" w:eastAsia="zh-CN"/>
        </w:rPr>
        <w:t>如造成严重后果，</w:t>
      </w:r>
      <w:r>
        <w:rPr>
          <w:rFonts w:hint="eastAsia" w:hAnsi="宋体"/>
          <w:color w:val="auto"/>
          <w:szCs w:val="24"/>
          <w:highlight w:val="none"/>
        </w:rPr>
        <w:t>甲方有权解除合同</w:t>
      </w:r>
      <w:r>
        <w:rPr>
          <w:rFonts w:hint="eastAsia" w:hAnsi="宋体"/>
          <w:color w:val="auto"/>
          <w:szCs w:val="24"/>
          <w:highlight w:val="none"/>
          <w:lang w:eastAsia="zh-CN"/>
        </w:rPr>
        <w:t>。</w:t>
      </w:r>
    </w:p>
    <w:p w14:paraId="4EE4A8A5">
      <w:pPr>
        <w:pStyle w:val="17"/>
        <w:spacing w:line="360" w:lineRule="auto"/>
        <w:ind w:firstLine="420" w:firstLineChars="200"/>
        <w:rPr>
          <w:rFonts w:hAnsi="宋体"/>
          <w:color w:val="auto"/>
          <w:szCs w:val="24"/>
        </w:rPr>
      </w:pPr>
      <w:r>
        <w:rPr>
          <w:rFonts w:hint="eastAsia" w:hAnsi="宋体"/>
          <w:color w:val="auto"/>
          <w:szCs w:val="24"/>
        </w:rPr>
        <w:t>1</w:t>
      </w:r>
      <w:r>
        <w:rPr>
          <w:rFonts w:hint="eastAsia" w:hAnsi="宋体"/>
          <w:color w:val="auto"/>
          <w:szCs w:val="24"/>
          <w:lang w:val="en-US" w:eastAsia="zh-CN"/>
        </w:rPr>
        <w:t>6</w:t>
      </w:r>
      <w:r>
        <w:rPr>
          <w:rFonts w:hint="eastAsia" w:hAnsi="宋体"/>
          <w:color w:val="auto"/>
          <w:szCs w:val="24"/>
        </w:rPr>
        <w:t>、乙方必须严格遵守国家有关法律法规、行业规章制度和甲方有关规章制度，认真履行职责，并接受甲方的考核。</w:t>
      </w:r>
    </w:p>
    <w:p w14:paraId="3DC01E7E">
      <w:pPr>
        <w:pStyle w:val="17"/>
        <w:spacing w:line="360" w:lineRule="auto"/>
        <w:ind w:firstLine="420" w:firstLineChars="200"/>
        <w:rPr>
          <w:rFonts w:hAnsi="宋体"/>
          <w:color w:val="auto"/>
          <w:szCs w:val="24"/>
        </w:rPr>
      </w:pPr>
      <w:r>
        <w:rPr>
          <w:rFonts w:hint="eastAsia" w:hAnsi="宋体"/>
          <w:color w:val="auto"/>
          <w:szCs w:val="24"/>
        </w:rPr>
        <w:t>1</w:t>
      </w:r>
      <w:r>
        <w:rPr>
          <w:rFonts w:hint="eastAsia" w:hAnsi="宋体"/>
          <w:color w:val="auto"/>
          <w:szCs w:val="24"/>
          <w:lang w:val="en-US" w:eastAsia="zh-CN"/>
        </w:rPr>
        <w:t>7</w:t>
      </w:r>
      <w:r>
        <w:rPr>
          <w:rFonts w:hint="eastAsia" w:hAnsi="宋体"/>
          <w:color w:val="auto"/>
          <w:szCs w:val="24"/>
        </w:rPr>
        <w:t>、乙方要维护甲方一切公共设施，如有挪用、失窃、人为损坏则照价赔偿，行为严重者移交司法机关处理；注意节约水、电、气，乙方工不许在更衣室、休息室等非允许的范围内，使用电炉、热得快等电器及煮饭等，发现一次视情节轻重，罚款200-500元。</w:t>
      </w:r>
    </w:p>
    <w:p w14:paraId="58E9CCAF">
      <w:pPr>
        <w:pStyle w:val="17"/>
        <w:spacing w:line="360" w:lineRule="auto"/>
        <w:ind w:firstLine="420" w:firstLineChars="200"/>
        <w:rPr>
          <w:rFonts w:hAnsi="宋体"/>
          <w:color w:val="auto"/>
          <w:szCs w:val="24"/>
        </w:rPr>
      </w:pPr>
      <w:r>
        <w:rPr>
          <w:rFonts w:hint="eastAsia" w:hAnsi="宋体"/>
          <w:color w:val="auto"/>
          <w:szCs w:val="24"/>
        </w:rPr>
        <w:t>1</w:t>
      </w:r>
      <w:r>
        <w:rPr>
          <w:rFonts w:hint="eastAsia" w:hAnsi="宋体"/>
          <w:color w:val="auto"/>
          <w:szCs w:val="24"/>
          <w:lang w:val="en-US" w:eastAsia="zh-CN"/>
        </w:rPr>
        <w:t>8</w:t>
      </w:r>
      <w:r>
        <w:rPr>
          <w:rFonts w:hint="eastAsia" w:hAnsi="宋体"/>
          <w:color w:val="auto"/>
          <w:szCs w:val="24"/>
        </w:rPr>
        <w:t>、乙方对甲方职工、相关管理部门提出的合理意见、建议要及时整改并有成效。乙方应在收到甲方的书面意见5个工作日内，以书面形式将其整改的结果或整改措施回复甲方。乙方每月对所提供的医用织务洗涤、消毒等服务进行调查，分析存在问题的原因、不断改进、完善和规范服务体系。</w:t>
      </w:r>
    </w:p>
    <w:p w14:paraId="780BA62B">
      <w:pPr>
        <w:pStyle w:val="17"/>
        <w:spacing w:line="360" w:lineRule="auto"/>
        <w:ind w:firstLine="420" w:firstLineChars="200"/>
        <w:rPr>
          <w:rFonts w:hAnsi="宋体"/>
          <w:color w:val="auto"/>
          <w:szCs w:val="24"/>
        </w:rPr>
      </w:pPr>
      <w:r>
        <w:rPr>
          <w:rFonts w:hint="eastAsia" w:hAnsi="宋体"/>
          <w:color w:val="auto"/>
          <w:szCs w:val="24"/>
        </w:rPr>
        <w:t>六、 税费</w:t>
      </w:r>
    </w:p>
    <w:p w14:paraId="5D9582DE">
      <w:pPr>
        <w:adjustRightInd w:val="0"/>
        <w:snapToGrid w:val="0"/>
        <w:spacing w:line="360" w:lineRule="auto"/>
        <w:ind w:firstLine="420" w:firstLineChars="200"/>
        <w:rPr>
          <w:rFonts w:ascii="宋体" w:hAnsi="宋体"/>
          <w:color w:val="auto"/>
        </w:rPr>
      </w:pPr>
      <w:r>
        <w:rPr>
          <w:rFonts w:hint="eastAsia" w:ascii="宋体" w:hAnsi="宋体"/>
          <w:color w:val="auto"/>
        </w:rPr>
        <w:t>本合同执行中相关的一切税费均由乙方负担。</w:t>
      </w:r>
    </w:p>
    <w:p w14:paraId="4BDA1CD4">
      <w:pPr>
        <w:pStyle w:val="17"/>
        <w:adjustRightInd w:val="0"/>
        <w:snapToGrid w:val="0"/>
        <w:spacing w:line="360" w:lineRule="auto"/>
        <w:ind w:firstLine="420" w:firstLineChars="200"/>
        <w:rPr>
          <w:rFonts w:hAnsi="宋体"/>
          <w:color w:val="auto"/>
          <w:szCs w:val="24"/>
        </w:rPr>
      </w:pPr>
      <w:r>
        <w:rPr>
          <w:rFonts w:hint="eastAsia" w:hAnsi="宋体"/>
          <w:color w:val="auto"/>
          <w:szCs w:val="24"/>
        </w:rPr>
        <w:t>七、违约责任</w:t>
      </w:r>
    </w:p>
    <w:p w14:paraId="54CF1A8A">
      <w:pPr>
        <w:adjustRightInd w:val="0"/>
        <w:snapToGrid w:val="0"/>
        <w:spacing w:line="360" w:lineRule="auto"/>
        <w:ind w:firstLine="420" w:firstLineChars="200"/>
        <w:rPr>
          <w:rFonts w:ascii="宋体" w:hAnsi="宋体"/>
          <w:color w:val="auto"/>
        </w:rPr>
      </w:pPr>
      <w:bookmarkStart w:id="148" w:name="OLE_LINK21"/>
      <w:r>
        <w:rPr>
          <w:rFonts w:hint="eastAsia" w:ascii="宋体" w:hAnsi="宋体"/>
          <w:color w:val="auto"/>
        </w:rPr>
        <w:t>本合同期限未满，双方不得提前终止合同，一方如无故提前终止合同应提前3个月通知对方并进行协商，如不提前3个月通知对方则需付给对方近3个月的本合同所签订的洗涤服务费的总和作为罚金。</w:t>
      </w:r>
    </w:p>
    <w:bookmarkEnd w:id="148"/>
    <w:p w14:paraId="0853540B">
      <w:pPr>
        <w:pStyle w:val="17"/>
        <w:adjustRightInd w:val="0"/>
        <w:snapToGrid w:val="0"/>
        <w:spacing w:line="360" w:lineRule="auto"/>
        <w:ind w:firstLine="420" w:firstLineChars="200"/>
        <w:rPr>
          <w:rFonts w:hAnsi="宋体"/>
          <w:color w:val="auto"/>
          <w:szCs w:val="24"/>
        </w:rPr>
      </w:pPr>
      <w:r>
        <w:rPr>
          <w:rFonts w:hint="eastAsia" w:hAnsi="宋体"/>
          <w:color w:val="auto"/>
          <w:szCs w:val="24"/>
        </w:rPr>
        <w:t>八、不可抗力事件处理</w:t>
      </w:r>
    </w:p>
    <w:p w14:paraId="386D48D2">
      <w:pPr>
        <w:pStyle w:val="17"/>
        <w:adjustRightInd w:val="0"/>
        <w:snapToGrid w:val="0"/>
        <w:spacing w:line="360" w:lineRule="auto"/>
        <w:ind w:firstLine="420" w:firstLineChars="200"/>
        <w:rPr>
          <w:rFonts w:hAnsi="宋体"/>
          <w:color w:val="auto"/>
          <w:szCs w:val="24"/>
        </w:rPr>
      </w:pPr>
      <w:r>
        <w:rPr>
          <w:rFonts w:hint="eastAsia" w:hAnsi="宋体"/>
          <w:color w:val="auto"/>
          <w:szCs w:val="24"/>
        </w:rPr>
        <w:t>1、在合同有效期限内，由于不可抗力事件导致合同的根本目的不能实现时，一方可解除合同。</w:t>
      </w:r>
    </w:p>
    <w:p w14:paraId="119853E4">
      <w:pPr>
        <w:pStyle w:val="17"/>
        <w:adjustRightInd w:val="0"/>
        <w:snapToGrid w:val="0"/>
        <w:spacing w:line="360" w:lineRule="auto"/>
        <w:ind w:firstLine="420" w:firstLineChars="200"/>
        <w:rPr>
          <w:rFonts w:hAnsi="宋体"/>
          <w:color w:val="auto"/>
          <w:szCs w:val="24"/>
        </w:rPr>
      </w:pPr>
      <w:r>
        <w:rPr>
          <w:rFonts w:hint="eastAsia" w:hAnsi="宋体"/>
          <w:color w:val="auto"/>
          <w:szCs w:val="24"/>
        </w:rPr>
        <w:t>2、不可抗力事件发生后，不能继续履行合同时，应立即通知对方，并寄送有关权威机构出具的证明。</w:t>
      </w:r>
    </w:p>
    <w:p w14:paraId="5FDFD515">
      <w:pPr>
        <w:pStyle w:val="17"/>
        <w:adjustRightInd w:val="0"/>
        <w:snapToGrid w:val="0"/>
        <w:spacing w:line="360" w:lineRule="auto"/>
        <w:ind w:firstLine="420" w:firstLineChars="200"/>
        <w:rPr>
          <w:rFonts w:hAnsi="宋体"/>
          <w:color w:val="auto"/>
          <w:szCs w:val="24"/>
        </w:rPr>
      </w:pPr>
      <w:r>
        <w:rPr>
          <w:rFonts w:hint="eastAsia" w:hAnsi="宋体"/>
          <w:color w:val="auto"/>
          <w:szCs w:val="24"/>
        </w:rPr>
        <w:t>3、不可抗力事件延续120天以上，双方应按有关法律规定或双方友好协商处理，确定是否继续履行合同。</w:t>
      </w:r>
    </w:p>
    <w:p w14:paraId="721DCD14">
      <w:pPr>
        <w:pStyle w:val="17"/>
        <w:adjustRightInd w:val="0"/>
        <w:snapToGrid w:val="0"/>
        <w:spacing w:line="360" w:lineRule="auto"/>
        <w:ind w:firstLine="420" w:firstLineChars="200"/>
        <w:rPr>
          <w:rFonts w:hAnsi="宋体"/>
          <w:color w:val="auto"/>
          <w:szCs w:val="24"/>
        </w:rPr>
      </w:pPr>
      <w:r>
        <w:rPr>
          <w:rFonts w:hint="eastAsia" w:hAnsi="宋体"/>
          <w:color w:val="auto"/>
          <w:szCs w:val="24"/>
        </w:rPr>
        <w:t>九、争议的解决</w:t>
      </w:r>
    </w:p>
    <w:p w14:paraId="03750B34">
      <w:pPr>
        <w:pStyle w:val="17"/>
        <w:adjustRightInd w:val="0"/>
        <w:snapToGrid w:val="0"/>
        <w:spacing w:line="360" w:lineRule="auto"/>
        <w:ind w:firstLine="420" w:firstLineChars="200"/>
        <w:rPr>
          <w:rFonts w:hAnsi="宋体"/>
          <w:color w:val="auto"/>
          <w:szCs w:val="24"/>
        </w:rPr>
      </w:pPr>
      <w:r>
        <w:rPr>
          <w:rFonts w:hint="eastAsia" w:hAnsi="宋体"/>
          <w:color w:val="auto"/>
          <w:szCs w:val="24"/>
        </w:rPr>
        <w:t>双方在履行合同中所发生的一切争议，应通过协商解决。如协商不成，由甲方所在地人民法院管辖。</w:t>
      </w:r>
    </w:p>
    <w:p w14:paraId="1A3EDD36">
      <w:pPr>
        <w:adjustRightInd w:val="0"/>
        <w:snapToGrid w:val="0"/>
        <w:spacing w:line="360" w:lineRule="auto"/>
        <w:ind w:firstLine="420" w:firstLineChars="200"/>
        <w:rPr>
          <w:rFonts w:ascii="宋体" w:hAnsi="宋体"/>
          <w:color w:val="auto"/>
        </w:rPr>
      </w:pPr>
      <w:r>
        <w:rPr>
          <w:rFonts w:hint="eastAsia" w:ascii="宋体" w:hAnsi="宋体"/>
          <w:color w:val="auto"/>
        </w:rPr>
        <w:t>十、其他</w:t>
      </w:r>
    </w:p>
    <w:p w14:paraId="5A808592">
      <w:pPr>
        <w:pStyle w:val="10"/>
        <w:adjustRightInd w:val="0"/>
        <w:snapToGrid w:val="0"/>
        <w:spacing w:line="360" w:lineRule="auto"/>
        <w:ind w:firstLine="420" w:firstLineChars="200"/>
        <w:jc w:val="both"/>
        <w:rPr>
          <w:rFonts w:ascii="宋体" w:hAnsi="宋体"/>
          <w:color w:val="auto"/>
        </w:rPr>
      </w:pPr>
      <w:r>
        <w:rPr>
          <w:rFonts w:hint="eastAsia" w:ascii="宋体" w:hAnsi="宋体"/>
          <w:color w:val="auto"/>
        </w:rPr>
        <w:t>1、本合同的所有附件是本合同不可分割的一部份，与本合同具有同等法律效力，如因工作开展需要，经双方协商可调整附件的内容。</w:t>
      </w:r>
    </w:p>
    <w:p w14:paraId="6C828826">
      <w:pPr>
        <w:adjustRightInd w:val="0"/>
        <w:snapToGrid w:val="0"/>
        <w:spacing w:line="360" w:lineRule="auto"/>
        <w:ind w:firstLine="420" w:firstLineChars="200"/>
        <w:rPr>
          <w:rFonts w:ascii="宋体" w:hAnsi="宋体"/>
          <w:color w:val="auto"/>
        </w:rPr>
      </w:pPr>
      <w:r>
        <w:rPr>
          <w:rFonts w:hint="eastAsia" w:ascii="宋体" w:hAnsi="宋体"/>
          <w:color w:val="auto"/>
        </w:rPr>
        <w:t>2、未尽事宜，双方协商可对本合同的条款进行补充，以书面形式签订补充协议，补充协议与本合同具有同等法律效力。</w:t>
      </w:r>
    </w:p>
    <w:p w14:paraId="34D618EA">
      <w:pPr>
        <w:adjustRightInd w:val="0"/>
        <w:snapToGrid w:val="0"/>
        <w:spacing w:line="360" w:lineRule="auto"/>
        <w:ind w:firstLine="420" w:firstLineChars="200"/>
        <w:rPr>
          <w:rFonts w:ascii="宋体" w:hAnsi="宋体"/>
          <w:color w:val="auto"/>
        </w:rPr>
      </w:pPr>
      <w:r>
        <w:rPr>
          <w:rFonts w:hint="eastAsia" w:ascii="宋体" w:hAnsi="宋体"/>
          <w:color w:val="auto"/>
        </w:rPr>
        <w:t xml:space="preserve">3、本合同自甲乙双方签字盖章之日起生效，一式伍份，具有同等法律效力，甲方叁份， 乙方与采购代理机构各壹份，采购合同双方自签订之日起七个工作日内将合同原件壹份交采购代理机构存档。     </w:t>
      </w:r>
    </w:p>
    <w:p w14:paraId="4AC8399D">
      <w:pPr>
        <w:widowControl/>
        <w:spacing w:line="360" w:lineRule="auto"/>
        <w:jc w:val="left"/>
        <w:rPr>
          <w:rFonts w:ascii="宋体" w:hAnsi="宋体"/>
          <w:color w:val="auto"/>
          <w:szCs w:val="21"/>
        </w:rPr>
      </w:pPr>
      <w:r>
        <w:rPr>
          <w:rFonts w:hint="eastAsia" w:ascii="宋体" w:hAnsi="宋体"/>
          <w:color w:val="auto"/>
          <w:szCs w:val="21"/>
        </w:rPr>
        <w:t>（以下为签署页，无正文）</w:t>
      </w:r>
    </w:p>
    <w:p w14:paraId="25492268">
      <w:pPr>
        <w:spacing w:line="360" w:lineRule="auto"/>
        <w:ind w:firstLine="420" w:firstLineChars="200"/>
        <w:rPr>
          <w:rFonts w:ascii="宋体" w:hAnsi="宋体"/>
          <w:color w:val="auto"/>
        </w:rPr>
      </w:pPr>
      <w:r>
        <w:rPr>
          <w:rFonts w:hint="eastAsia" w:ascii="宋体" w:hAnsi="宋体"/>
          <w:color w:val="auto"/>
        </w:rPr>
        <w:t xml:space="preserve">甲方：                              乙方： </w:t>
      </w:r>
    </w:p>
    <w:p w14:paraId="64B6EFF5">
      <w:pPr>
        <w:spacing w:line="360" w:lineRule="auto"/>
        <w:ind w:firstLine="420" w:firstLineChars="200"/>
        <w:rPr>
          <w:rFonts w:ascii="宋体" w:hAnsi="宋体"/>
          <w:color w:val="auto"/>
        </w:rPr>
      </w:pPr>
      <w:r>
        <w:rPr>
          <w:rFonts w:hint="eastAsia" w:ascii="宋体" w:hAnsi="宋体"/>
          <w:color w:val="auto"/>
        </w:rPr>
        <w:t xml:space="preserve">纳税识别号：            纳税识别号： </w:t>
      </w:r>
    </w:p>
    <w:p w14:paraId="4272D8AC">
      <w:pPr>
        <w:spacing w:line="360" w:lineRule="auto"/>
        <w:ind w:firstLine="420" w:firstLineChars="200"/>
        <w:rPr>
          <w:rFonts w:ascii="宋体" w:hAnsi="宋体"/>
          <w:color w:val="auto"/>
        </w:rPr>
      </w:pPr>
      <w:r>
        <w:rPr>
          <w:rFonts w:hint="eastAsia" w:ascii="宋体" w:hAnsi="宋体"/>
          <w:color w:val="auto"/>
        </w:rPr>
        <w:t>委托代理人：                        委托代理人签字：</w:t>
      </w:r>
    </w:p>
    <w:p w14:paraId="4C59636A">
      <w:pPr>
        <w:spacing w:line="360" w:lineRule="auto"/>
        <w:ind w:firstLine="420" w:firstLineChars="200"/>
        <w:rPr>
          <w:rFonts w:ascii="宋体" w:hAnsi="宋体"/>
          <w:color w:val="auto"/>
        </w:rPr>
      </w:pPr>
      <w:r>
        <w:rPr>
          <w:rFonts w:hint="eastAsia" w:ascii="宋体" w:hAnsi="宋体"/>
          <w:color w:val="auto"/>
        </w:rPr>
        <w:t xml:space="preserve">（签字或盖章）                      （签字或盖章）  </w:t>
      </w:r>
    </w:p>
    <w:p w14:paraId="58E93059">
      <w:pPr>
        <w:spacing w:line="360" w:lineRule="auto"/>
        <w:ind w:firstLine="420" w:firstLineChars="200"/>
        <w:rPr>
          <w:rFonts w:ascii="宋体" w:hAnsi="宋体"/>
          <w:color w:val="auto"/>
        </w:rPr>
      </w:pPr>
      <w:r>
        <w:rPr>
          <w:rFonts w:hint="eastAsia" w:ascii="宋体" w:hAnsi="宋体"/>
          <w:color w:val="auto"/>
        </w:rPr>
        <w:t>电话：                                电话：</w:t>
      </w:r>
    </w:p>
    <w:p w14:paraId="66170F46">
      <w:pPr>
        <w:spacing w:line="360" w:lineRule="auto"/>
        <w:ind w:firstLine="420" w:firstLineChars="200"/>
        <w:rPr>
          <w:rFonts w:ascii="宋体" w:hAnsi="宋体"/>
          <w:color w:val="auto"/>
        </w:rPr>
      </w:pPr>
      <w:r>
        <w:rPr>
          <w:rFonts w:hint="eastAsia" w:ascii="宋体" w:hAnsi="宋体"/>
          <w:color w:val="auto"/>
        </w:rPr>
        <w:t>地址：                             地址：</w:t>
      </w:r>
    </w:p>
    <w:p w14:paraId="29AD714E">
      <w:pPr>
        <w:spacing w:line="360" w:lineRule="auto"/>
        <w:ind w:firstLine="420" w:firstLineChars="200"/>
        <w:rPr>
          <w:rFonts w:ascii="宋体" w:hAnsi="宋体"/>
          <w:color w:val="auto"/>
        </w:rPr>
      </w:pPr>
      <w:r>
        <w:rPr>
          <w:rFonts w:hint="eastAsia" w:ascii="宋体" w:hAnsi="宋体"/>
          <w:color w:val="auto"/>
          <w:szCs w:val="21"/>
        </w:rPr>
        <w:t>开户名称：                            开户名称：</w:t>
      </w:r>
    </w:p>
    <w:p w14:paraId="68F606F6">
      <w:pPr>
        <w:spacing w:line="360" w:lineRule="auto"/>
        <w:ind w:firstLine="420" w:firstLineChars="200"/>
        <w:rPr>
          <w:rFonts w:ascii="宋体" w:hAnsi="宋体"/>
          <w:color w:val="auto"/>
          <w:szCs w:val="21"/>
        </w:rPr>
      </w:pPr>
      <w:r>
        <w:rPr>
          <w:rFonts w:hint="eastAsia" w:ascii="宋体" w:hAnsi="宋体"/>
          <w:color w:val="auto"/>
          <w:szCs w:val="21"/>
        </w:rPr>
        <w:t>开户银行：                            开户银行：</w:t>
      </w:r>
    </w:p>
    <w:p w14:paraId="14719001">
      <w:pPr>
        <w:spacing w:line="360" w:lineRule="auto"/>
        <w:ind w:firstLine="420" w:firstLineChars="200"/>
        <w:rPr>
          <w:rFonts w:ascii="宋体" w:hAnsi="宋体"/>
          <w:color w:val="auto"/>
        </w:rPr>
      </w:pPr>
      <w:r>
        <w:rPr>
          <w:rFonts w:hint="eastAsia" w:ascii="宋体" w:hAnsi="宋体"/>
          <w:color w:val="auto"/>
          <w:szCs w:val="21"/>
        </w:rPr>
        <w:t>银行账号：银行账号：</w:t>
      </w:r>
    </w:p>
    <w:p w14:paraId="6EE245F2">
      <w:pPr>
        <w:spacing w:line="360" w:lineRule="auto"/>
        <w:ind w:firstLine="420" w:firstLineChars="200"/>
        <w:rPr>
          <w:rFonts w:ascii="宋体" w:hAnsi="宋体"/>
          <w:color w:val="auto"/>
        </w:rPr>
      </w:pPr>
      <w:r>
        <w:rPr>
          <w:rFonts w:hint="eastAsia" w:ascii="宋体" w:hAnsi="宋体"/>
          <w:color w:val="auto"/>
        </w:rPr>
        <w:t>日期：    年   月   日            日期：     年   月   日</w:t>
      </w:r>
    </w:p>
    <w:p w14:paraId="1441D3D0">
      <w:pPr>
        <w:spacing w:line="360" w:lineRule="exact"/>
        <w:rPr>
          <w:rFonts w:ascii="宋体" w:hAnsi="宋体"/>
          <w:color w:val="auto"/>
        </w:rPr>
      </w:pPr>
    </w:p>
    <w:p w14:paraId="5D63B3AF">
      <w:pPr>
        <w:adjustRightInd w:val="0"/>
        <w:snapToGrid w:val="0"/>
        <w:spacing w:line="380" w:lineRule="exact"/>
        <w:jc w:val="center"/>
        <w:rPr>
          <w:b/>
          <w:color w:val="auto"/>
          <w:sz w:val="32"/>
          <w:szCs w:val="32"/>
        </w:rPr>
      </w:pPr>
      <w:r>
        <w:rPr>
          <w:rFonts w:hint="eastAsia"/>
          <w:b/>
          <w:color w:val="auto"/>
          <w:sz w:val="32"/>
          <w:szCs w:val="32"/>
        </w:rPr>
        <w:t>医疗卫生机构廉洁购销合同</w:t>
      </w:r>
    </w:p>
    <w:p w14:paraId="3746CC59">
      <w:pPr>
        <w:spacing w:line="400" w:lineRule="exact"/>
        <w:jc w:val="center"/>
        <w:rPr>
          <w:b/>
          <w:color w:val="auto"/>
          <w:sz w:val="32"/>
          <w:szCs w:val="32"/>
        </w:rPr>
      </w:pPr>
    </w:p>
    <w:p w14:paraId="7C07AD83">
      <w:pPr>
        <w:spacing w:line="420" w:lineRule="exact"/>
        <w:rPr>
          <w:rFonts w:ascii="宋体" w:hAnsi="宋体"/>
          <w:color w:val="auto"/>
          <w:szCs w:val="21"/>
        </w:rPr>
      </w:pPr>
      <w:r>
        <w:rPr>
          <w:rFonts w:hint="eastAsia" w:ascii="宋体" w:hAnsi="宋体"/>
          <w:color w:val="auto"/>
          <w:szCs w:val="21"/>
        </w:rPr>
        <w:t>甲方（采购人）：</w:t>
      </w:r>
    </w:p>
    <w:p w14:paraId="451EF6CC">
      <w:pPr>
        <w:spacing w:line="420" w:lineRule="exact"/>
        <w:rPr>
          <w:rFonts w:ascii="宋体" w:hAnsi="宋体"/>
          <w:color w:val="auto"/>
          <w:szCs w:val="21"/>
        </w:rPr>
      </w:pPr>
      <w:r>
        <w:rPr>
          <w:rFonts w:hint="eastAsia" w:ascii="宋体" w:hAnsi="宋体"/>
          <w:color w:val="auto"/>
          <w:szCs w:val="21"/>
        </w:rPr>
        <w:t>乙方（成交人）：</w:t>
      </w:r>
    </w:p>
    <w:p w14:paraId="069075EE">
      <w:pPr>
        <w:spacing w:line="420" w:lineRule="exact"/>
        <w:rPr>
          <w:rFonts w:ascii="宋体" w:hAnsi="宋体"/>
          <w:color w:val="auto"/>
          <w:szCs w:val="21"/>
        </w:rPr>
      </w:pPr>
    </w:p>
    <w:p w14:paraId="52F751FB">
      <w:pPr>
        <w:spacing w:line="420" w:lineRule="exact"/>
        <w:ind w:firstLine="420"/>
        <w:rPr>
          <w:rFonts w:ascii="宋体" w:hAnsi="宋体"/>
          <w:color w:val="auto"/>
          <w:szCs w:val="21"/>
        </w:rPr>
      </w:pPr>
      <w:r>
        <w:rPr>
          <w:rFonts w:hint="eastAsia" w:ascii="宋体" w:hAnsi="宋体"/>
          <w:color w:val="auto"/>
          <w:szCs w:val="21"/>
        </w:rPr>
        <w:t>为进一步加强医疗卫生行风建设，规范医疗卫生机构购销行为，有效防范商业贿赂行为，营造公平交易、诚实守信的购销环境，经甲、乙双方协商，同意签订本合同，并共同遵守：</w:t>
      </w:r>
    </w:p>
    <w:p w14:paraId="7C8CB05B">
      <w:pPr>
        <w:spacing w:line="420" w:lineRule="exact"/>
        <w:ind w:firstLine="420"/>
        <w:rPr>
          <w:rFonts w:ascii="宋体" w:hAnsi="宋体"/>
          <w:color w:val="auto"/>
          <w:szCs w:val="21"/>
        </w:rPr>
      </w:pPr>
      <w:r>
        <w:rPr>
          <w:rFonts w:hint="eastAsia" w:ascii="宋体" w:hAnsi="宋体"/>
          <w:color w:val="auto"/>
          <w:szCs w:val="21"/>
        </w:rPr>
        <w:t>一、甲乙双方按照《中华人民共和国民法典》及合同约定进行规范操作。</w:t>
      </w:r>
    </w:p>
    <w:p w14:paraId="0C17AB5D">
      <w:pPr>
        <w:spacing w:line="420" w:lineRule="exact"/>
        <w:ind w:firstLine="420"/>
        <w:rPr>
          <w:rFonts w:ascii="宋体" w:hAnsi="宋体"/>
          <w:color w:val="auto"/>
          <w:szCs w:val="21"/>
        </w:rPr>
      </w:pPr>
      <w:r>
        <w:rPr>
          <w:rFonts w:hint="eastAsia" w:ascii="宋体" w:hAnsi="宋体"/>
          <w:color w:val="auto"/>
          <w:szCs w:val="21"/>
        </w:rPr>
        <w:t>二、甲方应当严格执行购销合同验收制度，对施工采购物品进行查验，确保施工所用材料符合合同约定标准。</w:t>
      </w:r>
    </w:p>
    <w:p w14:paraId="05365B20">
      <w:pPr>
        <w:spacing w:line="420" w:lineRule="exact"/>
        <w:ind w:firstLine="420"/>
        <w:rPr>
          <w:rFonts w:ascii="宋体" w:hAnsi="宋体"/>
          <w:color w:val="auto"/>
          <w:szCs w:val="21"/>
        </w:rPr>
      </w:pPr>
      <w:r>
        <w:rPr>
          <w:rFonts w:hint="eastAsia" w:ascii="宋体" w:hAnsi="宋体"/>
          <w:color w:val="auto"/>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2BC1BCB3">
      <w:pPr>
        <w:spacing w:line="420" w:lineRule="exact"/>
        <w:ind w:firstLine="420"/>
        <w:rPr>
          <w:rFonts w:ascii="宋体" w:hAnsi="宋体"/>
          <w:color w:val="auto"/>
          <w:szCs w:val="21"/>
        </w:rPr>
      </w:pPr>
      <w:r>
        <w:rPr>
          <w:rFonts w:hint="eastAsia" w:ascii="宋体" w:hAnsi="宋体"/>
          <w:color w:val="auto"/>
          <w:szCs w:val="21"/>
        </w:rPr>
        <w:t>四、严禁甲方工作人员利用任何途径和方式，为乙方施工和材料提供购销信息，或为乙方统计提供便利。</w:t>
      </w:r>
    </w:p>
    <w:p w14:paraId="1869D935">
      <w:pPr>
        <w:spacing w:line="420" w:lineRule="exact"/>
        <w:rPr>
          <w:rFonts w:ascii="宋体" w:hAnsi="宋体"/>
          <w:color w:val="auto"/>
          <w:szCs w:val="21"/>
        </w:rPr>
      </w:pPr>
      <w:r>
        <w:rPr>
          <w:rFonts w:hint="eastAsia" w:ascii="宋体" w:hAnsi="宋体"/>
          <w:color w:val="auto"/>
          <w:szCs w:val="21"/>
        </w:rPr>
        <w:t xml:space="preserve">    五、乙方不得以回扣、宴请等方式影响甲方工作人员监督施工，不得在通过其它活动中提供旅游、超标准支付食宿费用。</w:t>
      </w:r>
    </w:p>
    <w:p w14:paraId="639D1BD8">
      <w:pPr>
        <w:spacing w:line="420" w:lineRule="exact"/>
        <w:ind w:firstLine="420"/>
        <w:rPr>
          <w:rFonts w:ascii="宋体" w:hAnsi="宋体"/>
          <w:color w:val="auto"/>
          <w:szCs w:val="21"/>
        </w:rPr>
      </w:pPr>
      <w:r>
        <w:rPr>
          <w:rFonts w:hint="eastAsia" w:ascii="宋体" w:hAnsi="宋体"/>
          <w:color w:val="auto"/>
          <w:szCs w:val="21"/>
        </w:rPr>
        <w:t>六、乙方指定____________洽谈业务。销售代表必须在工作时间到甲方指定地点联系商谈，不得借故到甲方相关领导、部门负责人及相关工作人员家中访谈并提供任何好处费。</w:t>
      </w:r>
    </w:p>
    <w:p w14:paraId="7524E416">
      <w:pPr>
        <w:spacing w:line="420" w:lineRule="exact"/>
        <w:ind w:firstLine="420"/>
        <w:rPr>
          <w:rFonts w:ascii="宋体" w:hAnsi="宋体"/>
          <w:color w:val="auto"/>
          <w:szCs w:val="21"/>
        </w:rPr>
      </w:pPr>
      <w:r>
        <w:rPr>
          <w:rFonts w:hint="eastAsia" w:ascii="宋体" w:hAnsi="宋体"/>
          <w:color w:val="auto"/>
          <w:szCs w:val="21"/>
        </w:rPr>
        <w:t>七、乙方如违反本合同，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14:paraId="55E8FE4D">
      <w:pPr>
        <w:spacing w:line="420" w:lineRule="exact"/>
        <w:ind w:firstLine="420"/>
        <w:rPr>
          <w:rFonts w:ascii="宋体" w:hAnsi="宋体"/>
          <w:color w:val="auto"/>
          <w:szCs w:val="21"/>
        </w:rPr>
      </w:pPr>
      <w:r>
        <w:rPr>
          <w:rFonts w:hint="eastAsia" w:ascii="宋体" w:hAnsi="宋体"/>
          <w:color w:val="auto"/>
          <w:szCs w:val="21"/>
        </w:rPr>
        <w:t>八、本合同作为廉洁购销合同的重要组成部分，与购销合同一并执行，具有同等的法律效力。</w:t>
      </w:r>
    </w:p>
    <w:p w14:paraId="6FA02038">
      <w:pPr>
        <w:spacing w:line="420" w:lineRule="exact"/>
        <w:ind w:firstLine="420"/>
        <w:rPr>
          <w:rFonts w:ascii="宋体" w:hAnsi="宋体"/>
          <w:color w:val="auto"/>
          <w:szCs w:val="21"/>
        </w:rPr>
      </w:pPr>
      <w:r>
        <w:rPr>
          <w:rFonts w:hint="eastAsia" w:ascii="宋体" w:hAnsi="宋体"/>
          <w:color w:val="auto"/>
          <w:szCs w:val="21"/>
        </w:rPr>
        <w:t>九、本合同一式三份，甲、乙双方各执一份，甲方纪检监察部门（基层医疗卫生机构上报上级卫生计生行政部门）执一份，并从签订之日起生效。</w:t>
      </w:r>
    </w:p>
    <w:p w14:paraId="6CC98823">
      <w:pPr>
        <w:spacing w:line="420" w:lineRule="exact"/>
        <w:rPr>
          <w:rFonts w:ascii="宋体" w:hAnsi="宋体"/>
          <w:color w:val="auto"/>
          <w:szCs w:val="21"/>
        </w:rPr>
      </w:pPr>
    </w:p>
    <w:p w14:paraId="091C238B">
      <w:pPr>
        <w:spacing w:line="420" w:lineRule="exact"/>
        <w:rPr>
          <w:rFonts w:ascii="宋体" w:hAnsi="宋体"/>
          <w:color w:val="auto"/>
          <w:szCs w:val="21"/>
        </w:rPr>
      </w:pPr>
      <w:r>
        <w:rPr>
          <w:rFonts w:hint="eastAsia" w:ascii="宋体" w:hAnsi="宋体"/>
          <w:color w:val="auto"/>
          <w:szCs w:val="21"/>
        </w:rPr>
        <w:t>甲方（盖章）：                       乙方（盖章）：</w:t>
      </w:r>
    </w:p>
    <w:p w14:paraId="18C90019">
      <w:pPr>
        <w:spacing w:line="420" w:lineRule="exact"/>
        <w:rPr>
          <w:rFonts w:ascii="宋体" w:hAnsi="宋体"/>
          <w:color w:val="auto"/>
          <w:szCs w:val="21"/>
        </w:rPr>
      </w:pPr>
      <w:r>
        <w:rPr>
          <w:rFonts w:hint="eastAsia" w:ascii="宋体" w:hAnsi="宋体"/>
          <w:color w:val="auto"/>
          <w:szCs w:val="21"/>
        </w:rPr>
        <w:t>法定代表人：                         法定代表人：</w:t>
      </w:r>
    </w:p>
    <w:p w14:paraId="7744F60D">
      <w:pPr>
        <w:spacing w:line="420" w:lineRule="exact"/>
        <w:rPr>
          <w:rFonts w:ascii="宋体" w:hAnsi="宋体"/>
          <w:color w:val="auto"/>
          <w:szCs w:val="21"/>
        </w:rPr>
      </w:pPr>
      <w:r>
        <w:rPr>
          <w:rFonts w:hint="eastAsia" w:ascii="宋体" w:hAnsi="宋体"/>
          <w:color w:val="auto"/>
          <w:szCs w:val="21"/>
        </w:rPr>
        <w:t>经办人签名：                         经办人签名：</w:t>
      </w:r>
    </w:p>
    <w:p w14:paraId="213D8D11">
      <w:pPr>
        <w:spacing w:line="420" w:lineRule="exact"/>
        <w:ind w:firstLine="480"/>
        <w:rPr>
          <w:rFonts w:hint="eastAsia" w:ascii="宋体" w:hAnsi="宋体"/>
          <w:color w:val="auto"/>
          <w:szCs w:val="21"/>
        </w:rPr>
      </w:pPr>
      <w:r>
        <w:rPr>
          <w:rFonts w:hint="eastAsia" w:ascii="宋体" w:hAnsi="宋体"/>
          <w:color w:val="auto"/>
          <w:szCs w:val="21"/>
        </w:rPr>
        <w:t>年    月    日                       年    月    日</w:t>
      </w:r>
    </w:p>
    <w:p w14:paraId="3ED22484">
      <w:pPr>
        <w:rPr>
          <w:rFonts w:hint="eastAsia" w:ascii="宋体" w:hAnsi="宋体"/>
          <w:color w:val="auto"/>
          <w:szCs w:val="21"/>
        </w:rPr>
      </w:pPr>
      <w:r>
        <w:rPr>
          <w:rFonts w:hint="eastAsia" w:ascii="宋体" w:hAnsi="宋体"/>
          <w:color w:val="auto"/>
          <w:szCs w:val="21"/>
        </w:rPr>
        <w:br w:type="page"/>
      </w:r>
    </w:p>
    <w:p w14:paraId="41146687">
      <w:pPr>
        <w:spacing w:line="420" w:lineRule="exact"/>
        <w:ind w:firstLine="480"/>
        <w:rPr>
          <w:rFonts w:hint="eastAsia" w:ascii="宋体" w:hAnsi="宋体"/>
          <w:color w:val="auto"/>
          <w:szCs w:val="21"/>
        </w:rPr>
      </w:pPr>
    </w:p>
    <w:p w14:paraId="5B14A0F4">
      <w:pPr>
        <w:spacing w:line="420" w:lineRule="exact"/>
        <w:jc w:val="center"/>
        <w:rPr>
          <w:rFonts w:ascii="宋体" w:hAnsi="宋体"/>
          <w:b/>
          <w:color w:val="auto"/>
          <w:sz w:val="32"/>
          <w:szCs w:val="32"/>
        </w:rPr>
      </w:pPr>
    </w:p>
    <w:p w14:paraId="31B140B4">
      <w:pPr>
        <w:tabs>
          <w:tab w:val="left" w:pos="5040"/>
        </w:tabs>
        <w:spacing w:line="360" w:lineRule="auto"/>
        <w:rPr>
          <w:rFonts w:ascii="宋体" w:hAnsi="宋体" w:cs="宋体"/>
          <w:color w:val="auto"/>
        </w:rPr>
      </w:pPr>
    </w:p>
    <w:bookmarkEnd w:id="143"/>
    <w:bookmarkEnd w:id="144"/>
    <w:p w14:paraId="326FE807">
      <w:pPr>
        <w:pStyle w:val="2"/>
        <w:numPr>
          <w:ilvl w:val="0"/>
          <w:numId w:val="16"/>
        </w:numPr>
        <w:rPr>
          <w:color w:val="auto"/>
        </w:rPr>
      </w:pPr>
      <w:bookmarkStart w:id="149" w:name="_Toc16171"/>
      <w:bookmarkStart w:id="150" w:name="_Toc13185"/>
      <w:r>
        <w:rPr>
          <w:rFonts w:hint="eastAsia"/>
          <w:color w:val="auto"/>
        </w:rPr>
        <w:t>响应文件（格式）</w:t>
      </w:r>
      <w:bookmarkEnd w:id="145"/>
      <w:bookmarkEnd w:id="149"/>
      <w:bookmarkEnd w:id="150"/>
    </w:p>
    <w:p w14:paraId="3B5CD20A">
      <w:pPr>
        <w:rPr>
          <w:color w:val="auto"/>
        </w:rPr>
      </w:pPr>
    </w:p>
    <w:p w14:paraId="3BCB2EAB">
      <w:pPr>
        <w:rPr>
          <w:color w:val="auto"/>
        </w:rPr>
      </w:pPr>
    </w:p>
    <w:p w14:paraId="7D4AD649">
      <w:pPr>
        <w:pStyle w:val="17"/>
        <w:rPr>
          <w:rFonts w:hAnsi="宋体" w:cs="宋体"/>
          <w:b/>
          <w:color w:val="auto"/>
          <w:sz w:val="44"/>
          <w:szCs w:val="44"/>
        </w:rPr>
      </w:pPr>
      <w:bookmarkStart w:id="151" w:name="_Toc21496"/>
      <w:bookmarkStart w:id="152" w:name="_Toc497927069"/>
      <w:bookmarkStart w:id="153" w:name="_Toc18351"/>
      <w:r>
        <w:rPr>
          <w:rFonts w:hint="eastAsia" w:hAnsi="宋体" w:cs="宋体"/>
          <w:b/>
          <w:color w:val="auto"/>
          <w:sz w:val="32"/>
        </w:rPr>
        <w:t>一、响应文件袋（盒、箱）标记</w:t>
      </w:r>
      <w:bookmarkEnd w:id="151"/>
      <w:bookmarkEnd w:id="152"/>
      <w:bookmarkEnd w:id="153"/>
    </w:p>
    <w:p w14:paraId="34C582CA">
      <w:pPr>
        <w:pStyle w:val="46"/>
        <w:rPr>
          <w:rFonts w:ascii="宋体" w:hAnsi="宋体" w:cs="宋体"/>
          <w:color w:val="auto"/>
        </w:rPr>
      </w:pPr>
    </w:p>
    <w:p w14:paraId="4FB7159A">
      <w:pPr>
        <w:snapToGrid w:val="0"/>
        <w:spacing w:beforeLines="50" w:after="50"/>
        <w:jc w:val="center"/>
        <w:rPr>
          <w:rFonts w:ascii="宋体" w:hAnsi="宋体" w:cs="宋体"/>
          <w:b/>
          <w:color w:val="auto"/>
          <w:sz w:val="36"/>
          <w:szCs w:val="36"/>
        </w:rPr>
      </w:pPr>
      <w:r>
        <w:rPr>
          <w:rFonts w:hint="eastAsia" w:ascii="宋体" w:hAnsi="宋体" w:cs="宋体"/>
          <w:b/>
          <w:color w:val="auto"/>
          <w:sz w:val="36"/>
          <w:szCs w:val="36"/>
        </w:rPr>
        <w:t>响 应 文 件</w:t>
      </w:r>
    </w:p>
    <w:p w14:paraId="4840B0D9">
      <w:pPr>
        <w:snapToGrid w:val="0"/>
        <w:spacing w:beforeLines="50" w:after="50"/>
        <w:rPr>
          <w:rFonts w:ascii="宋体" w:hAnsi="宋体" w:cs="宋体"/>
          <w:b/>
          <w:color w:val="auto"/>
          <w:sz w:val="28"/>
          <w:szCs w:val="28"/>
        </w:rPr>
      </w:pPr>
    </w:p>
    <w:p w14:paraId="62E76581">
      <w:pPr>
        <w:snapToGrid w:val="0"/>
        <w:spacing w:beforeLines="50" w:after="50"/>
        <w:ind w:firstLine="420" w:firstLineChars="150"/>
        <w:rPr>
          <w:rFonts w:ascii="宋体" w:hAnsi="宋体" w:cs="宋体"/>
          <w:b/>
          <w:color w:val="auto"/>
          <w:sz w:val="28"/>
          <w:szCs w:val="28"/>
        </w:rPr>
      </w:pPr>
    </w:p>
    <w:p w14:paraId="6671591B">
      <w:pPr>
        <w:snapToGrid w:val="0"/>
        <w:spacing w:beforeLines="50" w:after="50"/>
        <w:jc w:val="center"/>
        <w:rPr>
          <w:rFonts w:ascii="宋体" w:hAnsi="宋体" w:cs="宋体"/>
          <w:b/>
          <w:color w:val="auto"/>
          <w:sz w:val="28"/>
          <w:szCs w:val="28"/>
          <w:u w:val="single"/>
        </w:rPr>
      </w:pPr>
      <w:r>
        <w:rPr>
          <w:rFonts w:hint="eastAsia" w:ascii="宋体" w:hAnsi="宋体" w:cs="宋体"/>
          <w:b/>
          <w:color w:val="auto"/>
          <w:sz w:val="28"/>
          <w:szCs w:val="28"/>
        </w:rPr>
        <w:t>项目名称：</w:t>
      </w:r>
      <w:r>
        <w:rPr>
          <w:rFonts w:hint="eastAsia" w:ascii="宋体" w:hAnsi="宋体" w:cs="宋体"/>
          <w:b/>
          <w:bCs/>
          <w:color w:val="auto"/>
          <w:sz w:val="28"/>
          <w:szCs w:val="28"/>
          <w:u w:val="single"/>
        </w:rPr>
        <w:t>医用织物洗涤、租赁服务采购</w:t>
      </w:r>
    </w:p>
    <w:p w14:paraId="5A3E8C97">
      <w:pPr>
        <w:snapToGrid w:val="0"/>
        <w:spacing w:beforeLines="50" w:after="50"/>
        <w:ind w:firstLine="2693" w:firstLineChars="962"/>
        <w:rPr>
          <w:rFonts w:ascii="宋体" w:hAnsi="宋体" w:cs="宋体"/>
          <w:b/>
          <w:color w:val="auto"/>
          <w:sz w:val="28"/>
          <w:szCs w:val="28"/>
        </w:rPr>
      </w:pPr>
    </w:p>
    <w:p w14:paraId="667A15B8">
      <w:pPr>
        <w:snapToGrid w:val="0"/>
        <w:spacing w:beforeLines="50" w:after="50"/>
        <w:ind w:firstLine="2240" w:firstLineChars="800"/>
        <w:rPr>
          <w:rFonts w:ascii="宋体" w:hAnsi="宋体" w:cs="宋体"/>
          <w:b/>
          <w:color w:val="auto"/>
          <w:sz w:val="28"/>
          <w:szCs w:val="28"/>
        </w:rPr>
      </w:pPr>
      <w:r>
        <w:rPr>
          <w:rFonts w:hint="eastAsia" w:ascii="宋体" w:hAnsi="宋体" w:cs="宋体"/>
          <w:b/>
          <w:color w:val="auto"/>
          <w:sz w:val="28"/>
          <w:szCs w:val="28"/>
        </w:rPr>
        <w:t>项目编号：</w:t>
      </w:r>
    </w:p>
    <w:p w14:paraId="5A652602">
      <w:pPr>
        <w:rPr>
          <w:rFonts w:ascii="宋体" w:hAnsi="宋体" w:cs="宋体"/>
          <w:b/>
          <w:color w:val="auto"/>
        </w:rPr>
      </w:pPr>
    </w:p>
    <w:p w14:paraId="443D8D33">
      <w:pPr>
        <w:pStyle w:val="46"/>
        <w:rPr>
          <w:rFonts w:ascii="宋体" w:hAnsi="宋体" w:cs="宋体"/>
          <w:color w:val="auto"/>
          <w:sz w:val="28"/>
          <w:szCs w:val="28"/>
        </w:rPr>
      </w:pPr>
    </w:p>
    <w:p w14:paraId="1278F5BD">
      <w:pPr>
        <w:pStyle w:val="46"/>
        <w:rPr>
          <w:rFonts w:ascii="宋体" w:hAnsi="宋体" w:cs="宋体"/>
          <w:color w:val="auto"/>
          <w:sz w:val="28"/>
          <w:szCs w:val="28"/>
        </w:rPr>
      </w:pPr>
    </w:p>
    <w:p w14:paraId="1AB91EE2">
      <w:pPr>
        <w:snapToGrid w:val="0"/>
        <w:spacing w:beforeLines="50" w:after="50"/>
        <w:rPr>
          <w:rFonts w:ascii="宋体" w:hAnsi="宋体" w:cs="宋体"/>
          <w:b/>
          <w:color w:val="auto"/>
          <w:sz w:val="28"/>
          <w:szCs w:val="28"/>
          <w:u w:val="single"/>
        </w:rPr>
      </w:pPr>
      <w:r>
        <w:rPr>
          <w:rFonts w:hint="eastAsia" w:ascii="宋体" w:hAnsi="宋体" w:cs="宋体"/>
          <w:bCs/>
          <w:color w:val="auto"/>
          <w:sz w:val="28"/>
          <w:szCs w:val="28"/>
        </w:rPr>
        <w:t>采购代理机构：</w:t>
      </w:r>
      <w:r>
        <w:rPr>
          <w:rFonts w:hint="eastAsia" w:ascii="宋体" w:hAnsi="宋体" w:cs="宋体"/>
          <w:bCs/>
          <w:color w:val="auto"/>
          <w:sz w:val="28"/>
          <w:szCs w:val="28"/>
          <w:u w:val="single"/>
        </w:rPr>
        <w:t>欧邦工程管理集团有限公司</w:t>
      </w:r>
    </w:p>
    <w:p w14:paraId="18B46F5D">
      <w:pPr>
        <w:pStyle w:val="13"/>
        <w:ind w:left="0" w:leftChars="0"/>
        <w:rPr>
          <w:rFonts w:ascii="宋体" w:hAnsi="宋体" w:cs="宋体"/>
          <w:bCs/>
          <w:color w:val="auto"/>
          <w:sz w:val="28"/>
          <w:szCs w:val="28"/>
        </w:rPr>
      </w:pPr>
      <w:bookmarkStart w:id="154" w:name="_Toc4932_WPSOffice_Level2"/>
      <w:bookmarkStart w:id="155" w:name="_Toc20319_WPSOffice_Level2"/>
      <w:r>
        <w:rPr>
          <w:rFonts w:hint="eastAsia" w:ascii="宋体" w:hAnsi="宋体" w:cs="宋体"/>
          <w:bCs/>
          <w:color w:val="auto"/>
          <w:sz w:val="28"/>
          <w:szCs w:val="28"/>
        </w:rPr>
        <w:t>磋商供应商[(CA证书签章)、自然人除外]：</w:t>
      </w:r>
      <w:bookmarkEnd w:id="154"/>
      <w:bookmarkEnd w:id="155"/>
    </w:p>
    <w:p w14:paraId="56922499">
      <w:pPr>
        <w:pStyle w:val="17"/>
        <w:spacing w:line="320" w:lineRule="exact"/>
        <w:rPr>
          <w:rFonts w:hAnsi="宋体" w:cs="宋体"/>
          <w:color w:val="auto"/>
          <w:sz w:val="28"/>
          <w:szCs w:val="28"/>
        </w:rPr>
      </w:pPr>
      <w:bookmarkStart w:id="156" w:name="_Toc32056_WPSOffice_Level2"/>
      <w:bookmarkStart w:id="157" w:name="_Toc9622_WPSOffice_Level2"/>
      <w:r>
        <w:rPr>
          <w:rFonts w:hint="eastAsia" w:hAnsi="宋体" w:cs="宋体"/>
          <w:color w:val="auto"/>
          <w:sz w:val="28"/>
          <w:szCs w:val="28"/>
        </w:rPr>
        <w:t>法定代表人、负责人、自然人或相应的委托代理人签字[或盖章(CA证书签章)]</w:t>
      </w:r>
    </w:p>
    <w:p w14:paraId="7A22E908">
      <w:pPr>
        <w:pStyle w:val="13"/>
        <w:ind w:left="0" w:leftChars="0"/>
        <w:rPr>
          <w:rFonts w:ascii="宋体" w:hAnsi="宋体" w:cs="宋体"/>
          <w:color w:val="auto"/>
          <w:sz w:val="28"/>
          <w:szCs w:val="28"/>
          <w:u w:val="single"/>
        </w:rPr>
      </w:pPr>
      <w:r>
        <w:rPr>
          <w:rFonts w:hint="eastAsia" w:ascii="宋体" w:hAnsi="宋体" w:cs="宋体"/>
          <w:color w:val="auto"/>
          <w:sz w:val="28"/>
          <w:szCs w:val="28"/>
        </w:rPr>
        <w:t>（属自然人的应在签名处加盖大拇指指印或个人CA证书签章）：</w:t>
      </w:r>
    </w:p>
    <w:p w14:paraId="586C45BC">
      <w:pPr>
        <w:pStyle w:val="13"/>
        <w:ind w:left="0" w:leftChars="0"/>
        <w:rPr>
          <w:rFonts w:ascii="宋体" w:hAnsi="宋体" w:cs="宋体"/>
          <w:bCs/>
          <w:color w:val="auto"/>
          <w:sz w:val="28"/>
          <w:szCs w:val="28"/>
          <w:u w:val="single"/>
        </w:rPr>
      </w:pPr>
      <w:r>
        <w:rPr>
          <w:rFonts w:hint="eastAsia" w:ascii="宋体" w:hAnsi="宋体" w:cs="宋体"/>
          <w:bCs/>
          <w:color w:val="auto"/>
          <w:sz w:val="28"/>
          <w:szCs w:val="28"/>
        </w:rPr>
        <w:t>联系电话：</w:t>
      </w:r>
      <w:bookmarkEnd w:id="156"/>
      <w:bookmarkEnd w:id="157"/>
    </w:p>
    <w:p w14:paraId="122DEA3D">
      <w:pPr>
        <w:pStyle w:val="13"/>
        <w:ind w:left="0" w:leftChars="0"/>
        <w:rPr>
          <w:rFonts w:ascii="宋体" w:hAnsi="宋体" w:cs="宋体"/>
          <w:bCs/>
          <w:color w:val="auto"/>
          <w:sz w:val="28"/>
          <w:szCs w:val="28"/>
        </w:rPr>
        <w:sectPr>
          <w:pgSz w:w="11906" w:h="16838"/>
          <w:pgMar w:top="1500" w:right="1134" w:bottom="1258" w:left="1134" w:header="720" w:footer="720" w:gutter="0"/>
          <w:cols w:space="720" w:num="1"/>
          <w:titlePg/>
          <w:docGrid w:type="linesAndChars" w:linePitch="331" w:charSpace="0"/>
        </w:sectPr>
      </w:pPr>
      <w:bookmarkStart w:id="158" w:name="_Toc26465_WPSOffice_Level2"/>
      <w:bookmarkStart w:id="159" w:name="_Toc15933_WPSOffice_Level2"/>
      <w:r>
        <w:rPr>
          <w:rFonts w:hint="eastAsia" w:ascii="宋体" w:hAnsi="宋体" w:cs="宋体"/>
          <w:bCs/>
          <w:color w:val="auto"/>
          <w:sz w:val="28"/>
          <w:szCs w:val="28"/>
        </w:rPr>
        <w:t>日期：年月日</w:t>
      </w:r>
      <w:bookmarkEnd w:id="158"/>
      <w:bookmarkEnd w:id="159"/>
    </w:p>
    <w:p w14:paraId="0C437752">
      <w:pPr>
        <w:rPr>
          <w:rFonts w:ascii="宋体" w:hAnsi="宋体" w:cs="宋体"/>
          <w:b/>
          <w:bCs/>
          <w:color w:val="auto"/>
          <w:sz w:val="32"/>
          <w:szCs w:val="32"/>
        </w:rPr>
      </w:pPr>
      <w:bookmarkStart w:id="160" w:name="_Toc21615"/>
      <w:bookmarkStart w:id="161" w:name="_Toc19430"/>
      <w:bookmarkStart w:id="162" w:name="_Toc497927070"/>
      <w:r>
        <w:rPr>
          <w:rFonts w:hint="eastAsia" w:ascii="宋体" w:hAnsi="宋体" w:cs="宋体"/>
          <w:b/>
          <w:bCs/>
          <w:color w:val="auto"/>
          <w:sz w:val="32"/>
          <w:szCs w:val="32"/>
        </w:rPr>
        <w:t>二、响应文件组成</w:t>
      </w:r>
      <w:bookmarkEnd w:id="160"/>
      <w:bookmarkEnd w:id="161"/>
      <w:bookmarkEnd w:id="162"/>
    </w:p>
    <w:p w14:paraId="60059112">
      <w:pPr>
        <w:pStyle w:val="11"/>
        <w:rPr>
          <w:rFonts w:ascii="宋体" w:hAnsi="宋体" w:cs="宋体"/>
          <w:color w:val="auto"/>
        </w:rPr>
      </w:pPr>
    </w:p>
    <w:p w14:paraId="348F525B">
      <w:pPr>
        <w:pStyle w:val="11"/>
        <w:rPr>
          <w:rFonts w:ascii="宋体" w:hAnsi="宋体" w:cs="宋体"/>
          <w:color w:val="auto"/>
        </w:rPr>
      </w:pPr>
    </w:p>
    <w:p w14:paraId="459F465A">
      <w:pPr>
        <w:spacing w:line="400" w:lineRule="exact"/>
        <w:rPr>
          <w:rFonts w:ascii="宋体" w:hAnsi="宋体" w:cs="宋体"/>
          <w:b/>
          <w:bCs/>
          <w:color w:val="auto"/>
          <w:sz w:val="28"/>
          <w:szCs w:val="28"/>
        </w:rPr>
      </w:pPr>
    </w:p>
    <w:p w14:paraId="162AC882">
      <w:pPr>
        <w:pStyle w:val="11"/>
        <w:rPr>
          <w:rFonts w:ascii="宋体" w:hAnsi="宋体" w:cs="宋体"/>
          <w:b/>
          <w:bCs/>
          <w:color w:val="auto"/>
          <w:sz w:val="28"/>
          <w:szCs w:val="28"/>
        </w:rPr>
      </w:pPr>
    </w:p>
    <w:p w14:paraId="400E31B3">
      <w:pPr>
        <w:numPr>
          <w:ilvl w:val="0"/>
          <w:numId w:val="17"/>
        </w:numPr>
        <w:spacing w:line="400" w:lineRule="exact"/>
        <w:ind w:firstLine="565" w:firstLineChars="202"/>
        <w:rPr>
          <w:rFonts w:ascii="宋体" w:hAnsi="宋体" w:cs="宋体"/>
          <w:b/>
          <w:bCs/>
          <w:color w:val="auto"/>
          <w:sz w:val="28"/>
          <w:szCs w:val="28"/>
        </w:rPr>
      </w:pPr>
      <w:r>
        <w:rPr>
          <w:rFonts w:hint="eastAsia" w:ascii="宋体" w:hAnsi="宋体" w:cs="宋体"/>
          <w:b/>
          <w:bCs/>
          <w:color w:val="auto"/>
          <w:sz w:val="28"/>
          <w:szCs w:val="28"/>
        </w:rPr>
        <w:t>资格性响应证明材料</w:t>
      </w:r>
    </w:p>
    <w:p w14:paraId="6406C678">
      <w:pPr>
        <w:pStyle w:val="11"/>
        <w:rPr>
          <w:rFonts w:ascii="宋体" w:hAnsi="宋体" w:cs="宋体"/>
          <w:b/>
          <w:bCs/>
          <w:color w:val="auto"/>
          <w:sz w:val="28"/>
          <w:szCs w:val="28"/>
        </w:rPr>
      </w:pPr>
    </w:p>
    <w:p w14:paraId="44AAC343">
      <w:pPr>
        <w:pStyle w:val="11"/>
        <w:rPr>
          <w:rFonts w:ascii="宋体" w:hAnsi="宋体" w:cs="宋体"/>
          <w:b/>
          <w:bCs/>
          <w:color w:val="auto"/>
          <w:sz w:val="28"/>
          <w:szCs w:val="28"/>
        </w:rPr>
      </w:pPr>
    </w:p>
    <w:p w14:paraId="725E344B">
      <w:pPr>
        <w:numPr>
          <w:ilvl w:val="0"/>
          <w:numId w:val="17"/>
        </w:numPr>
        <w:spacing w:line="400" w:lineRule="exact"/>
        <w:ind w:firstLine="565" w:firstLineChars="202"/>
        <w:rPr>
          <w:rFonts w:ascii="宋体" w:hAnsi="宋体" w:cs="宋体"/>
          <w:b/>
          <w:bCs/>
          <w:color w:val="auto"/>
          <w:sz w:val="28"/>
          <w:szCs w:val="28"/>
        </w:rPr>
      </w:pPr>
      <w:r>
        <w:rPr>
          <w:rFonts w:hint="eastAsia" w:ascii="宋体" w:hAnsi="宋体" w:cs="宋体"/>
          <w:b/>
          <w:bCs/>
          <w:color w:val="auto"/>
          <w:sz w:val="28"/>
          <w:szCs w:val="28"/>
        </w:rPr>
        <w:t>符合性响应证明材料</w:t>
      </w:r>
    </w:p>
    <w:p w14:paraId="7249EE68">
      <w:pPr>
        <w:pStyle w:val="11"/>
        <w:rPr>
          <w:rFonts w:ascii="宋体" w:hAnsi="宋体" w:cs="宋体"/>
          <w:b/>
          <w:bCs/>
          <w:color w:val="auto"/>
          <w:sz w:val="28"/>
          <w:szCs w:val="28"/>
        </w:rPr>
      </w:pPr>
    </w:p>
    <w:p w14:paraId="453A0DD0">
      <w:pPr>
        <w:pStyle w:val="11"/>
        <w:rPr>
          <w:rFonts w:ascii="宋体" w:hAnsi="宋体" w:cs="宋体"/>
          <w:b/>
          <w:bCs/>
          <w:color w:val="auto"/>
          <w:sz w:val="28"/>
          <w:szCs w:val="28"/>
        </w:rPr>
      </w:pPr>
    </w:p>
    <w:p w14:paraId="464DD53F">
      <w:pPr>
        <w:numPr>
          <w:ilvl w:val="0"/>
          <w:numId w:val="17"/>
        </w:numPr>
        <w:spacing w:line="400" w:lineRule="exact"/>
        <w:ind w:firstLine="565" w:firstLineChars="202"/>
        <w:rPr>
          <w:rFonts w:ascii="宋体" w:hAnsi="宋体" w:cs="宋体"/>
          <w:b/>
          <w:bCs/>
          <w:color w:val="auto"/>
          <w:sz w:val="28"/>
          <w:szCs w:val="28"/>
        </w:rPr>
      </w:pPr>
      <w:r>
        <w:rPr>
          <w:rFonts w:hint="eastAsia" w:ascii="宋体" w:hAnsi="宋体" w:cs="宋体"/>
          <w:b/>
          <w:bCs/>
          <w:color w:val="auto"/>
          <w:sz w:val="28"/>
          <w:szCs w:val="28"/>
        </w:rPr>
        <w:t>其他有效证明材料</w:t>
      </w:r>
    </w:p>
    <w:p w14:paraId="79CB8496">
      <w:pPr>
        <w:pStyle w:val="46"/>
        <w:rPr>
          <w:rFonts w:ascii="宋体" w:hAnsi="宋体" w:cs="宋体"/>
          <w:color w:val="auto"/>
        </w:rPr>
      </w:pPr>
    </w:p>
    <w:p w14:paraId="5E110453">
      <w:pPr>
        <w:tabs>
          <w:tab w:val="left" w:pos="5040"/>
        </w:tabs>
        <w:spacing w:line="400" w:lineRule="exact"/>
        <w:rPr>
          <w:rFonts w:ascii="宋体" w:hAnsi="宋体" w:cs="宋体"/>
          <w:color w:val="auto"/>
          <w:szCs w:val="21"/>
        </w:rPr>
      </w:pPr>
    </w:p>
    <w:p w14:paraId="7C12CB0A">
      <w:pPr>
        <w:pStyle w:val="11"/>
        <w:rPr>
          <w:rFonts w:ascii="宋体" w:hAnsi="宋体" w:cs="宋体"/>
          <w:color w:val="auto"/>
          <w:szCs w:val="21"/>
        </w:rPr>
      </w:pPr>
    </w:p>
    <w:p w14:paraId="12BD30F3">
      <w:pPr>
        <w:pStyle w:val="11"/>
        <w:rPr>
          <w:rFonts w:ascii="宋体" w:hAnsi="宋体" w:cs="宋体"/>
          <w:color w:val="auto"/>
          <w:szCs w:val="21"/>
        </w:rPr>
      </w:pPr>
    </w:p>
    <w:p w14:paraId="55DFAC07">
      <w:pPr>
        <w:pStyle w:val="11"/>
        <w:rPr>
          <w:rFonts w:ascii="宋体" w:hAnsi="宋体" w:cs="宋体"/>
          <w:color w:val="auto"/>
          <w:szCs w:val="21"/>
        </w:rPr>
      </w:pPr>
    </w:p>
    <w:p w14:paraId="405CFF49">
      <w:pPr>
        <w:pStyle w:val="11"/>
        <w:rPr>
          <w:rFonts w:ascii="宋体" w:hAnsi="宋体" w:cs="宋体"/>
          <w:color w:val="auto"/>
          <w:szCs w:val="21"/>
        </w:rPr>
      </w:pPr>
    </w:p>
    <w:p w14:paraId="409F0FB0">
      <w:pPr>
        <w:rPr>
          <w:rFonts w:ascii="宋体" w:hAnsi="宋体" w:cs="宋体"/>
          <w:color w:val="auto"/>
          <w:szCs w:val="21"/>
        </w:rPr>
      </w:pPr>
    </w:p>
    <w:p w14:paraId="0D9C8038">
      <w:pPr>
        <w:pStyle w:val="46"/>
        <w:rPr>
          <w:rFonts w:ascii="宋体" w:hAnsi="宋体" w:cs="宋体"/>
          <w:color w:val="auto"/>
          <w:szCs w:val="21"/>
        </w:rPr>
      </w:pPr>
    </w:p>
    <w:p w14:paraId="3AFED3D7">
      <w:pPr>
        <w:pStyle w:val="46"/>
        <w:rPr>
          <w:rFonts w:ascii="宋体" w:hAnsi="宋体" w:cs="宋体"/>
          <w:color w:val="auto"/>
          <w:szCs w:val="21"/>
        </w:rPr>
      </w:pPr>
    </w:p>
    <w:p w14:paraId="0A162658">
      <w:pPr>
        <w:pStyle w:val="46"/>
        <w:rPr>
          <w:rFonts w:ascii="宋体" w:hAnsi="宋体" w:cs="宋体"/>
          <w:color w:val="auto"/>
          <w:szCs w:val="21"/>
        </w:rPr>
      </w:pPr>
    </w:p>
    <w:p w14:paraId="12818C37">
      <w:pPr>
        <w:pStyle w:val="46"/>
        <w:rPr>
          <w:rFonts w:ascii="宋体" w:hAnsi="宋体" w:cs="宋体"/>
          <w:color w:val="auto"/>
          <w:szCs w:val="21"/>
        </w:rPr>
      </w:pPr>
    </w:p>
    <w:p w14:paraId="27A1E48F">
      <w:pPr>
        <w:pStyle w:val="46"/>
        <w:rPr>
          <w:rFonts w:ascii="宋体" w:hAnsi="宋体" w:cs="宋体"/>
          <w:color w:val="auto"/>
          <w:szCs w:val="21"/>
        </w:rPr>
      </w:pPr>
    </w:p>
    <w:p w14:paraId="767D60A4">
      <w:pPr>
        <w:pStyle w:val="46"/>
        <w:rPr>
          <w:rFonts w:ascii="宋体" w:hAnsi="宋体" w:cs="宋体"/>
          <w:color w:val="auto"/>
          <w:szCs w:val="21"/>
        </w:rPr>
      </w:pPr>
    </w:p>
    <w:p w14:paraId="70D1E84E">
      <w:pPr>
        <w:pStyle w:val="46"/>
        <w:rPr>
          <w:rFonts w:ascii="宋体" w:hAnsi="宋体" w:cs="宋体"/>
          <w:color w:val="auto"/>
          <w:szCs w:val="21"/>
        </w:rPr>
      </w:pPr>
    </w:p>
    <w:p w14:paraId="33A34B72">
      <w:pPr>
        <w:pStyle w:val="46"/>
        <w:rPr>
          <w:rFonts w:ascii="宋体" w:hAnsi="宋体" w:cs="宋体"/>
          <w:color w:val="auto"/>
          <w:szCs w:val="21"/>
        </w:rPr>
      </w:pPr>
    </w:p>
    <w:p w14:paraId="33890FA0">
      <w:pPr>
        <w:pStyle w:val="46"/>
        <w:rPr>
          <w:rFonts w:ascii="宋体" w:hAnsi="宋体" w:cs="宋体"/>
          <w:color w:val="auto"/>
          <w:szCs w:val="21"/>
        </w:rPr>
      </w:pPr>
    </w:p>
    <w:p w14:paraId="649792D3">
      <w:pPr>
        <w:pStyle w:val="5"/>
        <w:jc w:val="center"/>
        <w:rPr>
          <w:rFonts w:ascii="宋体" w:hAnsi="宋体" w:cs="宋体"/>
          <w:color w:val="auto"/>
        </w:rPr>
      </w:pPr>
      <w:bookmarkStart w:id="163" w:name="_Toc497927071"/>
      <w:bookmarkStart w:id="164" w:name="_Toc7185"/>
      <w:bookmarkStart w:id="165" w:name="_Toc11067"/>
      <w:r>
        <w:rPr>
          <w:rFonts w:hint="eastAsia" w:ascii="宋体" w:hAnsi="宋体" w:cs="宋体"/>
          <w:color w:val="auto"/>
          <w:sz w:val="32"/>
          <w:szCs w:val="32"/>
        </w:rPr>
        <w:t>（一）资格性响应证明材料目录</w:t>
      </w:r>
      <w:bookmarkEnd w:id="163"/>
      <w:bookmarkEnd w:id="164"/>
      <w:bookmarkEnd w:id="165"/>
    </w:p>
    <w:p w14:paraId="35985388">
      <w:pPr>
        <w:spacing w:line="360" w:lineRule="auto"/>
        <w:ind w:firstLine="480" w:firstLineChars="200"/>
        <w:rPr>
          <w:rFonts w:ascii="宋体" w:hAnsi="宋体" w:cs="宋体"/>
          <w:color w:val="auto"/>
          <w:sz w:val="24"/>
        </w:rPr>
      </w:pPr>
      <w:r>
        <w:rPr>
          <w:rFonts w:hint="eastAsia" w:ascii="宋体" w:hAnsi="宋体" w:cs="宋体"/>
          <w:color w:val="auto"/>
          <w:sz w:val="24"/>
        </w:rPr>
        <w:t>1.供应商相应的法定代表人、负责人、自然人身份证正反两面复印件（必须提供）；</w:t>
      </w:r>
    </w:p>
    <w:p w14:paraId="0767CD7C">
      <w:pPr>
        <w:spacing w:line="360" w:lineRule="auto"/>
        <w:ind w:firstLine="480" w:firstLineChars="200"/>
        <w:rPr>
          <w:rFonts w:ascii="宋体" w:hAnsi="宋体" w:cs="宋体"/>
          <w:color w:val="auto"/>
          <w:sz w:val="24"/>
        </w:rPr>
      </w:pPr>
      <w:r>
        <w:rPr>
          <w:rFonts w:hint="eastAsia" w:ascii="宋体" w:hAnsi="宋体" w:cs="宋体"/>
          <w:color w:val="auto"/>
          <w:sz w:val="24"/>
        </w:rPr>
        <w:t>2.供应商的授权委托书原件、委托代理人身份证正反面复印件以及由县级以上（含县级）社会养老保险经办机构出具的供应商为委托代理人交纳的截标时间前半年内任意1个月社保证明复印件，除供应商为以下三种情形的：</w:t>
      </w:r>
    </w:p>
    <w:p w14:paraId="45592378">
      <w:pPr>
        <w:spacing w:line="360" w:lineRule="auto"/>
        <w:ind w:firstLine="480" w:firstLineChars="200"/>
        <w:rPr>
          <w:rFonts w:ascii="宋体" w:hAnsi="宋体" w:cs="宋体"/>
          <w:color w:val="auto"/>
          <w:sz w:val="24"/>
        </w:rPr>
      </w:pPr>
      <w:r>
        <w:rPr>
          <w:rFonts w:hint="eastAsia" w:ascii="宋体" w:hAnsi="宋体" w:cs="宋体"/>
          <w:color w:val="auto"/>
          <w:sz w:val="24"/>
        </w:rPr>
        <w:t>①如供应商为截标时间前60日以内成立的公司，可以提供供应商与委托代理人签订的劳动合同复印件代替社保证明复印件；</w:t>
      </w:r>
    </w:p>
    <w:p w14:paraId="510A4140">
      <w:pPr>
        <w:spacing w:line="360" w:lineRule="auto"/>
        <w:ind w:firstLine="480" w:firstLineChars="200"/>
        <w:rPr>
          <w:rFonts w:ascii="宋体" w:hAnsi="宋体" w:cs="宋体"/>
          <w:color w:val="auto"/>
          <w:sz w:val="24"/>
        </w:rPr>
      </w:pPr>
      <w:r>
        <w:rPr>
          <w:rFonts w:hint="eastAsia" w:ascii="宋体" w:hAnsi="宋体" w:cs="宋体"/>
          <w:color w:val="auto"/>
          <w:sz w:val="24"/>
        </w:rPr>
        <w:t>②如供应商为事业单位，可以提供事业单位机构编制管理证复印件或事业单位机构为其发放工资的工资条复印件代替社保证明复印件；</w:t>
      </w:r>
    </w:p>
    <w:p w14:paraId="6B93A563">
      <w:pPr>
        <w:spacing w:line="360" w:lineRule="auto"/>
        <w:ind w:firstLine="480" w:firstLineChars="200"/>
        <w:rPr>
          <w:rFonts w:ascii="宋体" w:hAnsi="宋体" w:cs="宋体"/>
          <w:color w:val="auto"/>
          <w:sz w:val="24"/>
        </w:rPr>
      </w:pPr>
      <w:r>
        <w:rPr>
          <w:rFonts w:hint="eastAsia" w:ascii="宋体" w:hAnsi="宋体" w:cs="宋体"/>
          <w:color w:val="auto"/>
          <w:sz w:val="24"/>
        </w:rPr>
        <w:t>③如委托代理人为免缴纳社保人员，提供免缴纳社保的证明材料复印件及供应商与委托代理人签订的劳动合同复印件代替社保证明复印件。</w:t>
      </w:r>
    </w:p>
    <w:p w14:paraId="631F0E7C">
      <w:pPr>
        <w:spacing w:line="360" w:lineRule="auto"/>
        <w:ind w:firstLine="480" w:firstLineChars="200"/>
        <w:rPr>
          <w:rFonts w:ascii="宋体" w:hAnsi="宋体" w:cs="宋体"/>
          <w:color w:val="auto"/>
          <w:sz w:val="24"/>
        </w:rPr>
      </w:pPr>
      <w:r>
        <w:rPr>
          <w:rFonts w:hint="eastAsia" w:ascii="宋体" w:hAnsi="宋体" w:cs="宋体"/>
          <w:color w:val="auto"/>
          <w:sz w:val="24"/>
        </w:rPr>
        <w:t>【属自然人的应提供由县级以上（含县级）社会养老保险经办机构出具的自然人本人及委托代理人所交纳的截标时间前半年内任意1个月社保证明复印件】（委托代理时必须提供；如为联合体的，授权委托书原件须由牵头人出具）</w:t>
      </w:r>
    </w:p>
    <w:p w14:paraId="76DD202C">
      <w:pPr>
        <w:spacing w:line="360" w:lineRule="auto"/>
        <w:ind w:firstLine="480" w:firstLineChars="200"/>
        <w:rPr>
          <w:rFonts w:ascii="宋体" w:hAnsi="宋体" w:cs="宋体"/>
          <w:color w:val="auto"/>
          <w:sz w:val="24"/>
        </w:rPr>
      </w:pPr>
      <w:r>
        <w:rPr>
          <w:rFonts w:hint="eastAsia" w:ascii="宋体" w:hAnsi="宋体" w:cs="宋体"/>
          <w:color w:val="auto"/>
          <w:sz w:val="24"/>
        </w:rPr>
        <w:t>3.供应商参加政府采购活动前3年内在经营活动中没有重大违法记录及有关信用信息的书面声明（必须提供）；</w:t>
      </w:r>
    </w:p>
    <w:p w14:paraId="01E6FFB5">
      <w:pPr>
        <w:spacing w:line="360" w:lineRule="auto"/>
        <w:ind w:firstLine="480" w:firstLineChars="200"/>
        <w:rPr>
          <w:rFonts w:ascii="宋体" w:hAnsi="宋体" w:cs="宋体"/>
          <w:color w:val="auto"/>
          <w:sz w:val="24"/>
        </w:rPr>
      </w:pPr>
      <w:r>
        <w:rPr>
          <w:rFonts w:hint="eastAsia" w:ascii="宋体" w:hAnsi="宋体" w:cs="宋体"/>
          <w:color w:val="auto"/>
          <w:sz w:val="24"/>
        </w:rPr>
        <w:t>4.供应商的法人或者其他组织营业执照等证明文件复印件（必须提供，自然人除外）；</w:t>
      </w:r>
    </w:p>
    <w:p w14:paraId="74A40A8E">
      <w:pPr>
        <w:spacing w:line="360" w:lineRule="auto"/>
        <w:ind w:firstLine="480" w:firstLineChars="200"/>
        <w:rPr>
          <w:rFonts w:ascii="宋体" w:hAnsi="宋体" w:cs="宋体"/>
          <w:color w:val="auto"/>
          <w:sz w:val="24"/>
        </w:rPr>
      </w:pPr>
      <w:r>
        <w:rPr>
          <w:rFonts w:hint="eastAsia" w:ascii="宋体" w:hAnsi="宋体" w:cs="宋体"/>
          <w:color w:val="auto"/>
          <w:sz w:val="24"/>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28BDA32F">
      <w:pPr>
        <w:spacing w:line="360" w:lineRule="auto"/>
        <w:ind w:firstLine="480" w:firstLineChars="200"/>
        <w:rPr>
          <w:rFonts w:ascii="宋体" w:hAnsi="宋体" w:cs="宋体"/>
          <w:color w:val="auto"/>
          <w:sz w:val="24"/>
        </w:rPr>
      </w:pPr>
      <w:r>
        <w:rPr>
          <w:rFonts w:hint="eastAsia" w:ascii="宋体" w:hAnsi="宋体" w:cs="宋体"/>
          <w:color w:val="auto"/>
          <w:sz w:val="24"/>
        </w:rPr>
        <w:t>5.供应商为中小企业的相关有效证明材料（必须提供）；</w:t>
      </w:r>
    </w:p>
    <w:p w14:paraId="54CDA04F">
      <w:pPr>
        <w:spacing w:line="360" w:lineRule="auto"/>
        <w:ind w:firstLine="480" w:firstLineChars="200"/>
        <w:rPr>
          <w:rFonts w:ascii="宋体" w:hAnsi="宋体" w:cs="宋体"/>
          <w:color w:val="auto"/>
          <w:sz w:val="24"/>
        </w:rPr>
      </w:pPr>
      <w:r>
        <w:rPr>
          <w:rFonts w:hint="eastAsia" w:ascii="宋体" w:hAnsi="宋体" w:cs="宋体"/>
          <w:color w:val="auto"/>
          <w:sz w:val="24"/>
        </w:rPr>
        <w:t>注：本项目专门面向中小企业采购, 供应商须满足《政府采购促进中小企业发展管理办法》(财库〔2020〕46号)第二条规定，监狱企业、残疾人福利单位视同小型、微型企业。供应商根据自身情况，相应提供以下证明材料：①供应商如为符合政策要求的中小企业且承接本项目全部服务的，提供《中小企业声明函》。②供应商如属于监狱企业且承接本项目全部服务的，提供由省级以上监狱管理局、戒毒管理局(含新疆生产建设兵团)出具的属于监狱企业的证明文件。③供应商如属于符合条件的残疾人福利性单位且承接本项目全部服务的，提供《残疾人福利性单位声明函》（并对声明的真实性负责）。</w:t>
      </w:r>
    </w:p>
    <w:p w14:paraId="7CC871CF">
      <w:pPr>
        <w:spacing w:line="360" w:lineRule="auto"/>
        <w:ind w:firstLine="480" w:firstLineChars="200"/>
        <w:rPr>
          <w:rFonts w:ascii="宋体" w:hAnsi="宋体" w:cs="宋体"/>
          <w:color w:val="auto"/>
          <w:sz w:val="24"/>
        </w:rPr>
      </w:pPr>
      <w:r>
        <w:rPr>
          <w:rFonts w:hint="eastAsia" w:ascii="宋体" w:hAnsi="宋体" w:cs="宋体"/>
          <w:color w:val="auto"/>
          <w:sz w:val="24"/>
        </w:rPr>
        <w:t>。</w:t>
      </w:r>
    </w:p>
    <w:p w14:paraId="539FA934">
      <w:pPr>
        <w:pStyle w:val="17"/>
        <w:rPr>
          <w:rFonts w:hAnsi="宋体" w:cs="宋体"/>
          <w:b/>
          <w:color w:val="auto"/>
          <w:sz w:val="32"/>
        </w:rPr>
      </w:pPr>
      <w:r>
        <w:rPr>
          <w:rFonts w:hint="eastAsia" w:hAnsi="宋体" w:cs="宋体"/>
          <w:b/>
          <w:color w:val="auto"/>
          <w:sz w:val="32"/>
        </w:rPr>
        <w:t xml:space="preserve">附件：            </w:t>
      </w:r>
    </w:p>
    <w:p w14:paraId="54D5C2FA">
      <w:pPr>
        <w:pStyle w:val="17"/>
        <w:ind w:firstLine="627" w:firstLineChars="196"/>
        <w:jc w:val="center"/>
        <w:rPr>
          <w:rFonts w:hAnsi="宋体" w:cs="宋体"/>
          <w:b/>
          <w:color w:val="auto"/>
          <w:sz w:val="32"/>
        </w:rPr>
      </w:pPr>
      <w:bookmarkStart w:id="166" w:name="_Toc964_WPSOffice_Level1"/>
      <w:bookmarkStart w:id="167" w:name="_Toc5420_WPSOffice_Level1"/>
      <w:r>
        <w:rPr>
          <w:rFonts w:hint="eastAsia" w:hAnsi="宋体" w:cs="宋体"/>
          <w:b/>
          <w:color w:val="auto"/>
          <w:sz w:val="32"/>
        </w:rPr>
        <w:t>授权委托书（格式一）</w:t>
      </w:r>
      <w:bookmarkEnd w:id="166"/>
      <w:bookmarkEnd w:id="167"/>
    </w:p>
    <w:p w14:paraId="248B173A">
      <w:pPr>
        <w:pStyle w:val="17"/>
        <w:rPr>
          <w:rFonts w:hAnsi="宋体" w:cs="宋体"/>
          <w:color w:val="auto"/>
        </w:rPr>
      </w:pPr>
    </w:p>
    <w:p w14:paraId="1811545D">
      <w:pPr>
        <w:spacing w:line="400" w:lineRule="exact"/>
        <w:rPr>
          <w:rFonts w:ascii="宋体" w:hAnsi="宋体" w:cs="宋体"/>
          <w:color w:val="auto"/>
        </w:rPr>
      </w:pPr>
      <w:r>
        <w:rPr>
          <w:rFonts w:hint="eastAsia" w:ascii="宋体" w:hAnsi="宋体" w:cs="宋体"/>
          <w:color w:val="auto"/>
          <w:szCs w:val="21"/>
        </w:rPr>
        <w:t>致：</w:t>
      </w:r>
      <w:r>
        <w:rPr>
          <w:rFonts w:hint="eastAsia" w:ascii="宋体" w:hAnsi="宋体" w:cs="宋体"/>
          <w:color w:val="auto"/>
          <w:szCs w:val="21"/>
          <w:u w:val="single"/>
        </w:rPr>
        <w:t>欧邦工程管理集团有限公司</w:t>
      </w:r>
    </w:p>
    <w:p w14:paraId="73A16F7C">
      <w:pPr>
        <w:spacing w:line="400" w:lineRule="exact"/>
        <w:rPr>
          <w:rFonts w:ascii="宋体" w:hAnsi="宋体" w:cs="宋体"/>
          <w:color w:val="auto"/>
          <w:szCs w:val="21"/>
        </w:rPr>
      </w:pPr>
    </w:p>
    <w:p w14:paraId="1F030720">
      <w:pPr>
        <w:pStyle w:val="17"/>
        <w:spacing w:line="400" w:lineRule="exact"/>
        <w:ind w:firstLine="420" w:firstLineChars="200"/>
        <w:rPr>
          <w:rFonts w:hAnsi="宋体" w:cs="宋体"/>
          <w:color w:val="auto"/>
        </w:rPr>
      </w:pPr>
      <w:r>
        <w:rPr>
          <w:rFonts w:hint="eastAsia" w:hAnsi="宋体" w:cs="宋体"/>
          <w:color w:val="auto"/>
          <w:kern w:val="0"/>
        </w:rPr>
        <w:t>我（姓名）系（供应商名称）的法定代表人（负责人），现授权委托本单位在职职工（姓 名）以我公司名义参加</w:t>
      </w:r>
      <w:r>
        <w:rPr>
          <w:rFonts w:hint="eastAsia" w:hAnsi="宋体" w:cs="宋体"/>
          <w:color w:val="auto"/>
          <w:u w:val="single"/>
        </w:rPr>
        <w:t xml:space="preserve">（项目名称及项目编号）        </w:t>
      </w:r>
      <w:r>
        <w:rPr>
          <w:rFonts w:hint="eastAsia" w:hAnsi="宋体" w:cs="宋体"/>
          <w:color w:val="auto"/>
        </w:rPr>
        <w:t>项目的磋商活动，并代表我方全权办理针对上述项目的磋商、签约等具体事务和签署相关文件。</w:t>
      </w:r>
    </w:p>
    <w:p w14:paraId="203346D8">
      <w:pPr>
        <w:pStyle w:val="17"/>
        <w:spacing w:line="400" w:lineRule="exact"/>
        <w:ind w:firstLine="420" w:firstLineChars="200"/>
        <w:rPr>
          <w:rFonts w:hAnsi="宋体" w:cs="宋体"/>
          <w:color w:val="auto"/>
        </w:rPr>
      </w:pPr>
      <w:r>
        <w:rPr>
          <w:rFonts w:hint="eastAsia" w:hAnsi="宋体" w:cs="宋体"/>
          <w:color w:val="auto"/>
        </w:rPr>
        <w:t>我方对被授权人的签字事项负全部责任。</w:t>
      </w:r>
    </w:p>
    <w:p w14:paraId="7A4D8528">
      <w:pPr>
        <w:pStyle w:val="17"/>
        <w:spacing w:line="400" w:lineRule="exact"/>
        <w:ind w:firstLine="420" w:firstLineChars="200"/>
        <w:rPr>
          <w:rFonts w:hAnsi="宋体" w:cs="宋体"/>
          <w:color w:val="auto"/>
          <w:u w:val="single"/>
        </w:rPr>
      </w:pPr>
      <w:r>
        <w:rPr>
          <w:rFonts w:hint="eastAsia" w:hAnsi="宋体" w:cs="宋体"/>
          <w:color w:val="auto"/>
        </w:rPr>
        <w:t>授权委托代理期限：从年月  日起至年月 日止。</w:t>
      </w:r>
    </w:p>
    <w:p w14:paraId="73A5465B">
      <w:pPr>
        <w:pStyle w:val="17"/>
        <w:spacing w:line="400" w:lineRule="exact"/>
        <w:rPr>
          <w:rFonts w:hAnsi="宋体" w:cs="宋体"/>
          <w:color w:val="auto"/>
          <w:u w:val="single"/>
        </w:rPr>
      </w:pPr>
    </w:p>
    <w:p w14:paraId="66646919">
      <w:pPr>
        <w:spacing w:line="400" w:lineRule="exact"/>
        <w:ind w:firstLine="420" w:firstLineChars="200"/>
        <w:rPr>
          <w:rFonts w:ascii="宋体" w:hAnsi="宋体" w:cs="宋体"/>
          <w:color w:val="auto"/>
          <w:kern w:val="0"/>
        </w:rPr>
      </w:pPr>
      <w:r>
        <w:rPr>
          <w:rFonts w:hint="eastAsia" w:ascii="宋体" w:hAnsi="宋体" w:cs="宋体"/>
          <w:color w:val="auto"/>
          <w:kern w:val="0"/>
        </w:rPr>
        <w:t xml:space="preserve">代理人无转委托权,特此委托。 </w:t>
      </w:r>
    </w:p>
    <w:p w14:paraId="6708A92C">
      <w:pPr>
        <w:snapToGrid w:val="0"/>
        <w:spacing w:line="400" w:lineRule="exact"/>
        <w:ind w:firstLine="525"/>
        <w:outlineLvl w:val="4"/>
        <w:rPr>
          <w:rFonts w:ascii="宋体" w:hAnsi="宋体" w:cs="宋体"/>
          <w:color w:val="auto"/>
          <w:szCs w:val="21"/>
        </w:rPr>
      </w:pPr>
    </w:p>
    <w:p w14:paraId="1A9139FC">
      <w:pPr>
        <w:spacing w:line="400" w:lineRule="exact"/>
        <w:ind w:firstLine="420" w:firstLineChars="200"/>
        <w:rPr>
          <w:rFonts w:ascii="宋体" w:hAnsi="宋体" w:cs="宋体"/>
          <w:color w:val="auto"/>
          <w:szCs w:val="21"/>
        </w:rPr>
      </w:pPr>
      <w:r>
        <w:rPr>
          <w:rFonts w:hint="eastAsia" w:ascii="宋体" w:hAnsi="宋体" w:cs="宋体"/>
          <w:color w:val="auto"/>
          <w:szCs w:val="21"/>
        </w:rPr>
        <w:t>我已在下面签字，以资证明。</w:t>
      </w:r>
    </w:p>
    <w:p w14:paraId="0DD33393">
      <w:pPr>
        <w:spacing w:line="400" w:lineRule="exact"/>
        <w:ind w:firstLine="420" w:firstLineChars="200"/>
        <w:rPr>
          <w:rFonts w:ascii="宋体" w:hAnsi="宋体" w:cs="宋体"/>
          <w:color w:val="auto"/>
          <w:szCs w:val="21"/>
        </w:rPr>
      </w:pPr>
    </w:p>
    <w:p w14:paraId="4FDDFF9D">
      <w:pPr>
        <w:spacing w:line="400" w:lineRule="exact"/>
        <w:ind w:firstLine="420" w:firstLineChars="200"/>
        <w:rPr>
          <w:rFonts w:ascii="宋体" w:hAnsi="宋体" w:cs="宋体"/>
          <w:color w:val="auto"/>
          <w:szCs w:val="21"/>
        </w:rPr>
      </w:pPr>
    </w:p>
    <w:p w14:paraId="10551357">
      <w:pPr>
        <w:snapToGrid w:val="0"/>
        <w:spacing w:line="400" w:lineRule="exact"/>
        <w:ind w:firstLine="420"/>
        <w:rPr>
          <w:rFonts w:ascii="宋体" w:hAnsi="宋体" w:cs="宋体"/>
          <w:color w:val="auto"/>
          <w:szCs w:val="21"/>
          <w:u w:val="single"/>
        </w:rPr>
      </w:pPr>
      <w:r>
        <w:rPr>
          <w:rFonts w:hint="eastAsia" w:ascii="宋体" w:hAnsi="宋体" w:cs="宋体"/>
          <w:color w:val="auto"/>
          <w:szCs w:val="21"/>
        </w:rPr>
        <w:t>磋商供应商[（CA证书签章）]：</w:t>
      </w:r>
    </w:p>
    <w:p w14:paraId="05FCC155">
      <w:pPr>
        <w:snapToGrid w:val="0"/>
        <w:spacing w:line="400" w:lineRule="exact"/>
        <w:ind w:firstLine="420"/>
        <w:rPr>
          <w:rFonts w:ascii="宋体" w:hAnsi="宋体" w:cs="宋体"/>
          <w:color w:val="auto"/>
          <w:szCs w:val="21"/>
        </w:rPr>
      </w:pPr>
    </w:p>
    <w:p w14:paraId="692BBA8D">
      <w:pPr>
        <w:snapToGrid w:val="0"/>
        <w:spacing w:line="400" w:lineRule="exact"/>
        <w:ind w:firstLine="420"/>
        <w:rPr>
          <w:rFonts w:ascii="宋体" w:hAnsi="宋体" w:cs="宋体"/>
          <w:color w:val="auto"/>
          <w:szCs w:val="21"/>
        </w:rPr>
      </w:pPr>
      <w:r>
        <w:rPr>
          <w:rFonts w:hint="eastAsia" w:ascii="宋体" w:hAnsi="宋体" w:cs="宋体"/>
          <w:color w:val="auto"/>
          <w:szCs w:val="21"/>
        </w:rPr>
        <w:t>法定代表人（负责人）签字（或个人CA证书签章）：年月日</w:t>
      </w:r>
    </w:p>
    <w:p w14:paraId="0AF8EE50">
      <w:pPr>
        <w:snapToGrid w:val="0"/>
        <w:spacing w:line="400" w:lineRule="exact"/>
        <w:ind w:firstLine="420"/>
        <w:rPr>
          <w:rFonts w:ascii="宋体" w:hAnsi="宋体" w:cs="宋体"/>
          <w:color w:val="auto"/>
          <w:szCs w:val="21"/>
        </w:rPr>
      </w:pPr>
    </w:p>
    <w:p w14:paraId="40B00F61">
      <w:pPr>
        <w:pStyle w:val="11"/>
        <w:rPr>
          <w:rFonts w:ascii="宋体" w:hAnsi="宋体" w:cs="宋体"/>
          <w:color w:val="auto"/>
        </w:rPr>
      </w:pPr>
    </w:p>
    <w:p w14:paraId="6FB2A0D7">
      <w:pPr>
        <w:pStyle w:val="17"/>
        <w:jc w:val="center"/>
        <w:rPr>
          <w:rFonts w:hAnsi="宋体" w:cs="宋体"/>
          <w:b/>
          <w:color w:val="auto"/>
          <w:sz w:val="32"/>
        </w:rPr>
      </w:pPr>
      <w:bookmarkStart w:id="168" w:name="_Toc6975_WPSOffice_Level1"/>
      <w:bookmarkStart w:id="169" w:name="_Toc21370_WPSOffice_Level1"/>
    </w:p>
    <w:p w14:paraId="47466977">
      <w:pPr>
        <w:pStyle w:val="17"/>
        <w:jc w:val="center"/>
        <w:rPr>
          <w:rFonts w:hAnsi="宋体" w:cs="宋体"/>
          <w:b/>
          <w:color w:val="auto"/>
          <w:sz w:val="32"/>
        </w:rPr>
      </w:pPr>
    </w:p>
    <w:p w14:paraId="1F0C538D">
      <w:pPr>
        <w:pStyle w:val="17"/>
        <w:jc w:val="center"/>
        <w:rPr>
          <w:rFonts w:hAnsi="宋体" w:cs="宋体"/>
          <w:b/>
          <w:color w:val="auto"/>
          <w:sz w:val="32"/>
        </w:rPr>
      </w:pPr>
    </w:p>
    <w:p w14:paraId="2C5D8EEF">
      <w:pPr>
        <w:pStyle w:val="17"/>
        <w:jc w:val="center"/>
        <w:rPr>
          <w:rFonts w:hAnsi="宋体" w:cs="宋体"/>
          <w:b/>
          <w:color w:val="auto"/>
          <w:sz w:val="32"/>
        </w:rPr>
      </w:pPr>
    </w:p>
    <w:p w14:paraId="7E3C3809">
      <w:pPr>
        <w:pStyle w:val="17"/>
        <w:jc w:val="center"/>
        <w:rPr>
          <w:rFonts w:hAnsi="宋体" w:cs="宋体"/>
          <w:b/>
          <w:color w:val="auto"/>
          <w:sz w:val="32"/>
        </w:rPr>
      </w:pPr>
    </w:p>
    <w:p w14:paraId="7E7FDEE8">
      <w:pPr>
        <w:pStyle w:val="17"/>
        <w:rPr>
          <w:rFonts w:hAnsi="宋体" w:cs="宋体"/>
          <w:b/>
          <w:color w:val="auto"/>
          <w:sz w:val="32"/>
        </w:rPr>
      </w:pPr>
    </w:p>
    <w:p w14:paraId="3E10026B">
      <w:pPr>
        <w:pStyle w:val="17"/>
        <w:jc w:val="center"/>
        <w:rPr>
          <w:rFonts w:hAnsi="宋体" w:cs="宋体"/>
          <w:b/>
          <w:color w:val="auto"/>
          <w:sz w:val="32"/>
        </w:rPr>
      </w:pPr>
      <w:r>
        <w:rPr>
          <w:rFonts w:hint="eastAsia" w:hAnsi="宋体" w:cs="宋体"/>
          <w:b/>
          <w:color w:val="auto"/>
          <w:sz w:val="32"/>
        </w:rPr>
        <w:t>授权委托书（格式二）</w:t>
      </w:r>
      <w:bookmarkEnd w:id="168"/>
      <w:bookmarkEnd w:id="169"/>
    </w:p>
    <w:p w14:paraId="7E33D266">
      <w:pPr>
        <w:pStyle w:val="17"/>
        <w:rPr>
          <w:rFonts w:hAnsi="宋体" w:cs="宋体"/>
          <w:b/>
          <w:color w:val="auto"/>
          <w:sz w:val="32"/>
        </w:rPr>
      </w:pPr>
    </w:p>
    <w:p w14:paraId="2C881066">
      <w:pPr>
        <w:snapToGrid w:val="0"/>
        <w:spacing w:line="400" w:lineRule="exact"/>
        <w:outlineLvl w:val="4"/>
        <w:rPr>
          <w:rFonts w:ascii="宋体" w:hAnsi="宋体" w:cs="宋体"/>
          <w:color w:val="auto"/>
        </w:rPr>
      </w:pPr>
      <w:r>
        <w:rPr>
          <w:rFonts w:hint="eastAsia" w:ascii="宋体" w:hAnsi="宋体" w:cs="宋体"/>
          <w:b/>
          <w:color w:val="auto"/>
          <w:szCs w:val="21"/>
        </w:rPr>
        <w:t>致</w:t>
      </w:r>
      <w:r>
        <w:rPr>
          <w:rFonts w:hint="eastAsia" w:ascii="宋体" w:hAnsi="宋体" w:cs="宋体"/>
          <w:color w:val="auto"/>
          <w:szCs w:val="21"/>
        </w:rPr>
        <w:t>：</w:t>
      </w:r>
      <w:r>
        <w:rPr>
          <w:rFonts w:hint="eastAsia" w:ascii="宋体" w:hAnsi="宋体" w:cs="宋体"/>
          <w:color w:val="auto"/>
          <w:szCs w:val="21"/>
          <w:u w:val="single"/>
        </w:rPr>
        <w:t>欧邦工程管理集团有限公司</w:t>
      </w:r>
    </w:p>
    <w:p w14:paraId="6B3753D9">
      <w:pPr>
        <w:snapToGrid w:val="0"/>
        <w:spacing w:line="400" w:lineRule="exact"/>
        <w:outlineLvl w:val="4"/>
        <w:rPr>
          <w:rFonts w:ascii="宋体" w:hAnsi="宋体" w:cs="宋体"/>
          <w:color w:val="auto"/>
          <w:szCs w:val="21"/>
          <w:u w:val="single"/>
        </w:rPr>
      </w:pPr>
    </w:p>
    <w:p w14:paraId="7693C0ED">
      <w:pPr>
        <w:pStyle w:val="17"/>
        <w:spacing w:line="340" w:lineRule="exact"/>
        <w:ind w:firstLine="420" w:firstLineChars="200"/>
        <w:rPr>
          <w:rFonts w:hAnsi="宋体" w:cs="宋体"/>
          <w:color w:val="auto"/>
        </w:rPr>
      </w:pPr>
      <w:r>
        <w:rPr>
          <w:rFonts w:hint="eastAsia" w:hAnsi="宋体" w:cs="宋体"/>
          <w:color w:val="auto"/>
          <w:kern w:val="0"/>
        </w:rPr>
        <w:t>我（姓名）系自然人，现授权委托（姓 名）以本人名义参加</w:t>
      </w:r>
      <w:r>
        <w:rPr>
          <w:rFonts w:hint="eastAsia" w:hAnsi="宋体" w:cs="宋体"/>
          <w:color w:val="auto"/>
          <w:u w:val="single"/>
        </w:rPr>
        <w:t xml:space="preserve">（项目名称及项目编号）        </w:t>
      </w:r>
      <w:r>
        <w:rPr>
          <w:rFonts w:hint="eastAsia" w:hAnsi="宋体" w:cs="宋体"/>
          <w:color w:val="auto"/>
        </w:rPr>
        <w:t>项目的磋商活动，并代表本人全权办理针对上述项目的磋商、签约等具体事务和签署相关文件。</w:t>
      </w:r>
    </w:p>
    <w:p w14:paraId="6E69FF21">
      <w:pPr>
        <w:pStyle w:val="17"/>
        <w:spacing w:line="340" w:lineRule="exact"/>
        <w:ind w:firstLine="420" w:firstLineChars="200"/>
        <w:rPr>
          <w:rFonts w:hAnsi="宋体" w:cs="宋体"/>
          <w:color w:val="auto"/>
        </w:rPr>
      </w:pPr>
      <w:r>
        <w:rPr>
          <w:rFonts w:hint="eastAsia" w:hAnsi="宋体" w:cs="宋体"/>
          <w:color w:val="auto"/>
        </w:rPr>
        <w:t>本人对被授权人的签字事项负全部责任。</w:t>
      </w:r>
    </w:p>
    <w:p w14:paraId="64CAA72D">
      <w:pPr>
        <w:pStyle w:val="17"/>
        <w:spacing w:line="340" w:lineRule="exact"/>
        <w:ind w:firstLine="420" w:firstLineChars="200"/>
        <w:rPr>
          <w:rFonts w:hAnsi="宋体" w:cs="宋体"/>
          <w:color w:val="auto"/>
          <w:u w:val="single"/>
        </w:rPr>
      </w:pPr>
      <w:r>
        <w:rPr>
          <w:rFonts w:hint="eastAsia" w:hAnsi="宋体" w:cs="宋体"/>
          <w:color w:val="auto"/>
        </w:rPr>
        <w:t>授权委托代理期限：从年月  日起至年月 日止。</w:t>
      </w:r>
    </w:p>
    <w:p w14:paraId="30A9F82A">
      <w:pPr>
        <w:pStyle w:val="17"/>
        <w:spacing w:line="340" w:lineRule="exact"/>
        <w:rPr>
          <w:rFonts w:hAnsi="宋体" w:cs="宋体"/>
          <w:color w:val="auto"/>
          <w:u w:val="single"/>
        </w:rPr>
      </w:pPr>
    </w:p>
    <w:p w14:paraId="0F24BE1C">
      <w:pPr>
        <w:spacing w:line="340" w:lineRule="exact"/>
        <w:ind w:firstLine="420" w:firstLineChars="200"/>
        <w:rPr>
          <w:rFonts w:ascii="宋体" w:hAnsi="宋体" w:cs="宋体"/>
          <w:color w:val="auto"/>
          <w:kern w:val="0"/>
        </w:rPr>
      </w:pPr>
      <w:r>
        <w:rPr>
          <w:rFonts w:hint="eastAsia" w:ascii="宋体" w:hAnsi="宋体" w:cs="宋体"/>
          <w:color w:val="auto"/>
          <w:kern w:val="0"/>
        </w:rPr>
        <w:t xml:space="preserve">代理人无转委托权,特此委托。 </w:t>
      </w:r>
    </w:p>
    <w:p w14:paraId="17E84FEF">
      <w:pPr>
        <w:snapToGrid w:val="0"/>
        <w:spacing w:line="340" w:lineRule="exact"/>
        <w:ind w:firstLine="525"/>
        <w:outlineLvl w:val="4"/>
        <w:rPr>
          <w:rFonts w:ascii="宋体" w:hAnsi="宋体" w:cs="宋体"/>
          <w:color w:val="auto"/>
          <w:szCs w:val="21"/>
        </w:rPr>
      </w:pPr>
    </w:p>
    <w:p w14:paraId="38A592FB">
      <w:pPr>
        <w:spacing w:line="340" w:lineRule="exact"/>
        <w:ind w:firstLine="420" w:firstLineChars="200"/>
        <w:rPr>
          <w:rFonts w:ascii="宋体" w:hAnsi="宋体" w:cs="宋体"/>
          <w:color w:val="auto"/>
          <w:szCs w:val="21"/>
        </w:rPr>
      </w:pPr>
      <w:r>
        <w:rPr>
          <w:rFonts w:hint="eastAsia" w:ascii="宋体" w:hAnsi="宋体" w:cs="宋体"/>
          <w:color w:val="auto"/>
          <w:szCs w:val="21"/>
        </w:rPr>
        <w:t>我已在下面签字，以资证明。</w:t>
      </w:r>
    </w:p>
    <w:p w14:paraId="73403870">
      <w:pPr>
        <w:spacing w:line="340" w:lineRule="exact"/>
        <w:ind w:firstLine="420" w:firstLineChars="200"/>
        <w:rPr>
          <w:rFonts w:ascii="宋体" w:hAnsi="宋体" w:cs="宋体"/>
          <w:color w:val="auto"/>
          <w:szCs w:val="21"/>
        </w:rPr>
      </w:pPr>
    </w:p>
    <w:p w14:paraId="5C129422">
      <w:pPr>
        <w:snapToGrid w:val="0"/>
        <w:spacing w:line="340" w:lineRule="exact"/>
        <w:ind w:firstLine="420"/>
        <w:rPr>
          <w:rFonts w:ascii="宋体" w:hAnsi="宋体" w:cs="宋体"/>
          <w:color w:val="auto"/>
          <w:szCs w:val="21"/>
        </w:rPr>
      </w:pPr>
      <w:r>
        <w:rPr>
          <w:rFonts w:hint="eastAsia" w:ascii="宋体" w:hAnsi="宋体" w:cs="宋体"/>
          <w:color w:val="auto"/>
          <w:szCs w:val="21"/>
        </w:rPr>
        <w:t>自然人签字并在签名处加盖大拇指指印或个人CA证书签章：年月日</w:t>
      </w:r>
    </w:p>
    <w:p w14:paraId="6FD30B3B">
      <w:pPr>
        <w:pStyle w:val="17"/>
        <w:spacing w:line="400" w:lineRule="exact"/>
        <w:ind w:left="420" w:leftChars="200"/>
        <w:rPr>
          <w:rFonts w:hAnsi="宋体" w:cs="宋体"/>
          <w:color w:val="auto"/>
          <w:szCs w:val="21"/>
        </w:rPr>
      </w:pPr>
    </w:p>
    <w:p w14:paraId="0AB5A325">
      <w:pPr>
        <w:pStyle w:val="17"/>
        <w:spacing w:line="400" w:lineRule="exact"/>
        <w:rPr>
          <w:rFonts w:hAnsi="宋体" w:cs="宋体"/>
          <w:b/>
          <w:color w:val="auto"/>
          <w:szCs w:val="21"/>
        </w:rPr>
        <w:sectPr>
          <w:pgSz w:w="11906" w:h="16838"/>
          <w:pgMar w:top="1500" w:right="1134" w:bottom="1258" w:left="1134" w:header="720" w:footer="720" w:gutter="0"/>
          <w:cols w:space="720" w:num="1"/>
          <w:titlePg/>
          <w:docGrid w:type="linesAndChars" w:linePitch="331" w:charSpace="0"/>
        </w:sectPr>
      </w:pPr>
      <w:r>
        <w:rPr>
          <w:rFonts w:hint="eastAsia" w:hAnsi="宋体" w:cs="宋体"/>
          <w:b/>
          <w:color w:val="auto"/>
          <w:szCs w:val="21"/>
        </w:rPr>
        <w:t>附：委托代理人身份证正反面复印件</w:t>
      </w:r>
    </w:p>
    <w:p w14:paraId="3EB59E69">
      <w:pPr>
        <w:spacing w:line="440" w:lineRule="atLeast"/>
        <w:rPr>
          <w:rFonts w:ascii="宋体" w:hAnsi="宋体" w:cs="宋体"/>
          <w:b/>
          <w:color w:val="auto"/>
          <w:sz w:val="28"/>
          <w:szCs w:val="28"/>
        </w:rPr>
      </w:pPr>
      <w:r>
        <w:rPr>
          <w:rFonts w:hint="eastAsia" w:ascii="宋体" w:hAnsi="宋体" w:cs="宋体"/>
          <w:b/>
          <w:color w:val="auto"/>
          <w:sz w:val="28"/>
          <w:szCs w:val="28"/>
        </w:rPr>
        <w:t>3.供应商参加政府采购活动前3年内在经营活动中没有重大违法记录及有关信用信息的书面声明（必须提供）；</w:t>
      </w:r>
    </w:p>
    <w:p w14:paraId="5FE9E8A7">
      <w:pPr>
        <w:pStyle w:val="17"/>
        <w:spacing w:line="400" w:lineRule="exact"/>
        <w:ind w:left="420" w:leftChars="200" w:firstLine="156" w:firstLineChars="49"/>
        <w:rPr>
          <w:rFonts w:hAnsi="宋体" w:cs="宋体"/>
          <w:b/>
          <w:color w:val="auto"/>
          <w:sz w:val="32"/>
          <w:szCs w:val="32"/>
        </w:rPr>
      </w:pPr>
    </w:p>
    <w:p w14:paraId="3507810D">
      <w:pPr>
        <w:pStyle w:val="17"/>
        <w:spacing w:line="400" w:lineRule="exact"/>
        <w:rPr>
          <w:rFonts w:hAnsi="宋体" w:cs="宋体"/>
          <w:b/>
          <w:color w:val="auto"/>
          <w:sz w:val="32"/>
          <w:szCs w:val="32"/>
        </w:rPr>
      </w:pPr>
      <w:r>
        <w:rPr>
          <w:rFonts w:hint="eastAsia" w:hAnsi="宋体" w:cs="宋体"/>
          <w:b/>
          <w:color w:val="auto"/>
          <w:sz w:val="32"/>
          <w:szCs w:val="32"/>
        </w:rPr>
        <w:t>附件：</w:t>
      </w:r>
    </w:p>
    <w:p w14:paraId="54F037A2">
      <w:pPr>
        <w:pStyle w:val="17"/>
        <w:spacing w:line="400" w:lineRule="exact"/>
        <w:jc w:val="center"/>
        <w:rPr>
          <w:rFonts w:hAnsi="宋体" w:cs="宋体"/>
          <w:b/>
          <w:color w:val="auto"/>
          <w:sz w:val="32"/>
          <w:szCs w:val="32"/>
        </w:rPr>
      </w:pPr>
      <w:bookmarkStart w:id="170" w:name="_Toc30304_WPSOffice_Level1"/>
      <w:bookmarkStart w:id="171" w:name="_Toc30890_WPSOffice_Level1"/>
      <w:r>
        <w:rPr>
          <w:rFonts w:hint="eastAsia" w:hAnsi="宋体" w:cs="宋体"/>
          <w:b/>
          <w:color w:val="auto"/>
          <w:sz w:val="32"/>
          <w:szCs w:val="32"/>
        </w:rPr>
        <w:t>声   明</w:t>
      </w:r>
      <w:bookmarkEnd w:id="170"/>
      <w:bookmarkEnd w:id="171"/>
    </w:p>
    <w:p w14:paraId="5A37C374">
      <w:pPr>
        <w:pStyle w:val="17"/>
        <w:spacing w:line="400" w:lineRule="exact"/>
        <w:rPr>
          <w:rFonts w:hAnsi="宋体" w:cs="宋体"/>
          <w:b/>
          <w:color w:val="auto"/>
          <w:sz w:val="32"/>
          <w:szCs w:val="32"/>
        </w:rPr>
      </w:pPr>
    </w:p>
    <w:p w14:paraId="1FF26C5A">
      <w:pPr>
        <w:snapToGrid w:val="0"/>
        <w:spacing w:line="400" w:lineRule="exact"/>
        <w:outlineLvl w:val="4"/>
        <w:rPr>
          <w:rFonts w:ascii="宋体" w:hAnsi="宋体" w:cs="宋体"/>
          <w:color w:val="auto"/>
        </w:rPr>
      </w:pPr>
      <w:r>
        <w:rPr>
          <w:rFonts w:hint="eastAsia" w:ascii="宋体" w:hAnsi="宋体" w:cs="宋体"/>
          <w:b/>
          <w:color w:val="auto"/>
          <w:szCs w:val="21"/>
        </w:rPr>
        <w:t>致</w:t>
      </w:r>
      <w:r>
        <w:rPr>
          <w:rFonts w:hint="eastAsia" w:ascii="宋体" w:hAnsi="宋体" w:cs="宋体"/>
          <w:color w:val="auto"/>
          <w:szCs w:val="21"/>
        </w:rPr>
        <w:t>：</w:t>
      </w:r>
      <w:r>
        <w:rPr>
          <w:rFonts w:hint="eastAsia" w:ascii="宋体" w:hAnsi="宋体" w:cs="宋体"/>
          <w:color w:val="auto"/>
          <w:szCs w:val="21"/>
          <w:u w:val="single"/>
        </w:rPr>
        <w:t>欧邦工程管理集团有限公司</w:t>
      </w:r>
    </w:p>
    <w:p w14:paraId="4C924628">
      <w:pPr>
        <w:snapToGrid w:val="0"/>
        <w:spacing w:line="400" w:lineRule="exact"/>
        <w:outlineLvl w:val="4"/>
        <w:rPr>
          <w:rFonts w:ascii="宋体" w:hAnsi="宋体" w:cs="宋体"/>
          <w:color w:val="auto"/>
          <w:szCs w:val="21"/>
          <w:u w:val="single"/>
        </w:rPr>
      </w:pPr>
    </w:p>
    <w:p w14:paraId="504A97FD">
      <w:pPr>
        <w:pStyle w:val="17"/>
        <w:spacing w:line="400" w:lineRule="exact"/>
        <w:ind w:firstLine="420" w:firstLineChars="200"/>
        <w:rPr>
          <w:rFonts w:hAnsi="宋体" w:cs="宋体"/>
          <w:color w:val="auto"/>
        </w:rPr>
      </w:pPr>
      <w:r>
        <w:rPr>
          <w:rFonts w:hint="eastAsia" w:hAnsi="宋体" w:cs="宋体"/>
          <w:color w:val="auto"/>
        </w:rPr>
        <w:t>我（公司）郑重声明，在参加政府采购活动前3年内在经营活动中没有重大违法记录（重大违法记录是指供应商因违法经营受到刑事处罚或者责令停产停业、吊销许可证或者执照、较大数额罚款等行政处罚）。</w:t>
      </w:r>
    </w:p>
    <w:p w14:paraId="31E58743">
      <w:pPr>
        <w:pStyle w:val="17"/>
        <w:spacing w:line="400" w:lineRule="exact"/>
        <w:ind w:firstLine="420" w:firstLineChars="200"/>
        <w:rPr>
          <w:rFonts w:hAnsi="宋体" w:cs="宋体"/>
          <w:color w:val="auto"/>
        </w:rPr>
      </w:pPr>
    </w:p>
    <w:p w14:paraId="72670321">
      <w:pPr>
        <w:rPr>
          <w:color w:val="auto"/>
        </w:rPr>
      </w:pPr>
    </w:p>
    <w:p w14:paraId="343F59BD">
      <w:pPr>
        <w:rPr>
          <w:rFonts w:ascii="宋体" w:hAnsi="宋体" w:cs="宋体"/>
          <w:color w:val="auto"/>
        </w:rPr>
      </w:pPr>
    </w:p>
    <w:p w14:paraId="6C68E9D2">
      <w:pPr>
        <w:snapToGrid w:val="0"/>
        <w:spacing w:line="400" w:lineRule="exact"/>
        <w:ind w:firstLine="1890" w:firstLineChars="900"/>
        <w:rPr>
          <w:rFonts w:ascii="宋体" w:hAnsi="宋体" w:cs="宋体"/>
          <w:color w:val="auto"/>
        </w:rPr>
      </w:pPr>
      <w:r>
        <w:rPr>
          <w:rFonts w:hint="eastAsia" w:ascii="宋体" w:hAnsi="宋体" w:cs="宋体"/>
          <w:color w:val="auto"/>
          <w:szCs w:val="21"/>
        </w:rPr>
        <w:t>磋商供应商[(CA证书签章)，自然人签字或个人CA证书签章]：</w:t>
      </w:r>
    </w:p>
    <w:p w14:paraId="0202774C">
      <w:pPr>
        <w:pStyle w:val="17"/>
        <w:ind w:firstLine="3990" w:firstLineChars="1900"/>
        <w:rPr>
          <w:rFonts w:hAnsi="宋体" w:cs="宋体"/>
          <w:color w:val="auto"/>
          <w:u w:val="single"/>
        </w:rPr>
      </w:pPr>
      <w:r>
        <w:rPr>
          <w:rFonts w:hint="eastAsia" w:hAnsi="宋体" w:cs="宋体"/>
          <w:color w:val="auto"/>
        </w:rPr>
        <w:t>日          期：</w:t>
      </w:r>
    </w:p>
    <w:p w14:paraId="7D780B28">
      <w:pPr>
        <w:pStyle w:val="17"/>
        <w:rPr>
          <w:rFonts w:hAnsi="宋体" w:cs="宋体"/>
          <w:b/>
          <w:color w:val="auto"/>
          <w:sz w:val="28"/>
          <w:szCs w:val="28"/>
        </w:rPr>
      </w:pPr>
    </w:p>
    <w:p w14:paraId="396CA019">
      <w:pPr>
        <w:pStyle w:val="17"/>
        <w:rPr>
          <w:rFonts w:hAnsi="宋体" w:cs="宋体"/>
          <w:b/>
          <w:color w:val="auto"/>
          <w:sz w:val="28"/>
          <w:szCs w:val="28"/>
        </w:rPr>
      </w:pPr>
    </w:p>
    <w:p w14:paraId="499A1407">
      <w:pPr>
        <w:pStyle w:val="17"/>
        <w:rPr>
          <w:rFonts w:hAnsi="宋体" w:cs="宋体"/>
          <w:b/>
          <w:color w:val="auto"/>
          <w:sz w:val="28"/>
          <w:szCs w:val="28"/>
        </w:rPr>
      </w:pPr>
    </w:p>
    <w:p w14:paraId="70ED49AA">
      <w:pPr>
        <w:pStyle w:val="17"/>
        <w:rPr>
          <w:rFonts w:hAnsi="宋体" w:cs="宋体"/>
          <w:b/>
          <w:color w:val="auto"/>
          <w:sz w:val="28"/>
          <w:szCs w:val="28"/>
        </w:rPr>
      </w:pPr>
    </w:p>
    <w:p w14:paraId="712CF581">
      <w:pPr>
        <w:pStyle w:val="17"/>
        <w:rPr>
          <w:rFonts w:hAnsi="宋体" w:cs="宋体"/>
          <w:b/>
          <w:color w:val="auto"/>
          <w:sz w:val="28"/>
          <w:szCs w:val="28"/>
        </w:rPr>
      </w:pPr>
      <w:r>
        <w:rPr>
          <w:rFonts w:hint="eastAsia" w:hAnsi="宋体" w:cs="宋体"/>
          <w:b/>
          <w:color w:val="auto"/>
          <w:sz w:val="28"/>
          <w:szCs w:val="28"/>
        </w:rPr>
        <w:t>4.供应商的法人或者其他组织营业执照等证明文件复印件（必须提供，自然人除外）；</w:t>
      </w:r>
    </w:p>
    <w:p w14:paraId="62CDCCBC">
      <w:pPr>
        <w:tabs>
          <w:tab w:val="left" w:pos="1305"/>
        </w:tabs>
        <w:spacing w:line="340" w:lineRule="exact"/>
        <w:rPr>
          <w:rFonts w:ascii="宋体" w:hAnsi="宋体" w:cs="宋体"/>
          <w:b/>
          <w:color w:val="auto"/>
          <w:szCs w:val="21"/>
        </w:rPr>
      </w:pPr>
    </w:p>
    <w:p w14:paraId="0C529A2B">
      <w:pPr>
        <w:tabs>
          <w:tab w:val="left" w:pos="1305"/>
        </w:tabs>
        <w:spacing w:line="400" w:lineRule="exact"/>
        <w:rPr>
          <w:rFonts w:ascii="宋体" w:hAnsi="宋体" w:cs="宋体"/>
          <w:b/>
          <w:color w:val="auto"/>
          <w:szCs w:val="21"/>
        </w:rPr>
      </w:pPr>
      <w:r>
        <w:rPr>
          <w:rFonts w:hint="eastAsia" w:ascii="宋体" w:hAnsi="宋体" w:cs="宋体"/>
          <w:b/>
          <w:color w:val="auto"/>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5D798FCC">
      <w:pPr>
        <w:rPr>
          <w:rFonts w:ascii="宋体" w:hAnsi="宋体" w:cs="宋体"/>
          <w:b/>
          <w:bCs/>
          <w:color w:val="auto"/>
          <w:sz w:val="28"/>
          <w:szCs w:val="28"/>
        </w:rPr>
      </w:pPr>
    </w:p>
    <w:p w14:paraId="668AB513">
      <w:pPr>
        <w:rPr>
          <w:rFonts w:ascii="宋体" w:hAnsi="宋体" w:cs="宋体"/>
          <w:b/>
          <w:bCs/>
          <w:color w:val="auto"/>
          <w:sz w:val="28"/>
          <w:szCs w:val="28"/>
        </w:rPr>
      </w:pPr>
    </w:p>
    <w:p w14:paraId="3BDEEB91">
      <w:pPr>
        <w:tabs>
          <w:tab w:val="left" w:pos="1305"/>
        </w:tabs>
        <w:spacing w:line="380" w:lineRule="exact"/>
        <w:rPr>
          <w:rFonts w:ascii="宋体" w:hAnsi="宋体" w:cs="宋体"/>
          <w:b/>
          <w:color w:val="auto"/>
          <w:sz w:val="32"/>
          <w:szCs w:val="32"/>
        </w:rPr>
      </w:pPr>
    </w:p>
    <w:p w14:paraId="1F5D20D8">
      <w:pPr>
        <w:rPr>
          <w:rFonts w:hAnsi="宋体" w:cs="宋体"/>
          <w:b/>
          <w:color w:val="auto"/>
          <w:sz w:val="28"/>
          <w:szCs w:val="28"/>
        </w:rPr>
      </w:pPr>
      <w:r>
        <w:rPr>
          <w:rFonts w:hint="eastAsia" w:hAnsi="宋体" w:cs="宋体"/>
          <w:b/>
          <w:color w:val="auto"/>
          <w:sz w:val="28"/>
          <w:szCs w:val="28"/>
        </w:rPr>
        <w:br w:type="page"/>
      </w:r>
    </w:p>
    <w:p w14:paraId="3AFB731B">
      <w:pPr>
        <w:pStyle w:val="17"/>
        <w:rPr>
          <w:rFonts w:hAnsi="宋体" w:cs="宋体"/>
          <w:b/>
          <w:color w:val="auto"/>
          <w:sz w:val="28"/>
          <w:szCs w:val="28"/>
        </w:rPr>
      </w:pPr>
      <w:r>
        <w:rPr>
          <w:rFonts w:hint="eastAsia" w:hAnsi="宋体" w:cs="宋体"/>
          <w:b/>
          <w:color w:val="auto"/>
          <w:sz w:val="28"/>
          <w:szCs w:val="28"/>
        </w:rPr>
        <w:t>5.供应商为中小企业的相关有效证明材料（必须提供）；</w:t>
      </w:r>
    </w:p>
    <w:p w14:paraId="21D54DBF">
      <w:pPr>
        <w:tabs>
          <w:tab w:val="left" w:pos="1305"/>
        </w:tabs>
        <w:spacing w:line="400" w:lineRule="exact"/>
        <w:rPr>
          <w:rFonts w:ascii="宋体" w:hAnsi="宋体" w:cs="宋体"/>
          <w:b/>
          <w:color w:val="auto"/>
          <w:szCs w:val="21"/>
        </w:rPr>
      </w:pPr>
      <w:r>
        <w:rPr>
          <w:rFonts w:hint="eastAsia" w:ascii="宋体" w:hAnsi="宋体" w:cs="宋体"/>
          <w:b/>
          <w:color w:val="auto"/>
          <w:szCs w:val="21"/>
        </w:rPr>
        <w:t>注：本项目专门面向中小企业采购, 供应商须满足《政府采购促进中小企业发展管理办法》(财库〔2020〕46号)第二条规定，监狱企业、残疾人福利单位视同小型、微型企业。供应商根据自身情况，相应提供以下证明材料：①供应商如为符合政策要求的中小企业且承接本项目全部服务的，提供《中小企业声明函》。②供应商如属于监狱企业且承接本项目全部服务的，提供由省级以上监狱管理局、戒毒管理局(含新疆生产建设兵团)出具的属于监狱企业的证明文件。③供应商如属于符合条件的残疾人福利性单位且承接本项目全部服务的，提供《残疾人福利性单位声明函》（并对声明的真实性负责）。</w:t>
      </w:r>
    </w:p>
    <w:p w14:paraId="2DBACFE7">
      <w:pPr>
        <w:tabs>
          <w:tab w:val="left" w:pos="1305"/>
        </w:tabs>
        <w:spacing w:line="400" w:lineRule="exact"/>
        <w:rPr>
          <w:rFonts w:ascii="宋体" w:hAnsi="宋体" w:cs="宋体"/>
          <w:b/>
          <w:color w:val="auto"/>
          <w:szCs w:val="21"/>
        </w:rPr>
      </w:pPr>
    </w:p>
    <w:p w14:paraId="6D463476">
      <w:pPr>
        <w:rPr>
          <w:color w:val="auto"/>
        </w:rPr>
      </w:pPr>
    </w:p>
    <w:p w14:paraId="2B2EEC16">
      <w:pPr>
        <w:spacing w:before="146" w:line="500" w:lineRule="exact"/>
        <w:ind w:right="142" w:firstLine="602"/>
        <w:jc w:val="center"/>
        <w:outlineLvl w:val="0"/>
        <w:rPr>
          <w:rFonts w:ascii="宋体" w:hAnsi="宋体"/>
          <w:color w:val="auto"/>
          <w:kern w:val="0"/>
          <w:sz w:val="30"/>
          <w:szCs w:val="30"/>
        </w:rPr>
      </w:pPr>
      <w:r>
        <w:rPr>
          <w:rFonts w:ascii="宋体" w:hAnsi="宋体"/>
          <w:b/>
          <w:bCs/>
          <w:color w:val="auto"/>
          <w:kern w:val="0"/>
          <w:sz w:val="30"/>
          <w:szCs w:val="30"/>
        </w:rPr>
        <w:t>中小企业声明函（</w:t>
      </w:r>
      <w:r>
        <w:rPr>
          <w:rFonts w:hint="eastAsia" w:ascii="宋体" w:hAnsi="宋体" w:cs="宋体"/>
          <w:b/>
          <w:bCs/>
          <w:color w:val="auto"/>
          <w:kern w:val="0"/>
          <w:sz w:val="30"/>
          <w:szCs w:val="30"/>
        </w:rPr>
        <w:t>格式</w:t>
      </w:r>
      <w:r>
        <w:rPr>
          <w:rFonts w:ascii="宋体" w:hAnsi="宋体"/>
          <w:b/>
          <w:bCs/>
          <w:color w:val="auto"/>
          <w:kern w:val="0"/>
          <w:sz w:val="30"/>
          <w:szCs w:val="30"/>
        </w:rPr>
        <w:t>）</w:t>
      </w:r>
    </w:p>
    <w:p w14:paraId="5E8AA74E">
      <w:pPr>
        <w:spacing w:line="400" w:lineRule="exact"/>
        <w:ind w:firstLine="380"/>
        <w:jc w:val="left"/>
        <w:rPr>
          <w:rFonts w:ascii="宋体" w:hAnsi="宋体"/>
          <w:color w:val="auto"/>
          <w:spacing w:val="-10"/>
          <w:kern w:val="0"/>
          <w:szCs w:val="21"/>
        </w:rPr>
      </w:pPr>
      <w:r>
        <w:rPr>
          <w:rFonts w:ascii="宋体" w:hAnsi="宋体"/>
          <w:color w:val="auto"/>
          <w:spacing w:val="-10"/>
          <w:kern w:val="0"/>
          <w:szCs w:val="21"/>
        </w:rPr>
        <w:t>本公司郑重声明，根据《政府采购促进中小企业发展管理办法》（财库﹝2020﹞46号）的规定，本公司参加</w:t>
      </w:r>
      <w:r>
        <w:rPr>
          <w:rFonts w:ascii="宋体" w:hAnsi="宋体"/>
          <w:color w:val="auto"/>
          <w:spacing w:val="-10"/>
          <w:kern w:val="0"/>
          <w:szCs w:val="21"/>
          <w:u w:val="single"/>
        </w:rPr>
        <w:t>（单位名称）</w:t>
      </w:r>
      <w:r>
        <w:rPr>
          <w:rFonts w:ascii="宋体" w:hAnsi="宋体"/>
          <w:color w:val="auto"/>
          <w:spacing w:val="-10"/>
          <w:kern w:val="0"/>
          <w:szCs w:val="21"/>
        </w:rPr>
        <w:t>的</w:t>
      </w:r>
      <w:r>
        <w:rPr>
          <w:rFonts w:ascii="宋体" w:hAnsi="宋体"/>
          <w:color w:val="auto"/>
          <w:spacing w:val="-10"/>
          <w:kern w:val="0"/>
          <w:szCs w:val="21"/>
          <w:u w:val="single"/>
        </w:rPr>
        <w:t>（项目名称）</w:t>
      </w:r>
      <w:r>
        <w:rPr>
          <w:rFonts w:ascii="宋体" w:hAnsi="宋体"/>
          <w:color w:val="auto"/>
          <w:spacing w:val="-10"/>
          <w:kern w:val="0"/>
          <w:szCs w:val="21"/>
        </w:rPr>
        <w:t>采购活动，</w:t>
      </w:r>
      <w:r>
        <w:rPr>
          <w:rFonts w:hint="eastAsia" w:ascii="宋体" w:hAnsi="宋体"/>
          <w:color w:val="auto"/>
          <w:spacing w:val="-10"/>
          <w:kern w:val="0"/>
          <w:szCs w:val="21"/>
        </w:rPr>
        <w:t>服务全部由符合政策要求的中小企业承接。相关企业（含联合体中的中小企业、签订分包意向协议的中小企业）的具体情况如下：</w:t>
      </w:r>
    </w:p>
    <w:p w14:paraId="494BB7C7">
      <w:pPr>
        <w:tabs>
          <w:tab w:val="left" w:pos="1384"/>
          <w:tab w:val="left" w:pos="4562"/>
          <w:tab w:val="left" w:pos="6803"/>
        </w:tabs>
        <w:spacing w:line="400" w:lineRule="exact"/>
        <w:ind w:firstLine="380"/>
        <w:jc w:val="left"/>
        <w:rPr>
          <w:rFonts w:ascii="宋体" w:hAnsi="宋体"/>
          <w:color w:val="auto"/>
          <w:spacing w:val="-10"/>
          <w:kern w:val="0"/>
          <w:szCs w:val="21"/>
        </w:rPr>
      </w:pPr>
      <w:r>
        <w:rPr>
          <w:rFonts w:ascii="宋体" w:hAnsi="宋体"/>
          <w:color w:val="auto"/>
          <w:spacing w:val="-10"/>
          <w:kern w:val="0"/>
          <w:szCs w:val="21"/>
        </w:rPr>
        <w:t>1.</w:t>
      </w:r>
      <w:r>
        <w:rPr>
          <w:rFonts w:ascii="宋体" w:hAnsi="宋体"/>
          <w:color w:val="auto"/>
          <w:spacing w:val="-10"/>
          <w:kern w:val="0"/>
          <w:szCs w:val="21"/>
          <w:u w:val="single"/>
        </w:rPr>
        <w:t>（标的名称）</w:t>
      </w:r>
      <w:r>
        <w:rPr>
          <w:rFonts w:ascii="宋体" w:hAnsi="宋体"/>
          <w:color w:val="auto"/>
          <w:spacing w:val="-10"/>
          <w:kern w:val="0"/>
          <w:szCs w:val="21"/>
        </w:rPr>
        <w:t>，属于</w:t>
      </w:r>
      <w:r>
        <w:rPr>
          <w:rFonts w:ascii="宋体" w:hAnsi="宋体"/>
          <w:color w:val="auto"/>
          <w:spacing w:val="-10"/>
          <w:kern w:val="0"/>
          <w:szCs w:val="21"/>
          <w:u w:val="single"/>
        </w:rPr>
        <w:t>（采购文件中明确的所属</w:t>
      </w:r>
      <w:r>
        <w:rPr>
          <w:rFonts w:hint="eastAsia" w:ascii="宋体" w:hAnsi="宋体"/>
          <w:color w:val="auto"/>
          <w:spacing w:val="-10"/>
          <w:kern w:val="0"/>
          <w:szCs w:val="21"/>
          <w:u w:val="single"/>
        </w:rPr>
        <w:t>行</w:t>
      </w:r>
      <w:r>
        <w:rPr>
          <w:rFonts w:ascii="宋体" w:hAnsi="宋体"/>
          <w:color w:val="auto"/>
          <w:spacing w:val="-10"/>
          <w:kern w:val="0"/>
          <w:szCs w:val="21"/>
          <w:u w:val="single"/>
        </w:rPr>
        <w:t>业）</w:t>
      </w:r>
      <w:r>
        <w:rPr>
          <w:rFonts w:ascii="宋体" w:hAnsi="宋体"/>
          <w:color w:val="auto"/>
          <w:spacing w:val="-10"/>
          <w:kern w:val="0"/>
          <w:szCs w:val="21"/>
        </w:rPr>
        <w:t>；</w:t>
      </w:r>
    </w:p>
    <w:p w14:paraId="1BA799FE">
      <w:pPr>
        <w:tabs>
          <w:tab w:val="left" w:pos="1384"/>
          <w:tab w:val="left" w:pos="4562"/>
          <w:tab w:val="left" w:pos="6803"/>
        </w:tabs>
        <w:spacing w:line="400" w:lineRule="exact"/>
        <w:ind w:firstLine="380"/>
        <w:jc w:val="left"/>
        <w:rPr>
          <w:rFonts w:ascii="宋体" w:hAnsi="宋体"/>
          <w:color w:val="auto"/>
          <w:spacing w:val="-10"/>
          <w:kern w:val="0"/>
          <w:szCs w:val="21"/>
          <w:u w:val="single"/>
        </w:rPr>
      </w:pPr>
      <w:r>
        <w:rPr>
          <w:rFonts w:hint="eastAsia" w:ascii="宋体" w:hAnsi="宋体"/>
          <w:color w:val="auto"/>
          <w:spacing w:val="-10"/>
          <w:kern w:val="0"/>
          <w:szCs w:val="21"/>
        </w:rPr>
        <w:t>承接企业为</w:t>
      </w:r>
      <w:r>
        <w:rPr>
          <w:rFonts w:hint="eastAsia" w:ascii="宋体" w:hAnsi="宋体"/>
          <w:color w:val="auto"/>
          <w:spacing w:val="-10"/>
          <w:kern w:val="0"/>
          <w:szCs w:val="21"/>
          <w:u w:val="single"/>
        </w:rPr>
        <w:t>（企业名称）</w:t>
      </w:r>
      <w:r>
        <w:rPr>
          <w:rFonts w:hint="eastAsia" w:ascii="宋体" w:hAnsi="宋体"/>
          <w:color w:val="auto"/>
          <w:spacing w:val="-10"/>
          <w:kern w:val="0"/>
          <w:szCs w:val="21"/>
        </w:rPr>
        <w:t>，从业人员人，营业收入为万元，资产总额为万元</w:t>
      </w:r>
      <w:r>
        <w:rPr>
          <w:rFonts w:ascii="宋体" w:hAnsi="宋体"/>
          <w:color w:val="auto"/>
          <w:spacing w:val="-10"/>
          <w:kern w:val="0"/>
          <w:szCs w:val="21"/>
        </w:rPr>
        <w:t>，属于</w:t>
      </w:r>
      <w:r>
        <w:rPr>
          <w:rFonts w:ascii="宋体" w:hAnsi="宋体"/>
          <w:color w:val="auto"/>
          <w:spacing w:val="-10"/>
          <w:kern w:val="0"/>
          <w:szCs w:val="21"/>
          <w:u w:val="single"/>
        </w:rPr>
        <w:t>（中型企业、</w:t>
      </w:r>
      <w:r>
        <w:rPr>
          <w:rFonts w:hint="eastAsia" w:ascii="宋体" w:hAnsi="宋体"/>
          <w:color w:val="auto"/>
          <w:spacing w:val="-10"/>
          <w:kern w:val="0"/>
          <w:szCs w:val="21"/>
          <w:u w:val="single"/>
        </w:rPr>
        <w:t>小型企业、微型企业）</w:t>
      </w:r>
      <w:r>
        <w:rPr>
          <w:rFonts w:hint="eastAsia" w:ascii="宋体" w:hAnsi="宋体"/>
          <w:color w:val="auto"/>
          <w:spacing w:val="-10"/>
          <w:kern w:val="0"/>
          <w:szCs w:val="21"/>
        </w:rPr>
        <w:t>；</w:t>
      </w:r>
    </w:p>
    <w:p w14:paraId="556BB829">
      <w:pPr>
        <w:tabs>
          <w:tab w:val="left" w:pos="1065"/>
          <w:tab w:val="left" w:pos="4262"/>
          <w:tab w:val="left" w:pos="6477"/>
        </w:tabs>
        <w:spacing w:line="400" w:lineRule="exact"/>
        <w:ind w:firstLine="380"/>
        <w:jc w:val="left"/>
        <w:rPr>
          <w:rFonts w:ascii="宋体" w:hAnsi="宋体"/>
          <w:color w:val="auto"/>
          <w:spacing w:val="-10"/>
          <w:kern w:val="0"/>
          <w:szCs w:val="21"/>
          <w:u w:val="single"/>
        </w:rPr>
      </w:pPr>
      <w:r>
        <w:rPr>
          <w:rFonts w:ascii="宋体" w:hAnsi="宋体"/>
          <w:color w:val="auto"/>
          <w:spacing w:val="-10"/>
          <w:kern w:val="0"/>
          <w:szCs w:val="21"/>
        </w:rPr>
        <w:t>2.</w:t>
      </w:r>
      <w:r>
        <w:rPr>
          <w:rFonts w:ascii="宋体" w:hAnsi="宋体"/>
          <w:color w:val="auto"/>
          <w:spacing w:val="-10"/>
          <w:kern w:val="0"/>
          <w:szCs w:val="21"/>
          <w:u w:val="single"/>
        </w:rPr>
        <w:t>（标的名称）</w:t>
      </w:r>
      <w:r>
        <w:rPr>
          <w:rFonts w:ascii="宋体" w:hAnsi="宋体"/>
          <w:color w:val="auto"/>
          <w:spacing w:val="-10"/>
          <w:kern w:val="0"/>
          <w:szCs w:val="21"/>
        </w:rPr>
        <w:t>，属于</w:t>
      </w:r>
      <w:r>
        <w:rPr>
          <w:rFonts w:ascii="宋体" w:hAnsi="宋体"/>
          <w:color w:val="auto"/>
          <w:spacing w:val="-10"/>
          <w:kern w:val="0"/>
          <w:szCs w:val="21"/>
          <w:u w:val="single"/>
        </w:rPr>
        <w:t>（采购文件中明确的所属</w:t>
      </w:r>
      <w:r>
        <w:rPr>
          <w:rFonts w:hint="eastAsia" w:ascii="宋体" w:hAnsi="宋体"/>
          <w:color w:val="auto"/>
          <w:spacing w:val="-10"/>
          <w:kern w:val="0"/>
          <w:szCs w:val="21"/>
          <w:u w:val="single"/>
        </w:rPr>
        <w:t>行业</w:t>
      </w:r>
      <w:r>
        <w:rPr>
          <w:rFonts w:ascii="宋体" w:hAnsi="宋体"/>
          <w:color w:val="auto"/>
          <w:spacing w:val="-10"/>
          <w:kern w:val="0"/>
          <w:szCs w:val="21"/>
          <w:u w:val="single"/>
        </w:rPr>
        <w:t>）</w:t>
      </w:r>
      <w:r>
        <w:rPr>
          <w:rFonts w:ascii="宋体" w:hAnsi="宋体"/>
          <w:color w:val="auto"/>
          <w:spacing w:val="-10"/>
          <w:kern w:val="0"/>
          <w:szCs w:val="21"/>
        </w:rPr>
        <w:t>；</w:t>
      </w:r>
      <w:r>
        <w:rPr>
          <w:rFonts w:hint="eastAsia" w:ascii="宋体" w:hAnsi="宋体"/>
          <w:color w:val="auto"/>
          <w:spacing w:val="-10"/>
          <w:kern w:val="0"/>
          <w:szCs w:val="21"/>
        </w:rPr>
        <w:t>承接企业为</w:t>
      </w:r>
      <w:r>
        <w:rPr>
          <w:rFonts w:hint="eastAsia" w:ascii="宋体" w:hAnsi="宋体"/>
          <w:color w:val="auto"/>
          <w:spacing w:val="-10"/>
          <w:kern w:val="0"/>
          <w:szCs w:val="21"/>
          <w:u w:val="single"/>
        </w:rPr>
        <w:t>（企业名称）</w:t>
      </w:r>
      <w:r>
        <w:rPr>
          <w:rFonts w:hint="eastAsia" w:ascii="宋体" w:hAnsi="宋体"/>
          <w:color w:val="auto"/>
          <w:spacing w:val="-10"/>
          <w:kern w:val="0"/>
          <w:szCs w:val="21"/>
        </w:rPr>
        <w:t>，从业人员人，营业收入为万元，资产总额为万元</w:t>
      </w:r>
      <w:r>
        <w:rPr>
          <w:rFonts w:ascii="宋体" w:hAnsi="宋体"/>
          <w:color w:val="auto"/>
          <w:spacing w:val="-10"/>
          <w:kern w:val="0"/>
          <w:szCs w:val="21"/>
        </w:rPr>
        <w:t>，属于</w:t>
      </w:r>
      <w:r>
        <w:rPr>
          <w:rFonts w:ascii="宋体" w:hAnsi="宋体"/>
          <w:color w:val="auto"/>
          <w:spacing w:val="-10"/>
          <w:kern w:val="0"/>
          <w:szCs w:val="21"/>
          <w:u w:val="single"/>
        </w:rPr>
        <w:t>（中型企业、</w:t>
      </w:r>
      <w:r>
        <w:rPr>
          <w:rFonts w:hint="eastAsia" w:ascii="宋体" w:hAnsi="宋体"/>
          <w:color w:val="auto"/>
          <w:spacing w:val="-10"/>
          <w:kern w:val="0"/>
          <w:szCs w:val="21"/>
          <w:u w:val="single"/>
        </w:rPr>
        <w:t>小型企业、微型企业）</w:t>
      </w:r>
      <w:r>
        <w:rPr>
          <w:rFonts w:hint="eastAsia" w:ascii="宋体" w:hAnsi="宋体"/>
          <w:color w:val="auto"/>
          <w:spacing w:val="-10"/>
          <w:kern w:val="0"/>
          <w:szCs w:val="21"/>
        </w:rPr>
        <w:t>；</w:t>
      </w:r>
    </w:p>
    <w:p w14:paraId="127A5048">
      <w:pPr>
        <w:spacing w:line="400" w:lineRule="exact"/>
        <w:ind w:firstLine="380"/>
        <w:jc w:val="left"/>
        <w:rPr>
          <w:rFonts w:ascii="宋体" w:hAnsi="宋体"/>
          <w:color w:val="auto"/>
          <w:spacing w:val="-10"/>
          <w:kern w:val="0"/>
          <w:szCs w:val="21"/>
        </w:rPr>
      </w:pPr>
      <w:r>
        <w:rPr>
          <w:rFonts w:ascii="宋体" w:hAnsi="宋体"/>
          <w:color w:val="auto"/>
          <w:spacing w:val="-10"/>
          <w:kern w:val="0"/>
          <w:szCs w:val="21"/>
        </w:rPr>
        <w:t xml:space="preserve">…… </w:t>
      </w:r>
    </w:p>
    <w:p w14:paraId="6C70CB7D">
      <w:pPr>
        <w:spacing w:line="400" w:lineRule="exact"/>
        <w:ind w:firstLine="380"/>
        <w:jc w:val="left"/>
        <w:rPr>
          <w:rFonts w:ascii="宋体" w:hAnsi="宋体"/>
          <w:color w:val="auto"/>
          <w:spacing w:val="-10"/>
          <w:kern w:val="0"/>
          <w:szCs w:val="21"/>
        </w:rPr>
      </w:pPr>
      <w:r>
        <w:rPr>
          <w:rFonts w:ascii="宋体" w:hAnsi="宋体"/>
          <w:color w:val="auto"/>
          <w:spacing w:val="-10"/>
          <w:kern w:val="0"/>
          <w:szCs w:val="21"/>
        </w:rPr>
        <w:t>以上企业，不属于大企业的分支机构，不存在控股股东为大企业的情形，也不存在与大企业的负责人为同一人的情形。</w:t>
      </w:r>
    </w:p>
    <w:p w14:paraId="32954544">
      <w:pPr>
        <w:spacing w:line="400" w:lineRule="exact"/>
        <w:ind w:firstLine="380"/>
        <w:jc w:val="left"/>
        <w:rPr>
          <w:rFonts w:ascii="宋体" w:hAnsi="宋体"/>
          <w:color w:val="auto"/>
          <w:spacing w:val="-10"/>
          <w:kern w:val="0"/>
          <w:szCs w:val="21"/>
        </w:rPr>
      </w:pPr>
      <w:r>
        <w:rPr>
          <w:rFonts w:ascii="宋体" w:hAnsi="宋体"/>
          <w:color w:val="auto"/>
          <w:spacing w:val="-10"/>
          <w:kern w:val="0"/>
          <w:szCs w:val="21"/>
        </w:rPr>
        <w:t>本企业对上述声明内容的真实性负责。如有虚假，将依法承担相应责任。</w:t>
      </w:r>
    </w:p>
    <w:p w14:paraId="4C6A6702">
      <w:pPr>
        <w:snapToGrid w:val="0"/>
        <w:spacing w:line="400" w:lineRule="exact"/>
        <w:ind w:firstLine="420"/>
        <w:rPr>
          <w:rFonts w:ascii="宋体" w:hAnsi="宋体" w:cs="宋体"/>
          <w:color w:val="auto"/>
          <w:szCs w:val="21"/>
        </w:rPr>
      </w:pPr>
    </w:p>
    <w:p w14:paraId="49DDD439">
      <w:pPr>
        <w:snapToGrid w:val="0"/>
        <w:spacing w:line="400" w:lineRule="exact"/>
        <w:ind w:firstLine="420"/>
        <w:rPr>
          <w:rFonts w:ascii="宋体" w:hAnsi="宋体" w:cs="宋体"/>
          <w:color w:val="auto"/>
          <w:szCs w:val="21"/>
        </w:rPr>
      </w:pPr>
    </w:p>
    <w:p w14:paraId="51AD3AB2">
      <w:pPr>
        <w:wordWrap w:val="0"/>
        <w:spacing w:line="400" w:lineRule="exact"/>
        <w:ind w:firstLine="444"/>
        <w:jc w:val="right"/>
        <w:rPr>
          <w:rFonts w:ascii="宋体" w:hAnsi="宋体" w:cs="宋体"/>
          <w:color w:val="auto"/>
          <w:spacing w:val="6"/>
          <w:szCs w:val="21"/>
        </w:rPr>
      </w:pPr>
      <w:r>
        <w:rPr>
          <w:rFonts w:hint="eastAsia" w:ascii="宋体" w:hAnsi="宋体" w:cs="宋体"/>
          <w:color w:val="auto"/>
          <w:spacing w:val="6"/>
          <w:szCs w:val="21"/>
        </w:rPr>
        <w:t xml:space="preserve">单位名称（CA证书签章）：               </w:t>
      </w:r>
    </w:p>
    <w:p w14:paraId="5160F153">
      <w:pPr>
        <w:spacing w:line="400" w:lineRule="exact"/>
        <w:ind w:firstLine="6660" w:firstLineChars="3000"/>
        <w:rPr>
          <w:rFonts w:ascii="宋体" w:hAnsi="宋体" w:cs="宋体"/>
          <w:b/>
          <w:color w:val="auto"/>
          <w:kern w:val="0"/>
          <w:szCs w:val="21"/>
        </w:rPr>
      </w:pPr>
      <w:r>
        <w:rPr>
          <w:rFonts w:hint="eastAsia" w:ascii="宋体" w:hAnsi="宋体" w:cs="宋体"/>
          <w:color w:val="auto"/>
          <w:spacing w:val="6"/>
          <w:szCs w:val="21"/>
        </w:rPr>
        <w:t xml:space="preserve">日期： </w:t>
      </w:r>
    </w:p>
    <w:p w14:paraId="20D3C255">
      <w:pPr>
        <w:spacing w:line="400" w:lineRule="exact"/>
        <w:ind w:firstLine="422"/>
        <w:rPr>
          <w:rFonts w:ascii="宋体" w:hAnsi="宋体" w:cs="宋体"/>
          <w:b/>
          <w:color w:val="auto"/>
          <w:kern w:val="0"/>
          <w:szCs w:val="21"/>
        </w:rPr>
      </w:pPr>
    </w:p>
    <w:p w14:paraId="0B1CC97E">
      <w:pPr>
        <w:spacing w:line="400" w:lineRule="exact"/>
        <w:ind w:firstLine="422"/>
        <w:rPr>
          <w:rFonts w:ascii="宋体" w:hAnsi="宋体" w:cs="宋体"/>
          <w:b/>
          <w:color w:val="auto"/>
          <w:kern w:val="0"/>
          <w:szCs w:val="21"/>
        </w:rPr>
      </w:pPr>
      <w:r>
        <w:rPr>
          <w:rFonts w:hint="eastAsia" w:ascii="宋体" w:hAnsi="宋体" w:cs="宋体"/>
          <w:b/>
          <w:color w:val="auto"/>
          <w:kern w:val="0"/>
          <w:szCs w:val="21"/>
        </w:rPr>
        <w:t>注：1.从业人员、营业收入、资产总额填报上一年度数据，无上一年度数据的新成立企业可不填报。</w:t>
      </w:r>
    </w:p>
    <w:p w14:paraId="47E57CD9">
      <w:pPr>
        <w:spacing w:line="400" w:lineRule="exact"/>
        <w:ind w:firstLine="422"/>
        <w:rPr>
          <w:rFonts w:ascii="宋体" w:hAnsi="宋体" w:cs="宋体"/>
          <w:b/>
          <w:color w:val="auto"/>
          <w:kern w:val="0"/>
          <w:szCs w:val="21"/>
        </w:rPr>
      </w:pPr>
      <w:r>
        <w:rPr>
          <w:rFonts w:hint="eastAsia" w:ascii="宋体" w:hAnsi="宋体" w:cs="宋体"/>
          <w:b/>
          <w:color w:val="auto"/>
          <w:kern w:val="0"/>
          <w:szCs w:val="21"/>
        </w:rPr>
        <w:t xml:space="preserve">    2.中小企业在政府采购活动过程中，请根据自己的真实情况出具本声明函。依法享受中小企业优惠政策的，采购人或采购代理机构在公告成交结果时，同时公告其《中小企业声明函》，接受社会监督。</w:t>
      </w:r>
    </w:p>
    <w:p w14:paraId="75D274C5">
      <w:pPr>
        <w:tabs>
          <w:tab w:val="left" w:pos="1305"/>
        </w:tabs>
        <w:spacing w:line="420" w:lineRule="exact"/>
        <w:ind w:firstLine="420"/>
        <w:rPr>
          <w:rFonts w:ascii="宋体" w:hAnsi="宋体" w:cs="宋体"/>
          <w:bCs/>
          <w:color w:val="auto"/>
          <w:kern w:val="0"/>
          <w:szCs w:val="21"/>
        </w:rPr>
      </w:pPr>
    </w:p>
    <w:p w14:paraId="30B59BD7">
      <w:pPr>
        <w:tabs>
          <w:tab w:val="left" w:pos="1305"/>
        </w:tabs>
        <w:spacing w:line="420" w:lineRule="exact"/>
        <w:ind w:firstLine="420"/>
        <w:rPr>
          <w:rFonts w:ascii="宋体" w:hAnsi="宋体" w:cs="宋体"/>
          <w:bCs/>
          <w:color w:val="auto"/>
          <w:kern w:val="0"/>
          <w:szCs w:val="21"/>
        </w:rPr>
      </w:pPr>
    </w:p>
    <w:p w14:paraId="6D6904CD">
      <w:pPr>
        <w:tabs>
          <w:tab w:val="left" w:pos="1305"/>
        </w:tabs>
        <w:spacing w:line="420" w:lineRule="exact"/>
        <w:rPr>
          <w:rFonts w:ascii="宋体" w:hAnsi="宋体" w:cs="宋体"/>
          <w:b/>
          <w:color w:val="auto"/>
          <w:kern w:val="0"/>
          <w:sz w:val="28"/>
          <w:szCs w:val="28"/>
        </w:rPr>
      </w:pPr>
    </w:p>
    <w:p w14:paraId="671D31D3">
      <w:pPr>
        <w:tabs>
          <w:tab w:val="left" w:pos="1305"/>
        </w:tabs>
        <w:spacing w:line="420" w:lineRule="exact"/>
        <w:ind w:firstLine="280" w:firstLineChars="100"/>
        <w:rPr>
          <w:rFonts w:ascii="宋体" w:hAnsi="宋体" w:cs="宋体"/>
          <w:b/>
          <w:color w:val="auto"/>
          <w:kern w:val="0"/>
          <w:sz w:val="28"/>
          <w:szCs w:val="28"/>
        </w:rPr>
      </w:pPr>
    </w:p>
    <w:p w14:paraId="2510783B">
      <w:pPr>
        <w:tabs>
          <w:tab w:val="left" w:pos="1305"/>
        </w:tabs>
        <w:spacing w:line="420" w:lineRule="exact"/>
        <w:ind w:firstLine="280" w:firstLineChars="100"/>
        <w:rPr>
          <w:rFonts w:ascii="宋体" w:hAnsi="宋体" w:cs="宋体"/>
          <w:b/>
          <w:color w:val="auto"/>
          <w:kern w:val="0"/>
          <w:sz w:val="28"/>
          <w:szCs w:val="28"/>
        </w:rPr>
      </w:pPr>
      <w:r>
        <w:rPr>
          <w:rFonts w:hint="eastAsia" w:ascii="宋体" w:hAnsi="宋体" w:cs="宋体"/>
          <w:b/>
          <w:color w:val="auto"/>
          <w:kern w:val="0"/>
          <w:sz w:val="28"/>
          <w:szCs w:val="28"/>
        </w:rPr>
        <w:t>如提供服务的供应商属于监狱企业的，应当提供由省级以上监狱管理局、戒毒管理局等（含新疆生产建设兵团）出具的属于监狱企业的证明文件（如供应商属于监狱企业的，则必须提供）</w:t>
      </w:r>
    </w:p>
    <w:p w14:paraId="57BC9A16">
      <w:pPr>
        <w:tabs>
          <w:tab w:val="left" w:pos="1305"/>
        </w:tabs>
        <w:spacing w:line="420" w:lineRule="exact"/>
        <w:ind w:firstLine="420"/>
        <w:rPr>
          <w:rFonts w:ascii="宋体" w:hAnsi="宋体" w:cs="宋体"/>
          <w:bCs/>
          <w:color w:val="auto"/>
          <w:kern w:val="0"/>
          <w:szCs w:val="21"/>
        </w:rPr>
      </w:pPr>
    </w:p>
    <w:p w14:paraId="5C8A29E2">
      <w:pPr>
        <w:pStyle w:val="46"/>
        <w:rPr>
          <w:rFonts w:ascii="宋体" w:hAnsi="宋体" w:cs="宋体"/>
          <w:b w:val="0"/>
          <w:color w:val="auto"/>
          <w:kern w:val="0"/>
          <w:sz w:val="21"/>
          <w:szCs w:val="21"/>
        </w:rPr>
      </w:pPr>
    </w:p>
    <w:p w14:paraId="7DEECBEC">
      <w:pPr>
        <w:tabs>
          <w:tab w:val="left" w:pos="1305"/>
        </w:tabs>
        <w:spacing w:line="420" w:lineRule="exact"/>
        <w:rPr>
          <w:rFonts w:ascii="宋体" w:hAnsi="宋体" w:cs="宋体"/>
          <w:b/>
          <w:color w:val="auto"/>
          <w:kern w:val="0"/>
          <w:sz w:val="28"/>
          <w:szCs w:val="28"/>
        </w:rPr>
      </w:pPr>
    </w:p>
    <w:p w14:paraId="31835DDB">
      <w:pPr>
        <w:tabs>
          <w:tab w:val="left" w:pos="1305"/>
        </w:tabs>
        <w:spacing w:line="420" w:lineRule="exact"/>
        <w:rPr>
          <w:rFonts w:ascii="宋体" w:hAnsi="宋体" w:cs="宋体"/>
          <w:b/>
          <w:color w:val="auto"/>
          <w:kern w:val="0"/>
          <w:sz w:val="28"/>
          <w:szCs w:val="28"/>
        </w:rPr>
      </w:pPr>
      <w:r>
        <w:rPr>
          <w:rFonts w:hint="eastAsia" w:ascii="宋体" w:hAnsi="宋体" w:cs="宋体"/>
          <w:b/>
          <w:color w:val="auto"/>
          <w:kern w:val="0"/>
          <w:sz w:val="28"/>
          <w:szCs w:val="28"/>
        </w:rPr>
        <w:t>符合条件的残疾人福利性单位在参加政府采购活动时，应当提供《残疾人福利性单位声明函》（见附件），并对声明的真实性负责；（如供应商属于残疾人福利性单位的，则必须提供）</w:t>
      </w:r>
    </w:p>
    <w:p w14:paraId="1B6F522E">
      <w:pPr>
        <w:spacing w:line="400" w:lineRule="exact"/>
        <w:ind w:left="420" w:leftChars="200" w:firstLine="3780" w:firstLineChars="1800"/>
        <w:rPr>
          <w:rFonts w:ascii="宋体" w:hAnsi="宋体" w:cs="宋体"/>
          <w:color w:val="auto"/>
          <w:kern w:val="0"/>
          <w:szCs w:val="21"/>
        </w:rPr>
      </w:pPr>
    </w:p>
    <w:p w14:paraId="6860BE0A">
      <w:pPr>
        <w:spacing w:line="588" w:lineRule="exact"/>
        <w:ind w:firstLine="562"/>
        <w:jc w:val="center"/>
        <w:rPr>
          <w:rFonts w:ascii="宋体" w:hAnsi="Courier New"/>
          <w:b/>
          <w:color w:val="auto"/>
          <w:sz w:val="28"/>
          <w:szCs w:val="28"/>
        </w:rPr>
      </w:pPr>
      <w:r>
        <w:rPr>
          <w:rFonts w:hint="eastAsia" w:ascii="宋体" w:hAnsi="Courier New"/>
          <w:b/>
          <w:color w:val="auto"/>
          <w:sz w:val="28"/>
          <w:szCs w:val="28"/>
        </w:rPr>
        <w:t>残疾人福利性单位声明函</w:t>
      </w:r>
    </w:p>
    <w:p w14:paraId="334E20B1">
      <w:pPr>
        <w:spacing w:line="400" w:lineRule="exact"/>
        <w:ind w:firstLine="444"/>
        <w:rPr>
          <w:rFonts w:ascii="宋体" w:cs="宋体"/>
          <w:color w:val="auto"/>
          <w:spacing w:val="6"/>
          <w:szCs w:val="21"/>
        </w:rPr>
      </w:pPr>
      <w:r>
        <w:rPr>
          <w:rFonts w:hint="eastAsia" w:ascii="宋体" w:hAnsi="宋体" w:cs="宋体"/>
          <w:color w:val="auto"/>
          <w:spacing w:val="6"/>
          <w:szCs w:val="21"/>
        </w:rPr>
        <w:t>本单位郑重声明，根据《财政部民政部中国残疾人联合会关于促进残疾人就业政府采购政策的通知》（财库</w:t>
      </w:r>
      <w:r>
        <w:rPr>
          <w:rFonts w:hint="eastAsia" w:ascii="宋体" w:hAnsi="宋体" w:cs="宋体"/>
          <w:color w:val="auto"/>
          <w:szCs w:val="21"/>
        </w:rPr>
        <w:t>〔</w:t>
      </w:r>
      <w:r>
        <w:rPr>
          <w:rFonts w:ascii="宋体" w:hAnsi="宋体" w:cs="宋体"/>
          <w:color w:val="auto"/>
          <w:szCs w:val="21"/>
        </w:rPr>
        <w:t>2017</w:t>
      </w:r>
      <w:r>
        <w:rPr>
          <w:rFonts w:hint="eastAsia" w:ascii="宋体" w:hAnsi="宋体" w:cs="宋体"/>
          <w:color w:val="auto"/>
          <w:szCs w:val="21"/>
        </w:rPr>
        <w:t>〕</w:t>
      </w:r>
      <w:r>
        <w:rPr>
          <w:rFonts w:ascii="宋体" w:hAnsi="宋体" w:cs="宋体"/>
          <w:color w:val="auto"/>
          <w:szCs w:val="21"/>
        </w:rPr>
        <w:t>141</w:t>
      </w:r>
      <w:r>
        <w:rPr>
          <w:rFonts w:hint="eastAsia" w:ascii="宋体" w:hAnsi="宋体" w:cs="宋体"/>
          <w:color w:val="auto"/>
          <w:spacing w:val="6"/>
          <w:szCs w:val="21"/>
        </w:rPr>
        <w:t>号）的规定，本单位为符合条件的残疾人福利性单位，且本单位参加单位的项目采购活动提供本单位制造的货物（由本单位承担工程</w:t>
      </w:r>
      <w:r>
        <w:rPr>
          <w:rFonts w:ascii="宋体" w:hAnsi="宋体" w:cs="宋体"/>
          <w:color w:val="auto"/>
          <w:spacing w:val="6"/>
          <w:szCs w:val="21"/>
        </w:rPr>
        <w:t>/</w:t>
      </w:r>
      <w:r>
        <w:rPr>
          <w:rFonts w:hint="eastAsia" w:ascii="宋体" w:hAnsi="宋体" w:cs="宋体"/>
          <w:color w:val="auto"/>
          <w:spacing w:val="6"/>
          <w:szCs w:val="21"/>
        </w:rPr>
        <w:t>提供服务），或者提供其他残疾人福利性单位制造的货物（不包括使用非残疾人福利性单位注册商标的货物）。</w:t>
      </w:r>
    </w:p>
    <w:p w14:paraId="41DBCBBF">
      <w:pPr>
        <w:spacing w:line="400" w:lineRule="exact"/>
        <w:ind w:firstLine="444"/>
        <w:rPr>
          <w:rFonts w:ascii="宋体" w:cs="宋体"/>
          <w:color w:val="auto"/>
          <w:spacing w:val="6"/>
          <w:szCs w:val="21"/>
        </w:rPr>
      </w:pPr>
      <w:r>
        <w:rPr>
          <w:rFonts w:hint="eastAsia" w:ascii="宋体" w:hAnsi="宋体" w:cs="宋体"/>
          <w:color w:val="auto"/>
          <w:spacing w:val="6"/>
          <w:szCs w:val="21"/>
        </w:rPr>
        <w:t>本单位对上述声明的真实性负责。如有虚假，将依法承担相应责任。</w:t>
      </w:r>
    </w:p>
    <w:p w14:paraId="3A0D6A7E">
      <w:pPr>
        <w:ind w:firstLine="480"/>
        <w:rPr>
          <w:rFonts w:ascii="宋体" w:cs="宋体"/>
          <w:color w:val="auto"/>
        </w:rPr>
      </w:pPr>
    </w:p>
    <w:p w14:paraId="10AF82FA">
      <w:pPr>
        <w:wordWrap w:val="0"/>
        <w:spacing w:line="400" w:lineRule="exact"/>
        <w:ind w:firstLine="444"/>
        <w:jc w:val="right"/>
        <w:rPr>
          <w:rFonts w:ascii="宋体" w:hAnsi="宋体" w:cs="宋体"/>
          <w:color w:val="auto"/>
          <w:spacing w:val="6"/>
          <w:szCs w:val="21"/>
        </w:rPr>
      </w:pPr>
      <w:r>
        <w:rPr>
          <w:rFonts w:hint="eastAsia" w:ascii="宋体" w:hAnsi="宋体" w:cs="宋体"/>
          <w:color w:val="auto"/>
          <w:spacing w:val="6"/>
          <w:szCs w:val="21"/>
        </w:rPr>
        <w:t xml:space="preserve">单位名称（CA证书签章）：               </w:t>
      </w:r>
    </w:p>
    <w:p w14:paraId="57FF26B8">
      <w:pPr>
        <w:wordWrap w:val="0"/>
        <w:spacing w:line="400" w:lineRule="exact"/>
        <w:ind w:firstLine="444"/>
        <w:jc w:val="right"/>
        <w:rPr>
          <w:rFonts w:ascii="宋体" w:hAnsi="宋体" w:cs="宋体"/>
          <w:color w:val="auto"/>
          <w:spacing w:val="6"/>
          <w:szCs w:val="21"/>
        </w:rPr>
      </w:pPr>
      <w:r>
        <w:rPr>
          <w:rFonts w:hint="eastAsia" w:ascii="宋体" w:hAnsi="宋体" w:cs="宋体"/>
          <w:color w:val="auto"/>
          <w:spacing w:val="6"/>
          <w:szCs w:val="21"/>
        </w:rPr>
        <w:t xml:space="preserve">日期：               </w:t>
      </w:r>
    </w:p>
    <w:p w14:paraId="607BA7AF">
      <w:pPr>
        <w:ind w:firstLine="480"/>
        <w:rPr>
          <w:color w:val="auto"/>
        </w:rPr>
      </w:pPr>
    </w:p>
    <w:p w14:paraId="612B8EF8">
      <w:pPr>
        <w:ind w:firstLine="480"/>
        <w:rPr>
          <w:color w:val="auto"/>
        </w:rPr>
      </w:pPr>
    </w:p>
    <w:p w14:paraId="1A82A4AA">
      <w:pPr>
        <w:tabs>
          <w:tab w:val="left" w:pos="1305"/>
        </w:tabs>
        <w:ind w:firstLine="482"/>
        <w:rPr>
          <w:rFonts w:ascii="宋体" w:hAnsi="宋体" w:cs="宋体"/>
          <w:b/>
          <w:color w:val="auto"/>
          <w:szCs w:val="21"/>
        </w:rPr>
      </w:pPr>
    </w:p>
    <w:p w14:paraId="3E2E0896">
      <w:pPr>
        <w:tabs>
          <w:tab w:val="left" w:pos="1305"/>
        </w:tabs>
        <w:ind w:firstLine="422"/>
        <w:rPr>
          <w:rFonts w:ascii="宋体" w:hAnsi="宋体" w:cs="宋体"/>
          <w:color w:val="auto"/>
          <w:szCs w:val="21"/>
        </w:rPr>
      </w:pPr>
      <w:r>
        <w:rPr>
          <w:rFonts w:hint="eastAsia" w:ascii="宋体" w:hAnsi="宋体" w:cs="宋体"/>
          <w:b/>
          <w:color w:val="auto"/>
          <w:szCs w:val="21"/>
        </w:rPr>
        <w:t>注：中标、成交供应商为残疾人福利性单位的，采购人或者其委托的采购代理机构应当随中标、成交结果同时公告其《残疾人福利性单位声明函》，接受社会监督</w:t>
      </w:r>
      <w:r>
        <w:rPr>
          <w:rFonts w:hint="eastAsia" w:ascii="宋体" w:hAnsi="宋体" w:cs="宋体"/>
          <w:color w:val="auto"/>
          <w:szCs w:val="21"/>
        </w:rPr>
        <w:t>。</w:t>
      </w:r>
    </w:p>
    <w:p w14:paraId="59E1FE56">
      <w:pPr>
        <w:spacing w:line="400" w:lineRule="exact"/>
        <w:ind w:left="420" w:leftChars="200" w:firstLine="3780" w:firstLineChars="1800"/>
        <w:rPr>
          <w:rFonts w:ascii="宋体" w:hAnsi="宋体" w:cs="宋体"/>
          <w:color w:val="auto"/>
          <w:kern w:val="0"/>
          <w:szCs w:val="21"/>
        </w:rPr>
      </w:pPr>
    </w:p>
    <w:p w14:paraId="23453F5B">
      <w:pPr>
        <w:spacing w:line="400" w:lineRule="exact"/>
        <w:rPr>
          <w:rFonts w:ascii="宋体" w:hAnsi="宋体" w:cs="宋体"/>
          <w:color w:val="auto"/>
          <w:kern w:val="0"/>
          <w:szCs w:val="21"/>
        </w:rPr>
      </w:pPr>
    </w:p>
    <w:p w14:paraId="7B2A47D8">
      <w:pPr>
        <w:rPr>
          <w:rFonts w:ascii="宋体" w:hAnsi="宋体"/>
          <w:b/>
          <w:color w:val="auto"/>
          <w:kern w:val="0"/>
          <w:sz w:val="32"/>
          <w:szCs w:val="32"/>
        </w:rPr>
      </w:pPr>
    </w:p>
    <w:p w14:paraId="16CB0198">
      <w:pPr>
        <w:tabs>
          <w:tab w:val="left" w:pos="1305"/>
        </w:tabs>
        <w:spacing w:line="380" w:lineRule="exact"/>
        <w:rPr>
          <w:rFonts w:ascii="宋体" w:hAnsi="宋体" w:cs="宋体"/>
          <w:b/>
          <w:bCs/>
          <w:color w:val="auto"/>
          <w:sz w:val="32"/>
          <w:szCs w:val="32"/>
        </w:rPr>
      </w:pPr>
    </w:p>
    <w:p w14:paraId="7BADB640">
      <w:pPr>
        <w:pStyle w:val="45"/>
        <w:ind w:firstLine="562"/>
        <w:rPr>
          <w:rFonts w:cs="宋体"/>
          <w:b/>
          <w:bCs/>
          <w:color w:val="auto"/>
          <w:sz w:val="28"/>
          <w:szCs w:val="28"/>
        </w:rPr>
      </w:pPr>
    </w:p>
    <w:p w14:paraId="0D9CD13D">
      <w:pPr>
        <w:rPr>
          <w:rFonts w:ascii="宋体" w:hAnsi="宋体" w:cs="宋体"/>
          <w:b/>
          <w:bCs/>
          <w:color w:val="auto"/>
          <w:sz w:val="32"/>
          <w:szCs w:val="32"/>
        </w:rPr>
      </w:pPr>
      <w:r>
        <w:rPr>
          <w:rFonts w:hint="eastAsia" w:ascii="宋体" w:hAnsi="宋体" w:cs="宋体"/>
          <w:b/>
          <w:bCs/>
          <w:color w:val="auto"/>
          <w:sz w:val="32"/>
          <w:szCs w:val="32"/>
        </w:rPr>
        <w:br w:type="page"/>
      </w:r>
    </w:p>
    <w:p w14:paraId="4E3FB5F5">
      <w:pPr>
        <w:ind w:left="420"/>
        <w:jc w:val="center"/>
        <w:rPr>
          <w:rFonts w:ascii="宋体" w:hAnsi="宋体" w:cs="宋体"/>
          <w:b/>
          <w:bCs/>
          <w:color w:val="auto"/>
          <w:sz w:val="32"/>
          <w:szCs w:val="32"/>
        </w:rPr>
      </w:pPr>
      <w:r>
        <w:rPr>
          <w:rFonts w:hint="eastAsia" w:ascii="宋体" w:hAnsi="宋体" w:cs="宋体"/>
          <w:b/>
          <w:bCs/>
          <w:color w:val="auto"/>
          <w:sz w:val="32"/>
          <w:szCs w:val="32"/>
        </w:rPr>
        <w:t>（二）符合性响应证明材料目录</w:t>
      </w:r>
    </w:p>
    <w:p w14:paraId="2F4D7D3E">
      <w:pPr>
        <w:spacing w:line="360" w:lineRule="auto"/>
        <w:ind w:firstLine="420" w:firstLineChars="200"/>
        <w:rPr>
          <w:rFonts w:ascii="宋体" w:hAnsi="宋体" w:cs="宋体"/>
          <w:color w:val="auto"/>
          <w:szCs w:val="21"/>
        </w:rPr>
      </w:pPr>
      <w:r>
        <w:rPr>
          <w:rFonts w:hint="eastAsia" w:ascii="宋体" w:hAnsi="宋体" w:cs="宋体"/>
          <w:color w:val="auto"/>
          <w:szCs w:val="21"/>
        </w:rPr>
        <w:t>1.响应函（格式见附件）（必须提供）；</w:t>
      </w:r>
    </w:p>
    <w:p w14:paraId="59866A59">
      <w:pPr>
        <w:spacing w:line="360" w:lineRule="auto"/>
        <w:ind w:firstLine="420" w:firstLineChars="200"/>
        <w:rPr>
          <w:rFonts w:ascii="宋体" w:hAnsi="宋体" w:cs="宋体"/>
          <w:color w:val="auto"/>
          <w:szCs w:val="21"/>
        </w:rPr>
      </w:pPr>
      <w:r>
        <w:rPr>
          <w:rFonts w:hint="eastAsia" w:ascii="宋体" w:hAnsi="宋体" w:cs="宋体"/>
          <w:color w:val="auto"/>
          <w:szCs w:val="21"/>
        </w:rPr>
        <w:t>2.磋商报价表（格式见附件）（必须提供）</w:t>
      </w:r>
    </w:p>
    <w:p w14:paraId="3BE25C1A">
      <w:pPr>
        <w:spacing w:line="360" w:lineRule="auto"/>
        <w:ind w:firstLine="420" w:firstLineChars="200"/>
        <w:rPr>
          <w:rFonts w:ascii="宋体" w:hAnsi="宋体" w:cs="宋体"/>
          <w:color w:val="auto"/>
          <w:szCs w:val="21"/>
        </w:rPr>
      </w:pPr>
      <w:r>
        <w:rPr>
          <w:rFonts w:hint="eastAsia" w:ascii="宋体" w:hAnsi="宋体" w:cs="宋体"/>
          <w:color w:val="auto"/>
          <w:szCs w:val="21"/>
        </w:rPr>
        <w:t>3.服务采购要求响应偏离表（格式见附件）（必须提供）；</w:t>
      </w:r>
    </w:p>
    <w:p w14:paraId="503A11A9">
      <w:pPr>
        <w:spacing w:line="360" w:lineRule="auto"/>
        <w:ind w:firstLine="420" w:firstLineChars="200"/>
        <w:rPr>
          <w:rFonts w:ascii="宋体" w:hAnsi="宋体" w:cs="宋体"/>
          <w:b/>
          <w:bCs/>
          <w:color w:val="auto"/>
          <w:szCs w:val="21"/>
        </w:rPr>
      </w:pPr>
      <w:r>
        <w:rPr>
          <w:rFonts w:hint="eastAsia" w:ascii="宋体" w:hAnsi="宋体" w:cs="宋体"/>
          <w:color w:val="auto"/>
          <w:szCs w:val="21"/>
        </w:rPr>
        <w:t>4.商务要求响应偏离表（格式见附件）</w:t>
      </w:r>
      <w:r>
        <w:rPr>
          <w:rFonts w:hint="eastAsia" w:ascii="宋体" w:hAnsi="宋体" w:cs="宋体"/>
          <w:b/>
          <w:bCs/>
          <w:color w:val="auto"/>
          <w:szCs w:val="21"/>
        </w:rPr>
        <w:t>（必须提供）；</w:t>
      </w:r>
    </w:p>
    <w:p w14:paraId="7D16BD1A">
      <w:pPr>
        <w:spacing w:line="360" w:lineRule="auto"/>
        <w:ind w:firstLine="420" w:firstLineChars="200"/>
        <w:rPr>
          <w:rFonts w:ascii="宋体" w:hAnsi="宋体" w:cs="宋体"/>
          <w:color w:val="auto"/>
          <w:szCs w:val="21"/>
        </w:rPr>
      </w:pPr>
      <w:r>
        <w:rPr>
          <w:rFonts w:hint="eastAsia" w:ascii="宋体" w:hAnsi="宋体" w:cs="宋体"/>
          <w:b/>
          <w:bCs/>
          <w:color w:val="auto"/>
          <w:szCs w:val="21"/>
        </w:rPr>
        <w:t>5.</w:t>
      </w:r>
      <w:r>
        <w:rPr>
          <w:rFonts w:hint="eastAsia" w:ascii="宋体" w:hAnsi="宋体" w:cs="宋体"/>
          <w:color w:val="auto"/>
          <w:szCs w:val="21"/>
        </w:rPr>
        <w:t>项目管理方案（包含但不限于各岗位职责及工作流程、洗涤/租赁管理方案、人员管理方案、日常及紧急服务响应方案）（必须提供）</w:t>
      </w:r>
    </w:p>
    <w:p w14:paraId="0D088714">
      <w:pPr>
        <w:spacing w:line="360" w:lineRule="auto"/>
        <w:ind w:firstLine="420" w:firstLineChars="200"/>
        <w:rPr>
          <w:rFonts w:ascii="宋体" w:hAnsi="宋体" w:cs="宋体"/>
          <w:color w:val="auto"/>
          <w:szCs w:val="21"/>
        </w:rPr>
      </w:pPr>
    </w:p>
    <w:p w14:paraId="1D9DAD3F">
      <w:pPr>
        <w:pStyle w:val="11"/>
        <w:rPr>
          <w:rFonts w:ascii="宋体" w:hAnsi="宋体" w:cs="宋体"/>
          <w:color w:val="auto"/>
        </w:rPr>
      </w:pPr>
    </w:p>
    <w:p w14:paraId="4B8F1A73">
      <w:pPr>
        <w:pStyle w:val="46"/>
        <w:rPr>
          <w:rFonts w:ascii="宋体" w:hAnsi="宋体" w:cs="宋体"/>
          <w:color w:val="auto"/>
        </w:rPr>
      </w:pPr>
    </w:p>
    <w:p w14:paraId="48CC5A5B">
      <w:pPr>
        <w:pStyle w:val="46"/>
        <w:rPr>
          <w:rFonts w:ascii="宋体" w:hAnsi="宋体" w:cs="宋体"/>
          <w:color w:val="auto"/>
        </w:rPr>
      </w:pPr>
    </w:p>
    <w:p w14:paraId="2F631DC2">
      <w:pPr>
        <w:pStyle w:val="46"/>
        <w:rPr>
          <w:rFonts w:ascii="宋体" w:hAnsi="宋体" w:cs="宋体"/>
          <w:color w:val="auto"/>
        </w:rPr>
      </w:pPr>
    </w:p>
    <w:p w14:paraId="0FB699AB">
      <w:pPr>
        <w:pStyle w:val="17"/>
        <w:spacing w:line="400" w:lineRule="exact"/>
        <w:ind w:firstLine="420" w:firstLineChars="200"/>
        <w:rPr>
          <w:rFonts w:hAnsi="宋体" w:cs="宋体"/>
          <w:color w:val="auto"/>
        </w:rPr>
      </w:pPr>
    </w:p>
    <w:p w14:paraId="675D9642">
      <w:pPr>
        <w:pStyle w:val="46"/>
        <w:rPr>
          <w:rFonts w:ascii="宋体" w:hAnsi="宋体" w:cs="宋体"/>
          <w:color w:val="auto"/>
        </w:rPr>
      </w:pPr>
    </w:p>
    <w:p w14:paraId="41E91393">
      <w:pPr>
        <w:pStyle w:val="46"/>
        <w:rPr>
          <w:rFonts w:ascii="宋体" w:hAnsi="宋体" w:cs="宋体"/>
          <w:color w:val="auto"/>
        </w:rPr>
      </w:pPr>
    </w:p>
    <w:p w14:paraId="587984CD">
      <w:pPr>
        <w:pStyle w:val="46"/>
        <w:rPr>
          <w:rFonts w:ascii="宋体" w:hAnsi="宋体" w:cs="宋体"/>
          <w:color w:val="auto"/>
        </w:rPr>
      </w:pPr>
    </w:p>
    <w:p w14:paraId="33A045BA">
      <w:pPr>
        <w:pStyle w:val="46"/>
        <w:rPr>
          <w:rFonts w:ascii="宋体" w:hAnsi="宋体" w:cs="宋体"/>
          <w:color w:val="auto"/>
        </w:rPr>
      </w:pPr>
    </w:p>
    <w:p w14:paraId="33DBC04E">
      <w:pPr>
        <w:pStyle w:val="46"/>
        <w:rPr>
          <w:rFonts w:ascii="宋体" w:hAnsi="宋体" w:cs="宋体"/>
          <w:color w:val="auto"/>
        </w:rPr>
      </w:pPr>
    </w:p>
    <w:p w14:paraId="670543E4">
      <w:pPr>
        <w:pStyle w:val="11"/>
        <w:rPr>
          <w:rFonts w:ascii="宋体" w:hAnsi="宋体" w:cs="宋体"/>
          <w:color w:val="auto"/>
        </w:rPr>
      </w:pPr>
    </w:p>
    <w:p w14:paraId="16A42B0E">
      <w:pPr>
        <w:pStyle w:val="17"/>
        <w:spacing w:line="340" w:lineRule="exact"/>
        <w:rPr>
          <w:rFonts w:hAnsi="宋体" w:cs="宋体"/>
          <w:b/>
          <w:color w:val="auto"/>
          <w:sz w:val="28"/>
          <w:szCs w:val="28"/>
        </w:rPr>
      </w:pPr>
    </w:p>
    <w:p w14:paraId="2DB2874C">
      <w:pPr>
        <w:pStyle w:val="17"/>
        <w:spacing w:line="340" w:lineRule="exact"/>
        <w:rPr>
          <w:rFonts w:hAnsi="宋体" w:cs="宋体"/>
          <w:b/>
          <w:color w:val="auto"/>
          <w:sz w:val="28"/>
          <w:szCs w:val="28"/>
        </w:rPr>
      </w:pPr>
    </w:p>
    <w:p w14:paraId="0B3EA3A4">
      <w:pPr>
        <w:rPr>
          <w:rFonts w:ascii="宋体" w:hAnsi="宋体" w:cs="宋体"/>
          <w:b/>
          <w:color w:val="auto"/>
          <w:sz w:val="28"/>
          <w:szCs w:val="28"/>
        </w:rPr>
      </w:pPr>
    </w:p>
    <w:p w14:paraId="0D7EA28D">
      <w:pPr>
        <w:pStyle w:val="11"/>
        <w:rPr>
          <w:rFonts w:ascii="宋体" w:hAnsi="宋体" w:cs="宋体"/>
          <w:b/>
          <w:color w:val="auto"/>
          <w:sz w:val="28"/>
          <w:szCs w:val="28"/>
        </w:rPr>
      </w:pPr>
    </w:p>
    <w:p w14:paraId="6086D55C">
      <w:pPr>
        <w:rPr>
          <w:rFonts w:ascii="宋体" w:hAnsi="宋体" w:cs="宋体"/>
          <w:b/>
          <w:color w:val="auto"/>
          <w:sz w:val="28"/>
          <w:szCs w:val="28"/>
        </w:rPr>
      </w:pPr>
    </w:p>
    <w:p w14:paraId="17749346">
      <w:pPr>
        <w:pStyle w:val="11"/>
        <w:rPr>
          <w:rFonts w:ascii="宋体" w:hAnsi="宋体" w:cs="宋体"/>
          <w:b/>
          <w:color w:val="auto"/>
          <w:sz w:val="28"/>
          <w:szCs w:val="28"/>
        </w:rPr>
      </w:pPr>
    </w:p>
    <w:p w14:paraId="58E2C20C">
      <w:pPr>
        <w:pStyle w:val="12"/>
        <w:rPr>
          <w:color w:val="auto"/>
        </w:rPr>
      </w:pPr>
    </w:p>
    <w:p w14:paraId="1884E71A">
      <w:pPr>
        <w:rPr>
          <w:rFonts w:ascii="宋体" w:hAnsi="宋体" w:cs="宋体"/>
          <w:b/>
          <w:color w:val="auto"/>
          <w:sz w:val="28"/>
          <w:szCs w:val="28"/>
        </w:rPr>
      </w:pPr>
    </w:p>
    <w:p w14:paraId="765A773C">
      <w:pPr>
        <w:pStyle w:val="11"/>
        <w:rPr>
          <w:rFonts w:ascii="宋体" w:hAnsi="宋体" w:cs="宋体"/>
          <w:b/>
          <w:color w:val="auto"/>
          <w:sz w:val="28"/>
          <w:szCs w:val="28"/>
        </w:rPr>
      </w:pPr>
    </w:p>
    <w:p w14:paraId="6AE67A6E">
      <w:pPr>
        <w:spacing w:line="400" w:lineRule="exact"/>
        <w:rPr>
          <w:rFonts w:ascii="宋体" w:hAnsi="宋体" w:cs="宋体"/>
          <w:b/>
          <w:bCs/>
          <w:color w:val="auto"/>
          <w:sz w:val="28"/>
          <w:szCs w:val="28"/>
        </w:rPr>
      </w:pPr>
      <w:bookmarkStart w:id="172" w:name="_Toc12920"/>
      <w:bookmarkStart w:id="173" w:name="_Toc497927072"/>
      <w:bookmarkStart w:id="174" w:name="_Toc17617"/>
      <w:r>
        <w:rPr>
          <w:rFonts w:hint="eastAsia" w:ascii="宋体" w:hAnsi="宋体" w:cs="宋体"/>
          <w:b/>
          <w:bCs/>
          <w:color w:val="auto"/>
          <w:sz w:val="28"/>
          <w:szCs w:val="28"/>
        </w:rPr>
        <w:t>1.响应函（格式见附件）（必须提供）</w:t>
      </w:r>
      <w:bookmarkEnd w:id="172"/>
      <w:bookmarkEnd w:id="173"/>
      <w:bookmarkEnd w:id="174"/>
    </w:p>
    <w:p w14:paraId="691E4E44">
      <w:pPr>
        <w:pStyle w:val="46"/>
        <w:rPr>
          <w:rFonts w:ascii="宋体" w:hAnsi="宋体" w:cs="宋体"/>
          <w:color w:val="auto"/>
        </w:rPr>
      </w:pPr>
    </w:p>
    <w:p w14:paraId="3FB5C2BE">
      <w:pPr>
        <w:pStyle w:val="17"/>
        <w:rPr>
          <w:rFonts w:hAnsi="宋体" w:cs="宋体"/>
          <w:b/>
          <w:color w:val="auto"/>
          <w:sz w:val="32"/>
        </w:rPr>
      </w:pPr>
      <w:r>
        <w:rPr>
          <w:rFonts w:hint="eastAsia" w:hAnsi="宋体" w:cs="宋体"/>
          <w:b/>
          <w:color w:val="auto"/>
          <w:sz w:val="32"/>
        </w:rPr>
        <w:t>附件：</w:t>
      </w:r>
    </w:p>
    <w:p w14:paraId="696CF24F">
      <w:pPr>
        <w:pStyle w:val="17"/>
        <w:ind w:firstLine="800" w:firstLineChars="250"/>
        <w:jc w:val="center"/>
        <w:rPr>
          <w:rFonts w:hAnsi="宋体" w:cs="宋体"/>
          <w:b/>
          <w:color w:val="auto"/>
          <w:sz w:val="32"/>
        </w:rPr>
      </w:pPr>
      <w:r>
        <w:rPr>
          <w:rFonts w:hint="eastAsia" w:hAnsi="宋体" w:cs="宋体"/>
          <w:b/>
          <w:color w:val="auto"/>
          <w:sz w:val="32"/>
        </w:rPr>
        <w:t>响 应 函 （格 式）</w:t>
      </w:r>
    </w:p>
    <w:p w14:paraId="22B24545">
      <w:pPr>
        <w:spacing w:line="240" w:lineRule="exact"/>
        <w:jc w:val="center"/>
        <w:rPr>
          <w:rFonts w:ascii="宋体" w:hAnsi="宋体" w:cs="宋体"/>
          <w:color w:val="auto"/>
          <w:sz w:val="32"/>
        </w:rPr>
      </w:pPr>
    </w:p>
    <w:p w14:paraId="66C17A18">
      <w:pPr>
        <w:spacing w:line="400" w:lineRule="exact"/>
        <w:rPr>
          <w:rFonts w:ascii="宋体" w:hAnsi="宋体" w:cs="宋体"/>
          <w:color w:val="auto"/>
        </w:rPr>
      </w:pPr>
      <w:r>
        <w:rPr>
          <w:rFonts w:hint="eastAsia" w:ascii="宋体" w:hAnsi="宋体" w:cs="宋体"/>
          <w:color w:val="auto"/>
          <w:szCs w:val="21"/>
        </w:rPr>
        <w:t>致</w:t>
      </w:r>
      <w:r>
        <w:rPr>
          <w:rFonts w:hint="eastAsia" w:ascii="宋体" w:hAnsi="宋体" w:cs="宋体"/>
          <w:color w:val="auto"/>
          <w:szCs w:val="21"/>
          <w:u w:val="single"/>
        </w:rPr>
        <w:t xml:space="preserve">：欧邦工程管理集团有限公司   </w:t>
      </w:r>
    </w:p>
    <w:p w14:paraId="5BD263B6">
      <w:pPr>
        <w:spacing w:line="400" w:lineRule="exact"/>
        <w:rPr>
          <w:rFonts w:ascii="宋体" w:hAnsi="宋体" w:cs="宋体"/>
          <w:color w:val="auto"/>
          <w:szCs w:val="21"/>
        </w:rPr>
      </w:pPr>
    </w:p>
    <w:p w14:paraId="2C161F3E">
      <w:pPr>
        <w:pStyle w:val="17"/>
        <w:spacing w:line="360" w:lineRule="exact"/>
        <w:ind w:firstLine="420"/>
        <w:rPr>
          <w:rFonts w:hAnsi="宋体" w:cs="宋体"/>
          <w:color w:val="auto"/>
        </w:rPr>
      </w:pPr>
      <w:r>
        <w:rPr>
          <w:rFonts w:hint="eastAsia" w:hAnsi="宋体" w:cs="宋体"/>
          <w:color w:val="auto"/>
        </w:rPr>
        <w:t xml:space="preserve">根据贵方项目磋商文件，项目编号 </w:t>
      </w:r>
      <w:r>
        <w:rPr>
          <w:rFonts w:hint="eastAsia" w:hAnsi="宋体" w:cs="宋体"/>
          <w:color w:val="auto"/>
          <w:szCs w:val="21"/>
        </w:rPr>
        <w:t>，签字代表</w:t>
      </w:r>
      <w:r>
        <w:rPr>
          <w:rFonts w:hint="eastAsia" w:hAnsi="宋体" w:cs="宋体"/>
          <w:color w:val="auto"/>
        </w:rPr>
        <w:t xml:space="preserve">（姓名）经正式授权并代表供应商 </w:t>
      </w:r>
      <w:r>
        <w:rPr>
          <w:rFonts w:hint="eastAsia" w:hAnsi="宋体" w:cs="宋体"/>
          <w:color w:val="auto"/>
          <w:u w:val="single"/>
        </w:rPr>
        <w:t xml:space="preserve">                                   （</w:t>
      </w:r>
      <w:r>
        <w:rPr>
          <w:rFonts w:hint="eastAsia" w:hAnsi="宋体" w:cs="宋体"/>
          <w:color w:val="auto"/>
        </w:rPr>
        <w:t>供应商单位名称）。</w:t>
      </w:r>
    </w:p>
    <w:p w14:paraId="0AEF2090">
      <w:pPr>
        <w:pStyle w:val="17"/>
        <w:spacing w:line="360" w:lineRule="exact"/>
        <w:ind w:firstLine="420"/>
        <w:rPr>
          <w:rFonts w:hAnsi="宋体" w:cs="宋体"/>
          <w:color w:val="auto"/>
        </w:rPr>
      </w:pPr>
      <w:r>
        <w:rPr>
          <w:rFonts w:hint="eastAsia" w:hAnsi="宋体" w:cs="宋体"/>
          <w:color w:val="auto"/>
        </w:rPr>
        <w:t>据此函，签字代表宣布同意如下：</w:t>
      </w:r>
    </w:p>
    <w:p w14:paraId="14A17533">
      <w:pPr>
        <w:pStyle w:val="17"/>
        <w:spacing w:line="360" w:lineRule="exact"/>
        <w:ind w:firstLine="420"/>
        <w:rPr>
          <w:rFonts w:hAnsi="宋体" w:cs="宋体"/>
          <w:color w:val="auto"/>
        </w:rPr>
      </w:pPr>
      <w:r>
        <w:rPr>
          <w:rFonts w:hint="eastAsia" w:hAnsi="宋体" w:cs="宋体"/>
          <w:color w:val="auto"/>
        </w:rPr>
        <w:t>1. 按磋商文件采购需求和磋商报价表：</w:t>
      </w:r>
    </w:p>
    <w:p w14:paraId="65900D4A">
      <w:pPr>
        <w:snapToGrid w:val="0"/>
        <w:spacing w:line="320" w:lineRule="exact"/>
        <w:ind w:firstLine="594" w:firstLineChars="300"/>
        <w:rPr>
          <w:rFonts w:hAnsi="宋体" w:cs="宋体"/>
          <w:color w:val="auto"/>
        </w:rPr>
      </w:pPr>
      <w:r>
        <w:rPr>
          <w:rFonts w:hint="eastAsia" w:ascii="宋体" w:hAnsi="宋体"/>
          <w:color w:val="auto"/>
          <w:spacing w:val="-6"/>
        </w:rPr>
        <w:t>单价</w:t>
      </w:r>
      <w:r>
        <w:rPr>
          <w:rFonts w:hint="eastAsia" w:ascii="宋体" w:hAnsi="宋体" w:cs="宋体"/>
          <w:color w:val="auto"/>
          <w:szCs w:val="21"/>
        </w:rPr>
        <w:t>（病区、新生儿科、诊疗床）</w:t>
      </w:r>
      <w:r>
        <w:rPr>
          <w:rFonts w:hint="eastAsia" w:ascii="宋体" w:hAnsi="宋体"/>
          <w:color w:val="auto"/>
          <w:spacing w:val="-6"/>
        </w:rPr>
        <w:t>磋商</w:t>
      </w:r>
      <w:r>
        <w:rPr>
          <w:rFonts w:hint="eastAsia" w:ascii="宋体" w:hAnsi="宋体"/>
          <w:color w:val="auto"/>
          <w:spacing w:val="-6"/>
          <w:lang w:eastAsia="zh-CN"/>
        </w:rPr>
        <w:t>单价</w:t>
      </w:r>
      <w:r>
        <w:rPr>
          <w:rFonts w:hint="eastAsia" w:ascii="宋体" w:hAnsi="宋体"/>
          <w:color w:val="auto"/>
          <w:spacing w:val="-6"/>
        </w:rPr>
        <w:t>合计报价：</w:t>
      </w:r>
      <w:r>
        <w:rPr>
          <w:rFonts w:hint="eastAsia" w:ascii="宋体" w:hAnsi="宋体"/>
          <w:color w:val="auto"/>
          <w:spacing w:val="-6"/>
          <w:u w:val="single"/>
          <w:lang w:val="en-US" w:eastAsia="zh-CN"/>
        </w:rPr>
        <w:t xml:space="preserve">      </w:t>
      </w:r>
      <w:r>
        <w:rPr>
          <w:rFonts w:hint="eastAsia" w:ascii="宋体" w:hAnsi="宋体" w:cs="宋体"/>
          <w:b/>
          <w:bCs/>
          <w:color w:val="auto"/>
          <w:szCs w:val="21"/>
        </w:rPr>
        <w:t>元/床/天</w:t>
      </w:r>
      <w:r>
        <w:rPr>
          <w:rFonts w:hint="eastAsia" w:hAnsi="宋体" w:cs="宋体"/>
          <w:b/>
          <w:bCs/>
          <w:color w:val="auto"/>
          <w:sz w:val="24"/>
        </w:rPr>
        <w:t>。</w:t>
      </w:r>
    </w:p>
    <w:p w14:paraId="212743AD">
      <w:pPr>
        <w:pStyle w:val="17"/>
        <w:spacing w:line="360" w:lineRule="exact"/>
        <w:ind w:firstLine="420"/>
        <w:rPr>
          <w:rFonts w:hAnsi="宋体" w:cs="宋体"/>
          <w:color w:val="auto"/>
        </w:rPr>
      </w:pPr>
      <w:r>
        <w:rPr>
          <w:rFonts w:hint="eastAsia" w:hAnsi="宋体" w:cs="宋体"/>
          <w:color w:val="auto"/>
        </w:rPr>
        <w:t>2.我方承诺已具备磋商文件规定的供应商资格条件。</w:t>
      </w:r>
    </w:p>
    <w:p w14:paraId="5CE21DD3">
      <w:pPr>
        <w:pStyle w:val="17"/>
        <w:spacing w:line="360" w:lineRule="exact"/>
        <w:ind w:firstLine="420"/>
        <w:rPr>
          <w:rFonts w:hAnsi="宋体" w:cs="宋体"/>
          <w:color w:val="auto"/>
        </w:rPr>
      </w:pPr>
      <w:r>
        <w:rPr>
          <w:rFonts w:hint="eastAsia" w:hAnsi="宋体" w:cs="宋体"/>
          <w:color w:val="auto"/>
        </w:rPr>
        <w:t>3.我方已详细审核磋商文件，包括修改文件（如有的话）和有关附件，将自行承担因对全部磋商文件理解不正确或误解而产生的相应后果。</w:t>
      </w:r>
    </w:p>
    <w:p w14:paraId="04AEC1B6">
      <w:pPr>
        <w:pStyle w:val="17"/>
        <w:spacing w:line="360" w:lineRule="exact"/>
        <w:ind w:firstLine="420"/>
        <w:rPr>
          <w:rFonts w:hAnsi="宋体" w:cs="宋体"/>
          <w:color w:val="auto"/>
        </w:rPr>
      </w:pPr>
      <w:r>
        <w:rPr>
          <w:rFonts w:hint="eastAsia" w:hAnsi="宋体" w:cs="宋体"/>
          <w:color w:val="auto"/>
        </w:rPr>
        <w:t>4. 响应文件有效期为</w:t>
      </w:r>
      <w:r>
        <w:rPr>
          <w:rFonts w:hint="eastAsia" w:hAnsi="宋体" w:cs="宋体"/>
          <w:color w:val="auto"/>
          <w:szCs w:val="21"/>
        </w:rPr>
        <w:t>响应文件递交截止时间之日起90天。</w:t>
      </w:r>
    </w:p>
    <w:p w14:paraId="2D9D256B">
      <w:pPr>
        <w:pStyle w:val="17"/>
        <w:spacing w:line="360" w:lineRule="exact"/>
        <w:ind w:firstLine="420"/>
        <w:rPr>
          <w:rFonts w:hAnsi="宋体" w:cs="宋体"/>
          <w:color w:val="auto"/>
        </w:rPr>
      </w:pPr>
      <w:r>
        <w:rPr>
          <w:rFonts w:hint="eastAsia" w:hAnsi="宋体" w:cs="宋体"/>
          <w:color w:val="auto"/>
          <w:szCs w:val="21"/>
        </w:rPr>
        <w:t>5. 保证金有效期为响应文件递交截止时间之日起90天。</w:t>
      </w:r>
    </w:p>
    <w:p w14:paraId="2C7383B3">
      <w:pPr>
        <w:pStyle w:val="17"/>
        <w:spacing w:line="360" w:lineRule="exact"/>
        <w:ind w:firstLine="420"/>
        <w:rPr>
          <w:rFonts w:hAnsi="宋体" w:cs="宋体"/>
          <w:color w:val="auto"/>
        </w:rPr>
      </w:pPr>
      <w:r>
        <w:rPr>
          <w:rFonts w:hint="eastAsia" w:hAnsi="宋体" w:cs="宋体"/>
          <w:color w:val="auto"/>
        </w:rPr>
        <w:t>6. 如我方成交：</w:t>
      </w:r>
    </w:p>
    <w:p w14:paraId="41288850">
      <w:pPr>
        <w:pStyle w:val="17"/>
        <w:spacing w:line="360" w:lineRule="exact"/>
        <w:ind w:firstLine="420"/>
        <w:rPr>
          <w:rFonts w:hAnsi="宋体" w:cs="宋体"/>
          <w:color w:val="auto"/>
        </w:rPr>
      </w:pPr>
      <w:r>
        <w:rPr>
          <w:rFonts w:hint="eastAsia" w:hAnsi="宋体" w:cs="宋体"/>
          <w:color w:val="auto"/>
        </w:rPr>
        <w:t>（1）我方承诺在收到成交通知书后，在成交通知书规定的期限内与采购人签订合同。</w:t>
      </w:r>
    </w:p>
    <w:p w14:paraId="05B732BA">
      <w:pPr>
        <w:pStyle w:val="17"/>
        <w:spacing w:line="360" w:lineRule="exact"/>
        <w:ind w:firstLine="420"/>
        <w:rPr>
          <w:rFonts w:hAnsi="宋体" w:cs="宋体"/>
          <w:color w:val="auto"/>
        </w:rPr>
      </w:pPr>
      <w:r>
        <w:rPr>
          <w:rFonts w:hint="eastAsia" w:hAnsi="宋体" w:cs="宋体"/>
          <w:color w:val="auto"/>
        </w:rPr>
        <w:t>（2）我方承诺按照磋商文件规定递交履约担保。</w:t>
      </w:r>
    </w:p>
    <w:p w14:paraId="272C12CC">
      <w:pPr>
        <w:pStyle w:val="17"/>
        <w:spacing w:line="360" w:lineRule="exact"/>
        <w:ind w:firstLine="420"/>
        <w:rPr>
          <w:rFonts w:hAnsi="宋体" w:cs="宋体"/>
          <w:color w:val="auto"/>
        </w:rPr>
      </w:pPr>
      <w:r>
        <w:rPr>
          <w:rFonts w:hint="eastAsia" w:hAnsi="宋体" w:cs="宋体"/>
          <w:color w:val="auto"/>
        </w:rPr>
        <w:t>（3）我方承诺本响应文件至本项目合同履行完毕止均保持有效，按磋商文件及政府采购法律、法规的规定履行合同责任和义务。</w:t>
      </w:r>
    </w:p>
    <w:p w14:paraId="11341433">
      <w:pPr>
        <w:pStyle w:val="17"/>
        <w:spacing w:line="360" w:lineRule="exact"/>
        <w:ind w:firstLine="420"/>
        <w:rPr>
          <w:rFonts w:hAnsi="宋体" w:cs="宋体"/>
          <w:color w:val="auto"/>
        </w:rPr>
      </w:pPr>
      <w:r>
        <w:rPr>
          <w:rFonts w:hint="eastAsia" w:hAnsi="宋体" w:cs="宋体"/>
          <w:color w:val="auto"/>
        </w:rPr>
        <w:t>与本项目有关的正式通讯地址为：</w:t>
      </w:r>
    </w:p>
    <w:p w14:paraId="3AA170A5">
      <w:pPr>
        <w:rPr>
          <w:rFonts w:ascii="宋体" w:hAnsi="宋体" w:cs="宋体"/>
          <w:color w:val="auto"/>
          <w:szCs w:val="21"/>
        </w:rPr>
      </w:pPr>
    </w:p>
    <w:p w14:paraId="4FCBCA43">
      <w:pPr>
        <w:pStyle w:val="17"/>
        <w:spacing w:line="320" w:lineRule="exact"/>
        <w:ind w:firstLine="420"/>
        <w:rPr>
          <w:rFonts w:hAnsi="宋体" w:cs="宋体"/>
          <w:color w:val="auto"/>
          <w:szCs w:val="21"/>
          <w:u w:val="single"/>
        </w:rPr>
      </w:pPr>
      <w:r>
        <w:rPr>
          <w:rFonts w:hint="eastAsia" w:hAnsi="宋体" w:cs="宋体"/>
          <w:color w:val="auto"/>
          <w:szCs w:val="21"/>
        </w:rPr>
        <w:t>地址： 邮编：  电话、传真：</w:t>
      </w:r>
    </w:p>
    <w:p w14:paraId="0620EC32">
      <w:pPr>
        <w:pStyle w:val="17"/>
        <w:spacing w:line="320" w:lineRule="exact"/>
        <w:ind w:firstLine="420"/>
        <w:rPr>
          <w:rFonts w:hAnsi="宋体" w:cs="宋体"/>
          <w:color w:val="auto"/>
          <w:szCs w:val="21"/>
        </w:rPr>
      </w:pPr>
      <w:r>
        <w:rPr>
          <w:rFonts w:hint="eastAsia" w:hAnsi="宋体" w:cs="宋体"/>
          <w:color w:val="auto"/>
          <w:szCs w:val="21"/>
        </w:rPr>
        <w:t>开户名称：</w:t>
      </w:r>
    </w:p>
    <w:p w14:paraId="60636F25">
      <w:pPr>
        <w:pStyle w:val="17"/>
        <w:spacing w:line="320" w:lineRule="exact"/>
        <w:ind w:firstLine="420"/>
        <w:rPr>
          <w:rFonts w:hAnsi="宋体" w:cs="宋体"/>
          <w:color w:val="auto"/>
          <w:szCs w:val="21"/>
        </w:rPr>
      </w:pPr>
      <w:r>
        <w:rPr>
          <w:rFonts w:hint="eastAsia" w:hAnsi="宋体" w:cs="宋体"/>
          <w:color w:val="auto"/>
          <w:szCs w:val="21"/>
        </w:rPr>
        <w:t>开户银行：</w:t>
      </w:r>
      <w:r>
        <w:rPr>
          <w:rFonts w:hint="eastAsia" w:hAnsi="宋体" w:cs="宋体"/>
          <w:color w:val="auto"/>
          <w:szCs w:val="21"/>
          <w:u w:val="single"/>
        </w:rPr>
        <w:t xml:space="preserve">                               　       </w:t>
      </w:r>
    </w:p>
    <w:p w14:paraId="308B72F6">
      <w:pPr>
        <w:pStyle w:val="17"/>
        <w:spacing w:line="320" w:lineRule="exact"/>
        <w:ind w:firstLine="420"/>
        <w:rPr>
          <w:rFonts w:hAnsi="宋体" w:cs="宋体"/>
          <w:color w:val="auto"/>
          <w:szCs w:val="21"/>
        </w:rPr>
      </w:pPr>
      <w:r>
        <w:rPr>
          <w:rFonts w:hint="eastAsia" w:hAnsi="宋体" w:cs="宋体"/>
          <w:color w:val="auto"/>
          <w:szCs w:val="21"/>
        </w:rPr>
        <w:t>账号：</w:t>
      </w:r>
      <w:r>
        <w:rPr>
          <w:rFonts w:hint="eastAsia" w:hAnsi="宋体" w:cs="宋体"/>
          <w:color w:val="auto"/>
          <w:szCs w:val="21"/>
          <w:u w:val="single"/>
        </w:rPr>
        <w:t xml:space="preserve">                                   　　　   </w:t>
      </w:r>
    </w:p>
    <w:p w14:paraId="68AEC226">
      <w:pPr>
        <w:pStyle w:val="17"/>
        <w:spacing w:line="320" w:lineRule="exact"/>
        <w:ind w:firstLine="420"/>
        <w:rPr>
          <w:rFonts w:hAnsi="宋体" w:cs="宋体"/>
          <w:bCs/>
          <w:color w:val="auto"/>
          <w:szCs w:val="21"/>
          <w:u w:val="single"/>
        </w:rPr>
      </w:pPr>
      <w:r>
        <w:rPr>
          <w:rFonts w:hint="eastAsia" w:hAnsi="宋体" w:cs="宋体"/>
          <w:bCs/>
          <w:color w:val="auto"/>
          <w:szCs w:val="21"/>
        </w:rPr>
        <w:t>供应商[(CA证书签章)、自然人除外]：</w:t>
      </w:r>
    </w:p>
    <w:p w14:paraId="4BA86B91">
      <w:pPr>
        <w:pStyle w:val="17"/>
        <w:spacing w:line="320" w:lineRule="exact"/>
        <w:ind w:firstLine="420"/>
        <w:rPr>
          <w:rFonts w:hAnsi="宋体" w:cs="宋体"/>
          <w:color w:val="auto"/>
          <w:szCs w:val="21"/>
          <w:u w:val="single"/>
        </w:rPr>
      </w:pPr>
      <w:r>
        <w:rPr>
          <w:rFonts w:hint="eastAsia" w:hAnsi="宋体" w:cs="宋体"/>
          <w:color w:val="auto"/>
          <w:szCs w:val="21"/>
        </w:rPr>
        <w:t>法定代表人、负责人、自然人或相应的委托代理人签字[或盖章(CA证书签章)]（属自然人的应在签名处加盖大拇指指印或个人CA证书签章）：</w:t>
      </w:r>
    </w:p>
    <w:p w14:paraId="6C91DE18">
      <w:pPr>
        <w:pStyle w:val="17"/>
        <w:spacing w:line="320" w:lineRule="exact"/>
        <w:ind w:firstLine="420"/>
        <w:rPr>
          <w:rFonts w:hAnsi="宋体" w:cs="宋体"/>
          <w:color w:val="auto"/>
          <w:szCs w:val="21"/>
        </w:rPr>
        <w:sectPr>
          <w:pgSz w:w="11906" w:h="16838"/>
          <w:pgMar w:top="1440" w:right="935" w:bottom="1440" w:left="777" w:header="851" w:footer="992" w:gutter="0"/>
          <w:cols w:space="720" w:num="1"/>
          <w:docGrid w:type="linesAndChars" w:linePitch="312" w:charSpace="0"/>
        </w:sectPr>
      </w:pPr>
      <w:r>
        <w:rPr>
          <w:rFonts w:hint="eastAsia" w:hAnsi="宋体" w:cs="宋体"/>
          <w:bCs/>
          <w:color w:val="auto"/>
          <w:szCs w:val="21"/>
        </w:rPr>
        <w:t>响应</w:t>
      </w:r>
      <w:r>
        <w:rPr>
          <w:rFonts w:hint="eastAsia" w:hAnsi="宋体" w:cs="宋体"/>
          <w:color w:val="auto"/>
          <w:szCs w:val="21"/>
        </w:rPr>
        <w:t>日期：</w:t>
      </w:r>
    </w:p>
    <w:p w14:paraId="5142915C">
      <w:pPr>
        <w:pStyle w:val="17"/>
        <w:spacing w:line="340" w:lineRule="exact"/>
        <w:rPr>
          <w:rFonts w:hAnsi="宋体" w:cs="宋体"/>
          <w:color w:val="auto"/>
        </w:rPr>
      </w:pPr>
      <w:r>
        <w:rPr>
          <w:rFonts w:hint="eastAsia" w:hAnsi="宋体" w:cs="宋体"/>
          <w:b/>
          <w:color w:val="auto"/>
          <w:sz w:val="28"/>
          <w:szCs w:val="28"/>
        </w:rPr>
        <w:t>2. 磋商报价表（必须提供）；</w:t>
      </w:r>
    </w:p>
    <w:p w14:paraId="7E426985">
      <w:pPr>
        <w:pStyle w:val="17"/>
        <w:spacing w:line="320" w:lineRule="exact"/>
        <w:jc w:val="left"/>
        <w:rPr>
          <w:rFonts w:hAnsi="宋体" w:cs="宋体"/>
          <w:b/>
          <w:color w:val="auto"/>
          <w:sz w:val="28"/>
          <w:szCs w:val="28"/>
        </w:rPr>
      </w:pPr>
    </w:p>
    <w:p w14:paraId="2544D369">
      <w:pPr>
        <w:pStyle w:val="8"/>
        <w:ind w:left="0"/>
        <w:rPr>
          <w:rFonts w:ascii="宋体" w:hAnsi="宋体" w:cs="宋体"/>
          <w:color w:val="auto"/>
        </w:rPr>
      </w:pPr>
      <w:r>
        <w:rPr>
          <w:rFonts w:hint="eastAsia" w:ascii="宋体" w:hAnsi="宋体" w:cs="宋体"/>
          <w:b/>
          <w:bCs/>
          <w:color w:val="auto"/>
          <w:sz w:val="30"/>
          <w:szCs w:val="30"/>
        </w:rPr>
        <w:t>附件：</w:t>
      </w:r>
    </w:p>
    <w:p w14:paraId="79458B4C">
      <w:pPr>
        <w:spacing w:line="480" w:lineRule="auto"/>
        <w:ind w:firstLine="3360" w:firstLineChars="1050"/>
        <w:rPr>
          <w:rFonts w:ascii="宋体" w:hAnsi="宋体" w:cs="宋体"/>
          <w:b/>
          <w:color w:val="auto"/>
          <w:sz w:val="32"/>
          <w:szCs w:val="32"/>
        </w:rPr>
      </w:pPr>
      <w:r>
        <w:rPr>
          <w:rFonts w:hint="eastAsia" w:hAnsi="宋体"/>
          <w:b/>
          <w:color w:val="auto"/>
          <w:sz w:val="32"/>
        </w:rPr>
        <w:t>磋商报价表（格式）</w:t>
      </w:r>
    </w:p>
    <w:tbl>
      <w:tblPr>
        <w:tblStyle w:val="28"/>
        <w:tblW w:w="1004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0"/>
        <w:gridCol w:w="1165"/>
        <w:gridCol w:w="807"/>
        <w:gridCol w:w="2373"/>
        <w:gridCol w:w="1550"/>
        <w:gridCol w:w="1763"/>
        <w:gridCol w:w="1650"/>
      </w:tblGrid>
      <w:tr w14:paraId="24AB25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7" w:hRule="atLeast"/>
        </w:trPr>
        <w:tc>
          <w:tcPr>
            <w:tcW w:w="740" w:type="dxa"/>
            <w:tcBorders>
              <w:top w:val="single" w:color="auto" w:sz="4" w:space="0"/>
              <w:left w:val="single" w:color="auto" w:sz="4" w:space="0"/>
              <w:bottom w:val="single" w:color="auto" w:sz="4" w:space="0"/>
              <w:right w:val="single" w:color="auto" w:sz="4" w:space="0"/>
            </w:tcBorders>
            <w:noWrap/>
            <w:vAlign w:val="center"/>
          </w:tcPr>
          <w:p w14:paraId="554856FC">
            <w:pPr>
              <w:spacing w:line="300" w:lineRule="exact"/>
              <w:jc w:val="center"/>
              <w:rPr>
                <w:rFonts w:ascii="宋体" w:hAnsi="宋体"/>
                <w:b/>
                <w:bCs/>
                <w:color w:val="auto"/>
                <w:sz w:val="21"/>
                <w:szCs w:val="21"/>
              </w:rPr>
            </w:pPr>
            <w:r>
              <w:rPr>
                <w:rFonts w:hint="eastAsia" w:ascii="宋体" w:hAnsi="宋体"/>
                <w:b/>
                <w:bCs/>
                <w:color w:val="auto"/>
                <w:sz w:val="21"/>
                <w:szCs w:val="21"/>
              </w:rPr>
              <w:t>序号</w:t>
            </w:r>
          </w:p>
        </w:tc>
        <w:tc>
          <w:tcPr>
            <w:tcW w:w="1165" w:type="dxa"/>
            <w:tcBorders>
              <w:top w:val="single" w:color="auto" w:sz="4" w:space="0"/>
              <w:left w:val="single" w:color="auto" w:sz="4" w:space="0"/>
              <w:bottom w:val="single" w:color="auto" w:sz="4" w:space="0"/>
              <w:right w:val="single" w:color="auto" w:sz="4" w:space="0"/>
            </w:tcBorders>
            <w:noWrap/>
            <w:vAlign w:val="center"/>
          </w:tcPr>
          <w:p w14:paraId="197DCAB0">
            <w:pPr>
              <w:spacing w:line="280" w:lineRule="exact"/>
              <w:jc w:val="center"/>
              <w:rPr>
                <w:rFonts w:ascii="宋体" w:hAnsi="宋体"/>
                <w:b/>
                <w:bCs/>
                <w:color w:val="auto"/>
                <w:sz w:val="21"/>
                <w:szCs w:val="21"/>
              </w:rPr>
            </w:pPr>
            <w:r>
              <w:rPr>
                <w:rFonts w:hint="eastAsia" w:ascii="宋体" w:hAnsi="宋体"/>
                <w:b/>
                <w:bCs/>
                <w:color w:val="auto"/>
                <w:sz w:val="21"/>
                <w:szCs w:val="21"/>
              </w:rPr>
              <w:t>服务名称</w:t>
            </w:r>
          </w:p>
        </w:tc>
        <w:tc>
          <w:tcPr>
            <w:tcW w:w="807" w:type="dxa"/>
            <w:tcBorders>
              <w:top w:val="single" w:color="auto" w:sz="4" w:space="0"/>
              <w:left w:val="single" w:color="auto" w:sz="4" w:space="0"/>
              <w:bottom w:val="single" w:color="auto" w:sz="4" w:space="0"/>
              <w:right w:val="single" w:color="auto" w:sz="4" w:space="0"/>
            </w:tcBorders>
            <w:noWrap/>
            <w:vAlign w:val="center"/>
          </w:tcPr>
          <w:p w14:paraId="29D86F37">
            <w:pPr>
              <w:spacing w:line="300" w:lineRule="exact"/>
              <w:jc w:val="center"/>
              <w:rPr>
                <w:rFonts w:ascii="宋体" w:hAnsi="宋体"/>
                <w:b/>
                <w:bCs/>
                <w:color w:val="auto"/>
                <w:sz w:val="21"/>
                <w:szCs w:val="21"/>
              </w:rPr>
            </w:pPr>
            <w:r>
              <w:rPr>
                <w:rFonts w:hint="eastAsia" w:ascii="宋体" w:hAnsi="宋体"/>
                <w:b/>
                <w:bCs/>
                <w:color w:val="auto"/>
                <w:sz w:val="21"/>
                <w:szCs w:val="21"/>
              </w:rPr>
              <w:t>单位</w:t>
            </w:r>
          </w:p>
        </w:tc>
        <w:tc>
          <w:tcPr>
            <w:tcW w:w="2373" w:type="dxa"/>
            <w:tcBorders>
              <w:top w:val="single" w:color="auto" w:sz="4" w:space="0"/>
              <w:left w:val="single" w:color="auto" w:sz="4" w:space="0"/>
              <w:bottom w:val="single" w:color="auto" w:sz="4" w:space="0"/>
              <w:right w:val="single" w:color="auto" w:sz="4" w:space="0"/>
            </w:tcBorders>
            <w:noWrap/>
            <w:vAlign w:val="center"/>
          </w:tcPr>
          <w:p w14:paraId="779A5BDA">
            <w:pPr>
              <w:spacing w:line="300" w:lineRule="exact"/>
              <w:jc w:val="center"/>
              <w:rPr>
                <w:rFonts w:ascii="宋体" w:hAnsi="宋体"/>
                <w:b/>
                <w:bCs/>
                <w:color w:val="auto"/>
                <w:sz w:val="21"/>
                <w:szCs w:val="21"/>
              </w:rPr>
            </w:pPr>
            <w:r>
              <w:rPr>
                <w:rFonts w:hint="eastAsia" w:ascii="宋体" w:hAnsi="宋体"/>
                <w:b/>
                <w:bCs/>
                <w:color w:val="auto"/>
                <w:sz w:val="21"/>
                <w:szCs w:val="21"/>
              </w:rPr>
              <w:t>服务内容</w:t>
            </w:r>
          </w:p>
        </w:tc>
        <w:tc>
          <w:tcPr>
            <w:tcW w:w="1550" w:type="dxa"/>
            <w:tcBorders>
              <w:top w:val="single" w:color="auto" w:sz="4" w:space="0"/>
              <w:left w:val="single" w:color="auto" w:sz="4" w:space="0"/>
              <w:bottom w:val="single" w:color="auto" w:sz="4" w:space="0"/>
              <w:right w:val="single" w:color="auto" w:sz="4" w:space="0"/>
            </w:tcBorders>
            <w:noWrap/>
            <w:vAlign w:val="center"/>
          </w:tcPr>
          <w:p w14:paraId="635C4235">
            <w:pPr>
              <w:spacing w:line="300" w:lineRule="exact"/>
              <w:jc w:val="center"/>
              <w:rPr>
                <w:rFonts w:hint="eastAsia" w:ascii="宋体" w:hAnsi="宋体" w:cs="宋体"/>
                <w:b/>
                <w:bCs/>
                <w:color w:val="auto"/>
                <w:sz w:val="21"/>
                <w:szCs w:val="21"/>
                <w:lang w:val="en-US" w:eastAsia="zh-CN"/>
              </w:rPr>
            </w:pPr>
            <w:r>
              <w:rPr>
                <w:rFonts w:hint="eastAsia" w:ascii="宋体" w:hAnsi="宋体" w:cs="宋体"/>
                <w:b/>
                <w:bCs/>
                <w:color w:val="auto"/>
                <w:sz w:val="21"/>
                <w:szCs w:val="21"/>
              </w:rPr>
              <w:t>报价</w:t>
            </w:r>
            <w:r>
              <w:rPr>
                <w:rFonts w:hint="eastAsia" w:ascii="宋体" w:hAnsi="宋体" w:cs="宋体"/>
                <w:b/>
                <w:bCs/>
                <w:color w:val="auto"/>
                <w:sz w:val="21"/>
                <w:szCs w:val="21"/>
                <w:lang w:val="en-US" w:eastAsia="zh-CN"/>
              </w:rPr>
              <w:t>/单价</w:t>
            </w:r>
          </w:p>
          <w:p w14:paraId="2A79CDBE">
            <w:pPr>
              <w:spacing w:line="300" w:lineRule="exact"/>
              <w:jc w:val="center"/>
              <w:rPr>
                <w:rFonts w:ascii="宋体" w:hAnsi="宋体" w:eastAsia="仿宋_GB2312"/>
                <w:b/>
                <w:bCs/>
                <w:color w:val="auto"/>
                <w:sz w:val="21"/>
                <w:szCs w:val="21"/>
              </w:rPr>
            </w:pPr>
            <w:r>
              <w:rPr>
                <w:rFonts w:hint="eastAsia" w:ascii="宋体" w:hAnsi="宋体" w:cs="宋体"/>
                <w:b/>
                <w:bCs/>
                <w:color w:val="auto"/>
                <w:sz w:val="21"/>
                <w:szCs w:val="21"/>
              </w:rPr>
              <w:t>（元/床/天）</w:t>
            </w:r>
          </w:p>
        </w:tc>
        <w:tc>
          <w:tcPr>
            <w:tcW w:w="1763" w:type="dxa"/>
            <w:tcBorders>
              <w:bottom w:val="single" w:color="auto" w:sz="4" w:space="0"/>
              <w:right w:val="single" w:color="auto" w:sz="4" w:space="0"/>
            </w:tcBorders>
            <w:noWrap/>
            <w:vAlign w:val="center"/>
          </w:tcPr>
          <w:p w14:paraId="59BE3222">
            <w:pPr>
              <w:spacing w:line="300" w:lineRule="exact"/>
              <w:jc w:val="center"/>
              <w:rPr>
                <w:rFonts w:hint="eastAsia" w:ascii="宋体" w:hAnsi="宋体"/>
                <w:b/>
                <w:bCs/>
                <w:color w:val="auto"/>
                <w:sz w:val="21"/>
                <w:szCs w:val="21"/>
                <w:lang w:val="en-US" w:eastAsia="zh-CN"/>
              </w:rPr>
            </w:pPr>
            <w:r>
              <w:rPr>
                <w:rFonts w:hint="eastAsia" w:ascii="宋体" w:hAnsi="宋体"/>
                <w:b/>
                <w:bCs/>
                <w:color w:val="auto"/>
                <w:sz w:val="21"/>
                <w:szCs w:val="21"/>
                <w:lang w:val="en-US" w:eastAsia="zh-CN"/>
              </w:rPr>
              <w:t>每月参考</w:t>
            </w:r>
          </w:p>
          <w:p w14:paraId="321C8C37">
            <w:pPr>
              <w:spacing w:line="300" w:lineRule="exact"/>
              <w:jc w:val="center"/>
              <w:rPr>
                <w:rFonts w:ascii="宋体" w:hAnsi="宋体"/>
                <w:b/>
                <w:bCs/>
                <w:color w:val="auto"/>
                <w:sz w:val="21"/>
                <w:szCs w:val="21"/>
              </w:rPr>
            </w:pPr>
            <w:r>
              <w:rPr>
                <w:rFonts w:hint="eastAsia" w:ascii="宋体" w:hAnsi="宋体"/>
                <w:b/>
                <w:bCs/>
                <w:color w:val="auto"/>
                <w:sz w:val="21"/>
                <w:szCs w:val="21"/>
                <w:lang w:val="en-US" w:eastAsia="zh-CN"/>
              </w:rPr>
              <w:t>洗涤量</w:t>
            </w:r>
          </w:p>
        </w:tc>
        <w:tc>
          <w:tcPr>
            <w:tcW w:w="1650" w:type="dxa"/>
            <w:tcBorders>
              <w:left w:val="single" w:color="auto" w:sz="4" w:space="0"/>
              <w:bottom w:val="single" w:color="auto" w:sz="4" w:space="0"/>
            </w:tcBorders>
            <w:noWrap/>
            <w:vAlign w:val="center"/>
          </w:tcPr>
          <w:p w14:paraId="5A3C824F">
            <w:pPr>
              <w:spacing w:line="300" w:lineRule="exact"/>
              <w:jc w:val="center"/>
              <w:rPr>
                <w:rFonts w:hint="default" w:ascii="宋体" w:hAnsi="宋体"/>
                <w:b/>
                <w:bCs/>
                <w:color w:val="auto"/>
                <w:sz w:val="21"/>
                <w:szCs w:val="21"/>
                <w:lang w:val="en-US" w:eastAsia="zh-CN"/>
              </w:rPr>
            </w:pPr>
            <w:r>
              <w:rPr>
                <w:rFonts w:hint="eastAsia" w:ascii="宋体" w:hAnsi="宋体"/>
                <w:b/>
                <w:bCs/>
                <w:color w:val="auto"/>
                <w:sz w:val="21"/>
                <w:szCs w:val="21"/>
                <w:lang w:val="en-US" w:eastAsia="zh-CN"/>
              </w:rPr>
              <w:t>备注</w:t>
            </w:r>
          </w:p>
        </w:tc>
      </w:tr>
      <w:tr w14:paraId="51EAD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89" w:hRule="exact"/>
        </w:trPr>
        <w:tc>
          <w:tcPr>
            <w:tcW w:w="740" w:type="dxa"/>
            <w:tcBorders>
              <w:top w:val="single" w:color="auto" w:sz="4" w:space="0"/>
              <w:left w:val="single" w:color="auto" w:sz="4" w:space="0"/>
              <w:bottom w:val="single" w:color="auto" w:sz="4" w:space="0"/>
              <w:right w:val="single" w:color="auto" w:sz="4" w:space="0"/>
            </w:tcBorders>
            <w:noWrap/>
            <w:vAlign w:val="center"/>
          </w:tcPr>
          <w:p w14:paraId="6EEE70D4">
            <w:pPr>
              <w:jc w:val="center"/>
              <w:rPr>
                <w:rFonts w:ascii="宋体" w:hAnsi="宋体" w:cs="宋体"/>
                <w:color w:val="auto"/>
                <w:sz w:val="21"/>
                <w:szCs w:val="21"/>
              </w:rPr>
            </w:pPr>
            <w:r>
              <w:rPr>
                <w:rFonts w:hint="eastAsia" w:ascii="宋体" w:hAnsi="宋体" w:cs="宋体"/>
                <w:color w:val="auto"/>
                <w:sz w:val="21"/>
                <w:szCs w:val="21"/>
              </w:rPr>
              <w:t>1</w:t>
            </w:r>
          </w:p>
        </w:tc>
        <w:tc>
          <w:tcPr>
            <w:tcW w:w="1165" w:type="dxa"/>
            <w:tcBorders>
              <w:top w:val="single" w:color="auto" w:sz="4" w:space="0"/>
              <w:left w:val="single" w:color="auto" w:sz="4" w:space="0"/>
              <w:bottom w:val="single" w:color="auto" w:sz="4" w:space="0"/>
              <w:right w:val="single" w:color="auto" w:sz="4" w:space="0"/>
            </w:tcBorders>
            <w:noWrap/>
            <w:vAlign w:val="center"/>
          </w:tcPr>
          <w:p w14:paraId="4CEDD2D7">
            <w:pPr>
              <w:snapToGrid w:val="0"/>
              <w:spacing w:line="320" w:lineRule="exact"/>
              <w:jc w:val="center"/>
              <w:rPr>
                <w:rFonts w:ascii="宋体" w:hAnsi="宋体" w:cs="宋体"/>
                <w:color w:val="auto"/>
                <w:sz w:val="21"/>
                <w:szCs w:val="21"/>
              </w:rPr>
            </w:pPr>
            <w:r>
              <w:rPr>
                <w:rFonts w:hint="eastAsia" w:ascii="宋体" w:hAnsi="宋体" w:cs="宋体"/>
                <w:color w:val="auto"/>
                <w:sz w:val="21"/>
                <w:szCs w:val="21"/>
              </w:rPr>
              <w:t>病区</w:t>
            </w:r>
          </w:p>
        </w:tc>
        <w:tc>
          <w:tcPr>
            <w:tcW w:w="807" w:type="dxa"/>
            <w:tcBorders>
              <w:top w:val="single" w:color="auto" w:sz="4" w:space="0"/>
              <w:left w:val="single" w:color="auto" w:sz="4" w:space="0"/>
              <w:bottom w:val="single" w:color="auto" w:sz="4" w:space="0"/>
              <w:right w:val="single" w:color="auto" w:sz="4" w:space="0"/>
            </w:tcBorders>
            <w:noWrap/>
            <w:vAlign w:val="center"/>
          </w:tcPr>
          <w:p w14:paraId="0FFFE7C1">
            <w:pPr>
              <w:jc w:val="center"/>
              <w:rPr>
                <w:rFonts w:ascii="宋体" w:hAnsi="宋体" w:cs="宋体"/>
                <w:color w:val="auto"/>
                <w:sz w:val="21"/>
                <w:szCs w:val="21"/>
              </w:rPr>
            </w:pPr>
            <w:r>
              <w:rPr>
                <w:rFonts w:hint="eastAsia" w:ascii="宋体" w:hAnsi="宋体" w:cs="宋体"/>
                <w:color w:val="auto"/>
                <w:sz w:val="21"/>
                <w:szCs w:val="21"/>
              </w:rPr>
              <w:t>床</w:t>
            </w:r>
          </w:p>
        </w:tc>
        <w:tc>
          <w:tcPr>
            <w:tcW w:w="2373" w:type="dxa"/>
            <w:tcBorders>
              <w:top w:val="single" w:color="auto" w:sz="4" w:space="0"/>
              <w:left w:val="single" w:color="auto" w:sz="4" w:space="0"/>
              <w:bottom w:val="single" w:color="auto" w:sz="4" w:space="0"/>
              <w:right w:val="single" w:color="auto" w:sz="4" w:space="0"/>
            </w:tcBorders>
            <w:noWrap/>
            <w:vAlign w:val="center"/>
          </w:tcPr>
          <w:p w14:paraId="2B59C624">
            <w:pPr>
              <w:snapToGrid w:val="0"/>
              <w:spacing w:line="320" w:lineRule="exact"/>
              <w:jc w:val="center"/>
              <w:rPr>
                <w:rFonts w:ascii="宋体" w:hAnsi="宋体"/>
                <w:b/>
                <w:bCs/>
                <w:color w:val="auto"/>
                <w:sz w:val="21"/>
                <w:szCs w:val="21"/>
              </w:rPr>
            </w:pPr>
            <w:r>
              <w:rPr>
                <w:rFonts w:hint="eastAsia" w:ascii="宋体" w:hAnsi="宋体" w:cs="宋体"/>
                <w:color w:val="auto"/>
                <w:sz w:val="21"/>
                <w:szCs w:val="21"/>
              </w:rPr>
              <w:t>床单、被套、枕套、病衣、病裤、枕芯、垫被、冬（夏）被</w:t>
            </w:r>
          </w:p>
        </w:tc>
        <w:tc>
          <w:tcPr>
            <w:tcW w:w="1550" w:type="dxa"/>
            <w:tcBorders>
              <w:top w:val="single" w:color="auto" w:sz="4" w:space="0"/>
              <w:left w:val="single" w:color="auto" w:sz="4" w:space="0"/>
              <w:bottom w:val="single" w:color="auto" w:sz="4" w:space="0"/>
              <w:right w:val="single" w:color="auto" w:sz="4" w:space="0"/>
            </w:tcBorders>
            <w:noWrap/>
            <w:vAlign w:val="center"/>
          </w:tcPr>
          <w:p w14:paraId="45AE0A18">
            <w:pPr>
              <w:keepNext w:val="0"/>
              <w:keepLines w:val="0"/>
              <w:widowControl/>
              <w:suppressLineNumbers w:val="0"/>
              <w:jc w:val="center"/>
              <w:textAlignment w:val="center"/>
              <w:rPr>
                <w:rFonts w:ascii="宋体" w:hAnsi="宋体"/>
                <w:b/>
                <w:bCs/>
                <w:color w:val="auto"/>
                <w:sz w:val="21"/>
                <w:szCs w:val="21"/>
              </w:rPr>
            </w:pPr>
          </w:p>
        </w:tc>
        <w:tc>
          <w:tcPr>
            <w:tcW w:w="1763" w:type="dxa"/>
            <w:tcBorders>
              <w:top w:val="single" w:color="auto" w:sz="4" w:space="0"/>
              <w:bottom w:val="single" w:color="auto" w:sz="4" w:space="0"/>
              <w:right w:val="single" w:color="auto" w:sz="4" w:space="0"/>
            </w:tcBorders>
            <w:noWrap/>
            <w:vAlign w:val="center"/>
          </w:tcPr>
          <w:p w14:paraId="609AA018">
            <w:pPr>
              <w:snapToGrid w:val="0"/>
              <w:spacing w:line="320" w:lineRule="exact"/>
              <w:jc w:val="center"/>
              <w:rPr>
                <w:rFonts w:ascii="宋体" w:hAnsi="宋体"/>
                <w:b/>
                <w:bCs/>
                <w:color w:val="auto"/>
                <w:sz w:val="21"/>
                <w:szCs w:val="21"/>
              </w:rPr>
            </w:pPr>
            <w:r>
              <w:rPr>
                <w:rFonts w:hint="eastAsia" w:ascii="宋体" w:hAnsi="宋体" w:cs="宋体"/>
                <w:color w:val="auto"/>
                <w:sz w:val="21"/>
                <w:szCs w:val="21"/>
              </w:rPr>
              <w:t>14719</w:t>
            </w:r>
          </w:p>
        </w:tc>
        <w:tc>
          <w:tcPr>
            <w:tcW w:w="1650" w:type="dxa"/>
            <w:tcBorders>
              <w:top w:val="single" w:color="auto" w:sz="4" w:space="0"/>
              <w:left w:val="single" w:color="auto" w:sz="4" w:space="0"/>
              <w:bottom w:val="single" w:color="auto" w:sz="4" w:space="0"/>
            </w:tcBorders>
            <w:noWrap/>
            <w:vAlign w:val="center"/>
          </w:tcPr>
          <w:p w14:paraId="3AA0BDA9">
            <w:pPr>
              <w:snapToGrid w:val="0"/>
              <w:spacing w:line="320" w:lineRule="exact"/>
              <w:jc w:val="center"/>
              <w:rPr>
                <w:rFonts w:hint="eastAsia" w:ascii="宋体" w:hAnsi="宋体" w:cs="宋体"/>
                <w:color w:val="auto"/>
                <w:sz w:val="21"/>
                <w:szCs w:val="21"/>
              </w:rPr>
            </w:pPr>
          </w:p>
        </w:tc>
      </w:tr>
      <w:tr w14:paraId="41151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04" w:hRule="exact"/>
        </w:trPr>
        <w:tc>
          <w:tcPr>
            <w:tcW w:w="740" w:type="dxa"/>
            <w:tcBorders>
              <w:top w:val="single" w:color="auto" w:sz="4" w:space="0"/>
              <w:left w:val="single" w:color="auto" w:sz="4" w:space="0"/>
              <w:bottom w:val="single" w:color="auto" w:sz="4" w:space="0"/>
              <w:right w:val="single" w:color="auto" w:sz="4" w:space="0"/>
            </w:tcBorders>
            <w:noWrap/>
            <w:vAlign w:val="center"/>
          </w:tcPr>
          <w:p w14:paraId="72BC076B">
            <w:pPr>
              <w:jc w:val="center"/>
              <w:rPr>
                <w:rFonts w:ascii="宋体" w:hAnsi="宋体" w:cs="宋体"/>
                <w:color w:val="auto"/>
                <w:sz w:val="21"/>
                <w:szCs w:val="21"/>
              </w:rPr>
            </w:pPr>
            <w:r>
              <w:rPr>
                <w:rFonts w:hint="eastAsia" w:ascii="宋体" w:hAnsi="宋体" w:cs="宋体"/>
                <w:color w:val="auto"/>
                <w:sz w:val="21"/>
                <w:szCs w:val="21"/>
              </w:rPr>
              <w:t>2</w:t>
            </w:r>
          </w:p>
        </w:tc>
        <w:tc>
          <w:tcPr>
            <w:tcW w:w="1165" w:type="dxa"/>
            <w:tcBorders>
              <w:top w:val="single" w:color="auto" w:sz="4" w:space="0"/>
              <w:left w:val="single" w:color="auto" w:sz="4" w:space="0"/>
              <w:bottom w:val="single" w:color="auto" w:sz="4" w:space="0"/>
              <w:right w:val="single" w:color="auto" w:sz="4" w:space="0"/>
            </w:tcBorders>
            <w:noWrap/>
            <w:vAlign w:val="center"/>
          </w:tcPr>
          <w:p w14:paraId="2D4D4C0A">
            <w:pPr>
              <w:snapToGrid w:val="0"/>
              <w:spacing w:line="320" w:lineRule="exact"/>
              <w:jc w:val="center"/>
              <w:rPr>
                <w:rFonts w:ascii="宋体" w:hAnsi="宋体" w:cs="宋体"/>
                <w:color w:val="auto"/>
                <w:sz w:val="21"/>
                <w:szCs w:val="21"/>
              </w:rPr>
            </w:pPr>
            <w:r>
              <w:rPr>
                <w:rFonts w:hint="eastAsia" w:ascii="宋体" w:hAnsi="宋体" w:cs="宋体"/>
                <w:color w:val="auto"/>
                <w:sz w:val="21"/>
                <w:szCs w:val="21"/>
                <w:highlight w:val="none"/>
              </w:rPr>
              <w:t>新生儿科</w:t>
            </w:r>
          </w:p>
        </w:tc>
        <w:tc>
          <w:tcPr>
            <w:tcW w:w="807" w:type="dxa"/>
            <w:tcBorders>
              <w:top w:val="single" w:color="auto" w:sz="4" w:space="0"/>
              <w:left w:val="single" w:color="auto" w:sz="4" w:space="0"/>
              <w:bottom w:val="single" w:color="auto" w:sz="4" w:space="0"/>
              <w:right w:val="single" w:color="auto" w:sz="4" w:space="0"/>
            </w:tcBorders>
            <w:noWrap/>
            <w:vAlign w:val="center"/>
          </w:tcPr>
          <w:p w14:paraId="3C684F7A">
            <w:pPr>
              <w:jc w:val="center"/>
              <w:rPr>
                <w:rFonts w:ascii="宋体" w:hAnsi="宋体" w:cs="宋体"/>
                <w:color w:val="auto"/>
                <w:sz w:val="21"/>
                <w:szCs w:val="21"/>
              </w:rPr>
            </w:pPr>
            <w:r>
              <w:rPr>
                <w:rFonts w:hint="eastAsia" w:ascii="宋体" w:hAnsi="宋体" w:cs="宋体"/>
                <w:color w:val="auto"/>
                <w:sz w:val="21"/>
                <w:szCs w:val="21"/>
              </w:rPr>
              <w:t>床</w:t>
            </w:r>
          </w:p>
        </w:tc>
        <w:tc>
          <w:tcPr>
            <w:tcW w:w="2373" w:type="dxa"/>
            <w:tcBorders>
              <w:top w:val="single" w:color="auto" w:sz="4" w:space="0"/>
              <w:left w:val="single" w:color="auto" w:sz="4" w:space="0"/>
              <w:bottom w:val="single" w:color="auto" w:sz="4" w:space="0"/>
              <w:right w:val="single" w:color="auto" w:sz="4" w:space="0"/>
            </w:tcBorders>
            <w:noWrap/>
            <w:vAlign w:val="center"/>
          </w:tcPr>
          <w:p w14:paraId="07CF5B13">
            <w:pPr>
              <w:snapToGrid w:val="0"/>
              <w:spacing w:line="320" w:lineRule="exact"/>
              <w:jc w:val="center"/>
              <w:rPr>
                <w:rFonts w:ascii="宋体" w:hAnsi="宋体"/>
                <w:b/>
                <w:bCs/>
                <w:color w:val="auto"/>
                <w:sz w:val="21"/>
                <w:szCs w:val="21"/>
              </w:rPr>
            </w:pPr>
            <w:r>
              <w:rPr>
                <w:rFonts w:hint="eastAsia" w:ascii="宋体" w:hAnsi="宋体" w:cs="宋体"/>
                <w:b/>
                <w:bCs/>
                <w:color w:val="auto"/>
                <w:sz w:val="21"/>
                <w:szCs w:val="21"/>
                <w:highlight w:val="none"/>
              </w:rPr>
              <w:t>小床单、小被套、小包被、浴巾、毛毛衣</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rPr>
              <w:t>包被</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rPr>
              <w:t>棉被单</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rPr>
              <w:t>棉布单</w:t>
            </w:r>
          </w:p>
        </w:tc>
        <w:tc>
          <w:tcPr>
            <w:tcW w:w="1550" w:type="dxa"/>
            <w:tcBorders>
              <w:top w:val="single" w:color="auto" w:sz="4" w:space="0"/>
              <w:left w:val="single" w:color="auto" w:sz="4" w:space="0"/>
              <w:bottom w:val="single" w:color="auto" w:sz="4" w:space="0"/>
              <w:right w:val="single" w:color="auto" w:sz="4" w:space="0"/>
            </w:tcBorders>
            <w:noWrap/>
            <w:vAlign w:val="center"/>
          </w:tcPr>
          <w:p w14:paraId="12773C43">
            <w:pPr>
              <w:keepNext w:val="0"/>
              <w:keepLines w:val="0"/>
              <w:widowControl/>
              <w:suppressLineNumbers w:val="0"/>
              <w:jc w:val="center"/>
              <w:textAlignment w:val="center"/>
              <w:rPr>
                <w:rFonts w:ascii="宋体" w:hAnsi="宋体"/>
                <w:b/>
                <w:bCs/>
                <w:color w:val="auto"/>
                <w:sz w:val="21"/>
                <w:szCs w:val="21"/>
              </w:rPr>
            </w:pPr>
          </w:p>
        </w:tc>
        <w:tc>
          <w:tcPr>
            <w:tcW w:w="1763" w:type="dxa"/>
            <w:tcBorders>
              <w:top w:val="single" w:color="auto" w:sz="4" w:space="0"/>
              <w:bottom w:val="single" w:color="auto" w:sz="4" w:space="0"/>
              <w:right w:val="single" w:color="auto" w:sz="4" w:space="0"/>
            </w:tcBorders>
            <w:noWrap/>
            <w:vAlign w:val="center"/>
          </w:tcPr>
          <w:p w14:paraId="13896B45">
            <w:pPr>
              <w:snapToGrid w:val="0"/>
              <w:spacing w:line="320" w:lineRule="exact"/>
              <w:jc w:val="center"/>
              <w:rPr>
                <w:rFonts w:ascii="宋体" w:hAnsi="宋体"/>
                <w:b/>
                <w:bCs/>
                <w:color w:val="auto"/>
                <w:sz w:val="21"/>
                <w:szCs w:val="21"/>
              </w:rPr>
            </w:pPr>
            <w:r>
              <w:rPr>
                <w:rFonts w:hint="eastAsia" w:ascii="宋体" w:hAnsi="宋体" w:cs="宋体"/>
                <w:color w:val="auto"/>
                <w:sz w:val="21"/>
                <w:szCs w:val="21"/>
              </w:rPr>
              <w:t>1400</w:t>
            </w:r>
          </w:p>
        </w:tc>
        <w:tc>
          <w:tcPr>
            <w:tcW w:w="1650" w:type="dxa"/>
            <w:tcBorders>
              <w:top w:val="single" w:color="auto" w:sz="4" w:space="0"/>
              <w:left w:val="single" w:color="auto" w:sz="4" w:space="0"/>
              <w:bottom w:val="single" w:color="auto" w:sz="4" w:space="0"/>
            </w:tcBorders>
            <w:noWrap/>
            <w:vAlign w:val="center"/>
          </w:tcPr>
          <w:p w14:paraId="062D0A3A">
            <w:pPr>
              <w:snapToGrid w:val="0"/>
              <w:spacing w:line="320" w:lineRule="exact"/>
              <w:jc w:val="center"/>
              <w:rPr>
                <w:rFonts w:hint="eastAsia" w:ascii="宋体" w:hAnsi="宋体" w:cs="宋体"/>
                <w:color w:val="auto"/>
                <w:sz w:val="21"/>
                <w:szCs w:val="21"/>
              </w:rPr>
            </w:pPr>
          </w:p>
        </w:tc>
      </w:tr>
      <w:tr w14:paraId="4314D5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2" w:hRule="exact"/>
        </w:trPr>
        <w:tc>
          <w:tcPr>
            <w:tcW w:w="740" w:type="dxa"/>
            <w:tcBorders>
              <w:top w:val="single" w:color="auto" w:sz="4" w:space="0"/>
              <w:left w:val="single" w:color="auto" w:sz="4" w:space="0"/>
              <w:bottom w:val="single" w:color="auto" w:sz="4" w:space="0"/>
              <w:right w:val="single" w:color="auto" w:sz="4" w:space="0"/>
            </w:tcBorders>
            <w:noWrap/>
            <w:vAlign w:val="center"/>
          </w:tcPr>
          <w:p w14:paraId="3645B59F">
            <w:pPr>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165" w:type="dxa"/>
            <w:tcBorders>
              <w:top w:val="single" w:color="auto" w:sz="4" w:space="0"/>
              <w:left w:val="single" w:color="auto" w:sz="4" w:space="0"/>
              <w:bottom w:val="single" w:color="auto" w:sz="4" w:space="0"/>
              <w:right w:val="single" w:color="auto" w:sz="4" w:space="0"/>
            </w:tcBorders>
            <w:noWrap/>
            <w:vAlign w:val="center"/>
          </w:tcPr>
          <w:p w14:paraId="4A494218">
            <w:pPr>
              <w:snapToGrid w:val="0"/>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诊疗床</w:t>
            </w:r>
          </w:p>
        </w:tc>
        <w:tc>
          <w:tcPr>
            <w:tcW w:w="807" w:type="dxa"/>
            <w:tcBorders>
              <w:top w:val="single" w:color="auto" w:sz="4" w:space="0"/>
              <w:left w:val="single" w:color="auto" w:sz="4" w:space="0"/>
              <w:bottom w:val="single" w:color="auto" w:sz="4" w:space="0"/>
              <w:right w:val="single" w:color="auto" w:sz="4" w:space="0"/>
            </w:tcBorders>
            <w:noWrap/>
            <w:vAlign w:val="center"/>
          </w:tcPr>
          <w:p w14:paraId="4A0C09CD">
            <w:pPr>
              <w:jc w:val="center"/>
              <w:rPr>
                <w:rFonts w:ascii="宋体" w:hAnsi="宋体" w:cs="宋体"/>
                <w:color w:val="auto"/>
                <w:sz w:val="21"/>
                <w:szCs w:val="21"/>
                <w:highlight w:val="none"/>
              </w:rPr>
            </w:pPr>
            <w:r>
              <w:rPr>
                <w:rFonts w:hint="eastAsia" w:ascii="宋体" w:hAnsi="宋体" w:cs="宋体"/>
                <w:color w:val="auto"/>
                <w:sz w:val="21"/>
                <w:szCs w:val="21"/>
                <w:highlight w:val="none"/>
              </w:rPr>
              <w:t>床</w:t>
            </w:r>
          </w:p>
        </w:tc>
        <w:tc>
          <w:tcPr>
            <w:tcW w:w="2373" w:type="dxa"/>
            <w:tcBorders>
              <w:top w:val="single" w:color="auto" w:sz="4" w:space="0"/>
              <w:left w:val="single" w:color="auto" w:sz="4" w:space="0"/>
              <w:bottom w:val="single" w:color="auto" w:sz="4" w:space="0"/>
              <w:right w:val="single" w:color="auto" w:sz="4" w:space="0"/>
            </w:tcBorders>
            <w:noWrap/>
            <w:vAlign w:val="center"/>
          </w:tcPr>
          <w:p w14:paraId="37EF1660">
            <w:pPr>
              <w:snapToGrid w:val="0"/>
              <w:spacing w:line="320" w:lineRule="exact"/>
              <w:jc w:val="center"/>
              <w:rPr>
                <w:rFonts w:ascii="宋体" w:hAnsi="宋体"/>
                <w:b/>
                <w:bCs/>
                <w:color w:val="auto"/>
                <w:sz w:val="21"/>
                <w:szCs w:val="21"/>
                <w:highlight w:val="none"/>
              </w:rPr>
            </w:pPr>
            <w:r>
              <w:rPr>
                <w:rFonts w:hint="eastAsia" w:ascii="宋体" w:hAnsi="宋体" w:cs="宋体"/>
                <w:b/>
                <w:bCs/>
                <w:color w:val="auto"/>
                <w:sz w:val="21"/>
                <w:szCs w:val="21"/>
                <w:highlight w:val="none"/>
              </w:rPr>
              <w:t>床单、被套、枕套、枕芯、垫被、冬（夏）被</w:t>
            </w:r>
          </w:p>
        </w:tc>
        <w:tc>
          <w:tcPr>
            <w:tcW w:w="1550" w:type="dxa"/>
            <w:tcBorders>
              <w:top w:val="single" w:color="auto" w:sz="4" w:space="0"/>
              <w:left w:val="single" w:color="auto" w:sz="4" w:space="0"/>
              <w:bottom w:val="single" w:color="auto" w:sz="4" w:space="0"/>
              <w:right w:val="single" w:color="auto" w:sz="4" w:space="0"/>
            </w:tcBorders>
            <w:noWrap/>
            <w:vAlign w:val="center"/>
          </w:tcPr>
          <w:p w14:paraId="1FC54E68">
            <w:pPr>
              <w:keepNext w:val="0"/>
              <w:keepLines w:val="0"/>
              <w:widowControl/>
              <w:suppressLineNumbers w:val="0"/>
              <w:jc w:val="center"/>
              <w:textAlignment w:val="center"/>
              <w:rPr>
                <w:rFonts w:ascii="宋体" w:hAnsi="宋体"/>
                <w:b/>
                <w:bCs/>
                <w:color w:val="auto"/>
                <w:sz w:val="21"/>
                <w:szCs w:val="21"/>
                <w:highlight w:val="none"/>
              </w:rPr>
            </w:pPr>
          </w:p>
        </w:tc>
        <w:tc>
          <w:tcPr>
            <w:tcW w:w="1763" w:type="dxa"/>
            <w:tcBorders>
              <w:top w:val="single" w:color="auto" w:sz="4" w:space="0"/>
              <w:bottom w:val="single" w:color="auto" w:sz="4" w:space="0"/>
              <w:right w:val="single" w:color="auto" w:sz="4" w:space="0"/>
            </w:tcBorders>
            <w:noWrap/>
            <w:vAlign w:val="center"/>
          </w:tcPr>
          <w:p w14:paraId="687C5C53">
            <w:pPr>
              <w:snapToGrid w:val="0"/>
              <w:spacing w:line="320" w:lineRule="exact"/>
              <w:jc w:val="center"/>
              <w:rPr>
                <w:rFonts w:ascii="宋体" w:hAnsi="宋体"/>
                <w:b/>
                <w:bCs/>
                <w:color w:val="auto"/>
                <w:sz w:val="21"/>
                <w:szCs w:val="21"/>
                <w:highlight w:val="none"/>
              </w:rPr>
            </w:pPr>
            <w:r>
              <w:rPr>
                <w:rFonts w:hint="eastAsia" w:ascii="宋体" w:hAnsi="宋体" w:cs="宋体"/>
                <w:color w:val="auto"/>
                <w:sz w:val="21"/>
                <w:szCs w:val="21"/>
                <w:highlight w:val="none"/>
              </w:rPr>
              <w:t>200</w:t>
            </w:r>
          </w:p>
        </w:tc>
        <w:tc>
          <w:tcPr>
            <w:tcW w:w="1650" w:type="dxa"/>
            <w:tcBorders>
              <w:top w:val="single" w:color="auto" w:sz="4" w:space="0"/>
              <w:left w:val="single" w:color="auto" w:sz="4" w:space="0"/>
              <w:bottom w:val="single" w:color="auto" w:sz="4" w:space="0"/>
            </w:tcBorders>
            <w:noWrap/>
            <w:vAlign w:val="center"/>
          </w:tcPr>
          <w:p w14:paraId="40453814">
            <w:pPr>
              <w:snapToGrid w:val="0"/>
              <w:spacing w:line="320" w:lineRule="exact"/>
              <w:jc w:val="center"/>
              <w:rPr>
                <w:rFonts w:hint="eastAsia" w:ascii="宋体" w:hAnsi="宋体" w:cs="宋体"/>
                <w:color w:val="auto"/>
                <w:sz w:val="21"/>
                <w:szCs w:val="21"/>
                <w:highlight w:val="none"/>
              </w:rPr>
            </w:pPr>
          </w:p>
        </w:tc>
      </w:tr>
      <w:tr w14:paraId="31753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2" w:hRule="exact"/>
        </w:trPr>
        <w:tc>
          <w:tcPr>
            <w:tcW w:w="2712" w:type="dxa"/>
            <w:gridSpan w:val="3"/>
            <w:tcBorders>
              <w:top w:val="single" w:color="auto" w:sz="4" w:space="0"/>
              <w:left w:val="single" w:color="auto" w:sz="4" w:space="0"/>
              <w:bottom w:val="single" w:color="auto" w:sz="4" w:space="0"/>
              <w:right w:val="single" w:color="auto" w:sz="4" w:space="0"/>
            </w:tcBorders>
            <w:noWrap/>
            <w:vAlign w:val="center"/>
          </w:tcPr>
          <w:p w14:paraId="56BEF8FE">
            <w:pPr>
              <w:jc w:val="center"/>
              <w:rPr>
                <w:rFonts w:hint="eastAsia" w:ascii="宋体" w:hAnsi="宋体" w:eastAsia="宋体" w:cs="宋体"/>
                <w:color w:val="auto"/>
                <w:sz w:val="21"/>
                <w:szCs w:val="21"/>
                <w:highlight w:val="none"/>
                <w:lang w:eastAsia="zh-CN"/>
              </w:rPr>
            </w:pPr>
            <w:r>
              <w:rPr>
                <w:rFonts w:hint="eastAsia" w:ascii="宋体" w:hAnsi="宋体"/>
                <w:color w:val="auto"/>
                <w:spacing w:val="-6"/>
              </w:rPr>
              <w:t>磋商</w:t>
            </w:r>
            <w:r>
              <w:rPr>
                <w:rFonts w:hint="eastAsia" w:ascii="宋体" w:hAnsi="宋体"/>
                <w:color w:val="auto"/>
                <w:spacing w:val="-6"/>
                <w:lang w:eastAsia="zh-CN"/>
              </w:rPr>
              <w:t>单价</w:t>
            </w:r>
            <w:r>
              <w:rPr>
                <w:rFonts w:hint="eastAsia" w:ascii="宋体" w:hAnsi="宋体"/>
                <w:color w:val="auto"/>
                <w:spacing w:val="-6"/>
              </w:rPr>
              <w:t>合计</w:t>
            </w:r>
          </w:p>
        </w:tc>
        <w:tc>
          <w:tcPr>
            <w:tcW w:w="7336" w:type="dxa"/>
            <w:gridSpan w:val="4"/>
            <w:tcBorders>
              <w:top w:val="single" w:color="auto" w:sz="4" w:space="0"/>
              <w:left w:val="single" w:color="auto" w:sz="4" w:space="0"/>
              <w:bottom w:val="single" w:color="auto" w:sz="4" w:space="0"/>
            </w:tcBorders>
            <w:noWrap/>
            <w:vAlign w:val="center"/>
          </w:tcPr>
          <w:p w14:paraId="44B2103B">
            <w:pPr>
              <w:snapToGrid w:val="0"/>
              <w:spacing w:line="320" w:lineRule="exact"/>
              <w:jc w:val="both"/>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大写：</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小写  （              ）</w:t>
            </w:r>
          </w:p>
        </w:tc>
      </w:tr>
    </w:tbl>
    <w:p w14:paraId="6F7B0944">
      <w:pPr>
        <w:pStyle w:val="12"/>
        <w:ind w:left="0" w:leftChars="0" w:firstLine="0" w:firstLineChars="0"/>
        <w:rPr>
          <w:rFonts w:ascii="宋体" w:hAnsi="宋体" w:cs="宋体"/>
          <w:color w:val="auto"/>
          <w:szCs w:val="21"/>
        </w:rPr>
      </w:pPr>
    </w:p>
    <w:p w14:paraId="082AFB6C">
      <w:pPr>
        <w:spacing w:line="340" w:lineRule="exact"/>
        <w:rPr>
          <w:rFonts w:ascii="宋体" w:hAnsi="宋体" w:cs="宋体"/>
          <w:color w:val="auto"/>
          <w:szCs w:val="21"/>
          <w:u w:val="single"/>
        </w:rPr>
      </w:pPr>
      <w:r>
        <w:rPr>
          <w:rFonts w:hint="eastAsia" w:ascii="宋体" w:hAnsi="宋体" w:cs="宋体"/>
          <w:color w:val="auto"/>
          <w:szCs w:val="21"/>
        </w:rPr>
        <w:t>供应商（CA证书签章，自然人除外）：</w:t>
      </w:r>
    </w:p>
    <w:p w14:paraId="7BA0F2AD">
      <w:pPr>
        <w:spacing w:line="340" w:lineRule="exact"/>
        <w:rPr>
          <w:rFonts w:ascii="宋体" w:hAnsi="宋体" w:cs="宋体"/>
          <w:color w:val="auto"/>
          <w:szCs w:val="21"/>
          <w:u w:val="single"/>
        </w:rPr>
      </w:pPr>
      <w:r>
        <w:rPr>
          <w:rFonts w:hint="eastAsia" w:ascii="宋体" w:hAnsi="宋体" w:cs="宋体"/>
          <w:color w:val="auto"/>
        </w:rPr>
        <w:t>法定代表人、负责人、自然人或相应的委托代理人签字或个人CA证书签章（属自然人的应在签名处加盖食指指印或个人CA证书签章）：</w:t>
      </w:r>
    </w:p>
    <w:p w14:paraId="70C4AF4A">
      <w:pPr>
        <w:tabs>
          <w:tab w:val="left" w:pos="1305"/>
        </w:tabs>
        <w:spacing w:line="340" w:lineRule="exact"/>
        <w:rPr>
          <w:rFonts w:ascii="宋体" w:hAnsi="宋体" w:cs="宋体"/>
          <w:bCs/>
          <w:color w:val="auto"/>
          <w:szCs w:val="21"/>
        </w:rPr>
      </w:pPr>
    </w:p>
    <w:p w14:paraId="3E62C5AD">
      <w:pPr>
        <w:tabs>
          <w:tab w:val="left" w:pos="1305"/>
        </w:tabs>
        <w:spacing w:line="340" w:lineRule="exact"/>
        <w:rPr>
          <w:rFonts w:ascii="宋体" w:hAnsi="宋体" w:cs="宋体"/>
          <w:bCs/>
          <w:color w:val="auto"/>
          <w:szCs w:val="21"/>
        </w:rPr>
      </w:pPr>
      <w:r>
        <w:rPr>
          <w:rFonts w:hint="eastAsia" w:ascii="宋体" w:hAnsi="宋体" w:cs="宋体"/>
          <w:bCs/>
          <w:color w:val="auto"/>
          <w:szCs w:val="21"/>
        </w:rPr>
        <w:t>注</w:t>
      </w:r>
      <w:r>
        <w:rPr>
          <w:rFonts w:hint="eastAsia" w:ascii="宋体" w:hAnsi="宋体" w:cs="宋体"/>
          <w:b/>
          <w:bCs/>
          <w:color w:val="auto"/>
          <w:szCs w:val="21"/>
        </w:rPr>
        <w:t>：</w:t>
      </w:r>
      <w:r>
        <w:rPr>
          <w:rFonts w:hint="eastAsia" w:ascii="宋体" w:hAnsi="宋体" w:cs="宋体"/>
          <w:bCs/>
          <w:color w:val="auto"/>
          <w:szCs w:val="21"/>
        </w:rPr>
        <w:t>1.各</w:t>
      </w:r>
      <w:r>
        <w:rPr>
          <w:rFonts w:hint="eastAsia" w:ascii="宋体" w:hAnsi="宋体" w:cs="宋体"/>
          <w:color w:val="auto"/>
          <w:szCs w:val="21"/>
        </w:rPr>
        <w:t>供应商必须作完整唯一报价，否则，其投标将被拒绝。响应文件</w:t>
      </w:r>
      <w:r>
        <w:rPr>
          <w:rFonts w:hint="eastAsia" w:ascii="宋体" w:hAnsi="宋体" w:cs="宋体"/>
          <w:color w:val="auto"/>
          <w:szCs w:val="21"/>
          <w:lang w:val="en-US" w:eastAsia="zh-CN"/>
        </w:rPr>
        <w:t>每个</w:t>
      </w:r>
      <w:r>
        <w:rPr>
          <w:rFonts w:hint="eastAsia" w:hAnsi="宋体" w:cs="宋体"/>
          <w:color w:val="auto"/>
          <w:szCs w:val="21"/>
        </w:rPr>
        <w:t>单价</w:t>
      </w:r>
      <w:r>
        <w:rPr>
          <w:rFonts w:hint="eastAsia" w:ascii="宋体" w:hAnsi="宋体" w:cs="宋体"/>
          <w:color w:val="auto"/>
          <w:szCs w:val="21"/>
        </w:rPr>
        <w:t>只允许有一个报价。</w:t>
      </w:r>
    </w:p>
    <w:p w14:paraId="3E22CD80">
      <w:pPr>
        <w:pStyle w:val="17"/>
        <w:numPr>
          <w:ilvl w:val="0"/>
          <w:numId w:val="0"/>
        </w:numPr>
        <w:spacing w:line="360" w:lineRule="exact"/>
        <w:ind w:firstLine="420" w:firstLineChars="200"/>
        <w:rPr>
          <w:rFonts w:hint="eastAsia" w:hAnsi="宋体" w:cs="宋体"/>
          <w:bCs/>
          <w:color w:val="auto"/>
          <w:szCs w:val="21"/>
        </w:rPr>
      </w:pPr>
      <w:r>
        <w:rPr>
          <w:rFonts w:hint="eastAsia" w:hAnsi="宋体" w:cs="宋体"/>
          <w:color w:val="auto"/>
          <w:szCs w:val="21"/>
          <w:lang w:val="en-US" w:eastAsia="zh-CN"/>
        </w:rPr>
        <w:t>2.</w:t>
      </w:r>
      <w:r>
        <w:rPr>
          <w:rFonts w:hint="eastAsia" w:hAnsi="宋体" w:cs="宋体"/>
          <w:color w:val="auto"/>
          <w:szCs w:val="21"/>
        </w:rPr>
        <w:t>供应商应根据所投项目如实填写磋商单项单价报价表</w:t>
      </w:r>
      <w:r>
        <w:rPr>
          <w:rFonts w:hint="eastAsia" w:hAnsi="宋体" w:cs="宋体"/>
          <w:bCs/>
          <w:color w:val="auto"/>
          <w:szCs w:val="21"/>
        </w:rPr>
        <w:t>的各项内容</w:t>
      </w:r>
      <w:r>
        <w:rPr>
          <w:rFonts w:hint="eastAsia" w:hAnsi="宋体" w:cs="宋体"/>
          <w:b w:val="0"/>
          <w:bCs/>
          <w:color w:val="auto"/>
          <w:szCs w:val="21"/>
          <w:lang w:eastAsia="zh-CN"/>
        </w:rPr>
        <w:t>，</w:t>
      </w:r>
      <w:r>
        <w:rPr>
          <w:rFonts w:hint="eastAsia"/>
          <w:b w:val="0"/>
          <w:bCs/>
          <w:color w:val="auto"/>
          <w:lang w:val="en-US" w:eastAsia="zh-CN"/>
        </w:rPr>
        <w:t>否则投标无效。</w:t>
      </w:r>
    </w:p>
    <w:p w14:paraId="160A8BA1">
      <w:pPr>
        <w:ind w:firstLine="420" w:firstLineChars="200"/>
        <w:rPr>
          <w:rFonts w:ascii="宋体" w:hAnsi="宋体" w:cs="宋体"/>
          <w:b/>
          <w:bCs/>
          <w:color w:val="auto"/>
          <w:sz w:val="32"/>
          <w:szCs w:val="32"/>
        </w:rPr>
      </w:pPr>
      <w:r>
        <w:rPr>
          <w:rFonts w:hint="eastAsia" w:ascii="宋体" w:hAnsi="宋体" w:cs="宋体"/>
          <w:color w:val="auto"/>
          <w:szCs w:val="21"/>
          <w:lang w:val="en-US" w:eastAsia="zh-CN"/>
        </w:rPr>
        <w:t>3</w:t>
      </w:r>
      <w:r>
        <w:rPr>
          <w:rFonts w:hint="eastAsia" w:ascii="宋体" w:hAnsi="宋体" w:cs="宋体"/>
          <w:color w:val="auto"/>
          <w:szCs w:val="21"/>
        </w:rPr>
        <w:t>.</w:t>
      </w:r>
      <w:r>
        <w:rPr>
          <w:rFonts w:hint="eastAsia" w:ascii="宋体" w:hAnsi="宋体" w:cs="宋体"/>
          <w:color w:val="auto"/>
        </w:rPr>
        <w:t>磋商单项单价报价表须由法定代表人负责人、自然人或相应的委托代理人签字或个人CA证书签章（属自然人的应在签名处加盖食指指印或个人CA证书签章）并加盖供应商CA证书签章（自然人除外）。</w:t>
      </w:r>
      <w:r>
        <w:rPr>
          <w:rFonts w:hint="eastAsia" w:ascii="宋体" w:hAnsi="宋体" w:cs="宋体"/>
          <w:b/>
          <w:color w:val="auto"/>
        </w:rPr>
        <w:t>当本表由多页构成时，需逐页加盖供应商CA证书签章（属自然人的须逐页签字或个人CA证书签章）</w:t>
      </w:r>
    </w:p>
    <w:p w14:paraId="0D57E6D4">
      <w:pPr>
        <w:rPr>
          <w:rFonts w:ascii="宋体" w:hAnsi="宋体" w:cs="宋体"/>
          <w:b/>
          <w:bCs/>
          <w:color w:val="auto"/>
          <w:sz w:val="32"/>
          <w:szCs w:val="32"/>
        </w:rPr>
      </w:pPr>
    </w:p>
    <w:p w14:paraId="0FD49A6F">
      <w:pPr>
        <w:pStyle w:val="10"/>
        <w:rPr>
          <w:rFonts w:ascii="宋体" w:hAnsi="宋体" w:cs="宋体"/>
          <w:color w:val="auto"/>
        </w:rPr>
        <w:sectPr>
          <w:pgSz w:w="11906" w:h="16838"/>
          <w:pgMar w:top="1440" w:right="935" w:bottom="1440" w:left="777" w:header="851" w:footer="992" w:gutter="0"/>
          <w:cols w:space="720" w:num="1"/>
          <w:docGrid w:type="linesAndChars" w:linePitch="312" w:charSpace="0"/>
        </w:sectPr>
      </w:pPr>
    </w:p>
    <w:p w14:paraId="311FC7EF">
      <w:pPr>
        <w:pStyle w:val="17"/>
        <w:spacing w:line="340" w:lineRule="exact"/>
        <w:rPr>
          <w:rFonts w:hAnsi="宋体" w:cs="宋体"/>
          <w:b/>
          <w:color w:val="auto"/>
          <w:sz w:val="28"/>
          <w:szCs w:val="28"/>
        </w:rPr>
      </w:pPr>
      <w:r>
        <w:rPr>
          <w:rFonts w:hint="eastAsia" w:hAnsi="宋体" w:cs="宋体"/>
          <w:b/>
          <w:color w:val="auto"/>
          <w:sz w:val="28"/>
          <w:szCs w:val="28"/>
        </w:rPr>
        <w:t>3、</w:t>
      </w:r>
      <w:r>
        <w:rPr>
          <w:rFonts w:hint="eastAsia" w:hAnsi="宋体" w:cs="宋体"/>
          <w:b/>
          <w:bCs/>
          <w:color w:val="auto"/>
          <w:sz w:val="32"/>
          <w:szCs w:val="32"/>
        </w:rPr>
        <w:t>服务采购要求响应偏离表</w:t>
      </w:r>
      <w:r>
        <w:rPr>
          <w:rFonts w:hint="eastAsia" w:hAnsi="宋体" w:cs="宋体"/>
          <w:b/>
          <w:color w:val="auto"/>
          <w:sz w:val="28"/>
          <w:szCs w:val="28"/>
        </w:rPr>
        <w:t>（格式见附件）(必须提供)；</w:t>
      </w:r>
    </w:p>
    <w:p w14:paraId="17A33A62">
      <w:pPr>
        <w:rPr>
          <w:rFonts w:ascii="宋体" w:hAnsi="宋体" w:cs="宋体"/>
          <w:color w:val="auto"/>
        </w:rPr>
      </w:pPr>
    </w:p>
    <w:p w14:paraId="5CE62F25">
      <w:pPr>
        <w:spacing w:line="660" w:lineRule="exact"/>
        <w:jc w:val="center"/>
        <w:rPr>
          <w:rFonts w:ascii="宋体" w:hAnsi="宋体" w:cs="宋体"/>
          <w:b/>
          <w:bCs/>
          <w:color w:val="auto"/>
          <w:sz w:val="32"/>
        </w:rPr>
      </w:pPr>
      <w:r>
        <w:rPr>
          <w:rFonts w:hint="eastAsia" w:ascii="宋体" w:hAnsi="宋体" w:cs="宋体"/>
          <w:b/>
          <w:bCs/>
          <w:color w:val="auto"/>
          <w:sz w:val="32"/>
          <w:szCs w:val="32"/>
        </w:rPr>
        <w:t>服务采购要求响应偏离表</w:t>
      </w:r>
      <w:r>
        <w:rPr>
          <w:rFonts w:hint="eastAsia" w:ascii="宋体" w:hAnsi="宋体" w:cs="宋体"/>
          <w:b/>
          <w:bCs/>
          <w:color w:val="auto"/>
          <w:sz w:val="32"/>
        </w:rPr>
        <w:t>（格式）</w:t>
      </w:r>
    </w:p>
    <w:tbl>
      <w:tblPr>
        <w:tblStyle w:val="28"/>
        <w:tblW w:w="0" w:type="auto"/>
        <w:tblInd w:w="102" w:type="dxa"/>
        <w:tblLayout w:type="fixed"/>
        <w:tblCellMar>
          <w:top w:w="0" w:type="dxa"/>
          <w:left w:w="0" w:type="dxa"/>
          <w:bottom w:w="0" w:type="dxa"/>
          <w:right w:w="0" w:type="dxa"/>
        </w:tblCellMar>
      </w:tblPr>
      <w:tblGrid>
        <w:gridCol w:w="843"/>
        <w:gridCol w:w="1585"/>
        <w:gridCol w:w="2385"/>
        <w:gridCol w:w="2467"/>
        <w:gridCol w:w="1918"/>
      </w:tblGrid>
      <w:tr w14:paraId="6DD5DAEA">
        <w:tblPrEx>
          <w:tblCellMar>
            <w:top w:w="0" w:type="dxa"/>
            <w:left w:w="0" w:type="dxa"/>
            <w:bottom w:w="0" w:type="dxa"/>
            <w:right w:w="0" w:type="dxa"/>
          </w:tblCellMar>
        </w:tblPrEx>
        <w:trPr>
          <w:trHeight w:val="1883" w:hRule="exact"/>
        </w:trPr>
        <w:tc>
          <w:tcPr>
            <w:tcW w:w="843" w:type="dxa"/>
            <w:tcBorders>
              <w:top w:val="single" w:color="000000" w:sz="4" w:space="0"/>
              <w:left w:val="single" w:color="000000" w:sz="4" w:space="0"/>
              <w:bottom w:val="single" w:color="000000" w:sz="4" w:space="0"/>
              <w:right w:val="single" w:color="000000" w:sz="4" w:space="0"/>
            </w:tcBorders>
            <w:noWrap/>
            <w:vAlign w:val="center"/>
          </w:tcPr>
          <w:p w14:paraId="044B10BB">
            <w:pPr>
              <w:pStyle w:val="56"/>
              <w:spacing w:before="13"/>
              <w:jc w:val="center"/>
              <w:rPr>
                <w:color w:val="auto"/>
                <w:sz w:val="14"/>
                <w:szCs w:val="14"/>
                <w:lang w:eastAsia="zh-CN"/>
              </w:rPr>
            </w:pPr>
          </w:p>
          <w:p w14:paraId="4E997B7A">
            <w:pPr>
              <w:pStyle w:val="56"/>
              <w:ind w:left="289"/>
              <w:jc w:val="center"/>
              <w:rPr>
                <w:color w:val="auto"/>
                <w:szCs w:val="21"/>
              </w:rPr>
            </w:pPr>
            <w:r>
              <w:rPr>
                <w:color w:val="auto"/>
                <w:szCs w:val="21"/>
              </w:rPr>
              <w:t>序号</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4EC7DA0B">
            <w:pPr>
              <w:pStyle w:val="56"/>
              <w:spacing w:before="13"/>
              <w:jc w:val="center"/>
              <w:rPr>
                <w:color w:val="auto"/>
                <w:sz w:val="14"/>
                <w:szCs w:val="14"/>
              </w:rPr>
            </w:pPr>
          </w:p>
          <w:p w14:paraId="7D302EB0">
            <w:pPr>
              <w:pStyle w:val="56"/>
              <w:jc w:val="center"/>
              <w:rPr>
                <w:color w:val="auto"/>
                <w:szCs w:val="21"/>
              </w:rPr>
            </w:pPr>
            <w:r>
              <w:rPr>
                <w:rFonts w:hint="eastAsia"/>
                <w:color w:val="auto"/>
                <w:szCs w:val="21"/>
              </w:rPr>
              <w:t>服务需求内容</w:t>
            </w:r>
          </w:p>
        </w:tc>
        <w:tc>
          <w:tcPr>
            <w:tcW w:w="2385" w:type="dxa"/>
            <w:tcBorders>
              <w:top w:val="single" w:color="000000" w:sz="4" w:space="0"/>
              <w:left w:val="single" w:color="000000" w:sz="4" w:space="0"/>
              <w:bottom w:val="single" w:color="000000" w:sz="4" w:space="0"/>
              <w:right w:val="single" w:color="000000" w:sz="4" w:space="0"/>
            </w:tcBorders>
            <w:noWrap/>
            <w:vAlign w:val="center"/>
          </w:tcPr>
          <w:p w14:paraId="16ECA6BC">
            <w:pPr>
              <w:pStyle w:val="56"/>
              <w:spacing w:before="167"/>
              <w:jc w:val="center"/>
              <w:rPr>
                <w:color w:val="auto"/>
                <w:szCs w:val="21"/>
                <w:lang w:eastAsia="zh-CN"/>
              </w:rPr>
            </w:pPr>
            <w:r>
              <w:rPr>
                <w:rFonts w:hint="eastAsia"/>
                <w:color w:val="auto"/>
                <w:szCs w:val="21"/>
                <w:lang w:eastAsia="zh-CN"/>
              </w:rPr>
              <w:t>磋商文件</w:t>
            </w:r>
            <w:r>
              <w:rPr>
                <w:color w:val="auto"/>
                <w:szCs w:val="21"/>
                <w:lang w:eastAsia="zh-CN"/>
              </w:rPr>
              <w:t>项目要求及技术需求</w:t>
            </w:r>
          </w:p>
        </w:tc>
        <w:tc>
          <w:tcPr>
            <w:tcW w:w="2467" w:type="dxa"/>
            <w:tcBorders>
              <w:top w:val="single" w:color="000000" w:sz="4" w:space="0"/>
              <w:left w:val="single" w:color="000000" w:sz="4" w:space="0"/>
              <w:bottom w:val="single" w:color="000000" w:sz="4" w:space="0"/>
              <w:right w:val="single" w:color="000000" w:sz="4" w:space="0"/>
            </w:tcBorders>
            <w:noWrap/>
            <w:vAlign w:val="center"/>
          </w:tcPr>
          <w:p w14:paraId="1FC0D5D6">
            <w:pPr>
              <w:pStyle w:val="56"/>
              <w:spacing w:before="167"/>
              <w:ind w:left="308"/>
              <w:jc w:val="center"/>
              <w:rPr>
                <w:color w:val="auto"/>
                <w:szCs w:val="21"/>
              </w:rPr>
            </w:pPr>
            <w:r>
              <w:rPr>
                <w:rFonts w:hint="eastAsia"/>
                <w:color w:val="auto"/>
                <w:szCs w:val="21"/>
              </w:rPr>
              <w:t>响应文件</w:t>
            </w:r>
            <w:r>
              <w:rPr>
                <w:color w:val="auto"/>
                <w:szCs w:val="21"/>
              </w:rPr>
              <w:t>的响应情况</w:t>
            </w:r>
          </w:p>
        </w:tc>
        <w:tc>
          <w:tcPr>
            <w:tcW w:w="1918" w:type="dxa"/>
            <w:tcBorders>
              <w:top w:val="single" w:color="000000" w:sz="4" w:space="0"/>
              <w:left w:val="single" w:color="000000" w:sz="4" w:space="0"/>
              <w:bottom w:val="single" w:color="000000" w:sz="4" w:space="0"/>
              <w:right w:val="single" w:color="000000" w:sz="4" w:space="0"/>
            </w:tcBorders>
            <w:noWrap/>
            <w:vAlign w:val="center"/>
          </w:tcPr>
          <w:p w14:paraId="17230834">
            <w:pPr>
              <w:pStyle w:val="56"/>
              <w:spacing w:before="13"/>
              <w:jc w:val="center"/>
              <w:rPr>
                <w:color w:val="auto"/>
                <w:sz w:val="14"/>
                <w:szCs w:val="14"/>
              </w:rPr>
            </w:pPr>
          </w:p>
          <w:p w14:paraId="32B42EB1">
            <w:pPr>
              <w:pStyle w:val="56"/>
              <w:jc w:val="center"/>
              <w:rPr>
                <w:color w:val="auto"/>
                <w:szCs w:val="21"/>
              </w:rPr>
            </w:pPr>
            <w:r>
              <w:rPr>
                <w:color w:val="auto"/>
                <w:szCs w:val="21"/>
              </w:rPr>
              <w:t>偏离情况说明</w:t>
            </w:r>
          </w:p>
        </w:tc>
      </w:tr>
      <w:tr w14:paraId="30FF266F">
        <w:tblPrEx>
          <w:tblCellMar>
            <w:top w:w="0" w:type="dxa"/>
            <w:left w:w="0" w:type="dxa"/>
            <w:bottom w:w="0" w:type="dxa"/>
            <w:right w:w="0" w:type="dxa"/>
          </w:tblCellMar>
        </w:tblPrEx>
        <w:trPr>
          <w:trHeight w:val="1443" w:hRule="exact"/>
        </w:trPr>
        <w:tc>
          <w:tcPr>
            <w:tcW w:w="843" w:type="dxa"/>
            <w:tcBorders>
              <w:top w:val="single" w:color="000000" w:sz="4" w:space="0"/>
              <w:left w:val="single" w:color="000000" w:sz="4" w:space="0"/>
              <w:bottom w:val="single" w:color="000000" w:sz="4" w:space="0"/>
              <w:right w:val="single" w:color="000000" w:sz="4" w:space="0"/>
            </w:tcBorders>
            <w:noWrap/>
            <w:vAlign w:val="center"/>
          </w:tcPr>
          <w:p w14:paraId="471EC28A">
            <w:pPr>
              <w:pStyle w:val="56"/>
              <w:spacing w:before="130"/>
              <w:jc w:val="center"/>
              <w:rPr>
                <w:color w:val="auto"/>
                <w:szCs w:val="21"/>
              </w:rPr>
            </w:pPr>
            <w:r>
              <w:rPr>
                <w:color w:val="auto"/>
                <w:w w:val="99"/>
              </w:rPr>
              <w:t>1</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7E16761C">
            <w:pPr>
              <w:jc w:val="center"/>
              <w:rPr>
                <w:color w:val="auto"/>
              </w:rPr>
            </w:pPr>
            <w:r>
              <w:rPr>
                <w:rFonts w:hint="eastAsia"/>
                <w:color w:val="auto"/>
              </w:rPr>
              <w:t>一、</w:t>
            </w:r>
            <w:r>
              <w:rPr>
                <w:rFonts w:hint="eastAsia" w:ascii="宋体" w:hAnsi="宋体" w:cs="宋体"/>
                <w:b/>
                <w:bCs/>
                <w:color w:val="auto"/>
                <w:szCs w:val="21"/>
              </w:rPr>
              <w:t>服务内容及范围</w:t>
            </w:r>
          </w:p>
        </w:tc>
        <w:tc>
          <w:tcPr>
            <w:tcW w:w="2385" w:type="dxa"/>
            <w:tcBorders>
              <w:top w:val="single" w:color="000000" w:sz="4" w:space="0"/>
              <w:left w:val="single" w:color="000000" w:sz="4" w:space="0"/>
              <w:bottom w:val="single" w:color="000000" w:sz="4" w:space="0"/>
              <w:right w:val="single" w:color="000000" w:sz="4" w:space="0"/>
            </w:tcBorders>
            <w:noWrap/>
            <w:vAlign w:val="center"/>
          </w:tcPr>
          <w:p w14:paraId="287CFA47">
            <w:pPr>
              <w:jc w:val="center"/>
              <w:rPr>
                <w:color w:val="auto"/>
              </w:rPr>
            </w:pPr>
          </w:p>
        </w:tc>
        <w:tc>
          <w:tcPr>
            <w:tcW w:w="2467" w:type="dxa"/>
            <w:tcBorders>
              <w:top w:val="single" w:color="000000" w:sz="4" w:space="0"/>
              <w:left w:val="single" w:color="000000" w:sz="4" w:space="0"/>
              <w:bottom w:val="single" w:color="000000" w:sz="4" w:space="0"/>
              <w:right w:val="single" w:color="000000" w:sz="4" w:space="0"/>
            </w:tcBorders>
            <w:noWrap/>
            <w:vAlign w:val="center"/>
          </w:tcPr>
          <w:p w14:paraId="02416EB2">
            <w:pPr>
              <w:jc w:val="center"/>
              <w:rPr>
                <w:color w:val="auto"/>
              </w:rPr>
            </w:pPr>
          </w:p>
        </w:tc>
        <w:tc>
          <w:tcPr>
            <w:tcW w:w="1918" w:type="dxa"/>
            <w:tcBorders>
              <w:top w:val="single" w:color="000000" w:sz="4" w:space="0"/>
              <w:left w:val="single" w:color="000000" w:sz="4" w:space="0"/>
              <w:bottom w:val="single" w:color="000000" w:sz="4" w:space="0"/>
              <w:right w:val="single" w:color="000000" w:sz="4" w:space="0"/>
            </w:tcBorders>
            <w:noWrap/>
            <w:vAlign w:val="center"/>
          </w:tcPr>
          <w:p w14:paraId="68BA5490">
            <w:pPr>
              <w:jc w:val="center"/>
              <w:rPr>
                <w:color w:val="auto"/>
              </w:rPr>
            </w:pPr>
          </w:p>
        </w:tc>
      </w:tr>
      <w:tr w14:paraId="6B72A819">
        <w:tblPrEx>
          <w:tblCellMar>
            <w:top w:w="0" w:type="dxa"/>
            <w:left w:w="0" w:type="dxa"/>
            <w:bottom w:w="0" w:type="dxa"/>
            <w:right w:w="0" w:type="dxa"/>
          </w:tblCellMar>
        </w:tblPrEx>
        <w:trPr>
          <w:trHeight w:val="1467" w:hRule="exact"/>
        </w:trPr>
        <w:tc>
          <w:tcPr>
            <w:tcW w:w="843" w:type="dxa"/>
            <w:tcBorders>
              <w:top w:val="single" w:color="000000" w:sz="4" w:space="0"/>
              <w:left w:val="single" w:color="000000" w:sz="4" w:space="0"/>
              <w:bottom w:val="single" w:color="000000" w:sz="4" w:space="0"/>
              <w:right w:val="single" w:color="000000" w:sz="4" w:space="0"/>
            </w:tcBorders>
            <w:noWrap/>
            <w:vAlign w:val="center"/>
          </w:tcPr>
          <w:p w14:paraId="0F4E8069">
            <w:pPr>
              <w:jc w:val="center"/>
              <w:rPr>
                <w:color w:val="auto"/>
              </w:rPr>
            </w:pPr>
            <w:r>
              <w:rPr>
                <w:rFonts w:hint="eastAsia"/>
                <w:color w:val="auto"/>
              </w:rPr>
              <w:t>2</w:t>
            </w:r>
          </w:p>
        </w:tc>
        <w:tc>
          <w:tcPr>
            <w:tcW w:w="1585" w:type="dxa"/>
            <w:tcBorders>
              <w:top w:val="single" w:color="000000" w:sz="4" w:space="0"/>
              <w:left w:val="single" w:color="000000" w:sz="4" w:space="0"/>
              <w:bottom w:val="single" w:color="000000" w:sz="4" w:space="0"/>
              <w:right w:val="single" w:color="000000" w:sz="4" w:space="0"/>
            </w:tcBorders>
            <w:noWrap/>
            <w:vAlign w:val="center"/>
          </w:tcPr>
          <w:p w14:paraId="3E910412">
            <w:pPr>
              <w:jc w:val="center"/>
              <w:rPr>
                <w:color w:val="auto"/>
              </w:rPr>
            </w:pPr>
            <w:r>
              <w:rPr>
                <w:rFonts w:hint="eastAsia"/>
                <w:color w:val="auto"/>
              </w:rPr>
              <w:t>二、服务要求</w:t>
            </w:r>
          </w:p>
        </w:tc>
        <w:tc>
          <w:tcPr>
            <w:tcW w:w="2385" w:type="dxa"/>
            <w:tcBorders>
              <w:top w:val="single" w:color="000000" w:sz="4" w:space="0"/>
              <w:left w:val="single" w:color="000000" w:sz="4" w:space="0"/>
              <w:bottom w:val="single" w:color="000000" w:sz="4" w:space="0"/>
              <w:right w:val="single" w:color="000000" w:sz="4" w:space="0"/>
            </w:tcBorders>
            <w:noWrap/>
            <w:vAlign w:val="center"/>
          </w:tcPr>
          <w:p w14:paraId="1383BDF1">
            <w:pPr>
              <w:jc w:val="center"/>
              <w:rPr>
                <w:color w:val="auto"/>
              </w:rPr>
            </w:pPr>
          </w:p>
        </w:tc>
        <w:tc>
          <w:tcPr>
            <w:tcW w:w="2467" w:type="dxa"/>
            <w:tcBorders>
              <w:top w:val="single" w:color="000000" w:sz="4" w:space="0"/>
              <w:left w:val="single" w:color="000000" w:sz="4" w:space="0"/>
              <w:bottom w:val="single" w:color="000000" w:sz="4" w:space="0"/>
              <w:right w:val="single" w:color="000000" w:sz="4" w:space="0"/>
            </w:tcBorders>
            <w:noWrap/>
            <w:vAlign w:val="center"/>
          </w:tcPr>
          <w:p w14:paraId="3E06E2F4">
            <w:pPr>
              <w:jc w:val="center"/>
              <w:rPr>
                <w:color w:val="auto"/>
              </w:rPr>
            </w:pPr>
          </w:p>
        </w:tc>
        <w:tc>
          <w:tcPr>
            <w:tcW w:w="1918" w:type="dxa"/>
            <w:tcBorders>
              <w:top w:val="single" w:color="000000" w:sz="4" w:space="0"/>
              <w:left w:val="single" w:color="000000" w:sz="4" w:space="0"/>
              <w:bottom w:val="single" w:color="000000" w:sz="4" w:space="0"/>
              <w:right w:val="single" w:color="000000" w:sz="4" w:space="0"/>
            </w:tcBorders>
            <w:noWrap/>
            <w:vAlign w:val="center"/>
          </w:tcPr>
          <w:p w14:paraId="74F9D07B">
            <w:pPr>
              <w:jc w:val="center"/>
              <w:rPr>
                <w:color w:val="auto"/>
              </w:rPr>
            </w:pPr>
          </w:p>
        </w:tc>
      </w:tr>
    </w:tbl>
    <w:p w14:paraId="23A80153">
      <w:pPr>
        <w:snapToGrid w:val="0"/>
        <w:spacing w:line="400" w:lineRule="exact"/>
        <w:ind w:firstLine="420" w:firstLineChars="200"/>
        <w:outlineLvl w:val="4"/>
        <w:rPr>
          <w:rFonts w:ascii="宋体" w:hAnsi="宋体"/>
          <w:color w:val="auto"/>
          <w:szCs w:val="21"/>
        </w:rPr>
      </w:pPr>
    </w:p>
    <w:p w14:paraId="422D64C5">
      <w:pPr>
        <w:spacing w:line="360" w:lineRule="auto"/>
        <w:ind w:right="-817" w:rightChars="-389"/>
        <w:contextualSpacing/>
        <w:rPr>
          <w:rFonts w:ascii="宋体" w:hAnsi="宋体" w:cs="仿宋_GB2312"/>
          <w:color w:val="auto"/>
          <w:sz w:val="24"/>
        </w:rPr>
      </w:pPr>
    </w:p>
    <w:p w14:paraId="0E90D6E3">
      <w:pPr>
        <w:spacing w:line="360" w:lineRule="auto"/>
        <w:ind w:right="-817" w:rightChars="-389"/>
        <w:contextualSpacing/>
        <w:jc w:val="center"/>
        <w:rPr>
          <w:rFonts w:ascii="宋体" w:hAnsi="宋体" w:cs="仿宋_GB2312"/>
          <w:color w:val="auto"/>
          <w:sz w:val="24"/>
        </w:rPr>
      </w:pPr>
      <w:r>
        <w:rPr>
          <w:rFonts w:hint="eastAsia" w:ascii="宋体" w:hAnsi="宋体" w:cs="仿宋_GB2312"/>
          <w:color w:val="auto"/>
          <w:sz w:val="24"/>
        </w:rPr>
        <w:t>法定代表人或者委托代理人（签字或者盖章或者电子签名）：</w:t>
      </w:r>
    </w:p>
    <w:p w14:paraId="014EA0EA">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供应商（电子签章）：      </w:t>
      </w:r>
    </w:p>
    <w:p w14:paraId="52E98504">
      <w:pPr>
        <w:spacing w:line="360" w:lineRule="auto"/>
        <w:ind w:right="-817" w:rightChars="-389" w:firstLine="4080" w:firstLineChars="1700"/>
        <w:contextualSpacing/>
        <w:rPr>
          <w:rFonts w:ascii="宋体" w:hAnsi="宋体" w:cs="仿宋_GB2312"/>
          <w:color w:val="auto"/>
          <w:sz w:val="24"/>
        </w:rPr>
      </w:pPr>
      <w:r>
        <w:rPr>
          <w:rFonts w:hint="eastAsia" w:ascii="宋体" w:hAnsi="宋体" w:cs="仿宋_GB2312"/>
          <w:color w:val="auto"/>
          <w:sz w:val="24"/>
        </w:rPr>
        <w:t>日期：   年   月   日</w:t>
      </w:r>
    </w:p>
    <w:p w14:paraId="5878F7D7">
      <w:pPr>
        <w:pStyle w:val="11"/>
        <w:rPr>
          <w:rFonts w:ascii="宋体" w:hAnsi="宋体" w:cs="宋体"/>
          <w:color w:val="auto"/>
        </w:rPr>
      </w:pPr>
    </w:p>
    <w:p w14:paraId="76F10E9B">
      <w:pPr>
        <w:pStyle w:val="12"/>
        <w:rPr>
          <w:rFonts w:ascii="宋体" w:hAnsi="宋体" w:cs="宋体"/>
          <w:color w:val="auto"/>
        </w:rPr>
      </w:pPr>
    </w:p>
    <w:p w14:paraId="15F0ACCC">
      <w:pPr>
        <w:pStyle w:val="9"/>
        <w:rPr>
          <w:rFonts w:ascii="宋体" w:hAnsi="宋体" w:cs="宋体"/>
          <w:color w:val="auto"/>
        </w:rPr>
      </w:pPr>
    </w:p>
    <w:p w14:paraId="18775837">
      <w:pPr>
        <w:rPr>
          <w:rFonts w:ascii="宋体" w:hAnsi="宋体" w:cs="宋体"/>
          <w:color w:val="auto"/>
        </w:rPr>
      </w:pPr>
    </w:p>
    <w:p w14:paraId="37B51839">
      <w:pPr>
        <w:rPr>
          <w:rFonts w:ascii="宋体" w:hAnsi="宋体" w:cs="宋体"/>
          <w:color w:val="auto"/>
        </w:rPr>
      </w:pPr>
    </w:p>
    <w:p w14:paraId="3F6577D7">
      <w:pPr>
        <w:rPr>
          <w:rFonts w:ascii="宋体" w:hAnsi="宋体" w:cs="宋体"/>
          <w:color w:val="auto"/>
        </w:rPr>
      </w:pPr>
    </w:p>
    <w:p w14:paraId="384E8164">
      <w:pPr>
        <w:rPr>
          <w:rFonts w:ascii="宋体" w:hAnsi="宋体" w:cs="宋体"/>
          <w:color w:val="auto"/>
        </w:rPr>
      </w:pPr>
    </w:p>
    <w:p w14:paraId="3BF9F48A">
      <w:pPr>
        <w:rPr>
          <w:rFonts w:ascii="宋体" w:hAnsi="宋体" w:cs="宋体"/>
          <w:color w:val="auto"/>
        </w:rPr>
      </w:pPr>
    </w:p>
    <w:p w14:paraId="1A25D3DA">
      <w:pPr>
        <w:rPr>
          <w:rFonts w:ascii="宋体" w:hAnsi="宋体" w:cs="宋体"/>
          <w:color w:val="auto"/>
        </w:rPr>
      </w:pPr>
    </w:p>
    <w:p w14:paraId="5162DF85">
      <w:pPr>
        <w:rPr>
          <w:rFonts w:ascii="宋体" w:hAnsi="宋体" w:cs="宋体"/>
          <w:color w:val="auto"/>
        </w:rPr>
      </w:pPr>
    </w:p>
    <w:p w14:paraId="64B2D20F">
      <w:pPr>
        <w:rPr>
          <w:rFonts w:ascii="宋体" w:hAnsi="宋体" w:cs="宋体"/>
          <w:color w:val="auto"/>
        </w:rPr>
      </w:pPr>
    </w:p>
    <w:p w14:paraId="4BE11454">
      <w:pPr>
        <w:rPr>
          <w:rFonts w:ascii="宋体" w:hAnsi="宋体" w:cs="宋体"/>
          <w:color w:val="auto"/>
        </w:rPr>
      </w:pPr>
    </w:p>
    <w:p w14:paraId="412B40E2">
      <w:pPr>
        <w:rPr>
          <w:rFonts w:ascii="宋体" w:hAnsi="宋体" w:cs="宋体"/>
          <w:color w:val="auto"/>
        </w:rPr>
      </w:pPr>
    </w:p>
    <w:p w14:paraId="734F92EE">
      <w:pPr>
        <w:rPr>
          <w:rFonts w:ascii="宋体" w:hAnsi="宋体" w:cs="宋体"/>
          <w:color w:val="auto"/>
        </w:rPr>
      </w:pPr>
    </w:p>
    <w:p w14:paraId="20FC2FC3">
      <w:pPr>
        <w:rPr>
          <w:rFonts w:ascii="宋体" w:hAnsi="宋体" w:cs="宋体"/>
          <w:color w:val="auto"/>
        </w:rPr>
      </w:pPr>
    </w:p>
    <w:p w14:paraId="178B9023">
      <w:pPr>
        <w:rPr>
          <w:rFonts w:ascii="宋体" w:hAnsi="宋体" w:cs="宋体"/>
          <w:color w:val="auto"/>
        </w:rPr>
      </w:pPr>
    </w:p>
    <w:p w14:paraId="1DA3B49D">
      <w:pPr>
        <w:rPr>
          <w:rFonts w:ascii="宋体" w:hAnsi="宋体" w:cs="宋体"/>
          <w:color w:val="auto"/>
        </w:rPr>
      </w:pPr>
    </w:p>
    <w:p w14:paraId="3B2BB1F5">
      <w:pPr>
        <w:pStyle w:val="17"/>
        <w:numPr>
          <w:ilvl w:val="0"/>
          <w:numId w:val="18"/>
        </w:numPr>
        <w:spacing w:line="340" w:lineRule="exact"/>
        <w:ind w:firstLine="480"/>
        <w:rPr>
          <w:rFonts w:hAnsi="宋体" w:cs="宋体"/>
          <w:b/>
          <w:bCs/>
          <w:color w:val="auto"/>
          <w:sz w:val="32"/>
          <w:szCs w:val="32"/>
        </w:rPr>
      </w:pPr>
      <w:r>
        <w:rPr>
          <w:rFonts w:hint="eastAsia" w:hAnsi="宋体" w:cs="宋体"/>
          <w:b/>
          <w:bCs/>
          <w:color w:val="auto"/>
          <w:sz w:val="32"/>
          <w:szCs w:val="32"/>
        </w:rPr>
        <w:t>商务要求响应偏离表（格式见附件）(必须提供)：</w:t>
      </w:r>
    </w:p>
    <w:p w14:paraId="6D1132F5">
      <w:pPr>
        <w:ind w:left="420"/>
        <w:rPr>
          <w:color w:val="auto"/>
        </w:rPr>
      </w:pPr>
    </w:p>
    <w:p w14:paraId="619E8271">
      <w:pPr>
        <w:pStyle w:val="12"/>
        <w:rPr>
          <w:rFonts w:ascii="宋体" w:hAnsi="宋体" w:cs="宋体"/>
          <w:color w:val="auto"/>
        </w:rPr>
      </w:pPr>
    </w:p>
    <w:p w14:paraId="099CCA64">
      <w:pPr>
        <w:pStyle w:val="12"/>
        <w:ind w:left="0" w:leftChars="0" w:firstLine="0" w:firstLineChars="0"/>
        <w:rPr>
          <w:rFonts w:ascii="宋体" w:hAnsi="宋体" w:cs="宋体"/>
          <w:b/>
          <w:bCs/>
          <w:color w:val="auto"/>
          <w:sz w:val="32"/>
          <w:szCs w:val="32"/>
        </w:rPr>
      </w:pPr>
      <w:r>
        <w:rPr>
          <w:rFonts w:hint="eastAsia" w:ascii="宋体" w:hAnsi="宋体" w:cs="宋体"/>
          <w:b/>
          <w:bCs/>
          <w:color w:val="auto"/>
          <w:sz w:val="32"/>
          <w:szCs w:val="32"/>
        </w:rPr>
        <w:t>附件：</w:t>
      </w:r>
    </w:p>
    <w:p w14:paraId="5C1936B9">
      <w:pPr>
        <w:rPr>
          <w:rFonts w:hAnsi="宋体" w:cs="宋体"/>
          <w:b/>
          <w:bCs/>
          <w:color w:val="auto"/>
          <w:sz w:val="32"/>
          <w:szCs w:val="32"/>
        </w:rPr>
      </w:pPr>
    </w:p>
    <w:p w14:paraId="1D257AD2">
      <w:pPr>
        <w:jc w:val="center"/>
        <w:rPr>
          <w:rFonts w:ascii="宋体" w:hAnsi="宋体" w:cs="宋体"/>
          <w:b/>
          <w:bCs/>
          <w:color w:val="auto"/>
          <w:sz w:val="32"/>
          <w:szCs w:val="32"/>
        </w:rPr>
      </w:pPr>
      <w:r>
        <w:rPr>
          <w:rFonts w:hint="eastAsia" w:ascii="宋体" w:hAnsi="宋体" w:cs="宋体"/>
          <w:b/>
          <w:bCs/>
          <w:color w:val="auto"/>
          <w:sz w:val="32"/>
          <w:szCs w:val="32"/>
        </w:rPr>
        <w:t>商务要求响应偏离表（格式）</w:t>
      </w:r>
    </w:p>
    <w:p w14:paraId="037D7A82">
      <w:pPr>
        <w:pStyle w:val="46"/>
        <w:rPr>
          <w:color w:val="auto"/>
        </w:rPr>
      </w:pPr>
    </w:p>
    <w:tbl>
      <w:tblPr>
        <w:tblStyle w:val="28"/>
        <w:tblW w:w="978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5"/>
        <w:gridCol w:w="2231"/>
        <w:gridCol w:w="2619"/>
        <w:gridCol w:w="2446"/>
        <w:gridCol w:w="1830"/>
      </w:tblGrid>
      <w:tr w14:paraId="2277B7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65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33F13DC">
            <w:pPr>
              <w:snapToGrid w:val="0"/>
              <w:spacing w:line="360" w:lineRule="exact"/>
              <w:jc w:val="center"/>
              <w:rPr>
                <w:rFonts w:ascii="宋体" w:hAnsi="宋体" w:cs="宋体"/>
                <w:b/>
                <w:bCs/>
                <w:color w:val="auto"/>
                <w:szCs w:val="21"/>
              </w:rPr>
            </w:pPr>
            <w:r>
              <w:rPr>
                <w:rFonts w:hint="eastAsia" w:ascii="宋体" w:hAnsi="宋体" w:cs="宋体"/>
                <w:b/>
                <w:bCs/>
                <w:color w:val="auto"/>
                <w:szCs w:val="21"/>
              </w:rPr>
              <w:t>项号</w:t>
            </w:r>
          </w:p>
        </w:tc>
        <w:tc>
          <w:tcPr>
            <w:tcW w:w="223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679B9B4">
            <w:pPr>
              <w:pStyle w:val="17"/>
              <w:spacing w:line="360" w:lineRule="exact"/>
              <w:jc w:val="center"/>
              <w:rPr>
                <w:rFonts w:hAnsi="宋体" w:cs="宋体"/>
                <w:b/>
                <w:bCs/>
                <w:color w:val="auto"/>
              </w:rPr>
            </w:pPr>
            <w:r>
              <w:rPr>
                <w:rFonts w:hint="eastAsia" w:hAnsi="宋体" w:cs="宋体"/>
                <w:b/>
                <w:bCs/>
                <w:color w:val="auto"/>
              </w:rPr>
              <w:t>商务要求名称</w:t>
            </w:r>
          </w:p>
        </w:tc>
        <w:tc>
          <w:tcPr>
            <w:tcW w:w="261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C064014">
            <w:pPr>
              <w:pStyle w:val="17"/>
              <w:spacing w:line="360" w:lineRule="exact"/>
              <w:jc w:val="center"/>
              <w:rPr>
                <w:rFonts w:hAnsi="宋体" w:cs="宋体"/>
                <w:b/>
                <w:bCs/>
                <w:color w:val="auto"/>
              </w:rPr>
            </w:pPr>
            <w:r>
              <w:rPr>
                <w:rFonts w:hint="eastAsia" w:hAnsi="宋体" w:cs="宋体"/>
                <w:b/>
                <w:bCs/>
                <w:color w:val="auto"/>
              </w:rPr>
              <w:t>磋商文件服务采购需求内容中（商务要求条款）</w:t>
            </w:r>
          </w:p>
        </w:tc>
        <w:tc>
          <w:tcPr>
            <w:tcW w:w="244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C18A8CA">
            <w:pPr>
              <w:pStyle w:val="17"/>
              <w:spacing w:line="360" w:lineRule="exact"/>
              <w:jc w:val="center"/>
              <w:rPr>
                <w:rFonts w:hAnsi="宋体" w:cs="宋体"/>
                <w:b/>
                <w:bCs/>
                <w:color w:val="auto"/>
              </w:rPr>
            </w:pPr>
            <w:r>
              <w:rPr>
                <w:rFonts w:hint="eastAsia" w:hAnsi="宋体" w:cs="宋体"/>
                <w:b/>
                <w:bCs/>
                <w:color w:val="auto"/>
              </w:rPr>
              <w:t>响应文件的响应情况及偏离情况</w:t>
            </w:r>
          </w:p>
        </w:tc>
        <w:tc>
          <w:tcPr>
            <w:tcW w:w="183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0B8CA2D">
            <w:pPr>
              <w:pStyle w:val="17"/>
              <w:spacing w:line="360" w:lineRule="exact"/>
              <w:jc w:val="center"/>
              <w:rPr>
                <w:rFonts w:hAnsi="宋体" w:cs="宋体"/>
                <w:b/>
                <w:bCs/>
                <w:color w:val="auto"/>
              </w:rPr>
            </w:pPr>
            <w:r>
              <w:rPr>
                <w:rFonts w:hint="eastAsia" w:hAnsi="宋体" w:cs="宋体"/>
                <w:b/>
                <w:bCs/>
                <w:color w:val="auto"/>
                <w:szCs w:val="24"/>
              </w:rPr>
              <w:t>偏离情况说明</w:t>
            </w:r>
          </w:p>
        </w:tc>
      </w:tr>
      <w:tr w14:paraId="714ED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1" w:hRule="atLeast"/>
        </w:trPr>
        <w:tc>
          <w:tcPr>
            <w:tcW w:w="655" w:type="dxa"/>
            <w:tcBorders>
              <w:top w:val="single" w:color="auto" w:sz="4" w:space="0"/>
              <w:left w:val="single" w:color="auto" w:sz="4" w:space="0"/>
              <w:bottom w:val="single" w:color="auto" w:sz="4" w:space="0"/>
              <w:right w:val="single" w:color="auto" w:sz="4" w:space="0"/>
            </w:tcBorders>
            <w:noWrap/>
            <w:vAlign w:val="center"/>
          </w:tcPr>
          <w:p w14:paraId="5C6F05E6">
            <w:pPr>
              <w:snapToGrid w:val="0"/>
              <w:spacing w:beforeLines="50"/>
              <w:jc w:val="center"/>
              <w:rPr>
                <w:rFonts w:ascii="宋体" w:hAnsi="宋体" w:cs="宋体"/>
                <w:color w:val="auto"/>
                <w:szCs w:val="21"/>
              </w:rPr>
            </w:pPr>
            <w:r>
              <w:rPr>
                <w:rFonts w:hint="eastAsia" w:ascii="宋体" w:hAnsi="宋体" w:cs="宋体"/>
                <w:color w:val="auto"/>
                <w:szCs w:val="21"/>
              </w:rPr>
              <w:t>1</w:t>
            </w:r>
          </w:p>
        </w:tc>
        <w:tc>
          <w:tcPr>
            <w:tcW w:w="2231" w:type="dxa"/>
            <w:tcBorders>
              <w:top w:val="single" w:color="auto" w:sz="4" w:space="0"/>
              <w:left w:val="single" w:color="auto" w:sz="4" w:space="0"/>
              <w:bottom w:val="single" w:color="auto" w:sz="4" w:space="0"/>
              <w:right w:val="single" w:color="auto" w:sz="4" w:space="0"/>
            </w:tcBorders>
            <w:noWrap/>
            <w:vAlign w:val="center"/>
          </w:tcPr>
          <w:p w14:paraId="004B3470">
            <w:pPr>
              <w:pStyle w:val="62"/>
              <w:spacing w:line="560" w:lineRule="exact"/>
              <w:ind w:firstLine="0" w:firstLineChars="0"/>
              <w:rPr>
                <w:rFonts w:ascii="宋体" w:hAnsi="宋体" w:cs="宋体"/>
                <w:color w:val="auto"/>
                <w:szCs w:val="21"/>
              </w:rPr>
            </w:pPr>
            <w:r>
              <w:rPr>
                <w:rFonts w:hint="eastAsia" w:ascii="宋体" w:hAnsi="宋体" w:cs="宋体"/>
                <w:color w:val="auto"/>
                <w:szCs w:val="21"/>
              </w:rPr>
              <w:t>（一）服务期限及地点：</w:t>
            </w:r>
          </w:p>
          <w:p w14:paraId="6FDB4E23">
            <w:pPr>
              <w:widowControl/>
              <w:spacing w:line="360" w:lineRule="exact"/>
              <w:jc w:val="left"/>
              <w:rPr>
                <w:rFonts w:ascii="宋体" w:hAnsi="宋体" w:cs="新宋体"/>
                <w:bCs/>
                <w:color w:val="auto"/>
                <w:kern w:val="0"/>
                <w:szCs w:val="21"/>
              </w:rPr>
            </w:pPr>
          </w:p>
        </w:tc>
        <w:tc>
          <w:tcPr>
            <w:tcW w:w="2619" w:type="dxa"/>
            <w:tcBorders>
              <w:top w:val="single" w:color="auto" w:sz="4" w:space="0"/>
              <w:left w:val="single" w:color="auto" w:sz="4" w:space="0"/>
              <w:bottom w:val="single" w:color="auto" w:sz="4" w:space="0"/>
              <w:right w:val="single" w:color="auto" w:sz="4" w:space="0"/>
            </w:tcBorders>
            <w:noWrap/>
            <w:vAlign w:val="center"/>
          </w:tcPr>
          <w:p w14:paraId="297378CD">
            <w:pPr>
              <w:snapToGrid w:val="0"/>
              <w:spacing w:beforeLines="50"/>
              <w:jc w:val="center"/>
              <w:rPr>
                <w:rFonts w:ascii="宋体" w:hAnsi="宋体" w:cs="宋体"/>
                <w:color w:val="auto"/>
                <w:szCs w:val="21"/>
              </w:rPr>
            </w:pPr>
          </w:p>
        </w:tc>
        <w:tc>
          <w:tcPr>
            <w:tcW w:w="2446" w:type="dxa"/>
            <w:tcBorders>
              <w:top w:val="single" w:color="auto" w:sz="4" w:space="0"/>
              <w:left w:val="single" w:color="auto" w:sz="4" w:space="0"/>
              <w:bottom w:val="single" w:color="auto" w:sz="4" w:space="0"/>
              <w:right w:val="single" w:color="auto" w:sz="4" w:space="0"/>
            </w:tcBorders>
            <w:noWrap/>
            <w:vAlign w:val="center"/>
          </w:tcPr>
          <w:p w14:paraId="45429E6E">
            <w:pPr>
              <w:snapToGrid w:val="0"/>
              <w:spacing w:beforeLines="50"/>
              <w:jc w:val="center"/>
              <w:rPr>
                <w:rFonts w:ascii="宋体" w:hAnsi="宋体" w:cs="宋体"/>
                <w:color w:val="auto"/>
                <w:szCs w:val="21"/>
              </w:rPr>
            </w:pPr>
          </w:p>
        </w:tc>
        <w:tc>
          <w:tcPr>
            <w:tcW w:w="1830" w:type="dxa"/>
            <w:tcBorders>
              <w:top w:val="single" w:color="auto" w:sz="4" w:space="0"/>
              <w:left w:val="single" w:color="auto" w:sz="4" w:space="0"/>
              <w:bottom w:val="single" w:color="auto" w:sz="4" w:space="0"/>
              <w:right w:val="single" w:color="auto" w:sz="4" w:space="0"/>
            </w:tcBorders>
            <w:noWrap/>
            <w:vAlign w:val="center"/>
          </w:tcPr>
          <w:p w14:paraId="1086CC63">
            <w:pPr>
              <w:snapToGrid w:val="0"/>
              <w:spacing w:beforeLines="50"/>
              <w:jc w:val="center"/>
              <w:rPr>
                <w:rFonts w:ascii="宋体" w:hAnsi="宋体" w:cs="宋体"/>
                <w:color w:val="auto"/>
                <w:szCs w:val="21"/>
              </w:rPr>
            </w:pPr>
          </w:p>
        </w:tc>
      </w:tr>
      <w:tr w14:paraId="00DAD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5" w:type="dxa"/>
            <w:tcBorders>
              <w:top w:val="single" w:color="auto" w:sz="4" w:space="0"/>
              <w:left w:val="single" w:color="auto" w:sz="4" w:space="0"/>
              <w:bottom w:val="single" w:color="auto" w:sz="4" w:space="0"/>
              <w:right w:val="single" w:color="auto" w:sz="4" w:space="0"/>
            </w:tcBorders>
            <w:noWrap/>
            <w:vAlign w:val="center"/>
          </w:tcPr>
          <w:p w14:paraId="4E8A6C30">
            <w:pPr>
              <w:snapToGrid w:val="0"/>
              <w:spacing w:beforeLines="50"/>
              <w:jc w:val="center"/>
              <w:rPr>
                <w:rFonts w:ascii="宋体" w:hAnsi="宋体" w:cs="宋体"/>
                <w:color w:val="auto"/>
                <w:szCs w:val="21"/>
              </w:rPr>
            </w:pPr>
            <w:r>
              <w:rPr>
                <w:rFonts w:hint="eastAsia" w:ascii="宋体" w:hAnsi="宋体" w:cs="宋体"/>
                <w:color w:val="auto"/>
                <w:szCs w:val="21"/>
              </w:rPr>
              <w:t>2</w:t>
            </w:r>
          </w:p>
        </w:tc>
        <w:tc>
          <w:tcPr>
            <w:tcW w:w="2231" w:type="dxa"/>
            <w:tcBorders>
              <w:top w:val="single" w:color="auto" w:sz="4" w:space="0"/>
              <w:left w:val="single" w:color="auto" w:sz="4" w:space="0"/>
              <w:bottom w:val="single" w:color="auto" w:sz="4" w:space="0"/>
              <w:right w:val="single" w:color="auto" w:sz="4" w:space="0"/>
            </w:tcBorders>
            <w:noWrap/>
            <w:vAlign w:val="center"/>
          </w:tcPr>
          <w:p w14:paraId="3EC7A5A7">
            <w:pPr>
              <w:widowControl/>
              <w:spacing w:line="360" w:lineRule="exact"/>
              <w:jc w:val="left"/>
              <w:rPr>
                <w:rFonts w:ascii="宋体" w:hAnsi="宋体" w:cs="新宋体"/>
                <w:bCs/>
                <w:color w:val="auto"/>
                <w:kern w:val="0"/>
                <w:szCs w:val="21"/>
              </w:rPr>
            </w:pPr>
            <w:r>
              <w:rPr>
                <w:rFonts w:hint="eastAsia" w:ascii="宋体" w:hAnsi="宋体" w:cs="新宋体"/>
                <w:bCs/>
                <w:color w:val="auto"/>
                <w:kern w:val="0"/>
                <w:szCs w:val="21"/>
              </w:rPr>
              <w:t>......</w:t>
            </w:r>
          </w:p>
        </w:tc>
        <w:tc>
          <w:tcPr>
            <w:tcW w:w="2619" w:type="dxa"/>
            <w:tcBorders>
              <w:top w:val="single" w:color="auto" w:sz="4" w:space="0"/>
              <w:left w:val="single" w:color="auto" w:sz="4" w:space="0"/>
              <w:bottom w:val="single" w:color="auto" w:sz="4" w:space="0"/>
              <w:right w:val="single" w:color="auto" w:sz="4" w:space="0"/>
            </w:tcBorders>
            <w:noWrap/>
            <w:vAlign w:val="center"/>
          </w:tcPr>
          <w:p w14:paraId="2EAE65BC">
            <w:pPr>
              <w:snapToGrid w:val="0"/>
              <w:spacing w:beforeLines="50"/>
              <w:jc w:val="center"/>
              <w:rPr>
                <w:rFonts w:ascii="宋体" w:hAnsi="宋体" w:cs="宋体"/>
                <w:color w:val="auto"/>
                <w:szCs w:val="21"/>
              </w:rPr>
            </w:pPr>
          </w:p>
        </w:tc>
        <w:tc>
          <w:tcPr>
            <w:tcW w:w="2446" w:type="dxa"/>
            <w:tcBorders>
              <w:top w:val="single" w:color="auto" w:sz="4" w:space="0"/>
              <w:left w:val="single" w:color="auto" w:sz="4" w:space="0"/>
              <w:bottom w:val="single" w:color="auto" w:sz="4" w:space="0"/>
              <w:right w:val="single" w:color="auto" w:sz="4" w:space="0"/>
            </w:tcBorders>
            <w:noWrap/>
            <w:vAlign w:val="center"/>
          </w:tcPr>
          <w:p w14:paraId="2441C1D1">
            <w:pPr>
              <w:snapToGrid w:val="0"/>
              <w:spacing w:beforeLines="50"/>
              <w:jc w:val="center"/>
              <w:rPr>
                <w:rFonts w:ascii="宋体" w:hAnsi="宋体" w:cs="宋体"/>
                <w:color w:val="auto"/>
                <w:szCs w:val="21"/>
              </w:rPr>
            </w:pPr>
          </w:p>
        </w:tc>
        <w:tc>
          <w:tcPr>
            <w:tcW w:w="1830" w:type="dxa"/>
            <w:tcBorders>
              <w:top w:val="single" w:color="auto" w:sz="4" w:space="0"/>
              <w:left w:val="single" w:color="auto" w:sz="4" w:space="0"/>
              <w:bottom w:val="single" w:color="auto" w:sz="4" w:space="0"/>
              <w:right w:val="single" w:color="auto" w:sz="4" w:space="0"/>
            </w:tcBorders>
            <w:noWrap/>
            <w:vAlign w:val="center"/>
          </w:tcPr>
          <w:p w14:paraId="7C235C9D">
            <w:pPr>
              <w:snapToGrid w:val="0"/>
              <w:spacing w:beforeLines="50"/>
              <w:jc w:val="center"/>
              <w:rPr>
                <w:rFonts w:ascii="宋体" w:hAnsi="宋体" w:cs="宋体"/>
                <w:color w:val="auto"/>
                <w:szCs w:val="21"/>
              </w:rPr>
            </w:pPr>
          </w:p>
        </w:tc>
      </w:tr>
      <w:tr w14:paraId="1FAF9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55" w:type="dxa"/>
            <w:tcBorders>
              <w:top w:val="single" w:color="auto" w:sz="4" w:space="0"/>
              <w:left w:val="single" w:color="auto" w:sz="4" w:space="0"/>
              <w:bottom w:val="single" w:color="auto" w:sz="4" w:space="0"/>
              <w:right w:val="single" w:color="auto" w:sz="4" w:space="0"/>
            </w:tcBorders>
            <w:noWrap/>
            <w:vAlign w:val="center"/>
          </w:tcPr>
          <w:p w14:paraId="2D3256D9">
            <w:pPr>
              <w:snapToGrid w:val="0"/>
              <w:spacing w:beforeLines="50"/>
              <w:jc w:val="center"/>
              <w:rPr>
                <w:rFonts w:ascii="宋体" w:hAnsi="宋体" w:cs="宋体"/>
                <w:color w:val="auto"/>
                <w:szCs w:val="21"/>
              </w:rPr>
            </w:pPr>
            <w:r>
              <w:rPr>
                <w:rFonts w:hint="eastAsia" w:ascii="宋体" w:hAnsi="宋体" w:cs="宋体"/>
                <w:color w:val="auto"/>
                <w:szCs w:val="21"/>
              </w:rPr>
              <w:t>3</w:t>
            </w:r>
          </w:p>
        </w:tc>
        <w:tc>
          <w:tcPr>
            <w:tcW w:w="2231" w:type="dxa"/>
            <w:tcBorders>
              <w:top w:val="single" w:color="auto" w:sz="4" w:space="0"/>
              <w:left w:val="single" w:color="auto" w:sz="4" w:space="0"/>
              <w:bottom w:val="single" w:color="auto" w:sz="4" w:space="0"/>
              <w:right w:val="single" w:color="auto" w:sz="4" w:space="0"/>
            </w:tcBorders>
            <w:noWrap/>
            <w:vAlign w:val="center"/>
          </w:tcPr>
          <w:p w14:paraId="725AFE2D">
            <w:pPr>
              <w:widowControl/>
              <w:spacing w:line="360" w:lineRule="exact"/>
              <w:jc w:val="left"/>
              <w:rPr>
                <w:rFonts w:ascii="宋体" w:hAnsi="宋体" w:cs="新宋体"/>
                <w:bCs/>
                <w:color w:val="auto"/>
                <w:kern w:val="0"/>
                <w:szCs w:val="21"/>
              </w:rPr>
            </w:pPr>
            <w:r>
              <w:rPr>
                <w:rFonts w:hint="eastAsia" w:ascii="宋体" w:hAnsi="宋体" w:cs="新宋体"/>
                <w:bCs/>
                <w:color w:val="auto"/>
                <w:kern w:val="0"/>
                <w:szCs w:val="21"/>
              </w:rPr>
              <w:t>......</w:t>
            </w:r>
          </w:p>
        </w:tc>
        <w:tc>
          <w:tcPr>
            <w:tcW w:w="2619" w:type="dxa"/>
            <w:tcBorders>
              <w:top w:val="single" w:color="auto" w:sz="4" w:space="0"/>
              <w:left w:val="single" w:color="auto" w:sz="4" w:space="0"/>
              <w:bottom w:val="single" w:color="auto" w:sz="4" w:space="0"/>
              <w:right w:val="single" w:color="auto" w:sz="4" w:space="0"/>
            </w:tcBorders>
            <w:noWrap/>
            <w:vAlign w:val="center"/>
          </w:tcPr>
          <w:p w14:paraId="659CF0A4">
            <w:pPr>
              <w:snapToGrid w:val="0"/>
              <w:spacing w:beforeLines="50"/>
              <w:jc w:val="center"/>
              <w:rPr>
                <w:rFonts w:ascii="宋体" w:hAnsi="宋体" w:cs="宋体"/>
                <w:color w:val="auto"/>
                <w:szCs w:val="21"/>
              </w:rPr>
            </w:pPr>
          </w:p>
        </w:tc>
        <w:tc>
          <w:tcPr>
            <w:tcW w:w="2446" w:type="dxa"/>
            <w:tcBorders>
              <w:top w:val="single" w:color="auto" w:sz="4" w:space="0"/>
              <w:left w:val="single" w:color="auto" w:sz="4" w:space="0"/>
              <w:bottom w:val="single" w:color="auto" w:sz="4" w:space="0"/>
              <w:right w:val="single" w:color="auto" w:sz="4" w:space="0"/>
            </w:tcBorders>
            <w:noWrap/>
            <w:vAlign w:val="center"/>
          </w:tcPr>
          <w:p w14:paraId="68D71B7B">
            <w:pPr>
              <w:snapToGrid w:val="0"/>
              <w:spacing w:beforeLines="50"/>
              <w:ind w:left="43"/>
              <w:jc w:val="center"/>
              <w:rPr>
                <w:rFonts w:ascii="宋体" w:hAnsi="宋体" w:cs="宋体"/>
                <w:color w:val="auto"/>
                <w:szCs w:val="21"/>
              </w:rPr>
            </w:pPr>
          </w:p>
        </w:tc>
        <w:tc>
          <w:tcPr>
            <w:tcW w:w="1830" w:type="dxa"/>
            <w:tcBorders>
              <w:top w:val="single" w:color="auto" w:sz="4" w:space="0"/>
              <w:left w:val="single" w:color="auto" w:sz="4" w:space="0"/>
              <w:bottom w:val="single" w:color="auto" w:sz="4" w:space="0"/>
              <w:right w:val="single" w:color="auto" w:sz="4" w:space="0"/>
            </w:tcBorders>
            <w:noWrap/>
            <w:vAlign w:val="center"/>
          </w:tcPr>
          <w:p w14:paraId="22993440">
            <w:pPr>
              <w:snapToGrid w:val="0"/>
              <w:spacing w:beforeLines="50"/>
              <w:ind w:left="43"/>
              <w:jc w:val="center"/>
              <w:rPr>
                <w:rFonts w:ascii="宋体" w:hAnsi="宋体" w:cs="宋体"/>
                <w:color w:val="auto"/>
                <w:szCs w:val="21"/>
              </w:rPr>
            </w:pPr>
          </w:p>
        </w:tc>
      </w:tr>
      <w:tr w14:paraId="3A16D2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655" w:type="dxa"/>
            <w:tcBorders>
              <w:top w:val="single" w:color="auto" w:sz="4" w:space="0"/>
              <w:left w:val="single" w:color="auto" w:sz="4" w:space="0"/>
              <w:bottom w:val="single" w:color="auto" w:sz="4" w:space="0"/>
              <w:right w:val="single" w:color="auto" w:sz="4" w:space="0"/>
            </w:tcBorders>
            <w:noWrap/>
            <w:vAlign w:val="center"/>
          </w:tcPr>
          <w:p w14:paraId="3AFE8110">
            <w:pPr>
              <w:snapToGrid w:val="0"/>
              <w:spacing w:beforeLines="50"/>
              <w:jc w:val="center"/>
              <w:rPr>
                <w:rFonts w:ascii="宋体" w:hAnsi="宋体" w:cs="宋体"/>
                <w:color w:val="auto"/>
                <w:szCs w:val="21"/>
              </w:rPr>
            </w:pPr>
            <w:r>
              <w:rPr>
                <w:rFonts w:hint="eastAsia" w:ascii="宋体" w:hAnsi="宋体" w:cs="宋体"/>
                <w:color w:val="auto"/>
                <w:szCs w:val="21"/>
              </w:rPr>
              <w:t>4</w:t>
            </w:r>
          </w:p>
        </w:tc>
        <w:tc>
          <w:tcPr>
            <w:tcW w:w="2231" w:type="dxa"/>
            <w:tcBorders>
              <w:top w:val="single" w:color="auto" w:sz="4" w:space="0"/>
              <w:left w:val="single" w:color="auto" w:sz="4" w:space="0"/>
              <w:bottom w:val="single" w:color="auto" w:sz="4" w:space="0"/>
              <w:right w:val="single" w:color="auto" w:sz="4" w:space="0"/>
            </w:tcBorders>
            <w:noWrap/>
            <w:vAlign w:val="center"/>
          </w:tcPr>
          <w:p w14:paraId="2012DA97">
            <w:pPr>
              <w:widowControl/>
              <w:spacing w:line="360" w:lineRule="exact"/>
              <w:jc w:val="left"/>
              <w:rPr>
                <w:rFonts w:ascii="宋体" w:hAnsi="宋体" w:cs="新宋体"/>
                <w:bCs/>
                <w:color w:val="auto"/>
                <w:kern w:val="0"/>
                <w:szCs w:val="21"/>
              </w:rPr>
            </w:pPr>
            <w:r>
              <w:rPr>
                <w:rFonts w:hint="eastAsia" w:ascii="宋体" w:hAnsi="宋体" w:cs="新宋体"/>
                <w:bCs/>
                <w:color w:val="auto"/>
                <w:kern w:val="0"/>
                <w:szCs w:val="21"/>
              </w:rPr>
              <w:t>.....</w:t>
            </w:r>
          </w:p>
        </w:tc>
        <w:tc>
          <w:tcPr>
            <w:tcW w:w="2619" w:type="dxa"/>
            <w:tcBorders>
              <w:top w:val="single" w:color="auto" w:sz="4" w:space="0"/>
              <w:left w:val="single" w:color="auto" w:sz="4" w:space="0"/>
              <w:bottom w:val="single" w:color="auto" w:sz="4" w:space="0"/>
              <w:right w:val="single" w:color="auto" w:sz="4" w:space="0"/>
            </w:tcBorders>
            <w:noWrap/>
            <w:vAlign w:val="center"/>
          </w:tcPr>
          <w:p w14:paraId="30E76BAB">
            <w:pPr>
              <w:snapToGrid w:val="0"/>
              <w:spacing w:beforeLines="50"/>
              <w:jc w:val="center"/>
              <w:rPr>
                <w:rFonts w:ascii="宋体" w:hAnsi="宋体" w:cs="宋体"/>
                <w:color w:val="auto"/>
                <w:szCs w:val="21"/>
              </w:rPr>
            </w:pPr>
          </w:p>
        </w:tc>
        <w:tc>
          <w:tcPr>
            <w:tcW w:w="2446" w:type="dxa"/>
            <w:tcBorders>
              <w:top w:val="single" w:color="auto" w:sz="4" w:space="0"/>
              <w:left w:val="single" w:color="auto" w:sz="4" w:space="0"/>
              <w:bottom w:val="single" w:color="auto" w:sz="4" w:space="0"/>
              <w:right w:val="single" w:color="auto" w:sz="4" w:space="0"/>
            </w:tcBorders>
            <w:noWrap/>
            <w:vAlign w:val="center"/>
          </w:tcPr>
          <w:p w14:paraId="3DC2F04E">
            <w:pPr>
              <w:snapToGrid w:val="0"/>
              <w:spacing w:beforeLines="50"/>
              <w:jc w:val="center"/>
              <w:rPr>
                <w:rFonts w:ascii="宋体" w:hAnsi="宋体" w:cs="宋体"/>
                <w:color w:val="auto"/>
                <w:szCs w:val="21"/>
              </w:rPr>
            </w:pPr>
          </w:p>
        </w:tc>
        <w:tc>
          <w:tcPr>
            <w:tcW w:w="1830" w:type="dxa"/>
            <w:tcBorders>
              <w:top w:val="single" w:color="auto" w:sz="4" w:space="0"/>
              <w:left w:val="single" w:color="auto" w:sz="4" w:space="0"/>
              <w:bottom w:val="single" w:color="auto" w:sz="4" w:space="0"/>
              <w:right w:val="single" w:color="auto" w:sz="4" w:space="0"/>
            </w:tcBorders>
            <w:noWrap/>
            <w:vAlign w:val="center"/>
          </w:tcPr>
          <w:p w14:paraId="2614867D">
            <w:pPr>
              <w:snapToGrid w:val="0"/>
              <w:spacing w:beforeLines="50"/>
              <w:jc w:val="center"/>
              <w:rPr>
                <w:rFonts w:ascii="宋体" w:hAnsi="宋体" w:cs="宋体"/>
                <w:color w:val="auto"/>
                <w:szCs w:val="21"/>
              </w:rPr>
            </w:pPr>
          </w:p>
        </w:tc>
      </w:tr>
      <w:tr w14:paraId="3635B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655" w:type="dxa"/>
            <w:tcBorders>
              <w:top w:val="single" w:color="auto" w:sz="4" w:space="0"/>
              <w:left w:val="single" w:color="auto" w:sz="4" w:space="0"/>
              <w:bottom w:val="single" w:color="auto" w:sz="4" w:space="0"/>
              <w:right w:val="single" w:color="auto" w:sz="4" w:space="0"/>
            </w:tcBorders>
            <w:noWrap/>
            <w:vAlign w:val="center"/>
          </w:tcPr>
          <w:p w14:paraId="67BE245B">
            <w:pPr>
              <w:snapToGrid w:val="0"/>
              <w:spacing w:beforeLines="50"/>
              <w:jc w:val="center"/>
              <w:rPr>
                <w:rFonts w:ascii="宋体" w:hAnsi="宋体" w:cs="宋体"/>
                <w:color w:val="auto"/>
                <w:szCs w:val="21"/>
              </w:rPr>
            </w:pPr>
            <w:r>
              <w:rPr>
                <w:rFonts w:hint="eastAsia" w:ascii="宋体" w:hAnsi="宋体" w:cs="宋体"/>
                <w:color w:val="auto"/>
                <w:szCs w:val="21"/>
              </w:rPr>
              <w:t>5</w:t>
            </w:r>
          </w:p>
        </w:tc>
        <w:tc>
          <w:tcPr>
            <w:tcW w:w="2231" w:type="dxa"/>
            <w:tcBorders>
              <w:top w:val="single" w:color="auto" w:sz="4" w:space="0"/>
              <w:left w:val="single" w:color="auto" w:sz="4" w:space="0"/>
              <w:bottom w:val="single" w:color="auto" w:sz="4" w:space="0"/>
              <w:right w:val="single" w:color="auto" w:sz="4" w:space="0"/>
            </w:tcBorders>
            <w:noWrap/>
            <w:vAlign w:val="center"/>
          </w:tcPr>
          <w:p w14:paraId="4AAB8F74">
            <w:pPr>
              <w:widowControl/>
              <w:spacing w:line="360" w:lineRule="exact"/>
              <w:jc w:val="left"/>
              <w:rPr>
                <w:rFonts w:ascii="宋体" w:hAnsi="宋体" w:cs="新宋体"/>
                <w:bCs/>
                <w:color w:val="auto"/>
                <w:kern w:val="0"/>
                <w:szCs w:val="21"/>
              </w:rPr>
            </w:pPr>
            <w:r>
              <w:rPr>
                <w:rFonts w:hint="eastAsia" w:ascii="宋体" w:hAnsi="宋体" w:cs="新宋体"/>
                <w:bCs/>
                <w:color w:val="auto"/>
                <w:kern w:val="0"/>
                <w:szCs w:val="21"/>
              </w:rPr>
              <w:t>（五）知识产权要求</w:t>
            </w:r>
          </w:p>
        </w:tc>
        <w:tc>
          <w:tcPr>
            <w:tcW w:w="2619" w:type="dxa"/>
            <w:tcBorders>
              <w:top w:val="single" w:color="auto" w:sz="4" w:space="0"/>
              <w:left w:val="single" w:color="auto" w:sz="4" w:space="0"/>
              <w:bottom w:val="single" w:color="auto" w:sz="4" w:space="0"/>
              <w:right w:val="single" w:color="auto" w:sz="4" w:space="0"/>
            </w:tcBorders>
            <w:noWrap/>
            <w:vAlign w:val="center"/>
          </w:tcPr>
          <w:p w14:paraId="16B58A3E">
            <w:pPr>
              <w:snapToGrid w:val="0"/>
              <w:spacing w:beforeLines="50"/>
              <w:jc w:val="center"/>
              <w:rPr>
                <w:rFonts w:ascii="宋体" w:hAnsi="宋体" w:cs="宋体"/>
                <w:color w:val="auto"/>
                <w:szCs w:val="21"/>
              </w:rPr>
            </w:pPr>
          </w:p>
        </w:tc>
        <w:tc>
          <w:tcPr>
            <w:tcW w:w="2446" w:type="dxa"/>
            <w:tcBorders>
              <w:top w:val="single" w:color="auto" w:sz="4" w:space="0"/>
              <w:left w:val="single" w:color="auto" w:sz="4" w:space="0"/>
              <w:bottom w:val="single" w:color="auto" w:sz="4" w:space="0"/>
              <w:right w:val="single" w:color="auto" w:sz="4" w:space="0"/>
            </w:tcBorders>
            <w:noWrap/>
            <w:vAlign w:val="center"/>
          </w:tcPr>
          <w:p w14:paraId="0B43A83A">
            <w:pPr>
              <w:snapToGrid w:val="0"/>
              <w:spacing w:beforeLines="50"/>
              <w:jc w:val="center"/>
              <w:rPr>
                <w:rFonts w:ascii="宋体" w:hAnsi="宋体" w:cs="宋体"/>
                <w:color w:val="auto"/>
                <w:szCs w:val="21"/>
              </w:rPr>
            </w:pPr>
          </w:p>
        </w:tc>
        <w:tc>
          <w:tcPr>
            <w:tcW w:w="1830" w:type="dxa"/>
            <w:tcBorders>
              <w:top w:val="single" w:color="auto" w:sz="4" w:space="0"/>
              <w:left w:val="single" w:color="auto" w:sz="4" w:space="0"/>
              <w:bottom w:val="single" w:color="auto" w:sz="4" w:space="0"/>
              <w:right w:val="single" w:color="auto" w:sz="4" w:space="0"/>
            </w:tcBorders>
            <w:noWrap/>
            <w:vAlign w:val="center"/>
          </w:tcPr>
          <w:p w14:paraId="4B2B173C">
            <w:pPr>
              <w:snapToGrid w:val="0"/>
              <w:spacing w:beforeLines="50"/>
              <w:jc w:val="center"/>
              <w:rPr>
                <w:rFonts w:ascii="宋体" w:hAnsi="宋体" w:cs="宋体"/>
                <w:color w:val="auto"/>
                <w:szCs w:val="21"/>
              </w:rPr>
            </w:pPr>
          </w:p>
        </w:tc>
      </w:tr>
    </w:tbl>
    <w:p w14:paraId="2D6DE6AC">
      <w:pPr>
        <w:pStyle w:val="12"/>
        <w:rPr>
          <w:rFonts w:ascii="宋体" w:hAnsi="宋体" w:cs="宋体"/>
          <w:color w:val="auto"/>
        </w:rPr>
      </w:pPr>
    </w:p>
    <w:p w14:paraId="65773E21">
      <w:pPr>
        <w:pStyle w:val="12"/>
        <w:rPr>
          <w:rFonts w:ascii="宋体" w:hAnsi="宋体" w:cs="宋体"/>
          <w:color w:val="auto"/>
        </w:rPr>
      </w:pPr>
    </w:p>
    <w:p w14:paraId="6E61D3EE">
      <w:pPr>
        <w:spacing w:line="360" w:lineRule="auto"/>
        <w:ind w:right="-817" w:rightChars="-389"/>
        <w:contextualSpacing/>
        <w:rPr>
          <w:rFonts w:ascii="宋体" w:hAnsi="宋体" w:cs="仿宋_GB2312"/>
          <w:color w:val="auto"/>
          <w:sz w:val="24"/>
        </w:rPr>
      </w:pPr>
    </w:p>
    <w:p w14:paraId="1FACFE63">
      <w:pPr>
        <w:spacing w:line="360" w:lineRule="auto"/>
        <w:ind w:right="-817" w:rightChars="-389"/>
        <w:contextualSpacing/>
        <w:jc w:val="center"/>
        <w:rPr>
          <w:rFonts w:ascii="宋体" w:hAnsi="宋体" w:cs="仿宋_GB2312"/>
          <w:color w:val="auto"/>
          <w:sz w:val="24"/>
        </w:rPr>
      </w:pPr>
      <w:r>
        <w:rPr>
          <w:rFonts w:hint="eastAsia" w:ascii="宋体" w:hAnsi="宋体" w:cs="仿宋_GB2312"/>
          <w:color w:val="auto"/>
          <w:sz w:val="24"/>
        </w:rPr>
        <w:t>法定代表人或者委托代理人（签字或者盖章或者电子签名）：</w:t>
      </w:r>
    </w:p>
    <w:p w14:paraId="32939B51">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供应商（电子签章）：      </w:t>
      </w:r>
    </w:p>
    <w:p w14:paraId="26D564F3">
      <w:pPr>
        <w:spacing w:line="360" w:lineRule="auto"/>
        <w:ind w:right="-817" w:rightChars="-389" w:firstLine="4080" w:firstLineChars="1700"/>
        <w:contextualSpacing/>
        <w:rPr>
          <w:rFonts w:ascii="宋体" w:hAnsi="宋体" w:cs="仿宋_GB2312"/>
          <w:color w:val="auto"/>
          <w:sz w:val="24"/>
        </w:rPr>
      </w:pPr>
      <w:r>
        <w:rPr>
          <w:rFonts w:hint="eastAsia" w:ascii="宋体" w:hAnsi="宋体" w:cs="仿宋_GB2312"/>
          <w:color w:val="auto"/>
          <w:sz w:val="24"/>
        </w:rPr>
        <w:t>日期：   年   月   日</w:t>
      </w:r>
    </w:p>
    <w:p w14:paraId="60105879">
      <w:pPr>
        <w:spacing w:line="360" w:lineRule="auto"/>
        <w:ind w:right="-817" w:rightChars="-389" w:firstLine="4080" w:firstLineChars="1700"/>
        <w:contextualSpacing/>
        <w:rPr>
          <w:rFonts w:ascii="宋体" w:hAnsi="宋体" w:cs="仿宋_GB2312"/>
          <w:color w:val="auto"/>
          <w:sz w:val="24"/>
        </w:rPr>
      </w:pPr>
    </w:p>
    <w:p w14:paraId="5ADE29B8">
      <w:pPr>
        <w:spacing w:line="360" w:lineRule="auto"/>
        <w:ind w:right="-817" w:rightChars="-389" w:firstLine="4080" w:firstLineChars="1700"/>
        <w:contextualSpacing/>
        <w:rPr>
          <w:rFonts w:ascii="宋体" w:hAnsi="宋体" w:cs="仿宋_GB2312"/>
          <w:color w:val="auto"/>
          <w:sz w:val="24"/>
        </w:rPr>
      </w:pPr>
    </w:p>
    <w:p w14:paraId="28A23CA6">
      <w:pPr>
        <w:rPr>
          <w:rFonts w:hAnsi="宋体" w:cs="宋体"/>
          <w:b/>
          <w:bCs/>
          <w:color w:val="auto"/>
          <w:sz w:val="32"/>
          <w:szCs w:val="32"/>
        </w:rPr>
      </w:pPr>
      <w:r>
        <w:rPr>
          <w:rFonts w:hint="eastAsia" w:hAnsi="宋体" w:cs="宋体"/>
          <w:b/>
          <w:bCs/>
          <w:color w:val="auto"/>
          <w:sz w:val="32"/>
          <w:szCs w:val="32"/>
        </w:rPr>
        <w:br w:type="page"/>
      </w:r>
    </w:p>
    <w:p w14:paraId="2423F8BE">
      <w:pPr>
        <w:pStyle w:val="17"/>
        <w:spacing w:line="340" w:lineRule="exact"/>
        <w:rPr>
          <w:rFonts w:hAnsi="宋体" w:cs="宋体"/>
          <w:b/>
          <w:bCs/>
          <w:color w:val="auto"/>
          <w:sz w:val="32"/>
          <w:szCs w:val="32"/>
        </w:rPr>
      </w:pPr>
      <w:r>
        <w:rPr>
          <w:rFonts w:hint="eastAsia" w:hAnsi="宋体" w:cs="宋体"/>
          <w:b/>
          <w:bCs/>
          <w:color w:val="auto"/>
          <w:sz w:val="32"/>
          <w:szCs w:val="32"/>
        </w:rPr>
        <w:t>5.项目管理方案（包含但不限于各岗位职责及工作流程、洗涤/租赁管理方案、人员管理方案、日常及紧急服务响应方案）（必须提供）</w:t>
      </w:r>
    </w:p>
    <w:p w14:paraId="69F53F27">
      <w:pPr>
        <w:spacing w:line="360" w:lineRule="auto"/>
        <w:ind w:right="-817" w:rightChars="-389"/>
        <w:contextualSpacing/>
        <w:rPr>
          <w:rFonts w:ascii="宋体" w:hAnsi="宋体" w:cs="仿宋_GB2312"/>
          <w:color w:val="auto"/>
          <w:sz w:val="24"/>
        </w:rPr>
      </w:pPr>
    </w:p>
    <w:p w14:paraId="7CA2C961">
      <w:pPr>
        <w:pStyle w:val="46"/>
        <w:rPr>
          <w:rFonts w:ascii="宋体" w:hAnsi="宋体" w:cs="宋体"/>
          <w:color w:val="auto"/>
          <w:sz w:val="44"/>
          <w:szCs w:val="44"/>
        </w:rPr>
      </w:pPr>
      <w:r>
        <w:rPr>
          <w:rFonts w:hint="eastAsia" w:ascii="宋体" w:hAnsi="宋体" w:cs="宋体"/>
          <w:color w:val="auto"/>
          <w:sz w:val="44"/>
          <w:szCs w:val="44"/>
        </w:rPr>
        <w:t>（格式自拟）</w:t>
      </w:r>
    </w:p>
    <w:p w14:paraId="1B4A8E2B">
      <w:pPr>
        <w:rPr>
          <w:rFonts w:ascii="宋体" w:hAnsi="宋体" w:cs="宋体"/>
          <w:b/>
          <w:bCs/>
          <w:color w:val="auto"/>
          <w:sz w:val="32"/>
          <w:szCs w:val="32"/>
        </w:rPr>
      </w:pPr>
      <w:bookmarkStart w:id="175" w:name="_Toc28672"/>
      <w:bookmarkStart w:id="176" w:name="_Toc497927084"/>
      <w:bookmarkStart w:id="177" w:name="_Toc9339"/>
      <w:r>
        <w:rPr>
          <w:rFonts w:hint="eastAsia" w:ascii="宋体" w:hAnsi="宋体" w:cs="宋体"/>
          <w:b/>
          <w:bCs/>
          <w:color w:val="auto"/>
          <w:sz w:val="32"/>
          <w:szCs w:val="32"/>
        </w:rPr>
        <w:br w:type="page"/>
      </w:r>
    </w:p>
    <w:p w14:paraId="448DC1AE">
      <w:pPr>
        <w:spacing w:line="340" w:lineRule="exact"/>
        <w:ind w:left="420"/>
        <w:rPr>
          <w:rFonts w:ascii="宋体" w:hAnsi="宋体" w:cs="宋体"/>
          <w:b/>
          <w:bCs/>
          <w:color w:val="auto"/>
          <w:sz w:val="32"/>
          <w:szCs w:val="32"/>
        </w:rPr>
      </w:pPr>
      <w:r>
        <w:rPr>
          <w:rFonts w:hint="eastAsia" w:ascii="宋体" w:hAnsi="宋体" w:cs="宋体"/>
          <w:b/>
          <w:bCs/>
          <w:color w:val="auto"/>
          <w:sz w:val="32"/>
          <w:szCs w:val="32"/>
        </w:rPr>
        <w:t>（三）其他有效证明材料目录</w:t>
      </w:r>
      <w:bookmarkEnd w:id="175"/>
      <w:bookmarkEnd w:id="176"/>
      <w:bookmarkEnd w:id="177"/>
    </w:p>
    <w:p w14:paraId="1221E27B">
      <w:pPr>
        <w:spacing w:line="340" w:lineRule="exact"/>
        <w:ind w:left="420"/>
        <w:jc w:val="center"/>
        <w:rPr>
          <w:rFonts w:ascii="宋体" w:hAnsi="宋体" w:cs="宋体"/>
          <w:b/>
          <w:bCs/>
          <w:color w:val="auto"/>
          <w:sz w:val="32"/>
          <w:szCs w:val="32"/>
        </w:rPr>
      </w:pPr>
    </w:p>
    <w:p w14:paraId="2BFB885E">
      <w:pPr>
        <w:spacing w:line="360" w:lineRule="auto"/>
        <w:ind w:firstLine="480" w:firstLineChars="200"/>
        <w:rPr>
          <w:rFonts w:ascii="宋体" w:hAnsi="宋体" w:cs="宋体"/>
          <w:b/>
          <w:bCs/>
          <w:color w:val="auto"/>
        </w:rPr>
      </w:pPr>
      <w:r>
        <w:rPr>
          <w:rFonts w:hint="eastAsia" w:ascii="宋体" w:hAnsi="宋体" w:cs="宋体"/>
          <w:color w:val="auto"/>
          <w:sz w:val="24"/>
        </w:rPr>
        <w:t>1.项目实施人员一览表（格式见附件）</w:t>
      </w:r>
      <w:r>
        <w:rPr>
          <w:rFonts w:hint="eastAsia" w:ascii="宋体" w:hAnsi="宋体" w:cs="宋体"/>
          <w:b/>
          <w:bCs/>
          <w:color w:val="auto"/>
          <w:sz w:val="24"/>
        </w:rPr>
        <w:t>（如有，请提供）</w:t>
      </w:r>
    </w:p>
    <w:p w14:paraId="54AC2EF5">
      <w:pPr>
        <w:spacing w:line="360" w:lineRule="auto"/>
        <w:ind w:firstLine="480" w:firstLineChars="200"/>
        <w:jc w:val="left"/>
        <w:rPr>
          <w:rFonts w:ascii="宋体" w:hAnsi="宋体" w:cs="宋体"/>
          <w:b/>
          <w:bCs/>
          <w:color w:val="auto"/>
          <w:sz w:val="24"/>
        </w:rPr>
      </w:pPr>
      <w:r>
        <w:rPr>
          <w:rFonts w:hint="eastAsia" w:ascii="宋体" w:hAnsi="宋体" w:cs="宋体"/>
          <w:color w:val="auto"/>
          <w:sz w:val="24"/>
        </w:rPr>
        <w:t>2.供应商的针对本项目的售后服务方案（（包含但不限于：①服务态度、服务效率、服务质量承诺：包括投诉处理及回访率、对服务满意率等；②对责任事故的处理承诺；③其他服务承诺；④售后服务保障），格式自拟）（如有，请提供）</w:t>
      </w:r>
    </w:p>
    <w:p w14:paraId="72C15887">
      <w:pPr>
        <w:spacing w:line="360" w:lineRule="auto"/>
        <w:ind w:firstLine="480" w:firstLineChars="200"/>
        <w:jc w:val="left"/>
        <w:rPr>
          <w:rFonts w:ascii="宋体" w:hAnsi="宋体" w:cs="宋体"/>
          <w:b/>
          <w:bCs/>
          <w:color w:val="auto"/>
        </w:rPr>
      </w:pPr>
      <w:r>
        <w:rPr>
          <w:rFonts w:hint="eastAsia" w:ascii="宋体" w:hAnsi="宋体" w:cs="宋体"/>
          <w:color w:val="auto"/>
          <w:sz w:val="24"/>
        </w:rPr>
        <w:t>3.“采购需求”需提供的有效证明文件</w:t>
      </w:r>
      <w:r>
        <w:rPr>
          <w:rFonts w:hint="eastAsia" w:ascii="宋体" w:hAnsi="宋体" w:cs="宋体"/>
          <w:b/>
          <w:bCs/>
          <w:color w:val="auto"/>
          <w:sz w:val="24"/>
        </w:rPr>
        <w:t>（如有，请提供）</w:t>
      </w:r>
    </w:p>
    <w:p w14:paraId="005D5B2C">
      <w:pPr>
        <w:spacing w:line="420" w:lineRule="exact"/>
        <w:ind w:firstLine="480" w:firstLineChars="200"/>
        <w:rPr>
          <w:rFonts w:ascii="宋体" w:hAnsi="宋体" w:cs="宋体"/>
          <w:b/>
          <w:bCs/>
          <w:color w:val="auto"/>
          <w:sz w:val="24"/>
        </w:rPr>
      </w:pPr>
      <w:r>
        <w:rPr>
          <w:rFonts w:hint="eastAsia" w:ascii="宋体" w:hAnsi="宋体" w:cs="宋体"/>
          <w:color w:val="auto"/>
          <w:sz w:val="24"/>
        </w:rPr>
        <w:t>4.供应商</w:t>
      </w:r>
      <w:r>
        <w:rPr>
          <w:rFonts w:hint="eastAsia" w:ascii="宋体" w:hAnsi="宋体" w:cs="宋体"/>
          <w:b/>
          <w:bCs/>
          <w:color w:val="auto"/>
          <w:sz w:val="24"/>
        </w:rPr>
        <w:t>202</w:t>
      </w:r>
      <w:r>
        <w:rPr>
          <w:rFonts w:hint="eastAsia" w:ascii="宋体" w:hAnsi="宋体" w:cs="宋体"/>
          <w:b/>
          <w:bCs/>
          <w:color w:val="auto"/>
          <w:sz w:val="24"/>
          <w:lang w:val="en-US" w:eastAsia="zh-CN"/>
        </w:rPr>
        <w:t>2</w:t>
      </w:r>
      <w:r>
        <w:rPr>
          <w:rFonts w:hint="eastAsia" w:ascii="宋体" w:hAnsi="宋体" w:cs="宋体"/>
          <w:b/>
          <w:bCs/>
          <w:color w:val="auto"/>
          <w:sz w:val="24"/>
        </w:rPr>
        <w:t>年</w:t>
      </w:r>
      <w:r>
        <w:rPr>
          <w:rFonts w:hint="eastAsia" w:ascii="宋体" w:hAnsi="宋体" w:cs="宋体"/>
          <w:color w:val="auto"/>
          <w:sz w:val="24"/>
        </w:rPr>
        <w:t>1月1日以来具有同类项目业绩相关证明材料（无不良记录，以中标、成交通知书或签订的合同为准，并能清晰反映项目的名称、采购内容、采购金额、采购时间）</w:t>
      </w:r>
      <w:r>
        <w:rPr>
          <w:rFonts w:hint="eastAsia" w:ascii="宋体" w:hAnsi="宋体" w:cs="宋体"/>
          <w:b/>
          <w:bCs/>
          <w:color w:val="auto"/>
          <w:sz w:val="24"/>
        </w:rPr>
        <w:t>（如有，请提供）</w:t>
      </w:r>
    </w:p>
    <w:p w14:paraId="6C5CDDC1">
      <w:pPr>
        <w:spacing w:line="360" w:lineRule="auto"/>
        <w:ind w:firstLine="480" w:firstLineChars="200"/>
        <w:rPr>
          <w:rFonts w:ascii="宋体" w:hAnsi="宋体" w:cs="宋体"/>
          <w:color w:val="auto"/>
          <w:sz w:val="24"/>
        </w:rPr>
      </w:pPr>
      <w:r>
        <w:rPr>
          <w:rFonts w:hint="eastAsia" w:ascii="宋体" w:hAnsi="宋体" w:cs="宋体"/>
          <w:color w:val="auto"/>
          <w:sz w:val="24"/>
        </w:rPr>
        <w:t>5.供应商可结合本项目的评审办法视自身情况自行提交其它相关证明材料。</w:t>
      </w:r>
    </w:p>
    <w:p w14:paraId="2B839C4B">
      <w:pPr>
        <w:spacing w:line="360" w:lineRule="auto"/>
        <w:ind w:firstLine="480" w:firstLineChars="200"/>
        <w:rPr>
          <w:rFonts w:ascii="宋体" w:hAnsi="宋体" w:cs="宋体"/>
          <w:color w:val="auto"/>
          <w:sz w:val="24"/>
        </w:rPr>
      </w:pPr>
    </w:p>
    <w:p w14:paraId="6A425E49">
      <w:pPr>
        <w:pStyle w:val="46"/>
        <w:rPr>
          <w:rFonts w:ascii="宋体" w:hAnsi="宋体" w:cs="宋体"/>
          <w:color w:val="auto"/>
        </w:rPr>
      </w:pPr>
    </w:p>
    <w:p w14:paraId="23135780">
      <w:pPr>
        <w:pStyle w:val="46"/>
        <w:rPr>
          <w:rFonts w:ascii="宋体" w:hAnsi="宋体" w:cs="宋体"/>
          <w:color w:val="auto"/>
        </w:rPr>
      </w:pPr>
    </w:p>
    <w:p w14:paraId="33C1D45A">
      <w:pPr>
        <w:pStyle w:val="46"/>
        <w:rPr>
          <w:rFonts w:ascii="宋体" w:hAnsi="宋体" w:cs="宋体"/>
          <w:color w:val="auto"/>
        </w:rPr>
      </w:pPr>
    </w:p>
    <w:p w14:paraId="13D8CE05">
      <w:pPr>
        <w:pStyle w:val="46"/>
        <w:rPr>
          <w:rFonts w:ascii="宋体" w:hAnsi="宋体" w:cs="宋体"/>
          <w:color w:val="auto"/>
        </w:rPr>
      </w:pPr>
    </w:p>
    <w:p w14:paraId="1BB0A538">
      <w:pPr>
        <w:pStyle w:val="46"/>
        <w:rPr>
          <w:rFonts w:ascii="宋体" w:hAnsi="宋体" w:cs="宋体"/>
          <w:color w:val="auto"/>
        </w:rPr>
      </w:pPr>
    </w:p>
    <w:p w14:paraId="43594F6C">
      <w:pPr>
        <w:pStyle w:val="46"/>
        <w:rPr>
          <w:rFonts w:ascii="宋体" w:hAnsi="宋体" w:cs="宋体"/>
          <w:color w:val="auto"/>
        </w:rPr>
      </w:pPr>
    </w:p>
    <w:p w14:paraId="11D28A50">
      <w:pPr>
        <w:pStyle w:val="46"/>
        <w:rPr>
          <w:rFonts w:ascii="宋体" w:hAnsi="宋体" w:cs="宋体"/>
          <w:color w:val="auto"/>
        </w:rPr>
      </w:pPr>
    </w:p>
    <w:p w14:paraId="09A0B08D">
      <w:pPr>
        <w:pStyle w:val="46"/>
        <w:rPr>
          <w:rFonts w:ascii="宋体" w:hAnsi="宋体" w:cs="宋体"/>
          <w:color w:val="auto"/>
        </w:rPr>
      </w:pPr>
    </w:p>
    <w:p w14:paraId="0B76F441">
      <w:pPr>
        <w:pStyle w:val="45"/>
        <w:ind w:firstLine="0" w:firstLineChars="0"/>
        <w:rPr>
          <w:rFonts w:cs="宋体"/>
          <w:b/>
          <w:color w:val="auto"/>
          <w:kern w:val="2"/>
          <w:sz w:val="28"/>
          <w:szCs w:val="28"/>
        </w:rPr>
      </w:pPr>
    </w:p>
    <w:p w14:paraId="2D79AAD7">
      <w:pPr>
        <w:pStyle w:val="45"/>
        <w:ind w:firstLine="0" w:firstLineChars="0"/>
        <w:rPr>
          <w:rFonts w:cs="宋体"/>
          <w:b/>
          <w:color w:val="auto"/>
          <w:kern w:val="2"/>
          <w:sz w:val="28"/>
          <w:szCs w:val="28"/>
        </w:rPr>
      </w:pPr>
    </w:p>
    <w:p w14:paraId="2DDA15AA">
      <w:pPr>
        <w:pStyle w:val="45"/>
        <w:ind w:firstLine="0" w:firstLineChars="0"/>
        <w:rPr>
          <w:rFonts w:cs="宋体"/>
          <w:b/>
          <w:color w:val="auto"/>
          <w:kern w:val="2"/>
          <w:sz w:val="28"/>
          <w:szCs w:val="28"/>
        </w:rPr>
      </w:pPr>
    </w:p>
    <w:p w14:paraId="04BF3338">
      <w:pPr>
        <w:pStyle w:val="45"/>
        <w:ind w:firstLine="0" w:firstLineChars="0"/>
        <w:rPr>
          <w:rFonts w:cs="宋体"/>
          <w:b/>
          <w:color w:val="auto"/>
          <w:kern w:val="2"/>
          <w:sz w:val="28"/>
          <w:szCs w:val="28"/>
        </w:rPr>
      </w:pPr>
    </w:p>
    <w:p w14:paraId="5018F763">
      <w:pPr>
        <w:pStyle w:val="45"/>
        <w:ind w:firstLine="0" w:firstLineChars="0"/>
        <w:rPr>
          <w:rFonts w:cs="宋体"/>
          <w:b/>
          <w:color w:val="auto"/>
          <w:kern w:val="2"/>
          <w:sz w:val="28"/>
          <w:szCs w:val="28"/>
        </w:rPr>
      </w:pPr>
    </w:p>
    <w:p w14:paraId="551BD2B6">
      <w:pPr>
        <w:pStyle w:val="45"/>
        <w:ind w:firstLine="0" w:firstLineChars="0"/>
        <w:rPr>
          <w:rFonts w:cs="宋体"/>
          <w:b/>
          <w:color w:val="auto"/>
          <w:kern w:val="2"/>
          <w:sz w:val="28"/>
          <w:szCs w:val="28"/>
        </w:rPr>
      </w:pPr>
    </w:p>
    <w:p w14:paraId="2B01B542">
      <w:pPr>
        <w:pStyle w:val="17"/>
        <w:spacing w:line="340" w:lineRule="exact"/>
        <w:rPr>
          <w:rFonts w:hAnsi="宋体" w:cs="宋体"/>
          <w:b/>
          <w:color w:val="auto"/>
          <w:sz w:val="28"/>
          <w:szCs w:val="28"/>
        </w:rPr>
      </w:pPr>
    </w:p>
    <w:p w14:paraId="501136B7">
      <w:pPr>
        <w:pStyle w:val="17"/>
        <w:spacing w:line="340" w:lineRule="exact"/>
        <w:rPr>
          <w:rFonts w:hAnsi="宋体" w:cs="宋体"/>
          <w:b/>
          <w:color w:val="auto"/>
          <w:sz w:val="28"/>
          <w:szCs w:val="28"/>
        </w:rPr>
      </w:pPr>
      <w:r>
        <w:rPr>
          <w:rFonts w:hint="eastAsia" w:hAnsi="宋体" w:cs="宋体"/>
          <w:b/>
          <w:color w:val="auto"/>
          <w:sz w:val="28"/>
          <w:szCs w:val="28"/>
        </w:rPr>
        <w:t>1.项目实施人员一览表 （如有，请提供）</w:t>
      </w:r>
    </w:p>
    <w:p w14:paraId="5F796160">
      <w:pPr>
        <w:rPr>
          <w:rFonts w:ascii="宋体" w:hAnsi="宋体" w:cs="宋体"/>
          <w:color w:val="auto"/>
        </w:rPr>
      </w:pPr>
    </w:p>
    <w:p w14:paraId="3F525611">
      <w:pPr>
        <w:pStyle w:val="17"/>
        <w:rPr>
          <w:rFonts w:hAnsi="宋体" w:cs="宋体"/>
          <w:b/>
          <w:bCs/>
          <w:color w:val="auto"/>
          <w:sz w:val="32"/>
          <w:szCs w:val="32"/>
        </w:rPr>
      </w:pPr>
      <w:r>
        <w:rPr>
          <w:rFonts w:hint="eastAsia" w:hAnsi="宋体" w:cs="宋体"/>
          <w:b/>
          <w:bCs/>
          <w:color w:val="auto"/>
          <w:sz w:val="32"/>
          <w:szCs w:val="32"/>
        </w:rPr>
        <w:t>附件：</w:t>
      </w:r>
    </w:p>
    <w:p w14:paraId="76D0C975">
      <w:pPr>
        <w:pStyle w:val="17"/>
        <w:ind w:firstLine="472" w:firstLineChars="147"/>
        <w:jc w:val="center"/>
        <w:rPr>
          <w:rFonts w:hAnsi="宋体" w:cs="宋体"/>
          <w:b/>
          <w:bCs/>
          <w:color w:val="auto"/>
          <w:sz w:val="32"/>
          <w:szCs w:val="32"/>
        </w:rPr>
      </w:pPr>
      <w:r>
        <w:rPr>
          <w:rFonts w:hint="eastAsia" w:hAnsi="宋体" w:cs="宋体"/>
          <w:b/>
          <w:bCs/>
          <w:color w:val="auto"/>
          <w:sz w:val="32"/>
          <w:szCs w:val="32"/>
        </w:rPr>
        <w:t>项目实施人员一览表（格式）</w:t>
      </w:r>
    </w:p>
    <w:tbl>
      <w:tblPr>
        <w:tblStyle w:val="28"/>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854"/>
        <w:gridCol w:w="2134"/>
        <w:gridCol w:w="1800"/>
        <w:gridCol w:w="2400"/>
        <w:gridCol w:w="2061"/>
      </w:tblGrid>
      <w:tr w14:paraId="4CACC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14:paraId="4F66F04F">
            <w:pPr>
              <w:spacing w:line="400" w:lineRule="exact"/>
              <w:jc w:val="center"/>
              <w:rPr>
                <w:rFonts w:ascii="宋体" w:hAnsi="宋体" w:cs="宋体"/>
                <w:color w:val="auto"/>
                <w:szCs w:val="21"/>
              </w:rPr>
            </w:pPr>
            <w:r>
              <w:rPr>
                <w:rFonts w:hint="eastAsia" w:ascii="宋体" w:hAnsi="宋体" w:cs="宋体"/>
                <w:color w:val="auto"/>
                <w:szCs w:val="21"/>
              </w:rPr>
              <w:t>姓 名</w:t>
            </w:r>
          </w:p>
        </w:tc>
        <w:tc>
          <w:tcPr>
            <w:tcW w:w="854" w:type="dxa"/>
            <w:vAlign w:val="center"/>
          </w:tcPr>
          <w:p w14:paraId="4B7743A3">
            <w:pPr>
              <w:spacing w:line="400" w:lineRule="exact"/>
              <w:jc w:val="center"/>
              <w:rPr>
                <w:rFonts w:ascii="宋体" w:hAnsi="宋体" w:cs="宋体"/>
                <w:color w:val="auto"/>
                <w:szCs w:val="21"/>
              </w:rPr>
            </w:pPr>
            <w:r>
              <w:rPr>
                <w:rFonts w:hint="eastAsia" w:ascii="宋体" w:hAnsi="宋体" w:cs="宋体"/>
                <w:color w:val="auto"/>
                <w:szCs w:val="21"/>
              </w:rPr>
              <w:t>职务</w:t>
            </w:r>
          </w:p>
        </w:tc>
        <w:tc>
          <w:tcPr>
            <w:tcW w:w="2134" w:type="dxa"/>
            <w:vAlign w:val="center"/>
          </w:tcPr>
          <w:p w14:paraId="43C66BA5">
            <w:pPr>
              <w:spacing w:line="400" w:lineRule="exact"/>
              <w:jc w:val="center"/>
              <w:rPr>
                <w:rFonts w:ascii="宋体" w:hAnsi="宋体" w:cs="宋体"/>
                <w:color w:val="auto"/>
                <w:szCs w:val="21"/>
              </w:rPr>
            </w:pPr>
            <w:r>
              <w:rPr>
                <w:rFonts w:hint="eastAsia" w:ascii="宋体" w:hAnsi="宋体" w:cs="宋体"/>
                <w:color w:val="auto"/>
                <w:szCs w:val="21"/>
              </w:rPr>
              <w:t>专业技术资格（如有）</w:t>
            </w:r>
          </w:p>
        </w:tc>
        <w:tc>
          <w:tcPr>
            <w:tcW w:w="1800" w:type="dxa"/>
            <w:vAlign w:val="center"/>
          </w:tcPr>
          <w:p w14:paraId="2306B1DD">
            <w:pPr>
              <w:spacing w:line="400" w:lineRule="exact"/>
              <w:jc w:val="center"/>
              <w:rPr>
                <w:rFonts w:ascii="宋体" w:hAnsi="宋体" w:cs="宋体"/>
                <w:color w:val="auto"/>
                <w:szCs w:val="21"/>
              </w:rPr>
            </w:pPr>
            <w:r>
              <w:rPr>
                <w:rFonts w:hint="eastAsia" w:ascii="宋体" w:hAnsi="宋体" w:cs="宋体"/>
                <w:color w:val="auto"/>
                <w:szCs w:val="21"/>
              </w:rPr>
              <w:t>证书编号（如有）</w:t>
            </w:r>
          </w:p>
        </w:tc>
        <w:tc>
          <w:tcPr>
            <w:tcW w:w="2400" w:type="dxa"/>
            <w:vAlign w:val="center"/>
          </w:tcPr>
          <w:p w14:paraId="1ACD2993">
            <w:pPr>
              <w:spacing w:line="400" w:lineRule="exact"/>
              <w:rPr>
                <w:rFonts w:ascii="宋体" w:hAnsi="宋体" w:cs="宋体"/>
                <w:color w:val="auto"/>
                <w:szCs w:val="21"/>
              </w:rPr>
            </w:pPr>
            <w:r>
              <w:rPr>
                <w:rFonts w:hint="eastAsia" w:ascii="宋体" w:hAnsi="宋体" w:cs="宋体"/>
                <w:color w:val="auto"/>
                <w:szCs w:val="21"/>
              </w:rPr>
              <w:t>参加本单位工作时间</w:t>
            </w:r>
          </w:p>
        </w:tc>
        <w:tc>
          <w:tcPr>
            <w:tcW w:w="2061" w:type="dxa"/>
            <w:vAlign w:val="center"/>
          </w:tcPr>
          <w:p w14:paraId="2A5F9062">
            <w:pPr>
              <w:spacing w:line="400" w:lineRule="exact"/>
              <w:jc w:val="center"/>
              <w:rPr>
                <w:rFonts w:ascii="宋体" w:hAnsi="宋体" w:cs="宋体"/>
                <w:color w:val="auto"/>
                <w:szCs w:val="21"/>
              </w:rPr>
            </w:pPr>
            <w:r>
              <w:rPr>
                <w:rFonts w:hint="eastAsia" w:ascii="宋体" w:hAnsi="宋体" w:cs="宋体"/>
                <w:color w:val="auto"/>
                <w:szCs w:val="21"/>
              </w:rPr>
              <w:t>劳动合同编号</w:t>
            </w:r>
          </w:p>
        </w:tc>
      </w:tr>
      <w:tr w14:paraId="4FE9F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14:paraId="30A59E84">
            <w:pPr>
              <w:spacing w:line="400" w:lineRule="exact"/>
              <w:rPr>
                <w:rFonts w:ascii="宋体" w:hAnsi="宋体" w:cs="宋体"/>
                <w:color w:val="auto"/>
                <w:szCs w:val="21"/>
              </w:rPr>
            </w:pPr>
          </w:p>
        </w:tc>
        <w:tc>
          <w:tcPr>
            <w:tcW w:w="854" w:type="dxa"/>
          </w:tcPr>
          <w:p w14:paraId="16F84CC0">
            <w:pPr>
              <w:spacing w:line="400" w:lineRule="exact"/>
              <w:rPr>
                <w:rFonts w:ascii="宋体" w:hAnsi="宋体" w:cs="宋体"/>
                <w:color w:val="auto"/>
                <w:szCs w:val="21"/>
              </w:rPr>
            </w:pPr>
          </w:p>
        </w:tc>
        <w:tc>
          <w:tcPr>
            <w:tcW w:w="2134" w:type="dxa"/>
          </w:tcPr>
          <w:p w14:paraId="4B22EBE5">
            <w:pPr>
              <w:spacing w:line="400" w:lineRule="exact"/>
              <w:rPr>
                <w:rFonts w:ascii="宋体" w:hAnsi="宋体" w:cs="宋体"/>
                <w:color w:val="auto"/>
                <w:szCs w:val="21"/>
              </w:rPr>
            </w:pPr>
          </w:p>
        </w:tc>
        <w:tc>
          <w:tcPr>
            <w:tcW w:w="1800" w:type="dxa"/>
          </w:tcPr>
          <w:p w14:paraId="7F93202E">
            <w:pPr>
              <w:spacing w:line="400" w:lineRule="exact"/>
              <w:rPr>
                <w:rFonts w:ascii="宋体" w:hAnsi="宋体" w:cs="宋体"/>
                <w:color w:val="auto"/>
                <w:szCs w:val="21"/>
              </w:rPr>
            </w:pPr>
          </w:p>
        </w:tc>
        <w:tc>
          <w:tcPr>
            <w:tcW w:w="2400" w:type="dxa"/>
          </w:tcPr>
          <w:p w14:paraId="5EC607BF">
            <w:pPr>
              <w:spacing w:line="400" w:lineRule="exact"/>
              <w:rPr>
                <w:rFonts w:ascii="宋体" w:hAnsi="宋体" w:cs="宋体"/>
                <w:color w:val="auto"/>
                <w:szCs w:val="21"/>
              </w:rPr>
            </w:pPr>
          </w:p>
        </w:tc>
        <w:tc>
          <w:tcPr>
            <w:tcW w:w="2061" w:type="dxa"/>
          </w:tcPr>
          <w:p w14:paraId="54B96FD9">
            <w:pPr>
              <w:spacing w:line="400" w:lineRule="exact"/>
              <w:rPr>
                <w:rFonts w:ascii="宋体" w:hAnsi="宋体" w:cs="宋体"/>
                <w:color w:val="auto"/>
                <w:szCs w:val="21"/>
              </w:rPr>
            </w:pPr>
          </w:p>
        </w:tc>
      </w:tr>
      <w:tr w14:paraId="39071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14:paraId="270296CC">
            <w:pPr>
              <w:spacing w:line="400" w:lineRule="exact"/>
              <w:rPr>
                <w:rFonts w:ascii="宋体" w:hAnsi="宋体" w:cs="宋体"/>
                <w:color w:val="auto"/>
                <w:szCs w:val="21"/>
              </w:rPr>
            </w:pPr>
          </w:p>
        </w:tc>
        <w:tc>
          <w:tcPr>
            <w:tcW w:w="854" w:type="dxa"/>
          </w:tcPr>
          <w:p w14:paraId="2E060E53">
            <w:pPr>
              <w:spacing w:line="400" w:lineRule="exact"/>
              <w:rPr>
                <w:rFonts w:ascii="宋体" w:hAnsi="宋体" w:cs="宋体"/>
                <w:color w:val="auto"/>
                <w:szCs w:val="21"/>
              </w:rPr>
            </w:pPr>
          </w:p>
        </w:tc>
        <w:tc>
          <w:tcPr>
            <w:tcW w:w="2134" w:type="dxa"/>
          </w:tcPr>
          <w:p w14:paraId="13796D4E">
            <w:pPr>
              <w:spacing w:line="400" w:lineRule="exact"/>
              <w:rPr>
                <w:rFonts w:ascii="宋体" w:hAnsi="宋体" w:cs="宋体"/>
                <w:color w:val="auto"/>
                <w:szCs w:val="21"/>
              </w:rPr>
            </w:pPr>
          </w:p>
        </w:tc>
        <w:tc>
          <w:tcPr>
            <w:tcW w:w="1800" w:type="dxa"/>
          </w:tcPr>
          <w:p w14:paraId="7298BCB9">
            <w:pPr>
              <w:spacing w:line="400" w:lineRule="exact"/>
              <w:rPr>
                <w:rFonts w:ascii="宋体" w:hAnsi="宋体" w:cs="宋体"/>
                <w:color w:val="auto"/>
                <w:szCs w:val="21"/>
              </w:rPr>
            </w:pPr>
          </w:p>
        </w:tc>
        <w:tc>
          <w:tcPr>
            <w:tcW w:w="2400" w:type="dxa"/>
          </w:tcPr>
          <w:p w14:paraId="71C9859B">
            <w:pPr>
              <w:spacing w:line="400" w:lineRule="exact"/>
              <w:rPr>
                <w:rFonts w:ascii="宋体" w:hAnsi="宋体" w:cs="宋体"/>
                <w:color w:val="auto"/>
                <w:szCs w:val="21"/>
              </w:rPr>
            </w:pPr>
          </w:p>
        </w:tc>
        <w:tc>
          <w:tcPr>
            <w:tcW w:w="2061" w:type="dxa"/>
          </w:tcPr>
          <w:p w14:paraId="2EA43874">
            <w:pPr>
              <w:spacing w:line="400" w:lineRule="exact"/>
              <w:rPr>
                <w:rFonts w:ascii="宋体" w:hAnsi="宋体" w:cs="宋体"/>
                <w:color w:val="auto"/>
                <w:szCs w:val="21"/>
              </w:rPr>
            </w:pPr>
          </w:p>
        </w:tc>
      </w:tr>
    </w:tbl>
    <w:p w14:paraId="3D906610">
      <w:pPr>
        <w:spacing w:line="400" w:lineRule="exact"/>
        <w:rPr>
          <w:rFonts w:ascii="宋体" w:hAnsi="宋体" w:cs="宋体"/>
          <w:color w:val="auto"/>
          <w:szCs w:val="21"/>
        </w:rPr>
      </w:pPr>
    </w:p>
    <w:p w14:paraId="547340E9">
      <w:pPr>
        <w:snapToGrid w:val="0"/>
        <w:spacing w:line="400" w:lineRule="exact"/>
        <w:ind w:firstLine="1890" w:firstLineChars="900"/>
        <w:rPr>
          <w:rFonts w:ascii="宋体" w:hAnsi="宋体" w:cs="宋体"/>
          <w:color w:val="auto"/>
          <w:szCs w:val="21"/>
          <w:u w:val="single"/>
        </w:rPr>
      </w:pPr>
      <w:r>
        <w:rPr>
          <w:rFonts w:hint="eastAsia" w:ascii="宋体" w:hAnsi="宋体" w:cs="宋体"/>
          <w:color w:val="auto"/>
          <w:szCs w:val="21"/>
        </w:rPr>
        <w:t>磋商供应商[(CA证书签章)，自然人签字或个人CA证书签章]：</w:t>
      </w:r>
    </w:p>
    <w:p w14:paraId="02B458BF">
      <w:pPr>
        <w:rPr>
          <w:color w:val="auto"/>
        </w:rPr>
      </w:pPr>
    </w:p>
    <w:p w14:paraId="6B5CB72C">
      <w:pPr>
        <w:snapToGrid w:val="0"/>
        <w:spacing w:line="400" w:lineRule="exact"/>
        <w:ind w:firstLine="1680" w:firstLineChars="800"/>
        <w:rPr>
          <w:rFonts w:ascii="宋体" w:hAnsi="宋体" w:cs="宋体"/>
          <w:color w:val="auto"/>
        </w:rPr>
      </w:pPr>
      <w:r>
        <w:rPr>
          <w:rFonts w:hint="eastAsia" w:ascii="宋体" w:hAnsi="宋体" w:cs="宋体"/>
          <w:color w:val="auto"/>
        </w:rPr>
        <w:t xml:space="preserve"> 日          期：</w:t>
      </w:r>
    </w:p>
    <w:p w14:paraId="4B8DD8D5">
      <w:pPr>
        <w:pStyle w:val="11"/>
        <w:rPr>
          <w:rFonts w:ascii="宋体" w:hAnsi="宋体" w:cs="宋体"/>
          <w:color w:val="auto"/>
        </w:rPr>
      </w:pPr>
    </w:p>
    <w:p w14:paraId="04CB84F1">
      <w:pPr>
        <w:spacing w:line="360" w:lineRule="auto"/>
        <w:rPr>
          <w:rFonts w:ascii="宋体" w:hAnsi="宋体" w:cs="宋体"/>
          <w:b/>
          <w:bCs/>
          <w:color w:val="auto"/>
          <w:sz w:val="24"/>
        </w:rPr>
      </w:pPr>
      <w:r>
        <w:rPr>
          <w:rFonts w:hint="eastAsia" w:ascii="宋体" w:hAnsi="宋体" w:cs="宋体"/>
          <w:b/>
          <w:bCs/>
          <w:color w:val="auto"/>
          <w:sz w:val="24"/>
        </w:rPr>
        <w:t>注：供应商根据自身情况结合本项目自行制定</w:t>
      </w:r>
    </w:p>
    <w:p w14:paraId="3EB65185">
      <w:pPr>
        <w:spacing w:line="360" w:lineRule="auto"/>
        <w:rPr>
          <w:rFonts w:ascii="宋体" w:hAnsi="宋体" w:cs="宋体"/>
          <w:b/>
          <w:bCs/>
          <w:color w:val="auto"/>
          <w:sz w:val="24"/>
        </w:rPr>
      </w:pPr>
    </w:p>
    <w:p w14:paraId="21D5F1E5">
      <w:pPr>
        <w:pStyle w:val="17"/>
        <w:spacing w:line="340" w:lineRule="exact"/>
        <w:rPr>
          <w:rFonts w:hAnsi="宋体" w:cs="宋体"/>
          <w:b/>
          <w:color w:val="auto"/>
          <w:sz w:val="28"/>
          <w:szCs w:val="28"/>
        </w:rPr>
      </w:pPr>
    </w:p>
    <w:p w14:paraId="59AB56CB">
      <w:pPr>
        <w:pStyle w:val="17"/>
        <w:spacing w:line="340" w:lineRule="exact"/>
        <w:rPr>
          <w:rFonts w:hAnsi="宋体" w:cs="宋体"/>
          <w:b/>
          <w:color w:val="auto"/>
          <w:sz w:val="28"/>
          <w:szCs w:val="28"/>
        </w:rPr>
      </w:pPr>
    </w:p>
    <w:p w14:paraId="35BFABAA">
      <w:pPr>
        <w:pStyle w:val="17"/>
        <w:spacing w:line="340" w:lineRule="exact"/>
        <w:rPr>
          <w:rFonts w:hAnsi="宋体" w:cs="宋体"/>
          <w:b/>
          <w:color w:val="auto"/>
          <w:sz w:val="28"/>
          <w:szCs w:val="28"/>
        </w:rPr>
      </w:pPr>
    </w:p>
    <w:p w14:paraId="120E949E">
      <w:pPr>
        <w:pStyle w:val="17"/>
        <w:spacing w:line="340" w:lineRule="exact"/>
        <w:rPr>
          <w:rFonts w:hAnsi="宋体" w:cs="宋体"/>
          <w:b/>
          <w:color w:val="auto"/>
          <w:sz w:val="28"/>
          <w:szCs w:val="28"/>
        </w:rPr>
      </w:pPr>
      <w:r>
        <w:rPr>
          <w:rFonts w:hint="eastAsia" w:hAnsi="宋体" w:cs="宋体"/>
          <w:b/>
          <w:color w:val="auto"/>
          <w:sz w:val="28"/>
          <w:szCs w:val="28"/>
        </w:rPr>
        <w:t>2.供应商的针对本项目的售后服务方案（（包含但不限于：①服务态度、服务效率、服务质量承诺：包括投诉处理及回访率、对服务满意率等；②对责任事故的处理承诺；③其他服务承诺；④售后服务保障），格式自拟）（如有，请提供）；</w:t>
      </w:r>
    </w:p>
    <w:p w14:paraId="0B61ADFE">
      <w:pPr>
        <w:pStyle w:val="17"/>
        <w:spacing w:line="340" w:lineRule="exact"/>
        <w:rPr>
          <w:rFonts w:hAnsi="宋体" w:cs="宋体"/>
          <w:b/>
          <w:color w:val="auto"/>
          <w:sz w:val="28"/>
          <w:szCs w:val="28"/>
        </w:rPr>
      </w:pPr>
    </w:p>
    <w:p w14:paraId="605B12DD">
      <w:pPr>
        <w:pStyle w:val="17"/>
        <w:spacing w:line="340" w:lineRule="exact"/>
        <w:rPr>
          <w:rFonts w:hAnsi="宋体" w:cs="宋体"/>
          <w:b/>
          <w:color w:val="auto"/>
          <w:sz w:val="28"/>
          <w:szCs w:val="28"/>
        </w:rPr>
      </w:pPr>
    </w:p>
    <w:p w14:paraId="2A0004A8">
      <w:pPr>
        <w:pStyle w:val="17"/>
        <w:spacing w:line="340" w:lineRule="exact"/>
        <w:rPr>
          <w:rFonts w:hAnsi="宋体" w:cs="宋体"/>
          <w:b/>
          <w:color w:val="auto"/>
          <w:sz w:val="28"/>
          <w:szCs w:val="28"/>
        </w:rPr>
      </w:pPr>
    </w:p>
    <w:p w14:paraId="5D90A367">
      <w:pPr>
        <w:pStyle w:val="17"/>
        <w:spacing w:line="340" w:lineRule="exact"/>
        <w:rPr>
          <w:rFonts w:hAnsi="宋体" w:cs="宋体"/>
          <w:b/>
          <w:color w:val="auto"/>
          <w:sz w:val="28"/>
          <w:szCs w:val="28"/>
        </w:rPr>
      </w:pPr>
      <w:r>
        <w:rPr>
          <w:rFonts w:hint="eastAsia" w:hAnsi="宋体" w:cs="宋体"/>
          <w:b/>
          <w:color w:val="auto"/>
          <w:sz w:val="28"/>
          <w:szCs w:val="28"/>
        </w:rPr>
        <w:t>3.“采购需求”需提供的有效证明文件（如有，请提供）；</w:t>
      </w:r>
    </w:p>
    <w:p w14:paraId="588FA8CE">
      <w:pPr>
        <w:pStyle w:val="11"/>
        <w:rPr>
          <w:rFonts w:ascii="宋体" w:hAnsi="宋体" w:cs="宋体"/>
          <w:b/>
          <w:color w:val="auto"/>
        </w:rPr>
      </w:pPr>
    </w:p>
    <w:p w14:paraId="0A06FE2D">
      <w:pPr>
        <w:pStyle w:val="12"/>
        <w:ind w:firstLine="422"/>
        <w:rPr>
          <w:rFonts w:ascii="宋体" w:hAnsi="宋体" w:cs="宋体"/>
          <w:b/>
          <w:color w:val="auto"/>
        </w:rPr>
      </w:pPr>
    </w:p>
    <w:p w14:paraId="11F89A2F">
      <w:pPr>
        <w:pStyle w:val="12"/>
        <w:ind w:left="0" w:leftChars="0" w:firstLine="0" w:firstLineChars="0"/>
        <w:rPr>
          <w:rFonts w:ascii="宋体" w:hAnsi="宋体" w:cs="宋体"/>
          <w:b/>
          <w:color w:val="auto"/>
        </w:rPr>
      </w:pPr>
    </w:p>
    <w:p w14:paraId="73121ADC">
      <w:pPr>
        <w:pStyle w:val="12"/>
        <w:ind w:firstLine="422"/>
        <w:rPr>
          <w:rFonts w:ascii="宋体" w:hAnsi="宋体" w:cs="宋体"/>
          <w:b/>
          <w:color w:val="auto"/>
        </w:rPr>
      </w:pPr>
    </w:p>
    <w:p w14:paraId="2D2903EF">
      <w:pPr>
        <w:pStyle w:val="17"/>
        <w:spacing w:line="340" w:lineRule="exact"/>
        <w:rPr>
          <w:rFonts w:hAnsi="宋体" w:cs="宋体"/>
          <w:b/>
          <w:color w:val="auto"/>
          <w:sz w:val="28"/>
          <w:szCs w:val="28"/>
        </w:rPr>
      </w:pPr>
      <w:r>
        <w:rPr>
          <w:rFonts w:hint="eastAsia" w:hAnsi="宋体" w:cs="宋体"/>
          <w:b/>
          <w:color w:val="auto"/>
          <w:sz w:val="28"/>
          <w:szCs w:val="28"/>
        </w:rPr>
        <w:t>4.供应</w:t>
      </w:r>
      <w:r>
        <w:rPr>
          <w:rFonts w:hint="eastAsia" w:hAnsi="宋体" w:cs="宋体"/>
          <w:b/>
          <w:color w:val="auto"/>
          <w:sz w:val="28"/>
          <w:szCs w:val="28"/>
          <w:highlight w:val="none"/>
        </w:rPr>
        <w:t>商202</w:t>
      </w:r>
      <w:r>
        <w:rPr>
          <w:rFonts w:hint="eastAsia" w:hAnsi="宋体" w:cs="宋体"/>
          <w:b/>
          <w:color w:val="auto"/>
          <w:sz w:val="28"/>
          <w:szCs w:val="28"/>
          <w:highlight w:val="none"/>
          <w:lang w:val="en-US" w:eastAsia="zh-CN"/>
        </w:rPr>
        <w:t>2</w:t>
      </w:r>
      <w:r>
        <w:rPr>
          <w:rFonts w:hint="eastAsia" w:hAnsi="宋体" w:cs="宋体"/>
          <w:b/>
          <w:color w:val="auto"/>
          <w:sz w:val="28"/>
          <w:szCs w:val="28"/>
          <w:highlight w:val="none"/>
        </w:rPr>
        <w:t>年</w:t>
      </w:r>
      <w:r>
        <w:rPr>
          <w:rFonts w:hint="eastAsia" w:ascii="宋体" w:hAnsi="宋体" w:cs="宋体"/>
          <w:b/>
          <w:bCs/>
          <w:color w:val="auto"/>
          <w:sz w:val="28"/>
          <w:szCs w:val="28"/>
          <w:highlight w:val="none"/>
        </w:rPr>
        <w:t>1月1日</w:t>
      </w:r>
      <w:r>
        <w:rPr>
          <w:rFonts w:hint="eastAsia" w:hAnsi="宋体" w:cs="宋体"/>
          <w:b/>
          <w:bCs/>
          <w:color w:val="auto"/>
          <w:sz w:val="28"/>
          <w:szCs w:val="28"/>
          <w:highlight w:val="none"/>
        </w:rPr>
        <w:t>以</w:t>
      </w:r>
      <w:r>
        <w:rPr>
          <w:rFonts w:hint="eastAsia" w:hAnsi="宋体" w:cs="宋体"/>
          <w:b/>
          <w:color w:val="auto"/>
          <w:sz w:val="28"/>
          <w:szCs w:val="28"/>
          <w:highlight w:val="none"/>
        </w:rPr>
        <w:t>来具</w:t>
      </w:r>
      <w:r>
        <w:rPr>
          <w:rFonts w:hint="eastAsia" w:hAnsi="宋体" w:cs="宋体"/>
          <w:b/>
          <w:color w:val="auto"/>
          <w:sz w:val="28"/>
          <w:szCs w:val="28"/>
        </w:rPr>
        <w:t>有同类项目业绩相关证明材料（无不良记录，以中标、成交通知书或签订的合同为准，并能清晰反映项目的名称、采购内容、采购金额、采购时间）（如有，请提供）；</w:t>
      </w:r>
    </w:p>
    <w:p w14:paraId="7756498E">
      <w:pPr>
        <w:pStyle w:val="12"/>
        <w:ind w:firstLine="422"/>
        <w:rPr>
          <w:rFonts w:ascii="宋体" w:hAnsi="宋体" w:cs="宋体"/>
          <w:b/>
          <w:color w:val="auto"/>
        </w:rPr>
      </w:pPr>
    </w:p>
    <w:p w14:paraId="47BEC3EF">
      <w:pPr>
        <w:pStyle w:val="17"/>
        <w:spacing w:line="340" w:lineRule="exact"/>
        <w:rPr>
          <w:rFonts w:hAnsi="宋体" w:cs="宋体"/>
          <w:b/>
          <w:color w:val="auto"/>
          <w:sz w:val="28"/>
          <w:szCs w:val="28"/>
        </w:rPr>
      </w:pPr>
    </w:p>
    <w:p w14:paraId="173FFDD2">
      <w:pPr>
        <w:pStyle w:val="8"/>
        <w:ind w:left="0"/>
        <w:rPr>
          <w:color w:val="auto"/>
        </w:rPr>
      </w:pPr>
    </w:p>
    <w:p w14:paraId="01589CEA">
      <w:pPr>
        <w:rPr>
          <w:color w:val="auto"/>
        </w:rPr>
      </w:pPr>
    </w:p>
    <w:p w14:paraId="3ECA3010">
      <w:pPr>
        <w:pStyle w:val="17"/>
        <w:spacing w:line="340" w:lineRule="exact"/>
        <w:rPr>
          <w:rFonts w:hAnsi="宋体" w:cs="宋体"/>
          <w:color w:val="auto"/>
        </w:rPr>
      </w:pPr>
      <w:r>
        <w:rPr>
          <w:rFonts w:hint="eastAsia" w:hAnsi="宋体" w:cs="宋体"/>
          <w:b/>
          <w:color w:val="auto"/>
          <w:sz w:val="28"/>
          <w:szCs w:val="28"/>
        </w:rPr>
        <w:t>5.供应商可结合本项目的评审办法视自身情况自行提交其它相关证明材料。</w:t>
      </w:r>
    </w:p>
    <w:p w14:paraId="6F98570B">
      <w:pPr>
        <w:rPr>
          <w:rFonts w:ascii="宋体" w:hAnsi="宋体" w:cs="宋体"/>
          <w:color w:val="auto"/>
        </w:rPr>
      </w:pPr>
    </w:p>
    <w:sectPr>
      <w:pgSz w:w="11906" w:h="16838"/>
      <w:pgMar w:top="1440" w:right="935" w:bottom="1440" w:left="7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D012A">
    <w:pPr>
      <w:pStyle w:val="19"/>
      <w:pBdr>
        <w:bottom w:val="single" w:color="auto" w:sz="4" w:space="0"/>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C4842">
    <w:pPr>
      <w:pStyle w:val="19"/>
      <w:pBdr>
        <w:bottom w:val="single" w:color="auto" w:sz="4" w:space="0"/>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42955">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E3E088B">
                          <w:pPr>
                            <w:pStyle w:val="19"/>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9aEuBNIBAACiAwAADgAAAAAAAAABACAAAAAfAQAA&#10;ZHJzL2Uyb0RvYy54bWxQSwUGAAAAAAYABgBZAQAAYwUAAAAA&#10;">
              <v:fill on="f" focussize="0,0"/>
              <v:stroke on="f" weight="0.5pt"/>
              <v:imagedata o:title=""/>
              <o:lock v:ext="edit" aspectratio="f"/>
              <v:textbox inset="0mm,0mm,0mm,0mm" style="mso-fit-shape-to-text:t;">
                <w:txbxContent>
                  <w:p w14:paraId="7E3E088B">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B72A3">
    <w:pPr>
      <w:pStyle w:val="19"/>
      <w:pBdr>
        <w:bottom w:val="single" w:color="auto" w:sz="4" w:space="0"/>
      </w:pBd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0BC3B8D">
                          <w:pPr>
                            <w:pStyle w:val="19"/>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QIElW9IBAACiAwAADgAAAAAAAAABACAAAAAfAQAA&#10;ZHJzL2Uyb0RvYy54bWxQSwUGAAAAAAYABgBZAQAAYwUAAAAA&#10;">
              <v:fill on="f" focussize="0,0"/>
              <v:stroke on="f" weight="0.5pt"/>
              <v:imagedata o:title=""/>
              <o:lock v:ext="edit" aspectratio="f"/>
              <v:textbox inset="0mm,0mm,0mm,0mm" style="mso-fit-shape-to-text:t;">
                <w:txbxContent>
                  <w:p w14:paraId="20BC3B8D">
                    <w:pPr>
                      <w:pStyle w:val="1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70C93">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3685078">
                          <w:pPr>
                            <w:pStyle w:val="19"/>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M/4kP3QAQAAogMAAA4AAAAAAAAAAQAgAAAAHwEAAGRy&#10;cy9lMm9Eb2MueG1sUEsFBgAAAAAGAAYAWQEAAGEFAAAAAA==&#10;">
              <v:fill on="f" focussize="0,0"/>
              <v:stroke on="f" weight="0.5pt"/>
              <v:imagedata o:title=""/>
              <o:lock v:ext="edit" aspectratio="f"/>
              <v:textbox inset="0mm,0mm,0mm,0mm" style="mso-fit-shape-to-text:t;">
                <w:txbxContent>
                  <w:p w14:paraId="33685078">
                    <w:pPr>
                      <w:pStyle w:val="19"/>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A23E7"/>
    <w:multiLevelType w:val="singleLevel"/>
    <w:tmpl w:val="845A23E7"/>
    <w:lvl w:ilvl="0" w:tentative="0">
      <w:start w:val="1"/>
      <w:numFmt w:val="decimal"/>
      <w:lvlText w:val="%1."/>
      <w:lvlJc w:val="left"/>
      <w:pPr>
        <w:ind w:left="425" w:hanging="425"/>
      </w:pPr>
      <w:rPr>
        <w:rFonts w:hint="default"/>
      </w:rPr>
    </w:lvl>
  </w:abstractNum>
  <w:abstractNum w:abstractNumId="1">
    <w:nsid w:val="BB4CF58C"/>
    <w:multiLevelType w:val="singleLevel"/>
    <w:tmpl w:val="BB4CF58C"/>
    <w:lvl w:ilvl="0" w:tentative="0">
      <w:start w:val="2"/>
      <w:numFmt w:val="decimal"/>
      <w:suff w:val="nothing"/>
      <w:lvlText w:val="（%1）"/>
      <w:lvlJc w:val="left"/>
    </w:lvl>
  </w:abstractNum>
  <w:abstractNum w:abstractNumId="2">
    <w:nsid w:val="D71F9E04"/>
    <w:multiLevelType w:val="singleLevel"/>
    <w:tmpl w:val="D71F9E04"/>
    <w:lvl w:ilvl="0" w:tentative="0">
      <w:start w:val="1"/>
      <w:numFmt w:val="decimal"/>
      <w:suff w:val="nothing"/>
      <w:lvlText w:val="（%1）"/>
      <w:lvlJc w:val="left"/>
    </w:lvl>
  </w:abstractNum>
  <w:abstractNum w:abstractNumId="3">
    <w:nsid w:val="002C8097"/>
    <w:multiLevelType w:val="singleLevel"/>
    <w:tmpl w:val="002C8097"/>
    <w:lvl w:ilvl="0" w:tentative="0">
      <w:start w:val="2"/>
      <w:numFmt w:val="decimal"/>
      <w:suff w:val="nothing"/>
      <w:lvlText w:val="%1、"/>
      <w:lvlJc w:val="left"/>
    </w:lvl>
  </w:abstractNum>
  <w:abstractNum w:abstractNumId="4">
    <w:nsid w:val="023DC6C4"/>
    <w:multiLevelType w:val="singleLevel"/>
    <w:tmpl w:val="023DC6C4"/>
    <w:lvl w:ilvl="0" w:tentative="0">
      <w:start w:val="4"/>
      <w:numFmt w:val="decimal"/>
      <w:suff w:val="nothing"/>
      <w:lvlText w:val="（%1）"/>
      <w:lvlJc w:val="left"/>
    </w:lvl>
  </w:abstractNum>
  <w:abstractNum w:abstractNumId="5">
    <w:nsid w:val="1E778401"/>
    <w:multiLevelType w:val="singleLevel"/>
    <w:tmpl w:val="1E778401"/>
    <w:lvl w:ilvl="0" w:tentative="0">
      <w:start w:val="1"/>
      <w:numFmt w:val="decimalEnclosedCircleChinese"/>
      <w:suff w:val="nothing"/>
      <w:lvlText w:val="%1　"/>
      <w:lvlJc w:val="left"/>
      <w:pPr>
        <w:ind w:left="0" w:firstLine="400"/>
      </w:pPr>
    </w:lvl>
  </w:abstractNum>
  <w:abstractNum w:abstractNumId="6">
    <w:nsid w:val="1FC16C3F"/>
    <w:multiLevelType w:val="multilevel"/>
    <w:tmpl w:val="1FC16C3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7">
    <w:nsid w:val="1FD97BE0"/>
    <w:multiLevelType w:val="singleLevel"/>
    <w:tmpl w:val="1FD97BE0"/>
    <w:lvl w:ilvl="0" w:tentative="0">
      <w:start w:val="1"/>
      <w:numFmt w:val="chineseCounting"/>
      <w:suff w:val="nothing"/>
      <w:lvlText w:val="（%1）"/>
      <w:lvlJc w:val="left"/>
      <w:rPr>
        <w:rFonts w:hint="eastAsia"/>
      </w:rPr>
    </w:lvl>
  </w:abstractNum>
  <w:abstractNum w:abstractNumId="8">
    <w:nsid w:val="24C98211"/>
    <w:multiLevelType w:val="singleLevel"/>
    <w:tmpl w:val="24C98211"/>
    <w:lvl w:ilvl="0" w:tentative="0">
      <w:start w:val="1"/>
      <w:numFmt w:val="decimal"/>
      <w:lvlText w:val="%1."/>
      <w:lvlJc w:val="left"/>
      <w:pPr>
        <w:ind w:left="425" w:hanging="425"/>
      </w:pPr>
      <w:rPr>
        <w:rFonts w:hint="default"/>
      </w:rPr>
    </w:lvl>
  </w:abstractNum>
  <w:abstractNum w:abstractNumId="9">
    <w:nsid w:val="2EBEB4BA"/>
    <w:multiLevelType w:val="singleLevel"/>
    <w:tmpl w:val="2EBEB4BA"/>
    <w:lvl w:ilvl="0" w:tentative="0">
      <w:start w:val="26"/>
      <w:numFmt w:val="decimal"/>
      <w:suff w:val="space"/>
      <w:lvlText w:val="%1."/>
      <w:lvlJc w:val="left"/>
    </w:lvl>
  </w:abstractNum>
  <w:abstractNum w:abstractNumId="10">
    <w:nsid w:val="393ADA10"/>
    <w:multiLevelType w:val="singleLevel"/>
    <w:tmpl w:val="393ADA10"/>
    <w:lvl w:ilvl="0" w:tentative="0">
      <w:start w:val="31"/>
      <w:numFmt w:val="decimal"/>
      <w:suff w:val="space"/>
      <w:lvlText w:val="%1."/>
      <w:lvlJc w:val="left"/>
    </w:lvl>
  </w:abstractNum>
  <w:abstractNum w:abstractNumId="11">
    <w:nsid w:val="46E39243"/>
    <w:multiLevelType w:val="singleLevel"/>
    <w:tmpl w:val="46E39243"/>
    <w:lvl w:ilvl="0" w:tentative="0">
      <w:start w:val="1"/>
      <w:numFmt w:val="decimal"/>
      <w:lvlText w:val="%1."/>
      <w:lvlJc w:val="left"/>
      <w:pPr>
        <w:ind w:left="425" w:hanging="425"/>
      </w:pPr>
      <w:rPr>
        <w:rFonts w:hint="default"/>
      </w:rPr>
    </w:lvl>
  </w:abstractNum>
  <w:abstractNum w:abstractNumId="12">
    <w:nsid w:val="47F30412"/>
    <w:multiLevelType w:val="singleLevel"/>
    <w:tmpl w:val="47F30412"/>
    <w:lvl w:ilvl="0" w:tentative="0">
      <w:start w:val="1"/>
      <w:numFmt w:val="decimal"/>
      <w:lvlText w:val="(%1)"/>
      <w:lvlJc w:val="left"/>
      <w:pPr>
        <w:ind w:left="425" w:hanging="425"/>
      </w:pPr>
      <w:rPr>
        <w:rFonts w:hint="default"/>
      </w:rPr>
    </w:lvl>
  </w:abstractNum>
  <w:abstractNum w:abstractNumId="13">
    <w:nsid w:val="504E1568"/>
    <w:multiLevelType w:val="singleLevel"/>
    <w:tmpl w:val="504E1568"/>
    <w:lvl w:ilvl="0" w:tentative="0">
      <w:start w:val="6"/>
      <w:numFmt w:val="chineseCounting"/>
      <w:suff w:val="space"/>
      <w:lvlText w:val="第%1章"/>
      <w:lvlJc w:val="left"/>
      <w:rPr>
        <w:rFonts w:hint="eastAsia"/>
      </w:rPr>
    </w:lvl>
  </w:abstractNum>
  <w:abstractNum w:abstractNumId="14">
    <w:nsid w:val="620B07F5"/>
    <w:multiLevelType w:val="singleLevel"/>
    <w:tmpl w:val="620B07F5"/>
    <w:lvl w:ilvl="0" w:tentative="0">
      <w:start w:val="3"/>
      <w:numFmt w:val="decimal"/>
      <w:suff w:val="nothing"/>
      <w:lvlText w:val="%1."/>
      <w:lvlJc w:val="left"/>
      <w:pPr>
        <w:ind w:left="-60"/>
      </w:pPr>
    </w:lvl>
  </w:abstractNum>
  <w:abstractNum w:abstractNumId="15">
    <w:nsid w:val="62207AF1"/>
    <w:multiLevelType w:val="singleLevel"/>
    <w:tmpl w:val="62207AF1"/>
    <w:lvl w:ilvl="0" w:tentative="0">
      <w:start w:val="1"/>
      <w:numFmt w:val="chineseCounting"/>
      <w:suff w:val="nothing"/>
      <w:lvlText w:val="%1、"/>
      <w:lvlJc w:val="left"/>
      <w:pPr>
        <w:ind w:left="0" w:firstLine="420"/>
      </w:pPr>
      <w:rPr>
        <w:rFonts w:hint="eastAsia"/>
      </w:rPr>
    </w:lvl>
  </w:abstractNum>
  <w:abstractNum w:abstractNumId="16">
    <w:nsid w:val="64AF5AA1"/>
    <w:multiLevelType w:val="singleLevel"/>
    <w:tmpl w:val="64AF5AA1"/>
    <w:lvl w:ilvl="0" w:tentative="0">
      <w:start w:val="33"/>
      <w:numFmt w:val="decimal"/>
      <w:suff w:val="nothing"/>
      <w:lvlText w:val="%1."/>
      <w:lvlJc w:val="left"/>
    </w:lvl>
  </w:abstractNum>
  <w:abstractNum w:abstractNumId="17">
    <w:nsid w:val="6AD43707"/>
    <w:multiLevelType w:val="singleLevel"/>
    <w:tmpl w:val="6AD43707"/>
    <w:lvl w:ilvl="0" w:tentative="0">
      <w:start w:val="5"/>
      <w:numFmt w:val="decimal"/>
      <w:suff w:val="space"/>
      <w:lvlText w:val="%1."/>
      <w:lvlJc w:val="left"/>
    </w:lvl>
  </w:abstractNum>
  <w:num w:numId="1">
    <w:abstractNumId w:val="6"/>
  </w:num>
  <w:num w:numId="2">
    <w:abstractNumId w:val="17"/>
  </w:num>
  <w:num w:numId="3">
    <w:abstractNumId w:val="4"/>
  </w:num>
  <w:num w:numId="4">
    <w:abstractNumId w:val="2"/>
  </w:num>
  <w:num w:numId="5">
    <w:abstractNumId w:val="1"/>
  </w:num>
  <w:num w:numId="6">
    <w:abstractNumId w:val="9"/>
  </w:num>
  <w:num w:numId="7">
    <w:abstractNumId w:val="10"/>
  </w:num>
  <w:num w:numId="8">
    <w:abstractNumId w:val="16"/>
  </w:num>
  <w:num w:numId="9">
    <w:abstractNumId w:val="11"/>
  </w:num>
  <w:num w:numId="10">
    <w:abstractNumId w:val="15"/>
  </w:num>
  <w:num w:numId="11">
    <w:abstractNumId w:val="0"/>
  </w:num>
  <w:num w:numId="12">
    <w:abstractNumId w:val="8"/>
  </w:num>
  <w:num w:numId="13">
    <w:abstractNumId w:val="12"/>
  </w:num>
  <w:num w:numId="14">
    <w:abstractNumId w:val="5"/>
    <w:lvlOverride w:ilvl="0">
      <w:startOverride w:val="1"/>
    </w:lvlOverride>
  </w:num>
  <w:num w:numId="15">
    <w:abstractNumId w:val="3"/>
  </w:num>
  <w:num w:numId="16">
    <w:abstractNumId w:val="13"/>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NTQ5Y2UwYWE4NGIxNGIxOTc1YjMwNDI1YWE2YjgifQ=="/>
    <w:docVar w:name="KSO_WPS_MARK_KEY" w:val="bb415de3-7c1b-47b4-a301-aec0ca8f8f24"/>
  </w:docVars>
  <w:rsids>
    <w:rsidRoot w:val="003E43FC"/>
    <w:rsid w:val="000E072C"/>
    <w:rsid w:val="00106982"/>
    <w:rsid w:val="001A5A71"/>
    <w:rsid w:val="00220AC8"/>
    <w:rsid w:val="002238BC"/>
    <w:rsid w:val="002B269E"/>
    <w:rsid w:val="002B6A7C"/>
    <w:rsid w:val="002C4C3C"/>
    <w:rsid w:val="00361260"/>
    <w:rsid w:val="003A7297"/>
    <w:rsid w:val="003E3489"/>
    <w:rsid w:val="003E43FC"/>
    <w:rsid w:val="004962E7"/>
    <w:rsid w:val="004F3912"/>
    <w:rsid w:val="0059276D"/>
    <w:rsid w:val="0074224A"/>
    <w:rsid w:val="007A305F"/>
    <w:rsid w:val="00800D9E"/>
    <w:rsid w:val="00873755"/>
    <w:rsid w:val="00952507"/>
    <w:rsid w:val="00AC1EE7"/>
    <w:rsid w:val="00B31043"/>
    <w:rsid w:val="00B6168D"/>
    <w:rsid w:val="00B65E05"/>
    <w:rsid w:val="00B94059"/>
    <w:rsid w:val="00BC6D00"/>
    <w:rsid w:val="00C74C98"/>
    <w:rsid w:val="00C917DA"/>
    <w:rsid w:val="00CC5436"/>
    <w:rsid w:val="00D554E7"/>
    <w:rsid w:val="00E323CC"/>
    <w:rsid w:val="00E941DE"/>
    <w:rsid w:val="00E94F5C"/>
    <w:rsid w:val="00F475E0"/>
    <w:rsid w:val="00FC0057"/>
    <w:rsid w:val="0100033D"/>
    <w:rsid w:val="013C3125"/>
    <w:rsid w:val="016D0D30"/>
    <w:rsid w:val="017135F1"/>
    <w:rsid w:val="01B62CA7"/>
    <w:rsid w:val="01D84888"/>
    <w:rsid w:val="020405D6"/>
    <w:rsid w:val="021E1981"/>
    <w:rsid w:val="027469F5"/>
    <w:rsid w:val="02B95509"/>
    <w:rsid w:val="02DE526D"/>
    <w:rsid w:val="030932D4"/>
    <w:rsid w:val="03246CD1"/>
    <w:rsid w:val="03405266"/>
    <w:rsid w:val="036C7E00"/>
    <w:rsid w:val="0377595E"/>
    <w:rsid w:val="03C12FE4"/>
    <w:rsid w:val="03D32768"/>
    <w:rsid w:val="03F02E9E"/>
    <w:rsid w:val="040E5E88"/>
    <w:rsid w:val="04602F95"/>
    <w:rsid w:val="047A66B3"/>
    <w:rsid w:val="04A27D7C"/>
    <w:rsid w:val="04C62FE0"/>
    <w:rsid w:val="05075F25"/>
    <w:rsid w:val="051031AE"/>
    <w:rsid w:val="052633D9"/>
    <w:rsid w:val="056469EE"/>
    <w:rsid w:val="059742FC"/>
    <w:rsid w:val="05A0109D"/>
    <w:rsid w:val="05CA7217"/>
    <w:rsid w:val="05E41A4E"/>
    <w:rsid w:val="05E82D27"/>
    <w:rsid w:val="060C5A1F"/>
    <w:rsid w:val="0633580E"/>
    <w:rsid w:val="06486645"/>
    <w:rsid w:val="065000D1"/>
    <w:rsid w:val="065B15E4"/>
    <w:rsid w:val="06987A70"/>
    <w:rsid w:val="06996022"/>
    <w:rsid w:val="06E71E07"/>
    <w:rsid w:val="070723E2"/>
    <w:rsid w:val="070C1155"/>
    <w:rsid w:val="07251FB9"/>
    <w:rsid w:val="07513EF5"/>
    <w:rsid w:val="076C2901"/>
    <w:rsid w:val="0780268E"/>
    <w:rsid w:val="078646DF"/>
    <w:rsid w:val="07A12978"/>
    <w:rsid w:val="07D63618"/>
    <w:rsid w:val="07E3000E"/>
    <w:rsid w:val="07FC7407"/>
    <w:rsid w:val="08027E93"/>
    <w:rsid w:val="081712C5"/>
    <w:rsid w:val="083F7130"/>
    <w:rsid w:val="08697D35"/>
    <w:rsid w:val="086C7886"/>
    <w:rsid w:val="08812F2B"/>
    <w:rsid w:val="089F35EF"/>
    <w:rsid w:val="08AD1DE2"/>
    <w:rsid w:val="08CE08D5"/>
    <w:rsid w:val="08CF462B"/>
    <w:rsid w:val="09767306"/>
    <w:rsid w:val="098106A1"/>
    <w:rsid w:val="09BA72C3"/>
    <w:rsid w:val="0A0A6A80"/>
    <w:rsid w:val="0A101F26"/>
    <w:rsid w:val="0A114758"/>
    <w:rsid w:val="0AA70314"/>
    <w:rsid w:val="0AE07DB7"/>
    <w:rsid w:val="0B4C21A6"/>
    <w:rsid w:val="0B523F25"/>
    <w:rsid w:val="0B536FB3"/>
    <w:rsid w:val="0B6E26C2"/>
    <w:rsid w:val="0B77423C"/>
    <w:rsid w:val="0BC03CFE"/>
    <w:rsid w:val="0C0C54AC"/>
    <w:rsid w:val="0C221581"/>
    <w:rsid w:val="0C2A21CD"/>
    <w:rsid w:val="0C790059"/>
    <w:rsid w:val="0C9C22B2"/>
    <w:rsid w:val="0CB44CF3"/>
    <w:rsid w:val="0DAD599A"/>
    <w:rsid w:val="0DD67C92"/>
    <w:rsid w:val="0DE93DD0"/>
    <w:rsid w:val="0DF62709"/>
    <w:rsid w:val="0E023E01"/>
    <w:rsid w:val="0E3331BF"/>
    <w:rsid w:val="0E667A8A"/>
    <w:rsid w:val="0E68189B"/>
    <w:rsid w:val="0E69033F"/>
    <w:rsid w:val="0EA12625"/>
    <w:rsid w:val="0EBA28D2"/>
    <w:rsid w:val="0EC87A33"/>
    <w:rsid w:val="0EEE4008"/>
    <w:rsid w:val="0F152394"/>
    <w:rsid w:val="0F2738C4"/>
    <w:rsid w:val="0F6B6C1D"/>
    <w:rsid w:val="0F9633C9"/>
    <w:rsid w:val="0FEF20FC"/>
    <w:rsid w:val="0FF85BE5"/>
    <w:rsid w:val="103656CA"/>
    <w:rsid w:val="10471B26"/>
    <w:rsid w:val="10934E21"/>
    <w:rsid w:val="109F5366"/>
    <w:rsid w:val="10BF16C9"/>
    <w:rsid w:val="11037A5C"/>
    <w:rsid w:val="110660A6"/>
    <w:rsid w:val="113D7A32"/>
    <w:rsid w:val="11CA3C1A"/>
    <w:rsid w:val="11FB02FE"/>
    <w:rsid w:val="1260763B"/>
    <w:rsid w:val="12A64995"/>
    <w:rsid w:val="12BA1B28"/>
    <w:rsid w:val="12BF4B9D"/>
    <w:rsid w:val="13C94A07"/>
    <w:rsid w:val="13D36C5E"/>
    <w:rsid w:val="14771A6A"/>
    <w:rsid w:val="14817FDA"/>
    <w:rsid w:val="149124B2"/>
    <w:rsid w:val="14B0225D"/>
    <w:rsid w:val="1506135C"/>
    <w:rsid w:val="1519733C"/>
    <w:rsid w:val="154B61B2"/>
    <w:rsid w:val="156B61A7"/>
    <w:rsid w:val="16D32DD4"/>
    <w:rsid w:val="16D87D6E"/>
    <w:rsid w:val="16FA6C98"/>
    <w:rsid w:val="170B353F"/>
    <w:rsid w:val="1725189E"/>
    <w:rsid w:val="173C6FEB"/>
    <w:rsid w:val="176F0A16"/>
    <w:rsid w:val="17733A06"/>
    <w:rsid w:val="177523D1"/>
    <w:rsid w:val="1784346D"/>
    <w:rsid w:val="17DA4C80"/>
    <w:rsid w:val="1828208C"/>
    <w:rsid w:val="182A4348"/>
    <w:rsid w:val="184F13F4"/>
    <w:rsid w:val="18926767"/>
    <w:rsid w:val="18EB151D"/>
    <w:rsid w:val="191106C7"/>
    <w:rsid w:val="192C63DD"/>
    <w:rsid w:val="194E3524"/>
    <w:rsid w:val="195D26D4"/>
    <w:rsid w:val="199063F6"/>
    <w:rsid w:val="19B65BE7"/>
    <w:rsid w:val="19DB72CC"/>
    <w:rsid w:val="1A3F668B"/>
    <w:rsid w:val="1A41745E"/>
    <w:rsid w:val="1A4D0ACB"/>
    <w:rsid w:val="1A976FFA"/>
    <w:rsid w:val="1AC0097B"/>
    <w:rsid w:val="1AC60298"/>
    <w:rsid w:val="1ACF7806"/>
    <w:rsid w:val="1ADF7C99"/>
    <w:rsid w:val="1B3E54F1"/>
    <w:rsid w:val="1B486ECA"/>
    <w:rsid w:val="1B5606C4"/>
    <w:rsid w:val="1B7758FD"/>
    <w:rsid w:val="1B992F08"/>
    <w:rsid w:val="1BB45520"/>
    <w:rsid w:val="1C80075D"/>
    <w:rsid w:val="1CA0458E"/>
    <w:rsid w:val="1CCC06F6"/>
    <w:rsid w:val="1CEA0CE2"/>
    <w:rsid w:val="1D1207F7"/>
    <w:rsid w:val="1D4674DC"/>
    <w:rsid w:val="1D6F3520"/>
    <w:rsid w:val="1DB6630D"/>
    <w:rsid w:val="1DE34B94"/>
    <w:rsid w:val="1E002D45"/>
    <w:rsid w:val="1E1B70BC"/>
    <w:rsid w:val="1E3F5366"/>
    <w:rsid w:val="1E5F4B89"/>
    <w:rsid w:val="1E7526A1"/>
    <w:rsid w:val="1E7B4119"/>
    <w:rsid w:val="1EB6799F"/>
    <w:rsid w:val="1ED91680"/>
    <w:rsid w:val="1EF3295A"/>
    <w:rsid w:val="1EFC46D7"/>
    <w:rsid w:val="1F0A153D"/>
    <w:rsid w:val="1F1403CE"/>
    <w:rsid w:val="1F1C25A1"/>
    <w:rsid w:val="1F2533FE"/>
    <w:rsid w:val="1F2F6111"/>
    <w:rsid w:val="1F81104A"/>
    <w:rsid w:val="1FB97650"/>
    <w:rsid w:val="1FE74446"/>
    <w:rsid w:val="20075BE8"/>
    <w:rsid w:val="20081198"/>
    <w:rsid w:val="200D1786"/>
    <w:rsid w:val="201044E2"/>
    <w:rsid w:val="203F3F27"/>
    <w:rsid w:val="2065211E"/>
    <w:rsid w:val="20841A36"/>
    <w:rsid w:val="20E41252"/>
    <w:rsid w:val="210545EA"/>
    <w:rsid w:val="211F672C"/>
    <w:rsid w:val="213B25BD"/>
    <w:rsid w:val="214D2418"/>
    <w:rsid w:val="219A423A"/>
    <w:rsid w:val="21FD749A"/>
    <w:rsid w:val="2228666C"/>
    <w:rsid w:val="225455FE"/>
    <w:rsid w:val="226076E5"/>
    <w:rsid w:val="228A64F0"/>
    <w:rsid w:val="22966C59"/>
    <w:rsid w:val="22AD2360"/>
    <w:rsid w:val="22C6291C"/>
    <w:rsid w:val="22DB26BB"/>
    <w:rsid w:val="23736488"/>
    <w:rsid w:val="23847F75"/>
    <w:rsid w:val="238F5D2E"/>
    <w:rsid w:val="23E3790D"/>
    <w:rsid w:val="2498006D"/>
    <w:rsid w:val="25212425"/>
    <w:rsid w:val="25573C2A"/>
    <w:rsid w:val="2560423F"/>
    <w:rsid w:val="2579524A"/>
    <w:rsid w:val="261A7F80"/>
    <w:rsid w:val="261D76C7"/>
    <w:rsid w:val="262B6BA5"/>
    <w:rsid w:val="26380D40"/>
    <w:rsid w:val="26462E7B"/>
    <w:rsid w:val="26942FFE"/>
    <w:rsid w:val="26C01949"/>
    <w:rsid w:val="26C43618"/>
    <w:rsid w:val="26D125D4"/>
    <w:rsid w:val="26D315AB"/>
    <w:rsid w:val="26EE7D79"/>
    <w:rsid w:val="27656EBD"/>
    <w:rsid w:val="27C47BCD"/>
    <w:rsid w:val="28027610"/>
    <w:rsid w:val="28534CC7"/>
    <w:rsid w:val="285C68C6"/>
    <w:rsid w:val="2862619B"/>
    <w:rsid w:val="287F16DC"/>
    <w:rsid w:val="295139F9"/>
    <w:rsid w:val="295C7D1E"/>
    <w:rsid w:val="29D317AE"/>
    <w:rsid w:val="2A1C4B42"/>
    <w:rsid w:val="2AE013C4"/>
    <w:rsid w:val="2AF240E7"/>
    <w:rsid w:val="2B1E540E"/>
    <w:rsid w:val="2B336409"/>
    <w:rsid w:val="2B5D374A"/>
    <w:rsid w:val="2BD769AA"/>
    <w:rsid w:val="2C126F23"/>
    <w:rsid w:val="2C1D66F3"/>
    <w:rsid w:val="2D7366E1"/>
    <w:rsid w:val="2EE366B5"/>
    <w:rsid w:val="2F2D13BF"/>
    <w:rsid w:val="2F6E1B09"/>
    <w:rsid w:val="2FB344DB"/>
    <w:rsid w:val="304406B6"/>
    <w:rsid w:val="30493046"/>
    <w:rsid w:val="305557A2"/>
    <w:rsid w:val="30CD6225"/>
    <w:rsid w:val="30E37FF0"/>
    <w:rsid w:val="30F26942"/>
    <w:rsid w:val="31143E67"/>
    <w:rsid w:val="311A0404"/>
    <w:rsid w:val="31410EEE"/>
    <w:rsid w:val="318A035C"/>
    <w:rsid w:val="31BD6652"/>
    <w:rsid w:val="31BF7BF7"/>
    <w:rsid w:val="31C15F39"/>
    <w:rsid w:val="32563766"/>
    <w:rsid w:val="325B2B9E"/>
    <w:rsid w:val="326A2B93"/>
    <w:rsid w:val="326C208D"/>
    <w:rsid w:val="32B057EA"/>
    <w:rsid w:val="32BC60A7"/>
    <w:rsid w:val="32C84B2E"/>
    <w:rsid w:val="33073FC8"/>
    <w:rsid w:val="33196C24"/>
    <w:rsid w:val="337A3E72"/>
    <w:rsid w:val="33B2209F"/>
    <w:rsid w:val="33ED7B1F"/>
    <w:rsid w:val="34145B06"/>
    <w:rsid w:val="3457424D"/>
    <w:rsid w:val="34600E6E"/>
    <w:rsid w:val="348852A1"/>
    <w:rsid w:val="34A22009"/>
    <w:rsid w:val="35033E7C"/>
    <w:rsid w:val="35156CE3"/>
    <w:rsid w:val="3518676F"/>
    <w:rsid w:val="35253297"/>
    <w:rsid w:val="35445BF0"/>
    <w:rsid w:val="35810C58"/>
    <w:rsid w:val="361D365C"/>
    <w:rsid w:val="36206B3D"/>
    <w:rsid w:val="36531214"/>
    <w:rsid w:val="369E0EF6"/>
    <w:rsid w:val="36EB5B5C"/>
    <w:rsid w:val="37085392"/>
    <w:rsid w:val="375E31F0"/>
    <w:rsid w:val="375E791B"/>
    <w:rsid w:val="378873BF"/>
    <w:rsid w:val="37BD7DDF"/>
    <w:rsid w:val="37C061AF"/>
    <w:rsid w:val="37DD26B8"/>
    <w:rsid w:val="37E640D7"/>
    <w:rsid w:val="37F13AF8"/>
    <w:rsid w:val="37FE1C4C"/>
    <w:rsid w:val="386A0F99"/>
    <w:rsid w:val="386E7642"/>
    <w:rsid w:val="389153B5"/>
    <w:rsid w:val="38CF0CDC"/>
    <w:rsid w:val="39175C11"/>
    <w:rsid w:val="39224F11"/>
    <w:rsid w:val="3955343C"/>
    <w:rsid w:val="398E625D"/>
    <w:rsid w:val="39957F50"/>
    <w:rsid w:val="39AA42C1"/>
    <w:rsid w:val="39D45F08"/>
    <w:rsid w:val="39F3485B"/>
    <w:rsid w:val="3A1A4E71"/>
    <w:rsid w:val="3A305F5F"/>
    <w:rsid w:val="3A61177C"/>
    <w:rsid w:val="3AA22453"/>
    <w:rsid w:val="3ABF7840"/>
    <w:rsid w:val="3ACF550A"/>
    <w:rsid w:val="3B37322C"/>
    <w:rsid w:val="3B641BF0"/>
    <w:rsid w:val="3B721655"/>
    <w:rsid w:val="3B947B1C"/>
    <w:rsid w:val="3C282E96"/>
    <w:rsid w:val="3CBD7C21"/>
    <w:rsid w:val="3CDB592C"/>
    <w:rsid w:val="3D046180"/>
    <w:rsid w:val="3D297F36"/>
    <w:rsid w:val="3D4D7208"/>
    <w:rsid w:val="3DA86969"/>
    <w:rsid w:val="3DDA73FC"/>
    <w:rsid w:val="3DEA0E8F"/>
    <w:rsid w:val="3E05017A"/>
    <w:rsid w:val="3E6E4482"/>
    <w:rsid w:val="3E7B2030"/>
    <w:rsid w:val="3F0A7276"/>
    <w:rsid w:val="3F49162A"/>
    <w:rsid w:val="3F63314B"/>
    <w:rsid w:val="3F972CBA"/>
    <w:rsid w:val="40313B62"/>
    <w:rsid w:val="40A502F3"/>
    <w:rsid w:val="40CC37C8"/>
    <w:rsid w:val="40E06BFA"/>
    <w:rsid w:val="40ED0BB1"/>
    <w:rsid w:val="41017AF4"/>
    <w:rsid w:val="41166258"/>
    <w:rsid w:val="41E33EDC"/>
    <w:rsid w:val="41E922D5"/>
    <w:rsid w:val="41FF7786"/>
    <w:rsid w:val="427A0DB5"/>
    <w:rsid w:val="42983C5A"/>
    <w:rsid w:val="429F0D52"/>
    <w:rsid w:val="42B94202"/>
    <w:rsid w:val="42C61DC7"/>
    <w:rsid w:val="42C942ED"/>
    <w:rsid w:val="42DF397A"/>
    <w:rsid w:val="43482915"/>
    <w:rsid w:val="43750A80"/>
    <w:rsid w:val="437F3405"/>
    <w:rsid w:val="43BE409B"/>
    <w:rsid w:val="43D97B7C"/>
    <w:rsid w:val="43F9794F"/>
    <w:rsid w:val="43FC1434"/>
    <w:rsid w:val="4445693A"/>
    <w:rsid w:val="444D4548"/>
    <w:rsid w:val="44531B89"/>
    <w:rsid w:val="44E4748A"/>
    <w:rsid w:val="453017D5"/>
    <w:rsid w:val="4537152D"/>
    <w:rsid w:val="45482A0E"/>
    <w:rsid w:val="4548351D"/>
    <w:rsid w:val="454A4A52"/>
    <w:rsid w:val="455B58B5"/>
    <w:rsid w:val="456D1381"/>
    <w:rsid w:val="45853583"/>
    <w:rsid w:val="45AD7AAF"/>
    <w:rsid w:val="460162E2"/>
    <w:rsid w:val="462C5B9A"/>
    <w:rsid w:val="46B02CAC"/>
    <w:rsid w:val="46B27839"/>
    <w:rsid w:val="46D9282A"/>
    <w:rsid w:val="47132221"/>
    <w:rsid w:val="4722660E"/>
    <w:rsid w:val="47534CC2"/>
    <w:rsid w:val="4822043E"/>
    <w:rsid w:val="483076CD"/>
    <w:rsid w:val="483F0499"/>
    <w:rsid w:val="48557468"/>
    <w:rsid w:val="48914ACA"/>
    <w:rsid w:val="48E70A52"/>
    <w:rsid w:val="48EC54D9"/>
    <w:rsid w:val="48FA1296"/>
    <w:rsid w:val="49443D47"/>
    <w:rsid w:val="495A4DDB"/>
    <w:rsid w:val="498B70B7"/>
    <w:rsid w:val="49D00811"/>
    <w:rsid w:val="49D41AA0"/>
    <w:rsid w:val="4AC9458D"/>
    <w:rsid w:val="4B0E0E93"/>
    <w:rsid w:val="4B1A0415"/>
    <w:rsid w:val="4B6052BB"/>
    <w:rsid w:val="4B8D047F"/>
    <w:rsid w:val="4BD021A8"/>
    <w:rsid w:val="4BE3441A"/>
    <w:rsid w:val="4C0D4CE7"/>
    <w:rsid w:val="4C2674A9"/>
    <w:rsid w:val="4C490911"/>
    <w:rsid w:val="4C9065A1"/>
    <w:rsid w:val="4D032D39"/>
    <w:rsid w:val="4D085C18"/>
    <w:rsid w:val="4D147255"/>
    <w:rsid w:val="4D2301D4"/>
    <w:rsid w:val="4D337A52"/>
    <w:rsid w:val="4D7808E2"/>
    <w:rsid w:val="4DBD0245"/>
    <w:rsid w:val="4DD74C2E"/>
    <w:rsid w:val="4DF07841"/>
    <w:rsid w:val="4E314CF4"/>
    <w:rsid w:val="4E3F5A59"/>
    <w:rsid w:val="4E417E90"/>
    <w:rsid w:val="4E5C54C6"/>
    <w:rsid w:val="4E8F7CF4"/>
    <w:rsid w:val="4EE10922"/>
    <w:rsid w:val="4F3B47E8"/>
    <w:rsid w:val="4F3E5B72"/>
    <w:rsid w:val="4F882F35"/>
    <w:rsid w:val="4F9C74D5"/>
    <w:rsid w:val="50010753"/>
    <w:rsid w:val="50090D09"/>
    <w:rsid w:val="500B71A4"/>
    <w:rsid w:val="50475BE2"/>
    <w:rsid w:val="50755E6C"/>
    <w:rsid w:val="50795EBC"/>
    <w:rsid w:val="50AB1A62"/>
    <w:rsid w:val="51183C80"/>
    <w:rsid w:val="511C22AE"/>
    <w:rsid w:val="513C4FEF"/>
    <w:rsid w:val="51456CD1"/>
    <w:rsid w:val="522A7FC1"/>
    <w:rsid w:val="52C46D79"/>
    <w:rsid w:val="52DD37A9"/>
    <w:rsid w:val="53372935"/>
    <w:rsid w:val="539A2957"/>
    <w:rsid w:val="53A5652C"/>
    <w:rsid w:val="53A66DF1"/>
    <w:rsid w:val="53C646E4"/>
    <w:rsid w:val="53C876EF"/>
    <w:rsid w:val="53DE45D6"/>
    <w:rsid w:val="549C3D50"/>
    <w:rsid w:val="54A07F9F"/>
    <w:rsid w:val="54A85C20"/>
    <w:rsid w:val="55054AAE"/>
    <w:rsid w:val="551C7020"/>
    <w:rsid w:val="552A1E7A"/>
    <w:rsid w:val="55362244"/>
    <w:rsid w:val="554E1AE0"/>
    <w:rsid w:val="558A20A7"/>
    <w:rsid w:val="562422F7"/>
    <w:rsid w:val="564E4C07"/>
    <w:rsid w:val="5657153E"/>
    <w:rsid w:val="5695591B"/>
    <w:rsid w:val="56A428CB"/>
    <w:rsid w:val="56CC0D48"/>
    <w:rsid w:val="56D90887"/>
    <w:rsid w:val="56F541D8"/>
    <w:rsid w:val="56F90C53"/>
    <w:rsid w:val="56FB459C"/>
    <w:rsid w:val="56FC38DD"/>
    <w:rsid w:val="57104C56"/>
    <w:rsid w:val="575E5568"/>
    <w:rsid w:val="577F1FDA"/>
    <w:rsid w:val="579C1EFF"/>
    <w:rsid w:val="57A94647"/>
    <w:rsid w:val="57F50615"/>
    <w:rsid w:val="58033C1C"/>
    <w:rsid w:val="582676AE"/>
    <w:rsid w:val="587670CA"/>
    <w:rsid w:val="58B95791"/>
    <w:rsid w:val="58DB5A41"/>
    <w:rsid w:val="591C178D"/>
    <w:rsid w:val="59323D77"/>
    <w:rsid w:val="59BA1FB8"/>
    <w:rsid w:val="59E858C9"/>
    <w:rsid w:val="59F536D8"/>
    <w:rsid w:val="59FA4F0F"/>
    <w:rsid w:val="5A7D67B6"/>
    <w:rsid w:val="5B9242D5"/>
    <w:rsid w:val="5BA37FCD"/>
    <w:rsid w:val="5BAD5E9A"/>
    <w:rsid w:val="5BF37E30"/>
    <w:rsid w:val="5C002948"/>
    <w:rsid w:val="5C3D0E1E"/>
    <w:rsid w:val="5D056076"/>
    <w:rsid w:val="5D1A0A26"/>
    <w:rsid w:val="5D25114A"/>
    <w:rsid w:val="5D31207E"/>
    <w:rsid w:val="5D5749EC"/>
    <w:rsid w:val="5D7E0FB5"/>
    <w:rsid w:val="5D9D5E1D"/>
    <w:rsid w:val="5DA56B37"/>
    <w:rsid w:val="5DAA2507"/>
    <w:rsid w:val="5E1F5AE8"/>
    <w:rsid w:val="5E822A4A"/>
    <w:rsid w:val="5E847F27"/>
    <w:rsid w:val="5E985640"/>
    <w:rsid w:val="5EB23D46"/>
    <w:rsid w:val="5EC956D2"/>
    <w:rsid w:val="5ECE3E1C"/>
    <w:rsid w:val="5ED722CD"/>
    <w:rsid w:val="5F206A76"/>
    <w:rsid w:val="5F243F29"/>
    <w:rsid w:val="5F677827"/>
    <w:rsid w:val="5F757C38"/>
    <w:rsid w:val="5F7808AE"/>
    <w:rsid w:val="5FFB42B6"/>
    <w:rsid w:val="6035290D"/>
    <w:rsid w:val="60371E35"/>
    <w:rsid w:val="60514499"/>
    <w:rsid w:val="60A223A0"/>
    <w:rsid w:val="60A87B16"/>
    <w:rsid w:val="60AC2370"/>
    <w:rsid w:val="60B345D4"/>
    <w:rsid w:val="612D212E"/>
    <w:rsid w:val="614C4F26"/>
    <w:rsid w:val="61685397"/>
    <w:rsid w:val="617B0AAB"/>
    <w:rsid w:val="61B32C73"/>
    <w:rsid w:val="61C138E8"/>
    <w:rsid w:val="61E569E0"/>
    <w:rsid w:val="61FD78BE"/>
    <w:rsid w:val="62297241"/>
    <w:rsid w:val="625A0317"/>
    <w:rsid w:val="625B7B17"/>
    <w:rsid w:val="62651044"/>
    <w:rsid w:val="629E6C38"/>
    <w:rsid w:val="62F86379"/>
    <w:rsid w:val="63045336"/>
    <w:rsid w:val="63045A1F"/>
    <w:rsid w:val="63053D62"/>
    <w:rsid w:val="634B4E22"/>
    <w:rsid w:val="634E7139"/>
    <w:rsid w:val="636B5EBC"/>
    <w:rsid w:val="63CA40E4"/>
    <w:rsid w:val="64264F51"/>
    <w:rsid w:val="645B3B68"/>
    <w:rsid w:val="64606C85"/>
    <w:rsid w:val="64DF2B43"/>
    <w:rsid w:val="652248D5"/>
    <w:rsid w:val="655F37A1"/>
    <w:rsid w:val="657123B4"/>
    <w:rsid w:val="65AE1BAE"/>
    <w:rsid w:val="664A2E5F"/>
    <w:rsid w:val="664D5EC2"/>
    <w:rsid w:val="66BF4765"/>
    <w:rsid w:val="67003A73"/>
    <w:rsid w:val="67386876"/>
    <w:rsid w:val="67506908"/>
    <w:rsid w:val="67531E2F"/>
    <w:rsid w:val="675B4115"/>
    <w:rsid w:val="67763D4A"/>
    <w:rsid w:val="67A01F82"/>
    <w:rsid w:val="67EB1AD0"/>
    <w:rsid w:val="67FC48E2"/>
    <w:rsid w:val="683A528F"/>
    <w:rsid w:val="688732C9"/>
    <w:rsid w:val="68AC2CF6"/>
    <w:rsid w:val="68B422AD"/>
    <w:rsid w:val="68CA415C"/>
    <w:rsid w:val="68D54792"/>
    <w:rsid w:val="68D82D9A"/>
    <w:rsid w:val="68F44FC1"/>
    <w:rsid w:val="690A0C77"/>
    <w:rsid w:val="690D6D80"/>
    <w:rsid w:val="69400D4D"/>
    <w:rsid w:val="69625C3B"/>
    <w:rsid w:val="6991631B"/>
    <w:rsid w:val="69960D5D"/>
    <w:rsid w:val="699E685E"/>
    <w:rsid w:val="6A000436"/>
    <w:rsid w:val="6A1663A2"/>
    <w:rsid w:val="6A212E7F"/>
    <w:rsid w:val="6A376637"/>
    <w:rsid w:val="6A8D7902"/>
    <w:rsid w:val="6B225DD0"/>
    <w:rsid w:val="6B3029F3"/>
    <w:rsid w:val="6B6A0368"/>
    <w:rsid w:val="6B8E2363"/>
    <w:rsid w:val="6B9246C9"/>
    <w:rsid w:val="6BB3513A"/>
    <w:rsid w:val="6BD66A37"/>
    <w:rsid w:val="6C182B83"/>
    <w:rsid w:val="6C1C48C2"/>
    <w:rsid w:val="6C7960AB"/>
    <w:rsid w:val="6C8113CB"/>
    <w:rsid w:val="6C884F7A"/>
    <w:rsid w:val="6C973CB0"/>
    <w:rsid w:val="6C9C7F3A"/>
    <w:rsid w:val="6CE35466"/>
    <w:rsid w:val="6D1B431A"/>
    <w:rsid w:val="6D204ADF"/>
    <w:rsid w:val="6D3A00F9"/>
    <w:rsid w:val="6D6D2C0B"/>
    <w:rsid w:val="6D802707"/>
    <w:rsid w:val="6DBA4C92"/>
    <w:rsid w:val="6E1D034A"/>
    <w:rsid w:val="6E203522"/>
    <w:rsid w:val="6E4A1E62"/>
    <w:rsid w:val="6E516D5B"/>
    <w:rsid w:val="6EF14839"/>
    <w:rsid w:val="6F26561E"/>
    <w:rsid w:val="6F462634"/>
    <w:rsid w:val="6F684E41"/>
    <w:rsid w:val="6F6C36F5"/>
    <w:rsid w:val="6F8B4730"/>
    <w:rsid w:val="6F9F0634"/>
    <w:rsid w:val="6FC92EBD"/>
    <w:rsid w:val="7026759E"/>
    <w:rsid w:val="70B86D64"/>
    <w:rsid w:val="70D56AB2"/>
    <w:rsid w:val="70F52DB1"/>
    <w:rsid w:val="713C1E52"/>
    <w:rsid w:val="71474634"/>
    <w:rsid w:val="714A1482"/>
    <w:rsid w:val="715C1A0D"/>
    <w:rsid w:val="71670655"/>
    <w:rsid w:val="718E1589"/>
    <w:rsid w:val="71966EF5"/>
    <w:rsid w:val="71AE3EAF"/>
    <w:rsid w:val="71D3089A"/>
    <w:rsid w:val="72477CBE"/>
    <w:rsid w:val="72684D25"/>
    <w:rsid w:val="732A0A91"/>
    <w:rsid w:val="73376B76"/>
    <w:rsid w:val="733D5E71"/>
    <w:rsid w:val="7361609C"/>
    <w:rsid w:val="7363305A"/>
    <w:rsid w:val="73823E65"/>
    <w:rsid w:val="738F426C"/>
    <w:rsid w:val="73994D87"/>
    <w:rsid w:val="74341EB6"/>
    <w:rsid w:val="744B61C8"/>
    <w:rsid w:val="74781549"/>
    <w:rsid w:val="7484505F"/>
    <w:rsid w:val="74B6604D"/>
    <w:rsid w:val="74E527D3"/>
    <w:rsid w:val="74EE250C"/>
    <w:rsid w:val="75682F59"/>
    <w:rsid w:val="757645E6"/>
    <w:rsid w:val="75CE7E20"/>
    <w:rsid w:val="766005C6"/>
    <w:rsid w:val="76C318DA"/>
    <w:rsid w:val="77493659"/>
    <w:rsid w:val="77AE3DED"/>
    <w:rsid w:val="77DD0911"/>
    <w:rsid w:val="77F02C20"/>
    <w:rsid w:val="78010DC2"/>
    <w:rsid w:val="78060618"/>
    <w:rsid w:val="78372EEC"/>
    <w:rsid w:val="78846CF5"/>
    <w:rsid w:val="78A52E33"/>
    <w:rsid w:val="78C41E6C"/>
    <w:rsid w:val="78FE08DB"/>
    <w:rsid w:val="793821A5"/>
    <w:rsid w:val="79B75EA3"/>
    <w:rsid w:val="79D7223F"/>
    <w:rsid w:val="79F67086"/>
    <w:rsid w:val="7A2B119E"/>
    <w:rsid w:val="7A4F7F19"/>
    <w:rsid w:val="7A7E4CD5"/>
    <w:rsid w:val="7AA2418C"/>
    <w:rsid w:val="7AA31C11"/>
    <w:rsid w:val="7AB928EB"/>
    <w:rsid w:val="7ADA5FD2"/>
    <w:rsid w:val="7AED7EAE"/>
    <w:rsid w:val="7B2C57EF"/>
    <w:rsid w:val="7B384B5D"/>
    <w:rsid w:val="7B5B4C8B"/>
    <w:rsid w:val="7B851FEE"/>
    <w:rsid w:val="7B910D5D"/>
    <w:rsid w:val="7BA5334A"/>
    <w:rsid w:val="7C0E48E3"/>
    <w:rsid w:val="7C3E7E36"/>
    <w:rsid w:val="7C417FE9"/>
    <w:rsid w:val="7C533FE0"/>
    <w:rsid w:val="7D3F2FEA"/>
    <w:rsid w:val="7D751253"/>
    <w:rsid w:val="7D983576"/>
    <w:rsid w:val="7DA34B71"/>
    <w:rsid w:val="7DA908E3"/>
    <w:rsid w:val="7E5B6295"/>
    <w:rsid w:val="7E657767"/>
    <w:rsid w:val="7E6E0110"/>
    <w:rsid w:val="7E7146EC"/>
    <w:rsid w:val="7E8A54C7"/>
    <w:rsid w:val="7EF62354"/>
    <w:rsid w:val="7F132354"/>
    <w:rsid w:val="7F1C2150"/>
    <w:rsid w:val="7F3E6D8A"/>
    <w:rsid w:val="7F844CD4"/>
    <w:rsid w:val="7F911CC9"/>
    <w:rsid w:val="7FE16D34"/>
    <w:rsid w:val="7FE358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before="340" w:after="330" w:line="480" w:lineRule="auto"/>
      <w:jc w:val="center"/>
      <w:outlineLvl w:val="0"/>
    </w:pPr>
    <w:rPr>
      <w:b/>
      <w:bCs/>
      <w:kern w:val="44"/>
      <w:sz w:val="36"/>
      <w:szCs w:val="44"/>
    </w:rPr>
  </w:style>
  <w:style w:type="paragraph" w:styleId="3">
    <w:name w:val="heading 2"/>
    <w:basedOn w:val="1"/>
    <w:next w:val="1"/>
    <w:autoRedefine/>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4">
    <w:name w:val="heading 3"/>
    <w:basedOn w:val="1"/>
    <w:next w:val="1"/>
    <w:link w:val="49"/>
    <w:autoRedefine/>
    <w:qFormat/>
    <w:uiPriority w:val="0"/>
    <w:pPr>
      <w:keepNext/>
      <w:keepLines/>
      <w:outlineLvl w:val="2"/>
    </w:pPr>
    <w:rPr>
      <w:rFonts w:ascii="Calibri" w:hAnsi="Calibri"/>
      <w:b/>
      <w:sz w:val="32"/>
    </w:rPr>
  </w:style>
  <w:style w:type="paragraph" w:styleId="5">
    <w:name w:val="heading 4"/>
    <w:basedOn w:val="1"/>
    <w:next w:val="1"/>
    <w:autoRedefine/>
    <w:qFormat/>
    <w:uiPriority w:val="0"/>
    <w:pPr>
      <w:keepNext/>
      <w:spacing w:before="240" w:after="60"/>
      <w:outlineLvl w:val="3"/>
    </w:pPr>
    <w:rPr>
      <w:b/>
      <w:bCs/>
      <w:sz w:val="28"/>
      <w:szCs w:val="28"/>
    </w:rPr>
  </w:style>
  <w:style w:type="paragraph" w:styleId="6">
    <w:name w:val="heading 9"/>
    <w:basedOn w:val="1"/>
    <w:next w:val="1"/>
    <w:autoRedefine/>
    <w:qFormat/>
    <w:uiPriority w:val="0"/>
    <w:pPr>
      <w:keepNext/>
      <w:keepLines/>
      <w:spacing w:before="240" w:after="64" w:line="320" w:lineRule="auto"/>
      <w:outlineLvl w:val="8"/>
    </w:pPr>
    <w:rPr>
      <w:rFonts w:ascii="等线 Light" w:hAnsi="等线 Light" w:eastAsia="等线 Light"/>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table of authorities"/>
    <w:basedOn w:val="1"/>
    <w:next w:val="1"/>
    <w:autoRedefine/>
    <w:qFormat/>
    <w:uiPriority w:val="0"/>
    <w:pPr>
      <w:ind w:left="420" w:leftChars="200"/>
    </w:pPr>
  </w:style>
  <w:style w:type="paragraph" w:styleId="8">
    <w:name w:val="index 8"/>
    <w:basedOn w:val="1"/>
    <w:next w:val="1"/>
    <w:autoRedefine/>
    <w:qFormat/>
    <w:uiPriority w:val="0"/>
    <w:pPr>
      <w:ind w:left="2940"/>
    </w:pPr>
  </w:style>
  <w:style w:type="paragraph" w:styleId="9">
    <w:name w:val="Normal Indent"/>
    <w:basedOn w:val="1"/>
    <w:next w:val="1"/>
    <w:qFormat/>
    <w:uiPriority w:val="0"/>
    <w:pPr>
      <w:ind w:firstLine="420"/>
    </w:pPr>
    <w:rPr>
      <w:szCs w:val="20"/>
    </w:rPr>
  </w:style>
  <w:style w:type="paragraph" w:styleId="10">
    <w:name w:val="annotation text"/>
    <w:basedOn w:val="1"/>
    <w:link w:val="64"/>
    <w:autoRedefine/>
    <w:qFormat/>
    <w:uiPriority w:val="0"/>
    <w:pPr>
      <w:jc w:val="left"/>
    </w:pPr>
  </w:style>
  <w:style w:type="paragraph" w:styleId="11">
    <w:name w:val="Body Text"/>
    <w:basedOn w:val="1"/>
    <w:next w:val="12"/>
    <w:autoRedefine/>
    <w:qFormat/>
    <w:uiPriority w:val="0"/>
  </w:style>
  <w:style w:type="paragraph" w:styleId="12">
    <w:name w:val="Body Text First Indent 2"/>
    <w:basedOn w:val="13"/>
    <w:autoRedefine/>
    <w:unhideWhenUsed/>
    <w:qFormat/>
    <w:uiPriority w:val="99"/>
    <w:pPr>
      <w:ind w:firstLine="420" w:firstLineChars="200"/>
    </w:pPr>
  </w:style>
  <w:style w:type="paragraph" w:styleId="13">
    <w:name w:val="Body Text Indent"/>
    <w:basedOn w:val="1"/>
    <w:next w:val="14"/>
    <w:autoRedefine/>
    <w:qFormat/>
    <w:uiPriority w:val="0"/>
    <w:pPr>
      <w:spacing w:after="120"/>
      <w:ind w:left="420" w:leftChars="200"/>
    </w:pPr>
  </w:style>
  <w:style w:type="paragraph" w:styleId="14">
    <w:name w:val="envelope return"/>
    <w:basedOn w:val="1"/>
    <w:autoRedefine/>
    <w:qFormat/>
    <w:uiPriority w:val="0"/>
    <w:pPr>
      <w:snapToGrid w:val="0"/>
    </w:pPr>
    <w:rPr>
      <w:rFonts w:ascii="Arial" w:hAnsi="Arial"/>
    </w:rPr>
  </w:style>
  <w:style w:type="paragraph" w:styleId="15">
    <w:name w:val="Block Text"/>
    <w:basedOn w:val="1"/>
    <w:autoRedefine/>
    <w:qFormat/>
    <w:uiPriority w:val="0"/>
    <w:pPr>
      <w:adjustRightInd w:val="0"/>
      <w:ind w:left="420" w:right="33"/>
      <w:jc w:val="left"/>
      <w:textAlignment w:val="baseline"/>
    </w:pPr>
    <w:rPr>
      <w:kern w:val="0"/>
      <w:szCs w:val="20"/>
    </w:rPr>
  </w:style>
  <w:style w:type="paragraph" w:styleId="16">
    <w:name w:val="toc 3"/>
    <w:basedOn w:val="1"/>
    <w:next w:val="1"/>
    <w:autoRedefine/>
    <w:unhideWhenUsed/>
    <w:qFormat/>
    <w:uiPriority w:val="39"/>
    <w:pPr>
      <w:ind w:left="840" w:leftChars="400"/>
    </w:pPr>
  </w:style>
  <w:style w:type="paragraph" w:styleId="17">
    <w:name w:val="Plain Text"/>
    <w:basedOn w:val="1"/>
    <w:next w:val="8"/>
    <w:link w:val="67"/>
    <w:autoRedefine/>
    <w:qFormat/>
    <w:uiPriority w:val="0"/>
    <w:rPr>
      <w:rFonts w:ascii="宋体" w:hAnsi="Courier New"/>
      <w:szCs w:val="20"/>
    </w:rPr>
  </w:style>
  <w:style w:type="paragraph" w:styleId="18">
    <w:name w:val="Balloon Text"/>
    <w:basedOn w:val="1"/>
    <w:link w:val="66"/>
    <w:qFormat/>
    <w:uiPriority w:val="0"/>
    <w:rPr>
      <w:sz w:val="18"/>
      <w:szCs w:val="18"/>
    </w:rPr>
  </w:style>
  <w:style w:type="paragraph" w:styleId="19">
    <w:name w:val="footer"/>
    <w:basedOn w:val="1"/>
    <w:autoRedefine/>
    <w:qFormat/>
    <w:uiPriority w:val="99"/>
    <w:pPr>
      <w:tabs>
        <w:tab w:val="center" w:pos="4153"/>
        <w:tab w:val="right" w:pos="8306"/>
      </w:tabs>
      <w:snapToGrid w:val="0"/>
      <w:jc w:val="left"/>
    </w:pPr>
    <w:rPr>
      <w:sz w:val="18"/>
      <w:szCs w:val="18"/>
    </w:rPr>
  </w:style>
  <w:style w:type="paragraph" w:styleId="20">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style>
  <w:style w:type="paragraph" w:styleId="22">
    <w:name w:val="toc 2"/>
    <w:basedOn w:val="1"/>
    <w:next w:val="1"/>
    <w:autoRedefine/>
    <w:unhideWhenUsed/>
    <w:qFormat/>
    <w:uiPriority w:val="39"/>
    <w:pPr>
      <w:ind w:left="420" w:leftChars="200"/>
    </w:pPr>
  </w:style>
  <w:style w:type="paragraph" w:styleId="23">
    <w:name w:val="List 4"/>
    <w:basedOn w:val="1"/>
    <w:autoRedefine/>
    <w:qFormat/>
    <w:uiPriority w:val="0"/>
    <w:pPr>
      <w:ind w:left="100" w:leftChars="600" w:hanging="200" w:hangingChars="200"/>
      <w:contextualSpacing/>
    </w:pPr>
  </w:style>
  <w:style w:type="paragraph" w:styleId="2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5">
    <w:name w:val="Title"/>
    <w:basedOn w:val="1"/>
    <w:qFormat/>
    <w:uiPriority w:val="0"/>
    <w:pPr>
      <w:spacing w:before="240" w:after="60"/>
      <w:jc w:val="center"/>
      <w:outlineLvl w:val="0"/>
    </w:pPr>
    <w:rPr>
      <w:rFonts w:ascii="等线 Light" w:hAnsi="等线 Light"/>
      <w:b/>
      <w:bCs/>
      <w:sz w:val="32"/>
      <w:szCs w:val="32"/>
    </w:rPr>
  </w:style>
  <w:style w:type="paragraph" w:styleId="26">
    <w:name w:val="annotation subject"/>
    <w:basedOn w:val="10"/>
    <w:next w:val="10"/>
    <w:link w:val="65"/>
    <w:qFormat/>
    <w:uiPriority w:val="0"/>
    <w:rPr>
      <w:b/>
      <w:bCs/>
    </w:rPr>
  </w:style>
  <w:style w:type="paragraph" w:styleId="27">
    <w:name w:val="Body Text First Indent"/>
    <w:basedOn w:val="11"/>
    <w:autoRedefine/>
    <w:qFormat/>
    <w:uiPriority w:val="0"/>
    <w:pPr>
      <w:ind w:firstLine="420" w:firstLineChars="100"/>
    </w:pPr>
  </w:style>
  <w:style w:type="table" w:styleId="29">
    <w:name w:val="Table Grid"/>
    <w:basedOn w:val="28"/>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autoRedefine/>
    <w:qFormat/>
    <w:uiPriority w:val="0"/>
  </w:style>
  <w:style w:type="character" w:styleId="32">
    <w:name w:val="FollowedHyperlink"/>
    <w:basedOn w:val="30"/>
    <w:autoRedefine/>
    <w:qFormat/>
    <w:uiPriority w:val="0"/>
    <w:rPr>
      <w:color w:val="800080"/>
      <w:u w:val="none"/>
    </w:rPr>
  </w:style>
  <w:style w:type="character" w:styleId="33">
    <w:name w:val="Emphasis"/>
    <w:basedOn w:val="30"/>
    <w:autoRedefine/>
    <w:qFormat/>
    <w:uiPriority w:val="0"/>
  </w:style>
  <w:style w:type="character" w:styleId="34">
    <w:name w:val="HTML Definition"/>
    <w:basedOn w:val="30"/>
    <w:autoRedefine/>
    <w:qFormat/>
    <w:uiPriority w:val="0"/>
  </w:style>
  <w:style w:type="character" w:styleId="35">
    <w:name w:val="HTML Typewriter"/>
    <w:basedOn w:val="30"/>
    <w:autoRedefine/>
    <w:qFormat/>
    <w:uiPriority w:val="0"/>
    <w:rPr>
      <w:rFonts w:ascii="monospace" w:hAnsi="monospace" w:eastAsia="monospace" w:cs="monospace"/>
      <w:sz w:val="20"/>
    </w:rPr>
  </w:style>
  <w:style w:type="character" w:styleId="36">
    <w:name w:val="HTML Acronym"/>
    <w:basedOn w:val="30"/>
    <w:autoRedefine/>
    <w:qFormat/>
    <w:uiPriority w:val="0"/>
  </w:style>
  <w:style w:type="character" w:styleId="37">
    <w:name w:val="HTML Variable"/>
    <w:basedOn w:val="30"/>
    <w:autoRedefine/>
    <w:qFormat/>
    <w:uiPriority w:val="0"/>
  </w:style>
  <w:style w:type="character" w:styleId="38">
    <w:name w:val="Hyperlink"/>
    <w:basedOn w:val="30"/>
    <w:autoRedefine/>
    <w:qFormat/>
    <w:uiPriority w:val="0"/>
    <w:rPr>
      <w:color w:val="0000FF"/>
      <w:u w:val="none"/>
    </w:rPr>
  </w:style>
  <w:style w:type="character" w:styleId="39">
    <w:name w:val="HTML Code"/>
    <w:basedOn w:val="30"/>
    <w:autoRedefine/>
    <w:qFormat/>
    <w:uiPriority w:val="0"/>
    <w:rPr>
      <w:rFonts w:hint="default" w:ascii="monospace" w:hAnsi="monospace" w:eastAsia="monospace" w:cs="monospace"/>
      <w:sz w:val="20"/>
    </w:rPr>
  </w:style>
  <w:style w:type="character" w:styleId="40">
    <w:name w:val="annotation reference"/>
    <w:basedOn w:val="30"/>
    <w:qFormat/>
    <w:uiPriority w:val="0"/>
    <w:rPr>
      <w:sz w:val="21"/>
      <w:szCs w:val="21"/>
    </w:rPr>
  </w:style>
  <w:style w:type="character" w:styleId="41">
    <w:name w:val="HTML Cite"/>
    <w:basedOn w:val="30"/>
    <w:autoRedefine/>
    <w:qFormat/>
    <w:uiPriority w:val="0"/>
  </w:style>
  <w:style w:type="character" w:styleId="42">
    <w:name w:val="HTML Keyboard"/>
    <w:basedOn w:val="30"/>
    <w:autoRedefine/>
    <w:qFormat/>
    <w:uiPriority w:val="0"/>
    <w:rPr>
      <w:rFonts w:hint="default" w:ascii="monospace" w:hAnsi="monospace" w:eastAsia="monospace" w:cs="monospace"/>
      <w:sz w:val="20"/>
    </w:rPr>
  </w:style>
  <w:style w:type="character" w:styleId="43">
    <w:name w:val="HTML Sample"/>
    <w:basedOn w:val="30"/>
    <w:autoRedefine/>
    <w:qFormat/>
    <w:uiPriority w:val="0"/>
    <w:rPr>
      <w:rFonts w:hint="default" w:ascii="monospace" w:hAnsi="monospace" w:eastAsia="monospace" w:cs="monospace"/>
    </w:rPr>
  </w:style>
  <w:style w:type="paragraph" w:customStyle="1" w:styleId="44">
    <w:name w:val="表格文字"/>
    <w:basedOn w:val="1"/>
    <w:qFormat/>
    <w:uiPriority w:val="0"/>
    <w:pPr>
      <w:spacing w:before="25" w:after="25"/>
    </w:pPr>
    <w:rPr>
      <w:bCs/>
      <w:spacing w:val="10"/>
      <w:szCs w:val="20"/>
    </w:rPr>
  </w:style>
  <w:style w:type="paragraph" w:customStyle="1" w:styleId="45">
    <w:name w:val="首行缩进"/>
    <w:basedOn w:val="1"/>
    <w:autoRedefine/>
    <w:qFormat/>
    <w:uiPriority w:val="0"/>
    <w:pPr>
      <w:spacing w:line="360" w:lineRule="auto"/>
      <w:ind w:firstLine="480" w:firstLineChars="200"/>
    </w:pPr>
    <w:rPr>
      <w:rFonts w:ascii="宋体" w:hAnsi="宋体"/>
      <w:kern w:val="0"/>
      <w:sz w:val="24"/>
    </w:rPr>
  </w:style>
  <w:style w:type="paragraph" w:customStyle="1" w:styleId="46">
    <w:name w:val="Default"/>
    <w:basedOn w:val="25"/>
    <w:autoRedefine/>
    <w:qFormat/>
    <w:uiPriority w:val="99"/>
    <w:pPr>
      <w:autoSpaceDE w:val="0"/>
      <w:autoSpaceDN w:val="0"/>
      <w:adjustRightInd w:val="0"/>
    </w:pPr>
    <w:rPr>
      <w:rFonts w:ascii="Times New Roman" w:hAnsi="Times New Roman"/>
      <w:color w:val="000000"/>
      <w:sz w:val="24"/>
      <w:szCs w:val="24"/>
    </w:rPr>
  </w:style>
  <w:style w:type="paragraph" w:customStyle="1" w:styleId="47">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48">
    <w:name w:val="列出段落1"/>
    <w:basedOn w:val="1"/>
    <w:autoRedefine/>
    <w:qFormat/>
    <w:uiPriority w:val="99"/>
    <w:pPr>
      <w:ind w:firstLine="420" w:firstLineChars="200"/>
    </w:pPr>
  </w:style>
  <w:style w:type="character" w:customStyle="1" w:styleId="49">
    <w:name w:val="标题 3 Char"/>
    <w:link w:val="4"/>
    <w:autoRedefine/>
    <w:qFormat/>
    <w:uiPriority w:val="0"/>
    <w:rPr>
      <w:rFonts w:ascii="Calibri" w:hAnsi="Calibri" w:eastAsia="宋体"/>
      <w:b/>
      <w:sz w:val="32"/>
    </w:rPr>
  </w:style>
  <w:style w:type="paragraph" w:customStyle="1" w:styleId="50">
    <w:name w:val="Char1 Char Char Char Char Char Char"/>
    <w:basedOn w:val="1"/>
    <w:autoRedefine/>
    <w:qFormat/>
    <w:uiPriority w:val="0"/>
    <w:rPr>
      <w:rFonts w:ascii="Tahoma" w:hAnsi="Tahoma"/>
      <w:sz w:val="24"/>
      <w:szCs w:val="20"/>
    </w:rPr>
  </w:style>
  <w:style w:type="paragraph" w:customStyle="1" w:styleId="51">
    <w:name w:val="Char"/>
    <w:basedOn w:val="1"/>
    <w:autoRedefine/>
    <w:qFormat/>
    <w:uiPriority w:val="0"/>
  </w:style>
  <w:style w:type="character" w:customStyle="1" w:styleId="52">
    <w:name w:val="font21"/>
    <w:basedOn w:val="30"/>
    <w:autoRedefine/>
    <w:qFormat/>
    <w:uiPriority w:val="0"/>
    <w:rPr>
      <w:rFonts w:hint="eastAsia" w:ascii="宋体" w:hAnsi="宋体" w:eastAsia="宋体" w:cs="宋体"/>
      <w:color w:val="000000"/>
      <w:sz w:val="21"/>
      <w:szCs w:val="21"/>
      <w:u w:val="none"/>
    </w:rPr>
  </w:style>
  <w:style w:type="character" w:customStyle="1" w:styleId="53">
    <w:name w:val="font01"/>
    <w:basedOn w:val="30"/>
    <w:autoRedefine/>
    <w:qFormat/>
    <w:uiPriority w:val="0"/>
    <w:rPr>
      <w:rFonts w:hint="default" w:ascii="Calibri" w:hAnsi="Calibri" w:cs="Calibri"/>
      <w:color w:val="000000"/>
      <w:sz w:val="21"/>
      <w:szCs w:val="21"/>
      <w:u w:val="none"/>
    </w:rPr>
  </w:style>
  <w:style w:type="paragraph" w:customStyle="1" w:styleId="54">
    <w:name w:val="_Style 1"/>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5">
    <w:name w:val="NormalCharacter"/>
    <w:autoRedefine/>
    <w:semiHidden/>
    <w:qFormat/>
    <w:uiPriority w:val="0"/>
  </w:style>
  <w:style w:type="paragraph" w:customStyle="1" w:styleId="56">
    <w:name w:val="Table Paragraph"/>
    <w:basedOn w:val="1"/>
    <w:autoRedefine/>
    <w:qFormat/>
    <w:uiPriority w:val="1"/>
    <w:pPr>
      <w:autoSpaceDE w:val="0"/>
      <w:autoSpaceDN w:val="0"/>
      <w:jc w:val="left"/>
    </w:pPr>
    <w:rPr>
      <w:rFonts w:ascii="宋体" w:hAnsi="宋体" w:cs="宋体"/>
      <w:kern w:val="0"/>
      <w:sz w:val="22"/>
      <w:szCs w:val="22"/>
      <w:lang w:eastAsia="en-US"/>
    </w:rPr>
  </w:style>
  <w:style w:type="paragraph" w:customStyle="1" w:styleId="57">
    <w:name w:val="null3"/>
    <w:autoRedefine/>
    <w:qFormat/>
    <w:uiPriority w:val="0"/>
    <w:rPr>
      <w:rFonts w:hint="eastAsia" w:ascii="Calibri" w:hAnsi="Calibri" w:eastAsia="宋体" w:cs="Times New Roman"/>
      <w:sz w:val="21"/>
      <w:szCs w:val="22"/>
      <w:lang w:val="en-US" w:eastAsia="zh-CN" w:bidi="ar-SA"/>
    </w:rPr>
  </w:style>
  <w:style w:type="paragraph" w:customStyle="1" w:styleId="58">
    <w:name w:val="正文（绿盟科技）"/>
    <w:autoRedefine/>
    <w:qFormat/>
    <w:uiPriority w:val="0"/>
    <w:pPr>
      <w:spacing w:line="300" w:lineRule="auto"/>
    </w:pPr>
    <w:rPr>
      <w:rFonts w:ascii="Arial" w:hAnsi="Arial" w:eastAsia="宋体" w:cs="黑体"/>
      <w:sz w:val="21"/>
      <w:szCs w:val="21"/>
      <w:lang w:val="en-US" w:eastAsia="zh-CN" w:bidi="ar-SA"/>
    </w:rPr>
  </w:style>
  <w:style w:type="table" w:customStyle="1" w:styleId="59">
    <w:name w:val="Table Normal"/>
    <w:autoRedefine/>
    <w:semiHidden/>
    <w:unhideWhenUsed/>
    <w:qFormat/>
    <w:uiPriority w:val="0"/>
    <w:tblPr>
      <w:tblCellMar>
        <w:top w:w="0" w:type="dxa"/>
        <w:left w:w="0" w:type="dxa"/>
        <w:bottom w:w="0" w:type="dxa"/>
        <w:right w:w="0" w:type="dxa"/>
      </w:tblCellMar>
    </w:tblPr>
  </w:style>
  <w:style w:type="paragraph" w:customStyle="1" w:styleId="60">
    <w:name w:val="1"/>
    <w:basedOn w:val="1"/>
    <w:next w:val="17"/>
    <w:autoRedefine/>
    <w:qFormat/>
    <w:uiPriority w:val="0"/>
    <w:rPr>
      <w:rFonts w:ascii="宋体" w:hAnsi="Courier New"/>
      <w:szCs w:val="20"/>
    </w:rPr>
  </w:style>
  <w:style w:type="paragraph" w:customStyle="1" w:styleId="61">
    <w:name w:val="列表段落1"/>
    <w:basedOn w:val="1"/>
    <w:qFormat/>
    <w:uiPriority w:val="0"/>
    <w:pPr>
      <w:widowControl/>
      <w:ind w:left="720" w:firstLine="360"/>
      <w:jc w:val="left"/>
    </w:pPr>
    <w:rPr>
      <w:rFonts w:ascii="Calibri" w:hAnsi="Calibri"/>
      <w:kern w:val="0"/>
      <w:sz w:val="22"/>
      <w:szCs w:val="20"/>
      <w:lang w:eastAsia="en-US"/>
    </w:rPr>
  </w:style>
  <w:style w:type="paragraph" w:customStyle="1" w:styleId="62">
    <w:name w:val="列出段落11"/>
    <w:basedOn w:val="1"/>
    <w:qFormat/>
    <w:uiPriority w:val="34"/>
    <w:pPr>
      <w:ind w:firstLine="420" w:firstLineChars="200"/>
    </w:pPr>
    <w:rPr>
      <w:rFonts w:ascii="Calibri" w:hAnsi="Calibri"/>
      <w:szCs w:val="22"/>
    </w:rPr>
  </w:style>
  <w:style w:type="paragraph" w:customStyle="1" w:styleId="6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4">
    <w:name w:val="批注文字 Char"/>
    <w:basedOn w:val="30"/>
    <w:link w:val="10"/>
    <w:qFormat/>
    <w:uiPriority w:val="0"/>
    <w:rPr>
      <w:kern w:val="2"/>
      <w:sz w:val="21"/>
      <w:szCs w:val="24"/>
    </w:rPr>
  </w:style>
  <w:style w:type="character" w:customStyle="1" w:styleId="65">
    <w:name w:val="批注主题 Char"/>
    <w:basedOn w:val="64"/>
    <w:link w:val="26"/>
    <w:qFormat/>
    <w:uiPriority w:val="0"/>
    <w:rPr>
      <w:b/>
      <w:bCs/>
      <w:kern w:val="2"/>
      <w:sz w:val="21"/>
      <w:szCs w:val="24"/>
    </w:rPr>
  </w:style>
  <w:style w:type="character" w:customStyle="1" w:styleId="66">
    <w:name w:val="批注框文本 Char"/>
    <w:basedOn w:val="30"/>
    <w:link w:val="18"/>
    <w:qFormat/>
    <w:uiPriority w:val="0"/>
    <w:rPr>
      <w:kern w:val="2"/>
      <w:sz w:val="18"/>
      <w:szCs w:val="18"/>
    </w:rPr>
  </w:style>
  <w:style w:type="character" w:customStyle="1" w:styleId="67">
    <w:name w:val="纯文本 Char"/>
    <w:basedOn w:val="30"/>
    <w:link w:val="17"/>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58</Pages>
  <Words>17474</Words>
  <Characters>19146</Characters>
  <Lines>281</Lines>
  <Paragraphs>79</Paragraphs>
  <TotalTime>2</TotalTime>
  <ScaleCrop>false</ScaleCrop>
  <LinksUpToDate>false</LinksUpToDate>
  <CharactersWithSpaces>19381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2025-09-03T01:20:00Z</dcterms:created>
  <dc:creator>Administrator</dc:creator>
  <cp:lastModifiedBy>欧邦-刘芳芳</cp:lastModifiedBy>
  <dcterms:modified xsi:type="dcterms:W3CDTF">2025-09-12T07:52:07Z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E8BAD325710349F094C9E80702C4DE1B_13</vt:lpwstr>
  </property>
  <property fmtid="{D5CDD505-2E9C-101B-9397-08002B2CF9AE}" pid="4" name="KSOTemplateDocerSaveRecord">
    <vt:lpwstr>eyJoZGlkIjoiZWJlOWI5ZmY5NmE5MTE1YTI3OTAwNzUzZWU0Y2Y1YWIiLCJ1c2VySWQiOiI0MTUxNzg0NTUifQ==</vt:lpwstr>
  </property>
</Properties>
</file>