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9DB9B">
      <w:pPr>
        <w:pBdr>
          <w:bottom w:val="thickThinSmallGap" w:color="auto" w:sz="24" w:space="1"/>
        </w:pBdr>
        <w:snapToGrid w:val="0"/>
        <w:spacing w:before="156" w:beforeLines="50"/>
        <w:jc w:val="center"/>
        <w:rPr>
          <w:rFonts w:hint="eastAsia" w:ascii="宋体" w:hAnsi="宋体" w:eastAsia="宋体"/>
          <w:b/>
          <w:color w:val="auto"/>
          <w:sz w:val="44"/>
          <w:szCs w:val="44"/>
          <w:highlight w:val="none"/>
          <w:lang w:val="en-US" w:eastAsia="zh-CN"/>
        </w:rPr>
      </w:pPr>
      <w:r>
        <w:rPr>
          <w:rFonts w:hint="eastAsia" w:ascii="宋体" w:hAnsi="宋体" w:eastAsia="宋体"/>
          <w:b/>
          <w:color w:val="auto"/>
          <w:sz w:val="44"/>
          <w:szCs w:val="44"/>
          <w:highlight w:val="none"/>
          <w:lang w:eastAsia="zh-CN"/>
        </w:rPr>
        <w:t>学院21支“金课”课程开发团队能力训练及课程伴生建设服务项目</w:t>
      </w:r>
    </w:p>
    <w:p w14:paraId="5E06A403">
      <w:pPr>
        <w:spacing w:before="312" w:beforeLines="100" w:after="156" w:afterLines="50" w:line="360" w:lineRule="auto"/>
        <w:jc w:val="center"/>
        <w:rPr>
          <w:rFonts w:hint="eastAsia" w:ascii="宋体" w:hAnsi="宋体" w:cs="宋体"/>
          <w:b/>
          <w:color w:val="auto"/>
          <w:sz w:val="44"/>
          <w:szCs w:val="44"/>
          <w:highlight w:val="none"/>
        </w:rPr>
      </w:pPr>
    </w:p>
    <w:p w14:paraId="46E19B05">
      <w:pPr>
        <w:pStyle w:val="13"/>
        <w:rPr>
          <w:rFonts w:hint="eastAsia"/>
          <w:color w:val="auto"/>
          <w:highlight w:val="none"/>
        </w:rPr>
      </w:pPr>
    </w:p>
    <w:p w14:paraId="3E10C00C">
      <w:pPr>
        <w:spacing w:line="360" w:lineRule="auto"/>
        <w:rPr>
          <w:rFonts w:hint="eastAsia" w:ascii="宋体" w:hAnsi="宋体" w:cs="宋体"/>
          <w:b/>
          <w:color w:val="auto"/>
          <w:sz w:val="32"/>
          <w:szCs w:val="32"/>
          <w:highlight w:val="none"/>
        </w:rPr>
      </w:pPr>
    </w:p>
    <w:p w14:paraId="4C2D3C97">
      <w:pPr>
        <w:spacing w:line="360" w:lineRule="auto"/>
        <w:jc w:val="center"/>
        <w:rPr>
          <w:rFonts w:hint="eastAsia" w:ascii="宋体" w:hAnsi="宋体" w:cs="宋体"/>
          <w:b/>
          <w:color w:val="auto"/>
          <w:sz w:val="32"/>
          <w:szCs w:val="32"/>
          <w:highlight w:val="none"/>
        </w:rPr>
      </w:pPr>
      <w:r>
        <w:rPr>
          <w:rFonts w:hint="eastAsia" w:ascii="宋体" w:hAnsi="宋体" w:cs="宋体"/>
          <w:color w:val="auto"/>
          <w:sz w:val="30"/>
          <w:szCs w:val="72"/>
          <w:highlight w:val="none"/>
        </w:rPr>
        <w:drawing>
          <wp:inline distT="0" distB="0" distL="114300" distR="114300">
            <wp:extent cx="2253615" cy="2253615"/>
            <wp:effectExtent l="0" t="0" r="0" b="0"/>
            <wp:docPr id="1" name="图片 1" descr="ceb6a3e180d97727ba36d00d8913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eb6a3e180d97727ba36d00d8913d5a"/>
                    <pic:cNvPicPr>
                      <a:picLocks noChangeAspect="1"/>
                    </pic:cNvPicPr>
                  </pic:nvPicPr>
                  <pic:blipFill>
                    <a:blip r:embed="rId12"/>
                    <a:stretch>
                      <a:fillRect/>
                    </a:stretch>
                  </pic:blipFill>
                  <pic:spPr>
                    <a:xfrm>
                      <a:off x="0" y="0"/>
                      <a:ext cx="2253615" cy="2253615"/>
                    </a:xfrm>
                    <a:prstGeom prst="rect">
                      <a:avLst/>
                    </a:prstGeom>
                    <a:noFill/>
                    <a:ln>
                      <a:noFill/>
                    </a:ln>
                  </pic:spPr>
                </pic:pic>
              </a:graphicData>
            </a:graphic>
          </wp:inline>
        </w:drawing>
      </w:r>
    </w:p>
    <w:p w14:paraId="1DFDB9C1">
      <w:pPr>
        <w:spacing w:line="360" w:lineRule="auto"/>
        <w:jc w:val="center"/>
        <w:rPr>
          <w:rFonts w:hint="eastAsia" w:ascii="宋体" w:hAnsi="宋体" w:cs="宋体"/>
          <w:b/>
          <w:color w:val="auto"/>
          <w:sz w:val="32"/>
          <w:szCs w:val="32"/>
          <w:highlight w:val="none"/>
        </w:rPr>
      </w:pPr>
    </w:p>
    <w:p w14:paraId="097B8974">
      <w:pPr>
        <w:pStyle w:val="13"/>
        <w:rPr>
          <w:rFonts w:hint="eastAsia"/>
          <w:color w:val="auto"/>
          <w:highlight w:val="none"/>
        </w:rPr>
      </w:pPr>
    </w:p>
    <w:p w14:paraId="1CF42AD4">
      <w:pPr>
        <w:snapToGrid w:val="0"/>
        <w:spacing w:before="156" w:beforeLines="50" w:line="360" w:lineRule="auto"/>
        <w:jc w:val="center"/>
        <w:outlineLvl w:val="0"/>
        <w:rPr>
          <w:rFonts w:hint="eastAsia" w:ascii="宋体" w:hAnsi="宋体" w:cs="宋体"/>
          <w:b/>
          <w:bCs/>
          <w:color w:val="auto"/>
          <w:sz w:val="44"/>
          <w:szCs w:val="44"/>
          <w:highlight w:val="none"/>
        </w:rPr>
      </w:pPr>
      <w:bookmarkStart w:id="0" w:name="_Toc5378"/>
      <w:bookmarkStart w:id="1" w:name="_Toc23980"/>
      <w:bookmarkStart w:id="2" w:name="_Toc5409"/>
      <w:r>
        <w:rPr>
          <w:rFonts w:hint="eastAsia" w:ascii="宋体" w:hAnsi="宋体" w:cs="宋体"/>
          <w:b/>
          <w:bCs/>
          <w:color w:val="auto"/>
          <w:sz w:val="72"/>
          <w:szCs w:val="72"/>
          <w:highlight w:val="none"/>
          <w:lang w:val="en-US" w:eastAsia="zh-CN"/>
        </w:rPr>
        <w:t>公开招标采购</w:t>
      </w:r>
      <w:r>
        <w:rPr>
          <w:rFonts w:hint="eastAsia" w:ascii="宋体" w:hAnsi="宋体" w:cs="宋体"/>
          <w:b/>
          <w:bCs/>
          <w:color w:val="auto"/>
          <w:sz w:val="72"/>
          <w:szCs w:val="72"/>
          <w:highlight w:val="none"/>
        </w:rPr>
        <w:t>文件</w:t>
      </w:r>
      <w:bookmarkEnd w:id="0"/>
      <w:bookmarkEnd w:id="1"/>
      <w:bookmarkEnd w:id="2"/>
    </w:p>
    <w:p w14:paraId="5910AB58">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项目编号：GXZC2025-</w:t>
      </w:r>
      <w:r>
        <w:rPr>
          <w:rFonts w:hint="eastAsia" w:ascii="宋体" w:hAnsi="宋体" w:cs="宋体"/>
          <w:b/>
          <w:color w:val="auto"/>
          <w:sz w:val="32"/>
          <w:szCs w:val="32"/>
          <w:highlight w:val="none"/>
          <w:lang w:val="en-US" w:eastAsia="zh-CN"/>
        </w:rPr>
        <w:t>G</w:t>
      </w:r>
      <w:r>
        <w:rPr>
          <w:rFonts w:hint="eastAsia" w:ascii="宋体" w:hAnsi="宋体" w:cs="宋体"/>
          <w:b/>
          <w:color w:val="auto"/>
          <w:sz w:val="32"/>
          <w:szCs w:val="32"/>
          <w:highlight w:val="none"/>
        </w:rPr>
        <w:t>3-002312-GXZJ</w:t>
      </w:r>
    </w:p>
    <w:p w14:paraId="4AFA56A5">
      <w:pPr>
        <w:pStyle w:val="13"/>
        <w:rPr>
          <w:rFonts w:hint="eastAsia"/>
          <w:color w:val="auto"/>
          <w:highlight w:val="none"/>
        </w:rPr>
      </w:pPr>
    </w:p>
    <w:p w14:paraId="37B7D385">
      <w:pPr>
        <w:pBdr>
          <w:bottom w:val="thickThinSmallGap" w:color="auto" w:sz="24" w:space="1"/>
        </w:pBdr>
        <w:snapToGrid w:val="0"/>
        <w:spacing w:before="156" w:beforeLines="50" w:line="600" w:lineRule="exact"/>
        <w:rPr>
          <w:rFonts w:hint="eastAsia" w:ascii="宋体" w:hAnsi="宋体"/>
          <w:b/>
          <w:color w:val="auto"/>
          <w:sz w:val="36"/>
          <w:szCs w:val="36"/>
          <w:highlight w:val="none"/>
        </w:rPr>
      </w:pPr>
    </w:p>
    <w:p w14:paraId="28315B56">
      <w:pPr>
        <w:spacing w:line="360" w:lineRule="auto"/>
        <w:ind w:firstLine="964" w:firstLineChars="300"/>
        <w:rPr>
          <w:rFonts w:hint="eastAsia" w:ascii="宋体" w:hAnsi="宋体" w:cs="宋体"/>
          <w:b/>
          <w:color w:val="auto"/>
          <w:sz w:val="32"/>
          <w:szCs w:val="32"/>
          <w:highlight w:val="none"/>
        </w:rPr>
      </w:pPr>
    </w:p>
    <w:p w14:paraId="56BEA0FB">
      <w:pPr>
        <w:spacing w:line="360" w:lineRule="auto"/>
        <w:ind w:firstLine="964" w:firstLineChars="300"/>
        <w:outlineLvl w:val="0"/>
        <w:rPr>
          <w:rFonts w:hint="eastAsia" w:ascii="宋体" w:hAnsi="宋体" w:eastAsia="宋体" w:cs="宋体"/>
          <w:b/>
          <w:color w:val="auto"/>
          <w:sz w:val="32"/>
          <w:szCs w:val="32"/>
          <w:highlight w:val="none"/>
          <w:lang w:eastAsia="zh-CN"/>
        </w:rPr>
      </w:pPr>
      <w:bookmarkStart w:id="3" w:name="_Toc3407"/>
      <w:bookmarkStart w:id="4" w:name="_Toc12381"/>
      <w:bookmarkStart w:id="5" w:name="_Toc29801"/>
      <w:r>
        <w:rPr>
          <w:rFonts w:hint="eastAsia" w:ascii="宋体" w:hAnsi="宋体" w:cs="宋体"/>
          <w:b/>
          <w:color w:val="auto"/>
          <w:sz w:val="32"/>
          <w:szCs w:val="32"/>
          <w:highlight w:val="none"/>
        </w:rPr>
        <w:t>采 购 人：</w:t>
      </w:r>
      <w:bookmarkEnd w:id="3"/>
      <w:bookmarkEnd w:id="4"/>
      <w:bookmarkEnd w:id="5"/>
      <w:r>
        <w:rPr>
          <w:rFonts w:hint="eastAsia" w:ascii="宋体" w:hAnsi="宋体" w:cs="宋体"/>
          <w:b/>
          <w:color w:val="auto"/>
          <w:sz w:val="32"/>
          <w:szCs w:val="32"/>
          <w:highlight w:val="none"/>
          <w:lang w:eastAsia="zh-CN"/>
        </w:rPr>
        <w:t>广西机电职业技术学院</w:t>
      </w:r>
    </w:p>
    <w:p w14:paraId="4797CB6D">
      <w:pPr>
        <w:spacing w:line="360" w:lineRule="auto"/>
        <w:ind w:firstLine="964" w:firstLineChars="3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采购代理机构：广西中吉银工程项目管理有限公司</w:t>
      </w:r>
    </w:p>
    <w:p w14:paraId="4681F391">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2025年</w:t>
      </w:r>
      <w:r>
        <w:rPr>
          <w:rFonts w:hint="eastAsia" w:ascii="宋体" w:hAnsi="宋体" w:cs="宋体"/>
          <w:b/>
          <w:color w:val="auto"/>
          <w:sz w:val="32"/>
          <w:szCs w:val="32"/>
          <w:highlight w:val="none"/>
          <w:lang w:val="en-US" w:eastAsia="zh-CN"/>
        </w:rPr>
        <w:t>8</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25</w:t>
      </w:r>
      <w:r>
        <w:rPr>
          <w:rFonts w:hint="eastAsia" w:ascii="宋体" w:hAnsi="宋体" w:cs="宋体"/>
          <w:b/>
          <w:color w:val="auto"/>
          <w:sz w:val="32"/>
          <w:szCs w:val="32"/>
          <w:highlight w:val="none"/>
        </w:rPr>
        <w:t>日</w:t>
      </w:r>
    </w:p>
    <w:p w14:paraId="5A665BC3">
      <w:pPr>
        <w:pStyle w:val="25"/>
        <w:spacing w:before="120" w:after="120" w:line="360" w:lineRule="auto"/>
        <w:jc w:val="both"/>
        <w:rPr>
          <w:rFonts w:hint="eastAsia" w:hAnsi="宋体" w:cs="宋体"/>
          <w:color w:val="auto"/>
          <w:highlight w:val="none"/>
        </w:rPr>
      </w:pPr>
    </w:p>
    <w:p w14:paraId="496117AF">
      <w:pPr>
        <w:pStyle w:val="19"/>
        <w:kinsoku w:val="0"/>
        <w:overflowPunct w:val="0"/>
        <w:rPr>
          <w:rFonts w:hint="eastAsia" w:ascii="宋体" w:hAnsi="宋体" w:cs="宋体"/>
          <w:color w:val="auto"/>
          <w:sz w:val="40"/>
          <w:highlight w:val="none"/>
        </w:rPr>
        <w:sectPr>
          <w:footerReference r:id="rId5" w:type="first"/>
          <w:headerReference r:id="rId3" w:type="default"/>
          <w:footerReference r:id="rId4" w:type="even"/>
          <w:pgSz w:w="11906" w:h="16838"/>
          <w:pgMar w:top="1134" w:right="1304" w:bottom="1134" w:left="1304" w:header="851" w:footer="992" w:gutter="0"/>
          <w:cols w:space="720" w:num="1"/>
          <w:titlePg/>
          <w:rtlGutter w:val="0"/>
          <w:docGrid w:linePitch="312" w:charSpace="0"/>
        </w:sectPr>
      </w:pPr>
    </w:p>
    <w:p w14:paraId="4DAE2E8D">
      <w:pPr>
        <w:pStyle w:val="25"/>
        <w:spacing w:before="120" w:after="120" w:line="360" w:lineRule="auto"/>
        <w:jc w:val="center"/>
        <w:rPr>
          <w:rFonts w:hint="eastAsia" w:hAnsi="宋体" w:cs="宋体"/>
          <w:b/>
          <w:bCs/>
          <w:color w:val="auto"/>
          <w:highlight w:val="none"/>
        </w:rPr>
      </w:pPr>
    </w:p>
    <w:p w14:paraId="25E3FC2D">
      <w:pPr>
        <w:pStyle w:val="25"/>
        <w:spacing w:before="120" w:after="120" w:line="360" w:lineRule="auto"/>
        <w:jc w:val="center"/>
        <w:rPr>
          <w:rFonts w:hint="eastAsia" w:hAnsi="宋体" w:cs="宋体"/>
          <w:b/>
          <w:bCs/>
          <w:color w:val="auto"/>
          <w:sz w:val="40"/>
          <w:szCs w:val="40"/>
          <w:highlight w:val="none"/>
        </w:rPr>
      </w:pPr>
      <w:r>
        <w:rPr>
          <w:rFonts w:hint="eastAsia" w:hAnsi="宋体" w:cs="宋体"/>
          <w:b/>
          <w:bCs/>
          <w:color w:val="auto"/>
          <w:sz w:val="40"/>
          <w:szCs w:val="40"/>
          <w:highlight w:val="none"/>
        </w:rPr>
        <w:t>目    录</w:t>
      </w:r>
    </w:p>
    <w:p w14:paraId="1A770FF0">
      <w:pPr>
        <w:pStyle w:val="39"/>
        <w:tabs>
          <w:tab w:val="right" w:leader="dot" w:pos="9402"/>
        </w:tabs>
        <w:spacing w:line="360" w:lineRule="auto"/>
        <w:ind w:left="0" w:leftChars="0" w:firstLine="0" w:firstLineChars="0"/>
        <w:rPr>
          <w:rFonts w:hint="eastAsia" w:ascii="宋体" w:hAnsi="宋体" w:cs="宋体"/>
          <w:bCs/>
          <w:color w:val="auto"/>
          <w:sz w:val="32"/>
          <w:szCs w:val="32"/>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"1-2" \h \z \u </w:instrText>
      </w:r>
      <w:r>
        <w:rPr>
          <w:rFonts w:hint="eastAsia" w:ascii="宋体" w:hAnsi="宋体" w:cs="宋体"/>
          <w:b/>
          <w:color w:val="auto"/>
          <w:sz w:val="24"/>
          <w:highlight w:val="none"/>
        </w:rPr>
        <w:fldChar w:fldCharType="separate"/>
      </w:r>
      <w:r>
        <w:rPr>
          <w:rFonts w:hint="eastAsia" w:ascii="宋体" w:hAnsi="宋体" w:cs="宋体"/>
          <w:bCs/>
          <w:color w:val="auto"/>
          <w:sz w:val="32"/>
          <w:szCs w:val="32"/>
          <w:highlight w:val="none"/>
        </w:rPr>
        <w:fldChar w:fldCharType="begin"/>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instrText xml:space="preserve">HYPERLINK \l "_Toc19686829"</w:instrText>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fldChar w:fldCharType="separate"/>
      </w:r>
      <w:r>
        <w:rPr>
          <w:rStyle w:val="54"/>
          <w:rFonts w:hint="eastAsia" w:ascii="宋体" w:hAnsi="宋体" w:cs="宋体"/>
          <w:bCs/>
          <w:color w:val="auto"/>
          <w:sz w:val="32"/>
          <w:szCs w:val="32"/>
          <w:highlight w:val="none"/>
        </w:rPr>
        <w:t>第一章  招标公告</w:t>
      </w:r>
      <w:r>
        <w:rPr>
          <w:rFonts w:hint="eastAsia" w:ascii="宋体" w:hAnsi="宋体" w:cs="宋体"/>
          <w:bCs/>
          <w:color w:val="auto"/>
          <w:sz w:val="32"/>
          <w:szCs w:val="32"/>
          <w:highlight w:val="none"/>
        </w:rPr>
        <w:tab/>
      </w:r>
      <w:r>
        <w:rPr>
          <w:rFonts w:hint="eastAsia" w:ascii="宋体" w:hAnsi="宋体" w:cs="宋体"/>
          <w:bCs/>
          <w:color w:val="auto"/>
          <w:sz w:val="32"/>
          <w:szCs w:val="32"/>
          <w:highlight w:val="none"/>
        </w:rPr>
        <w:fldChar w:fldCharType="begin"/>
      </w:r>
      <w:r>
        <w:rPr>
          <w:rFonts w:hint="eastAsia" w:ascii="宋体" w:hAnsi="宋体" w:cs="宋体"/>
          <w:bCs/>
          <w:color w:val="auto"/>
          <w:sz w:val="32"/>
          <w:szCs w:val="32"/>
          <w:highlight w:val="none"/>
        </w:rPr>
        <w:instrText xml:space="preserve"> PAGEREF _Toc19686829 \h </w:instrText>
      </w:r>
      <w:r>
        <w:rPr>
          <w:rFonts w:hint="eastAsia" w:ascii="宋体" w:hAnsi="宋体" w:cs="宋体"/>
          <w:bCs/>
          <w:color w:val="auto"/>
          <w:sz w:val="32"/>
          <w:szCs w:val="32"/>
          <w:highlight w:val="none"/>
        </w:rPr>
        <w:fldChar w:fldCharType="separate"/>
      </w:r>
      <w:r>
        <w:rPr>
          <w:rFonts w:hint="eastAsia" w:ascii="宋体" w:hAnsi="宋体" w:cs="宋体"/>
          <w:bCs/>
          <w:color w:val="auto"/>
          <w:sz w:val="32"/>
          <w:szCs w:val="32"/>
          <w:highlight w:val="none"/>
        </w:rPr>
        <w:t>2</w:t>
      </w:r>
      <w:r>
        <w:rPr>
          <w:rFonts w:hint="eastAsia" w:ascii="宋体" w:hAnsi="宋体" w:cs="宋体"/>
          <w:bCs/>
          <w:color w:val="auto"/>
          <w:sz w:val="32"/>
          <w:szCs w:val="32"/>
          <w:highlight w:val="none"/>
        </w:rPr>
        <w:fldChar w:fldCharType="end"/>
      </w:r>
      <w:r>
        <w:rPr>
          <w:rFonts w:hint="eastAsia" w:ascii="宋体" w:hAnsi="宋体" w:cs="宋体"/>
          <w:bCs/>
          <w:color w:val="auto"/>
          <w:sz w:val="32"/>
          <w:szCs w:val="32"/>
          <w:highlight w:val="none"/>
        </w:rPr>
        <w:fldChar w:fldCharType="end"/>
      </w:r>
    </w:p>
    <w:p w14:paraId="3EA79FE9">
      <w:pPr>
        <w:pStyle w:val="39"/>
        <w:tabs>
          <w:tab w:val="right" w:leader="dot" w:pos="9402"/>
        </w:tabs>
        <w:spacing w:line="360" w:lineRule="auto"/>
        <w:ind w:left="0" w:leftChars="0" w:firstLine="0" w:firstLineChars="0"/>
        <w:rPr>
          <w:rFonts w:hint="eastAsia" w:ascii="宋体" w:hAnsi="宋体" w:cs="宋体"/>
          <w:bCs/>
          <w:color w:val="auto"/>
          <w:sz w:val="32"/>
          <w:szCs w:val="32"/>
          <w:highlight w:val="none"/>
        </w:rPr>
      </w:pPr>
      <w:r>
        <w:rPr>
          <w:rFonts w:hint="eastAsia" w:ascii="宋体" w:hAnsi="宋体" w:cs="宋体"/>
          <w:bCs/>
          <w:color w:val="auto"/>
          <w:sz w:val="32"/>
          <w:szCs w:val="32"/>
          <w:highlight w:val="none"/>
        </w:rPr>
        <w:fldChar w:fldCharType="begin"/>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instrText xml:space="preserve">HYPERLINK \l "_Toc19686830"</w:instrText>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fldChar w:fldCharType="separate"/>
      </w:r>
      <w:r>
        <w:rPr>
          <w:rStyle w:val="54"/>
          <w:rFonts w:hint="eastAsia" w:ascii="宋体" w:hAnsi="宋体" w:cs="宋体"/>
          <w:bCs/>
          <w:color w:val="auto"/>
          <w:sz w:val="32"/>
          <w:szCs w:val="32"/>
          <w:highlight w:val="none"/>
        </w:rPr>
        <w:t>第二章  招标项目采购</w:t>
      </w:r>
      <w:bookmarkStart w:id="6" w:name="_Hlt54940052"/>
      <w:bookmarkStart w:id="7" w:name="_Hlt54940053"/>
      <w:r>
        <w:rPr>
          <w:rStyle w:val="54"/>
          <w:rFonts w:hint="eastAsia" w:ascii="宋体" w:hAnsi="宋体" w:cs="宋体"/>
          <w:bCs/>
          <w:color w:val="auto"/>
          <w:sz w:val="32"/>
          <w:szCs w:val="32"/>
          <w:highlight w:val="none"/>
        </w:rPr>
        <w:t>需</w:t>
      </w:r>
      <w:bookmarkEnd w:id="6"/>
      <w:bookmarkEnd w:id="7"/>
      <w:bookmarkStart w:id="8" w:name="_Hlt65491325"/>
      <w:r>
        <w:rPr>
          <w:rStyle w:val="54"/>
          <w:rFonts w:hint="eastAsia" w:ascii="宋体" w:hAnsi="宋体" w:cs="宋体"/>
          <w:bCs/>
          <w:color w:val="auto"/>
          <w:sz w:val="32"/>
          <w:szCs w:val="32"/>
          <w:highlight w:val="none"/>
        </w:rPr>
        <w:t>求</w:t>
      </w:r>
      <w:bookmarkEnd w:id="8"/>
      <w:r>
        <w:rPr>
          <w:rFonts w:hint="eastAsia" w:ascii="宋体" w:hAnsi="宋体" w:cs="宋体"/>
          <w:bCs/>
          <w:color w:val="auto"/>
          <w:sz w:val="32"/>
          <w:szCs w:val="32"/>
          <w:highlight w:val="none"/>
        </w:rPr>
        <w:tab/>
      </w:r>
      <w:r>
        <w:rPr>
          <w:rFonts w:hint="eastAsia" w:ascii="宋体" w:hAnsi="宋体" w:cs="宋体"/>
          <w:bCs/>
          <w:color w:val="auto"/>
          <w:sz w:val="32"/>
          <w:szCs w:val="32"/>
          <w:highlight w:val="none"/>
        </w:rPr>
        <w:fldChar w:fldCharType="begin"/>
      </w:r>
      <w:r>
        <w:rPr>
          <w:rFonts w:hint="eastAsia" w:ascii="宋体" w:hAnsi="宋体" w:cs="宋体"/>
          <w:bCs/>
          <w:color w:val="auto"/>
          <w:sz w:val="32"/>
          <w:szCs w:val="32"/>
          <w:highlight w:val="none"/>
        </w:rPr>
        <w:instrText xml:space="preserve"> PAGEREF _Toc19686830 \h </w:instrText>
      </w:r>
      <w:r>
        <w:rPr>
          <w:rFonts w:hint="eastAsia" w:ascii="宋体" w:hAnsi="宋体" w:cs="宋体"/>
          <w:bCs/>
          <w:color w:val="auto"/>
          <w:sz w:val="32"/>
          <w:szCs w:val="32"/>
          <w:highlight w:val="none"/>
        </w:rPr>
        <w:fldChar w:fldCharType="separate"/>
      </w:r>
      <w:r>
        <w:rPr>
          <w:rFonts w:hint="eastAsia" w:ascii="宋体" w:hAnsi="宋体" w:cs="宋体"/>
          <w:bCs/>
          <w:color w:val="auto"/>
          <w:sz w:val="32"/>
          <w:szCs w:val="32"/>
          <w:highlight w:val="none"/>
        </w:rPr>
        <w:t>5</w:t>
      </w:r>
      <w:r>
        <w:rPr>
          <w:rFonts w:hint="eastAsia" w:ascii="宋体" w:hAnsi="宋体" w:cs="宋体"/>
          <w:bCs/>
          <w:color w:val="auto"/>
          <w:sz w:val="32"/>
          <w:szCs w:val="32"/>
          <w:highlight w:val="none"/>
        </w:rPr>
        <w:fldChar w:fldCharType="end"/>
      </w:r>
      <w:r>
        <w:rPr>
          <w:rFonts w:hint="eastAsia" w:ascii="宋体" w:hAnsi="宋体" w:cs="宋体"/>
          <w:bCs/>
          <w:color w:val="auto"/>
          <w:sz w:val="32"/>
          <w:szCs w:val="32"/>
          <w:highlight w:val="none"/>
        </w:rPr>
        <w:fldChar w:fldCharType="end"/>
      </w:r>
    </w:p>
    <w:p w14:paraId="5DE3EED0">
      <w:pPr>
        <w:pStyle w:val="39"/>
        <w:tabs>
          <w:tab w:val="right" w:leader="dot" w:pos="9402"/>
        </w:tabs>
        <w:spacing w:line="360" w:lineRule="auto"/>
        <w:ind w:left="0" w:leftChars="0" w:firstLine="0" w:firstLineChars="0"/>
        <w:rPr>
          <w:rFonts w:hint="eastAsia" w:ascii="宋体" w:hAnsi="宋体" w:cs="宋体"/>
          <w:bCs/>
          <w:color w:val="auto"/>
          <w:sz w:val="32"/>
          <w:szCs w:val="32"/>
          <w:highlight w:val="none"/>
        </w:rPr>
      </w:pPr>
      <w:r>
        <w:rPr>
          <w:rFonts w:hint="eastAsia" w:ascii="宋体" w:hAnsi="宋体" w:cs="宋体"/>
          <w:bCs/>
          <w:color w:val="auto"/>
          <w:sz w:val="32"/>
          <w:szCs w:val="32"/>
          <w:highlight w:val="none"/>
        </w:rPr>
        <w:fldChar w:fldCharType="begin"/>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instrText xml:space="preserve">HYPERLINK \l "_Toc19686831"</w:instrText>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fldChar w:fldCharType="separate"/>
      </w:r>
      <w:r>
        <w:rPr>
          <w:rStyle w:val="54"/>
          <w:rFonts w:hint="eastAsia" w:ascii="宋体" w:hAnsi="宋体" w:cs="宋体"/>
          <w:bCs/>
          <w:color w:val="auto"/>
          <w:sz w:val="32"/>
          <w:szCs w:val="32"/>
          <w:highlight w:val="none"/>
        </w:rPr>
        <w:t>第三章  投标</w:t>
      </w:r>
      <w:bookmarkStart w:id="9" w:name="_Hlt30431883"/>
      <w:r>
        <w:rPr>
          <w:rStyle w:val="54"/>
          <w:rFonts w:hint="eastAsia" w:ascii="宋体" w:hAnsi="宋体" w:cs="宋体"/>
          <w:bCs/>
          <w:color w:val="auto"/>
          <w:sz w:val="32"/>
          <w:szCs w:val="32"/>
          <w:highlight w:val="none"/>
        </w:rPr>
        <w:t>人</w:t>
      </w:r>
      <w:bookmarkEnd w:id="9"/>
      <w:bookmarkStart w:id="10" w:name="_Hlt43803607"/>
      <w:bookmarkStart w:id="11" w:name="_Hlt43803608"/>
      <w:r>
        <w:rPr>
          <w:rStyle w:val="54"/>
          <w:rFonts w:hint="eastAsia" w:ascii="宋体" w:hAnsi="宋体" w:cs="宋体"/>
          <w:bCs/>
          <w:color w:val="auto"/>
          <w:sz w:val="32"/>
          <w:szCs w:val="32"/>
          <w:highlight w:val="none"/>
        </w:rPr>
        <w:t>须</w:t>
      </w:r>
      <w:bookmarkEnd w:id="10"/>
      <w:bookmarkEnd w:id="11"/>
      <w:r>
        <w:rPr>
          <w:rStyle w:val="54"/>
          <w:rFonts w:hint="eastAsia" w:ascii="宋体" w:hAnsi="宋体" w:cs="宋体"/>
          <w:bCs/>
          <w:color w:val="auto"/>
          <w:sz w:val="32"/>
          <w:szCs w:val="32"/>
          <w:highlight w:val="none"/>
        </w:rPr>
        <w:t>知</w:t>
      </w:r>
      <w:bookmarkStart w:id="12" w:name="_Hlt43479156"/>
      <w:bookmarkStart w:id="13" w:name="_Hlt43479155"/>
      <w:r>
        <w:rPr>
          <w:rFonts w:hint="eastAsia" w:ascii="宋体" w:hAnsi="宋体" w:cs="宋体"/>
          <w:bCs/>
          <w:color w:val="auto"/>
          <w:sz w:val="32"/>
          <w:szCs w:val="32"/>
          <w:highlight w:val="none"/>
        </w:rPr>
        <w:tab/>
      </w:r>
      <w:bookmarkEnd w:id="12"/>
      <w:bookmarkEnd w:id="13"/>
      <w:r>
        <w:rPr>
          <w:rFonts w:hint="eastAsia" w:ascii="宋体" w:hAnsi="宋体" w:cs="宋体"/>
          <w:bCs/>
          <w:color w:val="auto"/>
          <w:sz w:val="32"/>
          <w:szCs w:val="32"/>
          <w:highlight w:val="none"/>
        </w:rPr>
        <w:fldChar w:fldCharType="begin"/>
      </w:r>
      <w:r>
        <w:rPr>
          <w:rFonts w:hint="eastAsia" w:ascii="宋体" w:hAnsi="宋体" w:cs="宋体"/>
          <w:bCs/>
          <w:color w:val="auto"/>
          <w:sz w:val="32"/>
          <w:szCs w:val="32"/>
          <w:highlight w:val="none"/>
        </w:rPr>
        <w:instrText xml:space="preserve"> PAGEREF _Toc19686831 \h </w:instrText>
      </w:r>
      <w:r>
        <w:rPr>
          <w:rFonts w:hint="eastAsia" w:ascii="宋体" w:hAnsi="宋体" w:cs="宋体"/>
          <w:bCs/>
          <w:color w:val="auto"/>
          <w:sz w:val="32"/>
          <w:szCs w:val="32"/>
          <w:highlight w:val="none"/>
        </w:rPr>
        <w:fldChar w:fldCharType="separate"/>
      </w:r>
      <w:r>
        <w:rPr>
          <w:rFonts w:hint="eastAsia" w:ascii="宋体" w:hAnsi="宋体" w:cs="宋体"/>
          <w:bCs/>
          <w:color w:val="auto"/>
          <w:sz w:val="32"/>
          <w:szCs w:val="32"/>
          <w:highlight w:val="none"/>
        </w:rPr>
        <w:t>25</w:t>
      </w:r>
      <w:r>
        <w:rPr>
          <w:rFonts w:hint="eastAsia" w:ascii="宋体" w:hAnsi="宋体" w:cs="宋体"/>
          <w:bCs/>
          <w:color w:val="auto"/>
          <w:sz w:val="32"/>
          <w:szCs w:val="32"/>
          <w:highlight w:val="none"/>
        </w:rPr>
        <w:fldChar w:fldCharType="end"/>
      </w:r>
      <w:r>
        <w:rPr>
          <w:rFonts w:hint="eastAsia" w:ascii="宋体" w:hAnsi="宋体" w:cs="宋体"/>
          <w:bCs/>
          <w:color w:val="auto"/>
          <w:sz w:val="32"/>
          <w:szCs w:val="32"/>
          <w:highlight w:val="none"/>
        </w:rPr>
        <w:fldChar w:fldCharType="end"/>
      </w:r>
    </w:p>
    <w:p w14:paraId="3A263F49">
      <w:pPr>
        <w:pStyle w:val="39"/>
        <w:tabs>
          <w:tab w:val="right" w:leader="dot" w:pos="9402"/>
        </w:tabs>
        <w:spacing w:line="360" w:lineRule="auto"/>
        <w:ind w:left="0" w:leftChars="0" w:firstLine="0" w:firstLineChars="0"/>
        <w:rPr>
          <w:rFonts w:hint="eastAsia" w:ascii="宋体" w:hAnsi="宋体" w:cs="宋体"/>
          <w:bCs/>
          <w:color w:val="auto"/>
          <w:sz w:val="32"/>
          <w:szCs w:val="32"/>
          <w:highlight w:val="none"/>
        </w:rPr>
      </w:pPr>
      <w:r>
        <w:rPr>
          <w:rFonts w:hint="eastAsia" w:ascii="宋体" w:hAnsi="宋体" w:cs="宋体"/>
          <w:bCs/>
          <w:color w:val="auto"/>
          <w:sz w:val="32"/>
          <w:szCs w:val="32"/>
          <w:highlight w:val="none"/>
        </w:rPr>
        <w:fldChar w:fldCharType="begin"/>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instrText xml:space="preserve">HYPERLINK \l "_Toc19686832"</w:instrText>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fldChar w:fldCharType="separate"/>
      </w:r>
      <w:r>
        <w:rPr>
          <w:rStyle w:val="54"/>
          <w:rFonts w:hint="eastAsia" w:ascii="宋体" w:hAnsi="宋体" w:cs="宋体"/>
          <w:bCs/>
          <w:color w:val="auto"/>
          <w:sz w:val="32"/>
          <w:szCs w:val="32"/>
          <w:highlight w:val="none"/>
        </w:rPr>
        <w:t>第四章  评标方</w:t>
      </w:r>
      <w:bookmarkStart w:id="14" w:name="_Hlt43881606"/>
      <w:r>
        <w:rPr>
          <w:rStyle w:val="54"/>
          <w:rFonts w:hint="eastAsia" w:ascii="宋体" w:hAnsi="宋体" w:cs="宋体"/>
          <w:bCs/>
          <w:color w:val="auto"/>
          <w:sz w:val="32"/>
          <w:szCs w:val="32"/>
          <w:highlight w:val="none"/>
        </w:rPr>
        <w:t>法</w:t>
      </w:r>
      <w:bookmarkEnd w:id="14"/>
      <w:r>
        <w:rPr>
          <w:rStyle w:val="54"/>
          <w:rFonts w:hint="eastAsia" w:ascii="宋体" w:hAnsi="宋体" w:cs="宋体"/>
          <w:bCs/>
          <w:color w:val="auto"/>
          <w:sz w:val="32"/>
          <w:szCs w:val="32"/>
          <w:highlight w:val="none"/>
        </w:rPr>
        <w:t>及评标标准</w:t>
      </w:r>
      <w:r>
        <w:rPr>
          <w:rFonts w:hint="eastAsia" w:ascii="宋体" w:hAnsi="宋体" w:cs="宋体"/>
          <w:bCs/>
          <w:color w:val="auto"/>
          <w:sz w:val="32"/>
          <w:szCs w:val="32"/>
          <w:highlight w:val="none"/>
        </w:rPr>
        <w:tab/>
      </w:r>
      <w:r>
        <w:rPr>
          <w:rFonts w:hint="eastAsia" w:ascii="宋体" w:hAnsi="宋体" w:cs="宋体"/>
          <w:bCs/>
          <w:color w:val="auto"/>
          <w:sz w:val="32"/>
          <w:szCs w:val="32"/>
          <w:highlight w:val="none"/>
        </w:rPr>
        <w:fldChar w:fldCharType="begin"/>
      </w:r>
      <w:r>
        <w:rPr>
          <w:rFonts w:hint="eastAsia" w:ascii="宋体" w:hAnsi="宋体" w:cs="宋体"/>
          <w:bCs/>
          <w:color w:val="auto"/>
          <w:sz w:val="32"/>
          <w:szCs w:val="32"/>
          <w:highlight w:val="none"/>
        </w:rPr>
        <w:instrText xml:space="preserve"> PAGEREF _Toc19686832 \h </w:instrText>
      </w:r>
      <w:r>
        <w:rPr>
          <w:rFonts w:hint="eastAsia" w:ascii="宋体" w:hAnsi="宋体" w:cs="宋体"/>
          <w:bCs/>
          <w:color w:val="auto"/>
          <w:sz w:val="32"/>
          <w:szCs w:val="32"/>
          <w:highlight w:val="none"/>
        </w:rPr>
        <w:fldChar w:fldCharType="separate"/>
      </w:r>
      <w:r>
        <w:rPr>
          <w:rFonts w:hint="eastAsia" w:ascii="宋体" w:hAnsi="宋体" w:cs="宋体"/>
          <w:bCs/>
          <w:color w:val="auto"/>
          <w:sz w:val="32"/>
          <w:szCs w:val="32"/>
          <w:highlight w:val="none"/>
        </w:rPr>
        <w:t>44</w:t>
      </w:r>
      <w:r>
        <w:rPr>
          <w:rFonts w:hint="eastAsia" w:ascii="宋体" w:hAnsi="宋体" w:cs="宋体"/>
          <w:bCs/>
          <w:color w:val="auto"/>
          <w:sz w:val="32"/>
          <w:szCs w:val="32"/>
          <w:highlight w:val="none"/>
        </w:rPr>
        <w:fldChar w:fldCharType="end"/>
      </w:r>
      <w:r>
        <w:rPr>
          <w:rFonts w:hint="eastAsia" w:ascii="宋体" w:hAnsi="宋体" w:cs="宋体"/>
          <w:bCs/>
          <w:color w:val="auto"/>
          <w:sz w:val="32"/>
          <w:szCs w:val="32"/>
          <w:highlight w:val="none"/>
        </w:rPr>
        <w:fldChar w:fldCharType="end"/>
      </w:r>
    </w:p>
    <w:p w14:paraId="2B8B6D1A">
      <w:pPr>
        <w:pStyle w:val="39"/>
        <w:tabs>
          <w:tab w:val="right" w:leader="dot" w:pos="9402"/>
        </w:tabs>
        <w:spacing w:line="360" w:lineRule="auto"/>
        <w:ind w:left="0" w:leftChars="0" w:firstLine="0" w:firstLineChars="0"/>
        <w:rPr>
          <w:rFonts w:hint="eastAsia" w:ascii="宋体" w:hAnsi="宋体" w:cs="宋体"/>
          <w:bCs/>
          <w:color w:val="auto"/>
          <w:sz w:val="32"/>
          <w:szCs w:val="32"/>
          <w:highlight w:val="none"/>
        </w:rPr>
      </w:pPr>
      <w:r>
        <w:rPr>
          <w:rFonts w:hint="eastAsia" w:ascii="宋体" w:hAnsi="宋体" w:cs="宋体"/>
          <w:bCs/>
          <w:color w:val="auto"/>
          <w:sz w:val="32"/>
          <w:szCs w:val="32"/>
          <w:highlight w:val="none"/>
        </w:rPr>
        <w:fldChar w:fldCharType="begin"/>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instrText xml:space="preserve">HYPERLINK \l "_Toc19686833"</w:instrText>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fldChar w:fldCharType="separate"/>
      </w:r>
      <w:r>
        <w:rPr>
          <w:rStyle w:val="54"/>
          <w:rFonts w:hint="eastAsia" w:ascii="宋体" w:hAnsi="宋体" w:cs="宋体"/>
          <w:bCs/>
          <w:color w:val="auto"/>
          <w:sz w:val="32"/>
          <w:szCs w:val="32"/>
          <w:highlight w:val="none"/>
        </w:rPr>
        <w:t>第五章  政府采购合同主要条款</w:t>
      </w:r>
      <w:r>
        <w:rPr>
          <w:rFonts w:hint="eastAsia" w:ascii="宋体" w:hAnsi="宋体" w:cs="宋体"/>
          <w:bCs/>
          <w:color w:val="auto"/>
          <w:sz w:val="32"/>
          <w:szCs w:val="32"/>
          <w:highlight w:val="none"/>
        </w:rPr>
        <w:tab/>
      </w:r>
      <w:r>
        <w:rPr>
          <w:rFonts w:hint="eastAsia" w:ascii="宋体" w:hAnsi="宋体" w:cs="宋体"/>
          <w:bCs/>
          <w:color w:val="auto"/>
          <w:sz w:val="32"/>
          <w:szCs w:val="32"/>
          <w:highlight w:val="none"/>
        </w:rPr>
        <w:fldChar w:fldCharType="begin"/>
      </w:r>
      <w:r>
        <w:rPr>
          <w:rFonts w:hint="eastAsia" w:ascii="宋体" w:hAnsi="宋体" w:cs="宋体"/>
          <w:bCs/>
          <w:color w:val="auto"/>
          <w:sz w:val="32"/>
          <w:szCs w:val="32"/>
          <w:highlight w:val="none"/>
        </w:rPr>
        <w:instrText xml:space="preserve"> PAGEREF _Toc19686833 \h </w:instrText>
      </w:r>
      <w:r>
        <w:rPr>
          <w:rFonts w:hint="eastAsia" w:ascii="宋体" w:hAnsi="宋体" w:cs="宋体"/>
          <w:bCs/>
          <w:color w:val="auto"/>
          <w:sz w:val="32"/>
          <w:szCs w:val="32"/>
          <w:highlight w:val="none"/>
        </w:rPr>
        <w:fldChar w:fldCharType="separate"/>
      </w:r>
      <w:r>
        <w:rPr>
          <w:rFonts w:hint="eastAsia" w:ascii="宋体" w:hAnsi="宋体" w:cs="宋体"/>
          <w:bCs/>
          <w:color w:val="auto"/>
          <w:sz w:val="32"/>
          <w:szCs w:val="32"/>
          <w:highlight w:val="none"/>
        </w:rPr>
        <w:t>50</w:t>
      </w:r>
      <w:r>
        <w:rPr>
          <w:rFonts w:hint="eastAsia" w:ascii="宋体" w:hAnsi="宋体" w:cs="宋体"/>
          <w:bCs/>
          <w:color w:val="auto"/>
          <w:sz w:val="32"/>
          <w:szCs w:val="32"/>
          <w:highlight w:val="none"/>
        </w:rPr>
        <w:fldChar w:fldCharType="end"/>
      </w:r>
      <w:r>
        <w:rPr>
          <w:rFonts w:hint="eastAsia" w:ascii="宋体" w:hAnsi="宋体" w:cs="宋体"/>
          <w:bCs/>
          <w:color w:val="auto"/>
          <w:sz w:val="32"/>
          <w:szCs w:val="32"/>
          <w:highlight w:val="none"/>
        </w:rPr>
        <w:fldChar w:fldCharType="end"/>
      </w:r>
    </w:p>
    <w:p w14:paraId="7CA85695">
      <w:pPr>
        <w:pStyle w:val="39"/>
        <w:tabs>
          <w:tab w:val="right" w:leader="dot" w:pos="9402"/>
        </w:tabs>
        <w:spacing w:line="360" w:lineRule="auto"/>
        <w:ind w:left="0" w:leftChars="0" w:firstLine="0" w:firstLineChars="0"/>
        <w:rPr>
          <w:rFonts w:hint="eastAsia" w:ascii="宋体" w:hAnsi="宋体" w:cs="宋体"/>
          <w:bCs/>
          <w:color w:val="auto"/>
          <w:sz w:val="32"/>
          <w:szCs w:val="32"/>
          <w:highlight w:val="none"/>
        </w:rPr>
      </w:pPr>
      <w:r>
        <w:rPr>
          <w:rFonts w:hint="eastAsia" w:ascii="宋体" w:hAnsi="宋体" w:cs="宋体"/>
          <w:bCs/>
          <w:color w:val="auto"/>
          <w:sz w:val="32"/>
          <w:szCs w:val="32"/>
          <w:highlight w:val="none"/>
        </w:rPr>
        <w:fldChar w:fldCharType="begin"/>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instrText xml:space="preserve">HYPERLINK \l "_Toc19686834"</w:instrText>
      </w:r>
      <w:r>
        <w:rPr>
          <w:rStyle w:val="54"/>
          <w:rFonts w:hint="eastAsia" w:ascii="宋体" w:hAnsi="宋体" w:cs="宋体"/>
          <w:bCs/>
          <w:color w:val="auto"/>
          <w:sz w:val="32"/>
          <w:szCs w:val="32"/>
          <w:highlight w:val="none"/>
        </w:rPr>
        <w:instrText xml:space="preserve"> </w:instrText>
      </w:r>
      <w:r>
        <w:rPr>
          <w:rFonts w:hint="eastAsia" w:ascii="宋体" w:hAnsi="宋体" w:cs="宋体"/>
          <w:bCs/>
          <w:color w:val="auto"/>
          <w:sz w:val="32"/>
          <w:szCs w:val="32"/>
          <w:highlight w:val="none"/>
        </w:rPr>
        <w:fldChar w:fldCharType="separate"/>
      </w:r>
      <w:r>
        <w:rPr>
          <w:rStyle w:val="54"/>
          <w:rFonts w:hint="eastAsia" w:ascii="宋体" w:hAnsi="宋体" w:cs="宋体"/>
          <w:bCs/>
          <w:color w:val="auto"/>
          <w:sz w:val="32"/>
          <w:szCs w:val="32"/>
          <w:highlight w:val="none"/>
        </w:rPr>
        <w:t>第六章　投标文件格式</w:t>
      </w:r>
      <w:r>
        <w:rPr>
          <w:rFonts w:hint="eastAsia" w:ascii="宋体" w:hAnsi="宋体" w:cs="宋体"/>
          <w:bCs/>
          <w:color w:val="auto"/>
          <w:sz w:val="32"/>
          <w:szCs w:val="32"/>
          <w:highlight w:val="none"/>
        </w:rPr>
        <w:tab/>
      </w:r>
      <w:r>
        <w:rPr>
          <w:rFonts w:hint="eastAsia" w:ascii="宋体" w:hAnsi="宋体" w:cs="宋体"/>
          <w:bCs/>
          <w:color w:val="auto"/>
          <w:sz w:val="32"/>
          <w:szCs w:val="32"/>
          <w:highlight w:val="none"/>
        </w:rPr>
        <w:fldChar w:fldCharType="begin"/>
      </w:r>
      <w:r>
        <w:rPr>
          <w:rFonts w:hint="eastAsia" w:ascii="宋体" w:hAnsi="宋体" w:cs="宋体"/>
          <w:bCs/>
          <w:color w:val="auto"/>
          <w:sz w:val="32"/>
          <w:szCs w:val="32"/>
          <w:highlight w:val="none"/>
        </w:rPr>
        <w:instrText xml:space="preserve"> PAGEREF _Toc19686834 \h </w:instrText>
      </w:r>
      <w:r>
        <w:rPr>
          <w:rFonts w:hint="eastAsia" w:ascii="宋体" w:hAnsi="宋体" w:cs="宋体"/>
          <w:bCs/>
          <w:color w:val="auto"/>
          <w:sz w:val="32"/>
          <w:szCs w:val="32"/>
          <w:highlight w:val="none"/>
        </w:rPr>
        <w:fldChar w:fldCharType="separate"/>
      </w:r>
      <w:r>
        <w:rPr>
          <w:rFonts w:hint="eastAsia" w:ascii="宋体" w:hAnsi="宋体" w:cs="宋体"/>
          <w:bCs/>
          <w:color w:val="auto"/>
          <w:sz w:val="32"/>
          <w:szCs w:val="32"/>
          <w:highlight w:val="none"/>
        </w:rPr>
        <w:t>54</w:t>
      </w:r>
      <w:r>
        <w:rPr>
          <w:rFonts w:hint="eastAsia" w:ascii="宋体" w:hAnsi="宋体" w:cs="宋体"/>
          <w:bCs/>
          <w:color w:val="auto"/>
          <w:sz w:val="32"/>
          <w:szCs w:val="32"/>
          <w:highlight w:val="none"/>
        </w:rPr>
        <w:fldChar w:fldCharType="end"/>
      </w:r>
      <w:r>
        <w:rPr>
          <w:rFonts w:hint="eastAsia" w:ascii="宋体" w:hAnsi="宋体" w:cs="宋体"/>
          <w:bCs/>
          <w:color w:val="auto"/>
          <w:sz w:val="32"/>
          <w:szCs w:val="32"/>
          <w:highlight w:val="none"/>
        </w:rPr>
        <w:fldChar w:fldCharType="end"/>
      </w:r>
    </w:p>
    <w:p w14:paraId="3B1EBC81">
      <w:pPr>
        <w:pStyle w:val="39"/>
        <w:tabs>
          <w:tab w:val="right" w:leader="dot" w:pos="9402"/>
        </w:tabs>
        <w:rPr>
          <w:rFonts w:hint="eastAsia" w:ascii="宋体" w:hAnsi="宋体" w:cs="宋体"/>
          <w:color w:val="auto"/>
          <w:szCs w:val="22"/>
          <w:highlight w:val="none"/>
        </w:rPr>
      </w:pPr>
    </w:p>
    <w:p w14:paraId="2C4EEE3D">
      <w:pPr>
        <w:spacing w:before="120" w:beforeLines="50" w:line="480" w:lineRule="exact"/>
        <w:rPr>
          <w:rFonts w:hint="eastAsia" w:ascii="宋体" w:hAnsi="宋体" w:cs="宋体"/>
          <w:color w:val="auto"/>
          <w:sz w:val="24"/>
          <w:highlight w:val="none"/>
        </w:rPr>
      </w:pPr>
      <w:r>
        <w:rPr>
          <w:rFonts w:hint="eastAsia" w:ascii="宋体" w:hAnsi="宋体" w:cs="宋体"/>
          <w:b/>
          <w:color w:val="auto"/>
          <w:sz w:val="24"/>
          <w:highlight w:val="none"/>
        </w:rPr>
        <w:fldChar w:fldCharType="end"/>
      </w:r>
    </w:p>
    <w:p w14:paraId="12D2A3F7">
      <w:pPr>
        <w:spacing w:before="120" w:beforeLines="50" w:line="480" w:lineRule="exact"/>
        <w:rPr>
          <w:rFonts w:hint="eastAsia" w:ascii="宋体" w:hAnsi="宋体" w:cs="宋体"/>
          <w:color w:val="auto"/>
          <w:sz w:val="30"/>
          <w:highlight w:val="none"/>
        </w:rPr>
      </w:pPr>
    </w:p>
    <w:p w14:paraId="7668E599">
      <w:pPr>
        <w:rPr>
          <w:rFonts w:hint="eastAsia" w:ascii="宋体" w:hAnsi="宋体" w:cs="宋体"/>
          <w:color w:val="auto"/>
          <w:highlight w:val="none"/>
        </w:rPr>
      </w:pPr>
    </w:p>
    <w:p w14:paraId="55EF342F">
      <w:pPr>
        <w:spacing w:before="120" w:beforeLines="50" w:line="480" w:lineRule="exact"/>
        <w:rPr>
          <w:rFonts w:hint="eastAsia" w:ascii="宋体" w:hAnsi="宋体" w:cs="宋体"/>
          <w:color w:val="auto"/>
          <w:sz w:val="30"/>
          <w:highlight w:val="none"/>
        </w:rPr>
      </w:pPr>
    </w:p>
    <w:p w14:paraId="7B3DB6FE">
      <w:pPr>
        <w:spacing w:before="120" w:beforeLines="50" w:line="480" w:lineRule="exact"/>
        <w:rPr>
          <w:rFonts w:hint="eastAsia" w:ascii="宋体" w:hAnsi="宋体" w:cs="宋体"/>
          <w:color w:val="auto"/>
          <w:sz w:val="30"/>
          <w:highlight w:val="none"/>
        </w:rPr>
      </w:pPr>
    </w:p>
    <w:p w14:paraId="23CC8985">
      <w:pPr>
        <w:pStyle w:val="17"/>
        <w:rPr>
          <w:rFonts w:hint="eastAsia" w:ascii="宋体" w:hAnsi="宋体" w:cs="宋体"/>
          <w:b/>
          <w:bCs/>
          <w:color w:val="auto"/>
          <w:highlight w:val="none"/>
        </w:rPr>
      </w:pPr>
      <w:bookmarkStart w:id="15" w:name="_Toc254970489"/>
      <w:bookmarkStart w:id="16" w:name="_Toc254970630"/>
    </w:p>
    <w:p w14:paraId="7B517D71">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b w:val="0"/>
          <w:bCs w:val="0"/>
          <w:color w:val="auto"/>
          <w:highlight w:val="none"/>
        </w:rPr>
        <w:br w:type="page"/>
      </w:r>
      <w:bookmarkStart w:id="17" w:name="_Toc19686829"/>
      <w:r>
        <w:rPr>
          <w:rFonts w:hint="eastAsia" w:ascii="宋体" w:hAnsi="宋体" w:cs="宋体"/>
          <w:color w:val="auto"/>
          <w:highlight w:val="none"/>
        </w:rPr>
        <w:t>第一章</w:t>
      </w:r>
      <w:bookmarkEnd w:id="15"/>
      <w:bookmarkEnd w:id="16"/>
      <w:bookmarkEnd w:id="17"/>
      <w:bookmarkStart w:id="18" w:name="_Toc35393789"/>
      <w:bookmarkStart w:id="19" w:name="_Toc28359001"/>
      <w:r>
        <w:rPr>
          <w:rFonts w:hint="eastAsia" w:ascii="宋体" w:hAnsi="宋体" w:cs="宋体"/>
          <w:color w:val="auto"/>
          <w:highlight w:val="none"/>
        </w:rPr>
        <w:t xml:space="preserve"> 公开招标公告</w:t>
      </w:r>
      <w:bookmarkEnd w:id="18"/>
      <w:bookmarkEnd w:id="19"/>
    </w:p>
    <w:p w14:paraId="70D83974">
      <w:pPr>
        <w:spacing w:line="360" w:lineRule="auto"/>
        <w:rPr>
          <w:rFonts w:hint="eastAsia" w:ascii="宋体" w:hAnsi="宋体" w:cs="宋体"/>
          <w:color w:val="auto"/>
          <w:szCs w:val="21"/>
          <w:highlight w:val="none"/>
        </w:rPr>
      </w:pPr>
    </w:p>
    <w:p w14:paraId="02AD829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7E1F3CB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学院21支“金课”课程开发团队能力训练及课程伴生建设服务项目</w:t>
      </w:r>
      <w:r>
        <w:rPr>
          <w:rFonts w:hint="eastAsia" w:ascii="宋体" w:hAnsi="宋体" w:cs="宋体"/>
          <w:color w:val="auto"/>
          <w:szCs w:val="21"/>
          <w:highlight w:val="none"/>
        </w:rPr>
        <w:t>招标项目的潜在投标人应在</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15</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09</w:t>
      </w:r>
      <w:r>
        <w:rPr>
          <w:rFonts w:hint="eastAsia" w:ascii="宋体" w:hAnsi="宋体" w:cs="宋体"/>
          <w:bCs/>
          <w:color w:val="auto"/>
          <w:szCs w:val="21"/>
          <w:highlight w:val="none"/>
          <w:u w:val="single"/>
        </w:rPr>
        <w:t>时</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3B3FC92F">
      <w:pPr>
        <w:spacing w:line="360" w:lineRule="auto"/>
        <w:rPr>
          <w:rFonts w:hint="eastAsia" w:ascii="宋体" w:hAnsi="宋体" w:cs="宋体"/>
          <w:color w:val="auto"/>
          <w:szCs w:val="21"/>
          <w:highlight w:val="none"/>
        </w:rPr>
      </w:pPr>
    </w:p>
    <w:p w14:paraId="02F68B23">
      <w:pPr>
        <w:spacing w:line="360" w:lineRule="auto"/>
        <w:rPr>
          <w:rFonts w:hint="eastAsia" w:ascii="宋体" w:hAnsi="宋体" w:cs="宋体"/>
          <w:b/>
          <w:bCs/>
          <w:color w:val="auto"/>
          <w:sz w:val="24"/>
          <w:highlight w:val="none"/>
        </w:rPr>
      </w:pPr>
      <w:bookmarkStart w:id="20" w:name="_Toc28359002"/>
      <w:bookmarkStart w:id="21" w:name="_Toc28359079"/>
      <w:bookmarkStart w:id="22" w:name="_Toc35393621"/>
      <w:bookmarkStart w:id="23" w:name="_Toc35393790"/>
      <w:bookmarkStart w:id="24" w:name="_Hlk24379207"/>
      <w:r>
        <w:rPr>
          <w:rFonts w:hint="eastAsia" w:ascii="宋体" w:hAnsi="宋体" w:cs="宋体"/>
          <w:b/>
          <w:bCs/>
          <w:color w:val="auto"/>
          <w:sz w:val="24"/>
          <w:highlight w:val="none"/>
        </w:rPr>
        <w:t>一、项目基本情况</w:t>
      </w:r>
      <w:bookmarkEnd w:id="20"/>
      <w:bookmarkEnd w:id="21"/>
      <w:bookmarkEnd w:id="22"/>
      <w:bookmarkEnd w:id="23"/>
    </w:p>
    <w:p w14:paraId="4D978AF7">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项目编号：GXZC2025-G3-002312-GXZJ</w:t>
      </w:r>
    </w:p>
    <w:p w14:paraId="2EF4D2A7">
      <w:pPr>
        <w:spacing w:line="360" w:lineRule="auto"/>
        <w:ind w:firstLine="630" w:firstLineChars="3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学院21支“金课”课程开发团队能力训练及课程伴生建设服务项目</w:t>
      </w:r>
    </w:p>
    <w:p w14:paraId="7A62B6F8">
      <w:pPr>
        <w:spacing w:line="360" w:lineRule="auto"/>
        <w:ind w:firstLine="630" w:firstLineChars="300"/>
        <w:rPr>
          <w:rFonts w:hint="default" w:eastAsia="宋体"/>
          <w:color w:val="auto"/>
          <w:highlight w:val="none"/>
          <w:lang w:val="en-US" w:eastAsia="zh-CN"/>
        </w:rPr>
      </w:pPr>
      <w:r>
        <w:rPr>
          <w:rFonts w:ascii="宋体" w:hAnsi="宋体" w:cs="宋体"/>
          <w:color w:val="auto"/>
          <w:kern w:val="0"/>
          <w:szCs w:val="21"/>
          <w:highlight w:val="none"/>
        </w:rPr>
        <w:t>预算总金额（元）：</w:t>
      </w:r>
      <w:r>
        <w:rPr>
          <w:rFonts w:hint="eastAsia" w:ascii="宋体" w:hAnsi="宋体" w:cs="宋体"/>
          <w:color w:val="auto"/>
          <w:kern w:val="0"/>
          <w:szCs w:val="21"/>
          <w:highlight w:val="none"/>
          <w:lang w:val="en-US" w:eastAsia="zh-CN"/>
        </w:rPr>
        <w:t>6000000.00</w:t>
      </w:r>
    </w:p>
    <w:p w14:paraId="68B422CC">
      <w:pPr>
        <w:spacing w:line="360" w:lineRule="auto"/>
        <w:ind w:firstLine="630" w:firstLineChars="300"/>
        <w:rPr>
          <w:rFonts w:ascii="宋体" w:hAnsi="宋体" w:cs="宋体"/>
          <w:color w:val="auto"/>
          <w:kern w:val="0"/>
          <w:szCs w:val="21"/>
          <w:highlight w:val="none"/>
        </w:rPr>
      </w:pPr>
      <w:r>
        <w:rPr>
          <w:rFonts w:ascii="宋体" w:hAnsi="宋体" w:cs="宋体"/>
          <w:color w:val="auto"/>
          <w:kern w:val="0"/>
          <w:szCs w:val="21"/>
          <w:highlight w:val="none"/>
        </w:rPr>
        <w:t>采购需求：</w:t>
      </w:r>
    </w:p>
    <w:p w14:paraId="6D2925C1">
      <w:pPr>
        <w:spacing w:line="360" w:lineRule="auto"/>
        <w:ind w:firstLine="420" w:firstLineChars="200"/>
        <w:rPr>
          <w:rFonts w:ascii="宋体" w:hAnsi="宋体" w:cs="宋体"/>
          <w:color w:val="auto"/>
          <w:kern w:val="0"/>
          <w:szCs w:val="21"/>
          <w:highlight w:val="none"/>
        </w:rPr>
      </w:pPr>
    </w:p>
    <w:p w14:paraId="32E6F14B">
      <w:pPr>
        <w:spacing w:line="360" w:lineRule="auto"/>
        <w:ind w:firstLine="420" w:firstLineChars="200"/>
        <w:rPr>
          <w:rFonts w:hint="eastAsia" w:eastAsia="宋体"/>
          <w:color w:val="auto"/>
          <w:kern w:val="0"/>
          <w:szCs w:val="21"/>
          <w:highlight w:val="none"/>
          <w:lang w:val="en-US" w:eastAsia="zh-CN"/>
        </w:rPr>
      </w:pPr>
      <w:r>
        <w:rPr>
          <w:rFonts w:hint="eastAsia" w:ascii="宋体" w:hAnsi="宋体"/>
          <w:color w:val="auto"/>
          <w:highlight w:val="none"/>
        </w:rPr>
        <w:t>标项名称：</w:t>
      </w:r>
      <w:r>
        <w:rPr>
          <w:rFonts w:hint="eastAsia" w:ascii="宋体" w:hAnsi="宋体"/>
          <w:color w:val="auto"/>
          <w:highlight w:val="none"/>
          <w:lang w:eastAsia="zh-CN"/>
        </w:rPr>
        <w:t>学院21支“金课”课程开发团队能力训练及课程伴生建设服务项目</w:t>
      </w:r>
    </w:p>
    <w:p w14:paraId="4EF15E68">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数量：</w:t>
      </w:r>
      <w:r>
        <w:rPr>
          <w:rFonts w:hint="eastAsia" w:ascii="宋体" w:hAnsi="宋体"/>
          <w:color w:val="auto"/>
          <w:highlight w:val="none"/>
          <w:lang w:val="en-US" w:eastAsia="zh-CN"/>
        </w:rPr>
        <w:t>1</w:t>
      </w:r>
    </w:p>
    <w:p w14:paraId="11CDAD89">
      <w:pPr>
        <w:spacing w:line="360" w:lineRule="auto"/>
        <w:ind w:firstLine="420" w:firstLineChars="200"/>
        <w:rPr>
          <w:rFonts w:hint="eastAsia" w:ascii="宋体" w:hAnsi="宋体"/>
          <w:color w:val="auto"/>
          <w:highlight w:val="none"/>
        </w:rPr>
      </w:pPr>
      <w:r>
        <w:rPr>
          <w:rFonts w:hint="eastAsia" w:ascii="宋体" w:hAnsi="宋体"/>
          <w:color w:val="auto"/>
          <w:highlight w:val="none"/>
        </w:rPr>
        <w:t>预算金额（元）：6000000.00</w:t>
      </w:r>
    </w:p>
    <w:p w14:paraId="07CCAC72">
      <w:pPr>
        <w:spacing w:line="360" w:lineRule="auto"/>
        <w:ind w:firstLine="420" w:firstLineChars="200"/>
        <w:rPr>
          <w:rFonts w:hint="eastAsia" w:ascii="宋体" w:cs="Arial"/>
          <w:color w:val="auto"/>
          <w:szCs w:val="21"/>
          <w:highlight w:val="none"/>
        </w:rPr>
      </w:pPr>
      <w:r>
        <w:rPr>
          <w:rFonts w:hint="eastAsia" w:ascii="宋体" w:hAnsi="宋体"/>
          <w:color w:val="auto"/>
          <w:highlight w:val="none"/>
        </w:rPr>
        <w:t>简要规格描述或项目基本概况介绍、用途：</w:t>
      </w:r>
      <w:r>
        <w:rPr>
          <w:rFonts w:hint="eastAsia"/>
          <w:bCs/>
          <w:color w:val="auto"/>
          <w:kern w:val="0"/>
          <w:szCs w:val="21"/>
          <w:highlight w:val="none"/>
        </w:rPr>
        <w:t>“金课”建设指导服务1</w:t>
      </w:r>
      <w:r>
        <w:rPr>
          <w:rFonts w:hint="eastAsia"/>
          <w:bCs/>
          <w:color w:val="auto"/>
          <w:kern w:val="0"/>
          <w:szCs w:val="21"/>
          <w:highlight w:val="none"/>
          <w:lang w:val="en-US" w:eastAsia="zh-CN"/>
        </w:rPr>
        <w:t>项</w:t>
      </w:r>
      <w:r>
        <w:rPr>
          <w:rFonts w:hint="eastAsia"/>
          <w:bCs/>
          <w:color w:val="auto"/>
          <w:kern w:val="0"/>
          <w:szCs w:val="21"/>
          <w:highlight w:val="none"/>
          <w:lang w:eastAsia="zh-CN"/>
        </w:rPr>
        <w:t>，</w:t>
      </w:r>
      <w:r>
        <w:rPr>
          <w:rFonts w:hint="eastAsia"/>
          <w:bCs/>
          <w:color w:val="auto"/>
          <w:kern w:val="0"/>
          <w:szCs w:val="21"/>
          <w:highlight w:val="none"/>
        </w:rPr>
        <w:t>“金课”成果转化服务1项。具体详见本</w:t>
      </w:r>
      <w:r>
        <w:rPr>
          <w:rFonts w:hint="eastAsia"/>
          <w:bCs/>
          <w:color w:val="auto"/>
          <w:kern w:val="0"/>
          <w:szCs w:val="21"/>
          <w:highlight w:val="none"/>
          <w:lang w:val="en-US" w:eastAsia="zh-CN"/>
        </w:rPr>
        <w:t>项目</w:t>
      </w:r>
      <w:r>
        <w:rPr>
          <w:rFonts w:hint="eastAsia"/>
          <w:bCs/>
          <w:color w:val="auto"/>
          <w:kern w:val="0"/>
          <w:szCs w:val="21"/>
          <w:highlight w:val="none"/>
        </w:rPr>
        <w:t>采购需求</w:t>
      </w:r>
      <w:r>
        <w:rPr>
          <w:rFonts w:hint="eastAsia" w:ascii="宋体" w:cs="Arial"/>
          <w:color w:val="auto"/>
          <w:szCs w:val="21"/>
          <w:highlight w:val="none"/>
        </w:rPr>
        <w:t>。</w:t>
      </w:r>
    </w:p>
    <w:p w14:paraId="2E437860">
      <w:pPr>
        <w:spacing w:line="360" w:lineRule="auto"/>
        <w:ind w:firstLine="420" w:firstLineChars="200"/>
        <w:rPr>
          <w:rFonts w:hint="default" w:ascii="宋体" w:hAnsi="宋体"/>
          <w:color w:val="auto"/>
          <w:highlight w:val="none"/>
          <w:lang w:val="en-US"/>
        </w:rPr>
      </w:pPr>
      <w:r>
        <w:rPr>
          <w:rFonts w:hint="eastAsia" w:ascii="宋体" w:hAnsi="宋体"/>
          <w:color w:val="auto"/>
          <w:highlight w:val="none"/>
        </w:rPr>
        <w:t>最高限价（如有）：6000000.00</w:t>
      </w:r>
      <w:r>
        <w:rPr>
          <w:rFonts w:hint="eastAsia"/>
          <w:color w:val="auto"/>
          <w:highlight w:val="none"/>
          <w:lang w:val="en-US" w:eastAsia="zh-CN"/>
        </w:rPr>
        <w:t>元</w:t>
      </w:r>
    </w:p>
    <w:p w14:paraId="735C9669">
      <w:pPr>
        <w:spacing w:line="360" w:lineRule="auto"/>
        <w:ind w:firstLine="420" w:firstLineChars="200"/>
        <w:rPr>
          <w:rFonts w:hint="eastAsia" w:ascii="宋体" w:hAnsi="宋体"/>
          <w:color w:val="auto"/>
          <w:highlight w:val="none"/>
        </w:rPr>
      </w:pPr>
      <w:r>
        <w:rPr>
          <w:rFonts w:hint="eastAsia" w:ascii="宋体" w:hAnsi="宋体"/>
          <w:color w:val="auto"/>
          <w:highlight w:val="none"/>
        </w:rPr>
        <w:t>合同履约期限：服务时间：自合同签订之日起12个月内完成全部服务。</w:t>
      </w:r>
    </w:p>
    <w:p w14:paraId="3C8390EC">
      <w:pPr>
        <w:spacing w:line="360" w:lineRule="auto"/>
        <w:ind w:firstLine="420" w:firstLineChars="200"/>
        <w:rPr>
          <w:rFonts w:hint="eastAsia" w:ascii="宋体" w:hAnsi="宋体"/>
          <w:color w:val="auto"/>
          <w:highlight w:val="none"/>
        </w:rPr>
      </w:pPr>
      <w:r>
        <w:rPr>
          <w:rFonts w:hint="eastAsia" w:ascii="宋体" w:hAnsi="宋体"/>
          <w:color w:val="auto"/>
          <w:highlight w:val="none"/>
        </w:rPr>
        <w:t>本标项（否）接受联合体投标。</w:t>
      </w:r>
    </w:p>
    <w:p w14:paraId="66D72F08">
      <w:pPr>
        <w:spacing w:line="36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lang w:val="en-US" w:eastAsia="zh-CN"/>
        </w:rPr>
        <w:t>备注：/</w:t>
      </w:r>
    </w:p>
    <w:bookmarkEnd w:id="24"/>
    <w:p w14:paraId="7B923155">
      <w:pPr>
        <w:spacing w:line="360" w:lineRule="auto"/>
        <w:rPr>
          <w:rFonts w:hint="eastAsia" w:ascii="宋体" w:hAnsi="宋体" w:cs="宋体"/>
          <w:b/>
          <w:bCs/>
          <w:color w:val="auto"/>
          <w:sz w:val="24"/>
          <w:highlight w:val="none"/>
        </w:rPr>
      </w:pPr>
      <w:bookmarkStart w:id="25" w:name="_Toc28359003"/>
      <w:bookmarkStart w:id="26" w:name="_Toc35393622"/>
      <w:bookmarkStart w:id="27" w:name="_Toc28359080"/>
      <w:bookmarkStart w:id="28" w:name="_Toc35393791"/>
      <w:r>
        <w:rPr>
          <w:rFonts w:hint="eastAsia" w:ascii="宋体" w:hAnsi="宋体" w:cs="宋体"/>
          <w:b/>
          <w:bCs/>
          <w:color w:val="auto"/>
          <w:sz w:val="24"/>
          <w:highlight w:val="none"/>
        </w:rPr>
        <w:t>二、</w:t>
      </w:r>
      <w:r>
        <w:rPr>
          <w:rFonts w:hint="eastAsia" w:ascii="宋体" w:hAnsi="宋体" w:cs="宋体"/>
          <w:b/>
          <w:bCs/>
          <w:color w:val="auto"/>
          <w:sz w:val="24"/>
          <w:highlight w:val="none"/>
          <w:lang w:val="en-US" w:eastAsia="zh-CN"/>
        </w:rPr>
        <w:t>申请</w:t>
      </w:r>
      <w:r>
        <w:rPr>
          <w:rFonts w:hint="eastAsia" w:ascii="宋体" w:hAnsi="宋体" w:cs="宋体"/>
          <w:b/>
          <w:bCs/>
          <w:color w:val="auto"/>
          <w:sz w:val="24"/>
          <w:highlight w:val="none"/>
        </w:rPr>
        <w:t>人的资格要求：</w:t>
      </w:r>
      <w:bookmarkEnd w:id="25"/>
      <w:bookmarkEnd w:id="26"/>
      <w:bookmarkEnd w:id="27"/>
      <w:bookmarkEnd w:id="28"/>
    </w:p>
    <w:p w14:paraId="4E0DA1D9">
      <w:pPr>
        <w:spacing w:line="360" w:lineRule="auto"/>
        <w:ind w:firstLine="420" w:firstLineChars="200"/>
        <w:rPr>
          <w:rFonts w:hint="eastAsia" w:ascii="宋体" w:hAnsi="宋体" w:cs="宋体"/>
          <w:color w:val="auto"/>
          <w:szCs w:val="21"/>
          <w:highlight w:val="none"/>
        </w:rPr>
      </w:pPr>
      <w:bookmarkStart w:id="29" w:name="_Hlk51746371"/>
      <w:r>
        <w:rPr>
          <w:rFonts w:hint="eastAsia" w:ascii="宋体" w:hAnsi="宋体" w:cs="宋体"/>
          <w:color w:val="auto"/>
          <w:szCs w:val="21"/>
          <w:highlight w:val="none"/>
        </w:rPr>
        <w:t>1.满足《中华人民共和国政府采购法》第二十二条规定；</w:t>
      </w:r>
      <w:bookmarkStart w:id="30" w:name="_Toc28359004"/>
      <w:bookmarkStart w:id="31" w:name="_Toc28359081"/>
    </w:p>
    <w:p w14:paraId="6DCC41EB">
      <w:pPr>
        <w:spacing w:line="360" w:lineRule="auto"/>
        <w:ind w:firstLine="420" w:firstLineChars="200"/>
        <w:rPr>
          <w:rFonts w:hint="eastAsia" w:ascii="宋体" w:hAnsi="宋体"/>
          <w:color w:val="auto"/>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无</w:t>
      </w:r>
      <w:r>
        <w:rPr>
          <w:rFonts w:hint="eastAsia"/>
          <w:color w:val="auto"/>
          <w:highlight w:val="none"/>
        </w:rPr>
        <w:t>。</w:t>
      </w:r>
    </w:p>
    <w:p w14:paraId="0DCB4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bookmarkEnd w:id="29"/>
    <w:p w14:paraId="66B6468F">
      <w:pPr>
        <w:spacing w:line="360" w:lineRule="auto"/>
        <w:rPr>
          <w:rFonts w:hint="eastAsia" w:ascii="宋体" w:hAnsi="宋体" w:cs="宋体"/>
          <w:b/>
          <w:bCs/>
          <w:color w:val="auto"/>
          <w:sz w:val="24"/>
          <w:highlight w:val="none"/>
        </w:rPr>
      </w:pPr>
      <w:bookmarkStart w:id="32" w:name="_Toc35393792"/>
      <w:bookmarkStart w:id="33" w:name="_Toc35393623"/>
      <w:r>
        <w:rPr>
          <w:rFonts w:hint="eastAsia" w:ascii="宋体" w:hAnsi="宋体" w:cs="宋体"/>
          <w:b/>
          <w:bCs/>
          <w:color w:val="auto"/>
          <w:sz w:val="24"/>
          <w:highlight w:val="none"/>
        </w:rPr>
        <w:t>三、获取招标文件</w:t>
      </w:r>
      <w:bookmarkEnd w:id="30"/>
      <w:bookmarkEnd w:id="31"/>
      <w:bookmarkEnd w:id="32"/>
      <w:bookmarkEnd w:id="33"/>
    </w:p>
    <w:p w14:paraId="0E9A06CF">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25</w:t>
      </w:r>
      <w:r>
        <w:rPr>
          <w:rFonts w:hint="eastAsia" w:ascii="宋体" w:hAnsi="宋体" w:cs="宋体"/>
          <w:bCs/>
          <w:color w:val="auto"/>
          <w:kern w:val="0"/>
          <w:szCs w:val="21"/>
          <w:highlight w:val="none"/>
        </w:rPr>
        <w:t>日至</w:t>
      </w:r>
      <w:r>
        <w:rPr>
          <w:rFonts w:hint="eastAsia" w:ascii="宋体" w:hAnsi="宋体"/>
          <w:color w:val="auto"/>
          <w:highlight w:val="none"/>
        </w:rPr>
        <w:t>202</w:t>
      </w:r>
      <w:r>
        <w:rPr>
          <w:rFonts w:hint="eastAsia" w:ascii="宋体" w:hAnsi="宋体"/>
          <w:color w:val="auto"/>
          <w:highlight w:val="none"/>
          <w:lang w:val="en-US" w:eastAsia="zh-CN"/>
        </w:rPr>
        <w:t>5</w:t>
      </w:r>
      <w:r>
        <w:rPr>
          <w:rFonts w:hint="eastAsia" w:ascii="宋体" w:hAnsi="宋体"/>
          <w:color w:val="auto"/>
          <w:highlight w:val="none"/>
        </w:rPr>
        <w:t>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1</w:t>
      </w:r>
      <w:r>
        <w:rPr>
          <w:rFonts w:hint="eastAsia" w:ascii="宋体" w:hAnsi="宋体"/>
          <w:color w:val="auto"/>
          <w:highlight w:val="none"/>
        </w:rPr>
        <w:t>日，每天上午8时30分至12时00分，</w:t>
      </w:r>
      <w:r>
        <w:rPr>
          <w:rFonts w:hint="eastAsia" w:ascii="宋体" w:hAnsi="宋体"/>
          <w:color w:val="auto"/>
          <w:highlight w:val="none"/>
          <w:lang w:eastAsia="zh-CN"/>
        </w:rPr>
        <w:t>15时00</w:t>
      </w:r>
      <w:r>
        <w:rPr>
          <w:rFonts w:hint="eastAsia" w:ascii="宋体" w:hAnsi="宋体"/>
          <w:color w:val="auto"/>
          <w:highlight w:val="none"/>
        </w:rPr>
        <w:t>分至18时00分（北京时间，</w:t>
      </w:r>
      <w:r>
        <w:rPr>
          <w:rFonts w:ascii="宋体" w:hAnsi="宋体"/>
          <w:color w:val="auto"/>
          <w:highlight w:val="none"/>
        </w:rPr>
        <w:t>法定节假日</w:t>
      </w:r>
      <w:r>
        <w:rPr>
          <w:rFonts w:hint="eastAsia" w:ascii="宋体" w:hAnsi="宋体"/>
          <w:color w:val="auto"/>
          <w:highlight w:val="none"/>
        </w:rPr>
        <w:t>除外）</w:t>
      </w:r>
      <w:r>
        <w:rPr>
          <w:rFonts w:hint="eastAsia" w:ascii="宋体" w:hAnsi="宋体" w:cs="宋体"/>
          <w:bCs/>
          <w:color w:val="auto"/>
          <w:kern w:val="0"/>
          <w:szCs w:val="21"/>
          <w:highlight w:val="none"/>
        </w:rPr>
        <w:t>。</w:t>
      </w:r>
    </w:p>
    <w:p w14:paraId="315EB5EA">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地点（网址）：广西政府采购云平台（https://www.gcy.zfcg.gxzf.gov.cn</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w:t>
      </w:r>
    </w:p>
    <w:p w14:paraId="527FA78F">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w:t>
      </w:r>
      <w:r>
        <w:rPr>
          <w:rFonts w:hint="eastAsia" w:ascii="宋体" w:hAnsi="宋体" w:cs="宋体"/>
          <w:bCs/>
          <w:color w:val="auto"/>
          <w:kern w:val="0"/>
          <w:szCs w:val="21"/>
          <w:highlight w:val="none"/>
          <w:lang w:eastAsia="zh-CN"/>
        </w:rPr>
        <w:t>需</w:t>
      </w:r>
      <w:r>
        <w:rPr>
          <w:rFonts w:hint="eastAsia" w:ascii="宋体" w:hAnsi="宋体" w:cs="宋体"/>
          <w:bCs/>
          <w:color w:val="auto"/>
          <w:kern w:val="0"/>
          <w:szCs w:val="21"/>
          <w:highlight w:val="none"/>
        </w:rPr>
        <w:t>登录广西政府采购云平台（https://www.gcy.zfcg.gxzf.gov.cn</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进行报名并获取采购文件；未注册的供应商可在广西政府采购云平台完成注册后再行报名。如在操作过程中遇到问题或</w:t>
      </w:r>
      <w:r>
        <w:rPr>
          <w:rFonts w:hint="eastAsia" w:ascii="宋体" w:hAnsi="宋体" w:cs="宋体"/>
          <w:bCs/>
          <w:color w:val="auto"/>
          <w:kern w:val="0"/>
          <w:szCs w:val="21"/>
          <w:highlight w:val="none"/>
          <w:lang w:eastAsia="zh-CN"/>
        </w:rPr>
        <w:t>需要</w:t>
      </w:r>
      <w:r>
        <w:rPr>
          <w:rFonts w:hint="eastAsia" w:ascii="宋体" w:hAnsi="宋体" w:cs="宋体"/>
          <w:bCs/>
          <w:color w:val="auto"/>
          <w:kern w:val="0"/>
          <w:szCs w:val="21"/>
          <w:highlight w:val="none"/>
        </w:rPr>
        <w:t>技术支持，请致电广西政府采购云平台客服热线：</w:t>
      </w:r>
      <w:r>
        <w:rPr>
          <w:rFonts w:hint="eastAsia" w:ascii="宋体" w:hAnsi="宋体" w:cs="宋体"/>
          <w:bCs/>
          <w:color w:val="auto"/>
          <w:kern w:val="0"/>
          <w:szCs w:val="21"/>
          <w:highlight w:val="none"/>
          <w:lang w:val="en-US" w:eastAsia="zh-CN"/>
        </w:rPr>
        <w:t>95763</w:t>
      </w:r>
      <w:r>
        <w:rPr>
          <w:rFonts w:hint="eastAsia" w:ascii="宋体" w:hAnsi="宋体" w:cs="宋体"/>
          <w:bCs/>
          <w:color w:val="auto"/>
          <w:kern w:val="0"/>
          <w:szCs w:val="21"/>
          <w:highlight w:val="none"/>
        </w:rPr>
        <w:t>。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3E522CFF">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售价（元）：0</w:t>
      </w:r>
      <w:r>
        <w:rPr>
          <w:rFonts w:hint="eastAsia" w:ascii="宋体" w:hAnsi="宋体" w:cs="宋体"/>
          <w:color w:val="auto"/>
          <w:szCs w:val="21"/>
          <w:highlight w:val="none"/>
        </w:rPr>
        <w:t xml:space="preserve">  </w:t>
      </w:r>
    </w:p>
    <w:p w14:paraId="57975B58">
      <w:pPr>
        <w:spacing w:line="360" w:lineRule="auto"/>
        <w:rPr>
          <w:rFonts w:hint="eastAsia" w:ascii="宋体" w:hAnsi="宋体" w:cs="宋体"/>
          <w:b/>
          <w:bCs/>
          <w:color w:val="auto"/>
          <w:sz w:val="24"/>
          <w:highlight w:val="none"/>
        </w:rPr>
      </w:pPr>
      <w:bookmarkStart w:id="34" w:name="_Toc28359005"/>
      <w:bookmarkStart w:id="35" w:name="_Toc28359082"/>
      <w:bookmarkStart w:id="36" w:name="_Toc35393624"/>
      <w:bookmarkStart w:id="37" w:name="_Toc35393793"/>
      <w:r>
        <w:rPr>
          <w:rFonts w:hint="eastAsia" w:ascii="宋体" w:hAnsi="宋体" w:cs="宋体"/>
          <w:b/>
          <w:bCs/>
          <w:color w:val="auto"/>
          <w:sz w:val="24"/>
          <w:highlight w:val="none"/>
        </w:rPr>
        <w:t>四、提交投标文件</w:t>
      </w:r>
      <w:bookmarkEnd w:id="34"/>
      <w:bookmarkEnd w:id="35"/>
      <w:r>
        <w:rPr>
          <w:rFonts w:hint="eastAsia" w:ascii="宋体" w:hAnsi="宋体" w:cs="宋体"/>
          <w:b/>
          <w:bCs/>
          <w:color w:val="auto"/>
          <w:sz w:val="24"/>
          <w:highlight w:val="none"/>
        </w:rPr>
        <w:t>截止时间、开标时间和地点</w:t>
      </w:r>
      <w:bookmarkEnd w:id="36"/>
      <w:bookmarkEnd w:id="37"/>
    </w:p>
    <w:p w14:paraId="1D8B0834">
      <w:pPr>
        <w:spacing w:line="360" w:lineRule="auto"/>
        <w:ind w:firstLine="420" w:firstLineChars="200"/>
        <w:rPr>
          <w:rFonts w:hint="eastAsia" w:ascii="宋体" w:hAnsi="宋体" w:cs="宋体"/>
          <w:color w:val="auto"/>
          <w:szCs w:val="21"/>
          <w:highlight w:val="none"/>
          <w:u w:val="single"/>
        </w:rPr>
      </w:pPr>
      <w:bookmarkStart w:id="38" w:name="_Toc35393625"/>
      <w:bookmarkStart w:id="39" w:name="_Toc28359084"/>
      <w:bookmarkStart w:id="40" w:name="_Toc35393794"/>
      <w:bookmarkStart w:id="41" w:name="_Toc28359007"/>
      <w:r>
        <w:rPr>
          <w:rFonts w:hint="eastAsia" w:ascii="宋体" w:hAnsi="宋体" w:cs="宋体"/>
          <w:bCs/>
          <w:color w:val="auto"/>
          <w:szCs w:val="21"/>
          <w:highlight w:val="none"/>
        </w:rPr>
        <w:t>提交投标文件截止时间：</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15</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9:30</w:t>
      </w:r>
      <w:r>
        <w:rPr>
          <w:rFonts w:hint="eastAsia" w:ascii="宋体" w:hAnsi="宋体" w:cs="宋体"/>
          <w:bCs/>
          <w:color w:val="auto"/>
          <w:szCs w:val="21"/>
          <w:highlight w:val="none"/>
        </w:rPr>
        <w:t>（北京时间）。</w:t>
      </w:r>
    </w:p>
    <w:p w14:paraId="5CE664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szCs w:val="21"/>
          <w:highlight w:val="none"/>
          <w:u w:val="single"/>
        </w:rPr>
        <w:t>广西政府采购云平台（https://www.gcy.zfcg.gxzf.gov.cn</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（本项目为全流程电子化项目，供应商应派法定代表人或委托代理人准时在线出席电子评审会议，随时关注评审进度，如在评审过程中有电子询标，应在规定的时间内对电子询标函进行澄清回复）。</w:t>
      </w:r>
    </w:p>
    <w:p w14:paraId="0DA601FA">
      <w:pPr>
        <w:spacing w:line="360" w:lineRule="auto"/>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开标时间：</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15</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9:30</w:t>
      </w:r>
      <w:r>
        <w:rPr>
          <w:rFonts w:hint="eastAsia" w:ascii="宋体" w:hAnsi="宋体" w:cs="宋体"/>
          <w:bCs/>
          <w:color w:val="auto"/>
          <w:szCs w:val="21"/>
          <w:highlight w:val="none"/>
        </w:rPr>
        <w:t>（北京时间）</w:t>
      </w:r>
    </w:p>
    <w:p w14:paraId="041C863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开标地点：广西政府采购云平台电子开标大厅。</w:t>
      </w:r>
    </w:p>
    <w:p w14:paraId="3BF5BB1F">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8"/>
      <w:bookmarkEnd w:id="39"/>
      <w:bookmarkEnd w:id="40"/>
      <w:bookmarkEnd w:id="41"/>
    </w:p>
    <w:p w14:paraId="45E7702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334C62A">
      <w:pPr>
        <w:spacing w:line="360" w:lineRule="auto"/>
        <w:rPr>
          <w:rFonts w:hint="eastAsia" w:ascii="宋体" w:hAnsi="宋体" w:cs="宋体"/>
          <w:b/>
          <w:bCs/>
          <w:color w:val="auto"/>
          <w:sz w:val="24"/>
          <w:highlight w:val="none"/>
        </w:rPr>
      </w:pPr>
      <w:bookmarkStart w:id="42" w:name="_Toc35393795"/>
      <w:bookmarkStart w:id="43" w:name="_Toc35393626"/>
      <w:r>
        <w:rPr>
          <w:rFonts w:hint="eastAsia" w:ascii="宋体" w:hAnsi="宋体" w:cs="宋体"/>
          <w:b/>
          <w:bCs/>
          <w:color w:val="auto"/>
          <w:sz w:val="24"/>
          <w:highlight w:val="none"/>
        </w:rPr>
        <w:t>六、其他补充事宜</w:t>
      </w:r>
      <w:bookmarkEnd w:id="42"/>
      <w:bookmarkEnd w:id="43"/>
    </w:p>
    <w:p w14:paraId="24AF29BF">
      <w:pPr>
        <w:spacing w:line="360" w:lineRule="auto"/>
        <w:ind w:firstLine="424" w:firstLineChars="202"/>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1.投标保证金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60</w:t>
      </w:r>
      <w:r>
        <w:rPr>
          <w:rFonts w:hint="eastAsia" w:ascii="宋体" w:hAnsi="宋体" w:cs="宋体"/>
          <w:color w:val="auto"/>
          <w:kern w:val="0"/>
          <w:szCs w:val="21"/>
          <w:highlight w:val="none"/>
          <w:u w:val="single"/>
        </w:rPr>
        <w:t xml:space="preserve">000.00 </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须足额缴纳</w:t>
      </w:r>
      <w:r>
        <w:rPr>
          <w:rFonts w:hint="eastAsia" w:ascii="宋体" w:hAnsi="宋体" w:cs="宋体"/>
          <w:color w:val="auto"/>
          <w:kern w:val="0"/>
          <w:szCs w:val="21"/>
          <w:highlight w:val="none"/>
          <w:lang w:eastAsia="zh-CN"/>
        </w:rPr>
        <w:t>）</w:t>
      </w:r>
    </w:p>
    <w:p w14:paraId="4E7DE0B9">
      <w:pPr>
        <w:pStyle w:val="106"/>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投标保证金的交纳方式：银行转账、支票、汇票、本票或者金融、担保机构出具的保函，禁止采用现钞方式。采用银行转账方式的，在投标截止时间前交至采购代理机构指定账户并且到账（开户银行：</w:t>
      </w:r>
      <w:r>
        <w:rPr>
          <w:rFonts w:hint="eastAsia" w:ascii="宋体" w:hAnsi="宋体" w:cs="宋体"/>
          <w:color w:val="auto"/>
          <w:kern w:val="0"/>
          <w:szCs w:val="21"/>
          <w:highlight w:val="none"/>
          <w:u w:val="single"/>
        </w:rPr>
        <w:t>广西北部湾银行南宁市嘉宾支行</w:t>
      </w: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广西中吉银工程项目管理有限公司</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805021372200001</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）；采用支票、汇票、本票或者保函等方式的，在投标截止时间前，投标人必须递交单独密封的支票、汇票、本票或者保函原件。否则视为无效投标保证金。（财务部联系方式：0771-</w:t>
      </w:r>
      <w:r>
        <w:rPr>
          <w:rFonts w:hint="eastAsia" w:ascii="宋体" w:hAnsi="宋体" w:cs="宋体"/>
          <w:color w:val="auto"/>
          <w:kern w:val="0"/>
          <w:szCs w:val="21"/>
          <w:highlight w:val="none"/>
          <w:lang w:val="en-US" w:eastAsia="zh-CN"/>
        </w:rPr>
        <w:t>3147550</w:t>
      </w:r>
      <w:r>
        <w:rPr>
          <w:rFonts w:hint="eastAsia" w:ascii="宋体" w:hAnsi="宋体" w:cs="宋体"/>
          <w:color w:val="auto"/>
          <w:kern w:val="0"/>
          <w:szCs w:val="21"/>
          <w:highlight w:val="none"/>
        </w:rPr>
        <w:t>）</w:t>
      </w:r>
    </w:p>
    <w:p w14:paraId="0CB7C57E">
      <w:pPr>
        <w:numPr>
          <w:ilvl w:val="0"/>
          <w:numId w:val="3"/>
        </w:numPr>
        <w:spacing w:line="360" w:lineRule="auto"/>
        <w:ind w:firstLine="424" w:firstLineChars="202"/>
        <w:rPr>
          <w:rFonts w:hint="eastAsia" w:ascii="宋体" w:hAnsi="宋体" w:cs="宋体"/>
          <w:color w:val="auto"/>
          <w:kern w:val="0"/>
          <w:szCs w:val="21"/>
          <w:highlight w:val="none"/>
        </w:rPr>
      </w:pPr>
      <w:bookmarkStart w:id="44" w:name="_Hlk37429585"/>
      <w:bookmarkStart w:id="45" w:name="_Hlk37429595"/>
      <w:r>
        <w:rPr>
          <w:rFonts w:hint="eastAsia" w:ascii="宋体" w:hAnsi="宋体" w:cs="宋体"/>
          <w:color w:val="auto"/>
          <w:kern w:val="0"/>
          <w:szCs w:val="21"/>
          <w:highlight w:val="none"/>
        </w:rPr>
        <w:t>网上查询地址</w:t>
      </w:r>
    </w:p>
    <w:bookmarkEnd w:id="44"/>
    <w:p w14:paraId="4C01955A">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r>
        <w:rPr>
          <w:rFonts w:hint="eastAsia" w:ascii="宋体" w:hAnsi="宋体" w:cs="Arial"/>
          <w:color w:val="auto"/>
          <w:highlight w:val="none"/>
        </w:rPr>
        <w:t>、广西壮族自治区公共资源交易中心网（gxggzy.gxzf.gov.cn）</w:t>
      </w:r>
      <w:r>
        <w:rPr>
          <w:rFonts w:hint="eastAsia" w:ascii="宋体" w:hAnsi="宋体" w:cs="宋体"/>
          <w:color w:val="auto"/>
          <w:kern w:val="0"/>
          <w:szCs w:val="21"/>
          <w:highlight w:val="none"/>
        </w:rPr>
        <w:t>。</w:t>
      </w:r>
    </w:p>
    <w:bookmarkEnd w:id="45"/>
    <w:p w14:paraId="1BC58B2B">
      <w:pPr>
        <w:spacing w:line="360" w:lineRule="auto"/>
        <w:ind w:firstLine="424" w:firstLineChars="202"/>
        <w:rPr>
          <w:rFonts w:hint="eastAsia" w:ascii="宋体" w:hAnsi="宋体" w:cs="宋体"/>
          <w:color w:val="auto"/>
          <w:kern w:val="0"/>
          <w:szCs w:val="21"/>
          <w:highlight w:val="none"/>
        </w:rPr>
      </w:pPr>
      <w:bookmarkStart w:id="46"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6"/>
    <w:p w14:paraId="5BBC6A0D">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0042246E">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4.在线投标响应（电子</w:t>
      </w:r>
      <w:r>
        <w:rPr>
          <w:rFonts w:hint="eastAsia" w:ascii="宋体" w:hAnsi="宋体" w:cs="宋体"/>
          <w:color w:val="auto"/>
          <w:kern w:val="0"/>
          <w:szCs w:val="21"/>
          <w:highlight w:val="none"/>
          <w:lang w:val="en-US" w:eastAsia="zh-CN"/>
        </w:rPr>
        <w:t>投</w:t>
      </w:r>
      <w:r>
        <w:rPr>
          <w:rFonts w:hint="eastAsia" w:ascii="宋体" w:hAnsi="宋体" w:cs="宋体"/>
          <w:color w:val="auto"/>
          <w:kern w:val="0"/>
          <w:szCs w:val="21"/>
          <w:highlight w:val="none"/>
        </w:rPr>
        <w:t>标）说明：</w:t>
      </w:r>
    </w:p>
    <w:p w14:paraId="38C8B3CF">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（1）本项目通过广西政府采购云平台实行在线投标响应（电子</w:t>
      </w:r>
      <w:r>
        <w:rPr>
          <w:rFonts w:hint="eastAsia" w:ascii="宋体" w:hAnsi="宋体" w:cs="宋体"/>
          <w:color w:val="auto"/>
          <w:kern w:val="0"/>
          <w:szCs w:val="21"/>
          <w:highlight w:val="none"/>
          <w:lang w:val="en-US" w:eastAsia="zh-CN"/>
        </w:rPr>
        <w:t>投</w:t>
      </w:r>
      <w:r>
        <w:rPr>
          <w:rFonts w:hint="eastAsia" w:ascii="宋体" w:hAnsi="宋体" w:cs="宋体"/>
          <w:color w:val="auto"/>
          <w:kern w:val="0"/>
          <w:szCs w:val="21"/>
          <w:highlight w:val="none"/>
        </w:rPr>
        <w:t>标），</w:t>
      </w:r>
      <w:r>
        <w:rPr>
          <w:rFonts w:hint="eastAsia" w:ascii="宋体" w:hAnsi="宋体" w:cs="宋体"/>
          <w:color w:val="auto"/>
          <w:kern w:val="0"/>
          <w:szCs w:val="21"/>
          <w:highlight w:val="none"/>
          <w:lang w:val="en-US" w:eastAsia="zh-CN"/>
        </w:rPr>
        <w:t>投标人</w:t>
      </w:r>
      <w:r>
        <w:rPr>
          <w:rFonts w:hint="eastAsia" w:ascii="宋体" w:hAnsi="宋体" w:cs="宋体"/>
          <w:color w:val="auto"/>
          <w:kern w:val="0"/>
          <w:szCs w:val="21"/>
          <w:highlight w:val="none"/>
        </w:rPr>
        <w:t>需要先安装“广西政府采购云平台电子交易客户端”，并按照本招标文件和广西政府采购云平台的要求，通过“广西政府采购云平台电子交易客户端”编制并加密投标文件。</w:t>
      </w:r>
      <w:r>
        <w:rPr>
          <w:rFonts w:hint="eastAsia" w:ascii="宋体" w:hAnsi="宋体" w:cs="宋体"/>
          <w:color w:val="auto"/>
          <w:kern w:val="0"/>
          <w:szCs w:val="21"/>
          <w:highlight w:val="none"/>
          <w:lang w:val="en-US" w:eastAsia="zh-CN"/>
        </w:rPr>
        <w:t>投标人</w:t>
      </w:r>
      <w:r>
        <w:rPr>
          <w:rFonts w:hint="eastAsia" w:ascii="宋体" w:hAnsi="宋体" w:cs="宋体"/>
          <w:color w:val="auto"/>
          <w:kern w:val="0"/>
          <w:szCs w:val="21"/>
          <w:highlight w:val="none"/>
        </w:rPr>
        <w:t>未按规定编制并加密的投标文件，广西政府采购云平台将予以拒收。</w:t>
      </w:r>
    </w:p>
    <w:p w14:paraId="30D14DB7">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“广西政府采购云平台电子交易客户端”请自行前往广西政府采购网下载并安装；下载路径：广西政府采购网（访问地址http://zfcg.gxzf.gov.cn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—办事服务—下载专区；通过广西政府采购云平台参与在线投标时如遇平台技术问题详询95763。</w:t>
      </w:r>
    </w:p>
    <w:p w14:paraId="05CE44AC">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（2）为确保网上操作合法、有效和安全，</w:t>
      </w:r>
      <w:r>
        <w:rPr>
          <w:rFonts w:hint="eastAsia" w:ascii="宋体" w:hAnsi="宋体" w:cs="宋体"/>
          <w:color w:val="auto"/>
          <w:kern w:val="0"/>
          <w:szCs w:val="21"/>
          <w:highlight w:val="none"/>
          <w:lang w:val="en-US" w:eastAsia="zh-CN"/>
        </w:rPr>
        <w:t>投标人</w:t>
      </w:r>
      <w:r>
        <w:rPr>
          <w:rFonts w:hint="eastAsia" w:ascii="宋体" w:hAnsi="宋体" w:cs="宋体"/>
          <w:color w:val="auto"/>
          <w:kern w:val="0"/>
          <w:szCs w:val="21"/>
          <w:highlight w:val="none"/>
        </w:rPr>
        <w:t>应当在投标文件递交截止时间前完成在</w:t>
      </w:r>
      <w:r>
        <w:rPr>
          <w:rFonts w:hint="eastAsia" w:ascii="宋体" w:hAnsi="宋体"/>
          <w:color w:val="auto"/>
          <w:highlight w:val="none"/>
        </w:rPr>
        <w:t>广西政府采购云平台</w:t>
      </w:r>
      <w:r>
        <w:rPr>
          <w:rFonts w:hint="eastAsia" w:ascii="宋体" w:hAnsi="宋体" w:cs="宋体"/>
          <w:color w:val="auto"/>
          <w:kern w:val="0"/>
          <w:szCs w:val="21"/>
          <w:highlight w:val="none"/>
        </w:rPr>
        <w:t>的身份认证，确保在电子投标过程中能够对相关数据电文进行加密和使用电子签章。使用“广西政府采购云平台电子交易客户端”需要提前申领 CA 数字证书，申领流程详见附件《CA 证书办理操作指南》（完成 CA 数字证书办理预计一周左右，建议供应商获取招标文件后立即办理）；</w:t>
      </w:r>
    </w:p>
    <w:p w14:paraId="414D2E23">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投标人</w:t>
      </w:r>
      <w:r>
        <w:rPr>
          <w:rFonts w:hint="eastAsia" w:ascii="宋体" w:hAnsi="宋体" w:cs="宋体"/>
          <w:color w:val="auto"/>
          <w:kern w:val="0"/>
          <w:szCs w:val="21"/>
          <w:highlight w:val="none"/>
        </w:rPr>
        <w:t>应当在投标文件递交截止时间前，将生成的“电子加密投标文件”上传递交至广西政府采购云平台。投标文件递交截止时间前可以补充、修改或者撤回电子投标文件。补充或者修改电子投标文件的，应当先行撤回原文件，补充、修改后重新传输递交，投标文件递交截止时间前未完成传输的，视为撤回投标文件。</w:t>
      </w:r>
    </w:p>
    <w:p w14:paraId="5E375E8D">
      <w:pPr>
        <w:keepNext w:val="0"/>
        <w:keepLines w:val="0"/>
        <w:pageBreakBefore w:val="0"/>
        <w:widowControl w:val="0"/>
        <w:kinsoku/>
        <w:wordWrap w:val="0"/>
        <w:overflowPunct/>
        <w:topLinePunct w:val="0"/>
        <w:autoSpaceDE/>
        <w:autoSpaceDN/>
        <w:bidi w:val="0"/>
        <w:adjustRightInd/>
        <w:snapToGrid/>
        <w:spacing w:line="360" w:lineRule="auto"/>
        <w:ind w:firstLine="424" w:firstLineChars="20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投标时，需携带制作投标文件时用来加密的有效数字证书（CA认证）登录广西政府采购云平台电子开标大厅现场按规定时间对加密的投标文件进行解密，否则后果自负。投标文件提交截止时间后，代理机构向各供应商发出电子加密投标文件【开始解密】通知，代理机构发起解密通知后30 分钟内，投标供应商必须在此时间段内登录广西政府采购云平台，用“项目采购-开标评标”功能完成电子投标文件的解密。若供应商在规定时间内无法解密或解密失败，视为投标无效。</w:t>
      </w:r>
    </w:p>
    <w:p w14:paraId="0A33207A">
      <w:pPr>
        <w:keepNext w:val="0"/>
        <w:keepLines w:val="0"/>
        <w:pageBreakBefore w:val="0"/>
        <w:widowControl w:val="0"/>
        <w:kinsoku/>
        <w:wordWrap w:val="0"/>
        <w:overflowPunct/>
        <w:topLinePunct w:val="0"/>
        <w:autoSpaceDE/>
        <w:autoSpaceDN/>
        <w:bidi w:val="0"/>
        <w:adjustRightInd/>
        <w:snapToGrid/>
        <w:spacing w:line="360" w:lineRule="auto"/>
        <w:ind w:firstLine="424" w:firstLineChars="20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w:t>
      </w:r>
      <w:r>
        <w:rPr>
          <w:rFonts w:hint="eastAsia" w:ascii="宋体" w:hAnsi="宋体" w:cs="宋体"/>
          <w:color w:val="auto"/>
          <w:kern w:val="0"/>
          <w:szCs w:val="21"/>
          <w:highlight w:val="none"/>
          <w:lang w:eastAsia="zh-CN"/>
        </w:rPr>
        <w:t>登录</w:t>
      </w:r>
      <w:r>
        <w:rPr>
          <w:rFonts w:hint="eastAsia" w:ascii="宋体" w:hAnsi="宋体" w:cs="宋体"/>
          <w:color w:val="auto"/>
          <w:kern w:val="0"/>
          <w:szCs w:val="21"/>
          <w:highlight w:val="none"/>
        </w:rPr>
        <w:t>广西政府采购云平台（https://www.gcy.zfcg.gxzf.gov.cn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，点击右侧咨询小采，获取采小蜜智能服务管家帮助，或拨打广西政府采购云平台服务热线95763获取热线服务帮助。</w:t>
      </w:r>
    </w:p>
    <w:p w14:paraId="5D4EB2B2">
      <w:pPr>
        <w:spacing w:line="360" w:lineRule="auto"/>
        <w:rPr>
          <w:rFonts w:hint="eastAsia" w:ascii="宋体" w:hAnsi="宋体" w:cs="宋体"/>
          <w:b/>
          <w:bCs/>
          <w:color w:val="auto"/>
          <w:sz w:val="24"/>
          <w:highlight w:val="none"/>
        </w:rPr>
      </w:pPr>
      <w:bookmarkStart w:id="47" w:name="_Toc35393796"/>
      <w:bookmarkStart w:id="48" w:name="_Toc28359085"/>
      <w:bookmarkStart w:id="49" w:name="_Toc28359008"/>
      <w:bookmarkStart w:id="50" w:name="_Toc35393627"/>
      <w:r>
        <w:rPr>
          <w:rFonts w:hint="eastAsia" w:ascii="宋体" w:hAnsi="宋体" w:cs="宋体"/>
          <w:b/>
          <w:bCs/>
          <w:color w:val="auto"/>
          <w:sz w:val="24"/>
          <w:highlight w:val="none"/>
        </w:rPr>
        <w:t>七、对本次招标提出询问，请按以下方式联系。</w:t>
      </w:r>
      <w:bookmarkEnd w:id="47"/>
      <w:bookmarkEnd w:id="48"/>
      <w:bookmarkEnd w:id="49"/>
      <w:bookmarkEnd w:id="50"/>
    </w:p>
    <w:p w14:paraId="44035578">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48FD8DFE">
      <w:pPr>
        <w:spacing w:line="360" w:lineRule="auto"/>
        <w:ind w:firstLine="567" w:firstLineChars="27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u w:val="single"/>
          <w:lang w:eastAsia="zh-CN"/>
        </w:rPr>
        <w:t>广西机电职业技术学院</w:t>
      </w:r>
    </w:p>
    <w:p w14:paraId="5C46FDC5">
      <w:pPr>
        <w:spacing w:line="360" w:lineRule="auto"/>
        <w:ind w:firstLine="567" w:firstLineChars="270"/>
        <w:jc w:val="left"/>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南宁市西乡塘区大学东路101号</w:t>
      </w:r>
    </w:p>
    <w:p w14:paraId="7C68BE74">
      <w:pPr>
        <w:spacing w:line="360" w:lineRule="auto"/>
        <w:ind w:firstLine="567" w:firstLineChars="270"/>
        <w:jc w:val="left"/>
        <w:rPr>
          <w:rFonts w:hint="default" w:ascii="宋体" w:hAnsi="宋体" w:eastAsia="宋体" w:cs="宋体"/>
          <w:color w:val="auto"/>
          <w:szCs w:val="21"/>
          <w:highlight w:val="none"/>
          <w:lang w:val="en-US" w:eastAsia="zh-CN"/>
        </w:rPr>
      </w:pPr>
      <w:r>
        <w:rPr>
          <w:rFonts w:ascii="宋体" w:hAnsi="宋体" w:cs="宋体"/>
          <w:color w:val="auto"/>
          <w:kern w:val="0"/>
          <w:szCs w:val="21"/>
          <w:highlight w:val="none"/>
        </w:rPr>
        <w:t>项目联系人：</w:t>
      </w:r>
      <w:r>
        <w:rPr>
          <w:rFonts w:hint="eastAsia" w:ascii="宋体" w:hAnsi="宋体" w:cs="宋体"/>
          <w:color w:val="auto"/>
          <w:szCs w:val="21"/>
          <w:highlight w:val="none"/>
          <w:u w:val="single"/>
          <w:lang w:val="en-US" w:eastAsia="zh-CN"/>
        </w:rPr>
        <w:t>梁老师</w:t>
      </w:r>
    </w:p>
    <w:p w14:paraId="2F72E228">
      <w:pPr>
        <w:spacing w:line="360" w:lineRule="auto"/>
        <w:ind w:firstLine="567" w:firstLineChars="27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项目联系方式：</w:t>
      </w:r>
      <w:bookmarkStart w:id="51" w:name="_Toc28359009"/>
      <w:bookmarkStart w:id="52" w:name="_Toc28359086"/>
      <w:r>
        <w:rPr>
          <w:rFonts w:hint="eastAsia" w:ascii="宋体" w:hAnsi="宋体" w:cs="宋体"/>
          <w:color w:val="auto"/>
          <w:szCs w:val="21"/>
          <w:highlight w:val="none"/>
          <w:u w:val="single"/>
        </w:rPr>
        <w:t>077</w:t>
      </w:r>
      <w:r>
        <w:rPr>
          <w:rFonts w:hint="eastAsia" w:ascii="宋体" w:hAnsi="宋体" w:cs="宋体"/>
          <w:color w:val="auto"/>
          <w:szCs w:val="21"/>
          <w:highlight w:val="none"/>
          <w:u w:val="single"/>
          <w:lang w:val="en-US" w:eastAsia="zh-CN"/>
        </w:rPr>
        <w:t>1-3276119</w:t>
      </w:r>
    </w:p>
    <w:p w14:paraId="0305760E">
      <w:pPr>
        <w:spacing w:line="360" w:lineRule="auto"/>
        <w:ind w:firstLine="567" w:firstLineChars="270"/>
        <w:jc w:val="left"/>
        <w:rPr>
          <w:rFonts w:hint="eastAsia" w:ascii="宋体" w:hAnsi="宋体" w:cs="宋体"/>
          <w:color w:val="auto"/>
          <w:szCs w:val="21"/>
          <w:highlight w:val="none"/>
        </w:rPr>
      </w:pPr>
      <w:bookmarkStart w:id="111" w:name="_GoBack"/>
      <w:bookmarkEnd w:id="111"/>
    </w:p>
    <w:p w14:paraId="0BF502F1">
      <w:pPr>
        <w:spacing w:line="360" w:lineRule="auto"/>
        <w:ind w:firstLine="567" w:firstLineChars="27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bookmarkEnd w:id="51"/>
      <w:bookmarkEnd w:id="52"/>
    </w:p>
    <w:p w14:paraId="18C3305C">
      <w:pPr>
        <w:spacing w:line="360" w:lineRule="auto"/>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广西中吉银工程项目管理有限公司</w:t>
      </w:r>
    </w:p>
    <w:p w14:paraId="4013B225">
      <w:pPr>
        <w:spacing w:line="360" w:lineRule="auto"/>
        <w:ind w:firstLine="567" w:firstLineChars="270"/>
        <w:rPr>
          <w:rFonts w:hint="eastAsia" w:ascii="宋体" w:hAnsi="宋体" w:cs="宋体"/>
          <w:color w:val="auto"/>
          <w:sz w:val="21"/>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南宁市青秀区民族大道</w:t>
      </w:r>
      <w:r>
        <w:rPr>
          <w:rFonts w:hint="eastAsia" w:ascii="宋体" w:hAnsi="宋体" w:cs="宋体"/>
          <w:color w:val="auto"/>
          <w:sz w:val="21"/>
          <w:szCs w:val="21"/>
          <w:highlight w:val="none"/>
          <w:u w:val="single"/>
        </w:rPr>
        <w:t>159号凤岭·新新家园A区2栋15层</w:t>
      </w:r>
    </w:p>
    <w:p w14:paraId="39C68554">
      <w:pPr>
        <w:pStyle w:val="25"/>
        <w:spacing w:line="360" w:lineRule="auto"/>
        <w:ind w:firstLine="567" w:firstLineChars="270"/>
        <w:rPr>
          <w:rFonts w:hint="default" w:hAnsi="宋体" w:cs="宋体"/>
          <w:color w:val="auto"/>
          <w:sz w:val="21"/>
          <w:szCs w:val="21"/>
          <w:highlight w:val="none"/>
          <w:lang w:val="en-US"/>
        </w:rPr>
      </w:pPr>
      <w:r>
        <w:rPr>
          <w:rFonts w:hint="eastAsia" w:hAnsi="宋体" w:cs="宋体"/>
          <w:color w:val="auto"/>
          <w:sz w:val="21"/>
          <w:szCs w:val="21"/>
          <w:highlight w:val="none"/>
        </w:rPr>
        <w:t>项目联系人（询问）：</w:t>
      </w:r>
      <w:r>
        <w:rPr>
          <w:rFonts w:hint="eastAsia" w:hAnsi="宋体" w:cs="宋体"/>
          <w:color w:val="auto"/>
          <w:sz w:val="21"/>
          <w:szCs w:val="21"/>
          <w:highlight w:val="none"/>
          <w:u w:val="single"/>
          <w:lang w:val="en-US" w:eastAsia="zh-CN"/>
        </w:rPr>
        <w:t>米凉求</w:t>
      </w:r>
    </w:p>
    <w:p w14:paraId="3615DA8D">
      <w:pPr>
        <w:spacing w:line="360" w:lineRule="auto"/>
        <w:ind w:firstLine="567" w:firstLineChars="270"/>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项目联系方式（询问）：</w:t>
      </w:r>
      <w:r>
        <w:rPr>
          <w:rFonts w:hint="eastAsia" w:ascii="宋体" w:hAnsi="宋体" w:cs="宋体"/>
          <w:color w:val="auto"/>
          <w:sz w:val="21"/>
          <w:szCs w:val="21"/>
          <w:highlight w:val="none"/>
          <w:u w:val="single"/>
        </w:rPr>
        <w:t>0771-3146887、3120820</w:t>
      </w:r>
    </w:p>
    <w:p w14:paraId="4DE08A18">
      <w:pPr>
        <w:spacing w:line="360" w:lineRule="auto"/>
        <w:rPr>
          <w:rFonts w:hint="eastAsia" w:ascii="宋体" w:hAnsi="宋体" w:cs="宋体"/>
          <w:color w:val="auto"/>
          <w:szCs w:val="21"/>
          <w:highlight w:val="none"/>
        </w:rPr>
      </w:pPr>
    </w:p>
    <w:p w14:paraId="0AA4731C">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u w:val="single"/>
        </w:rPr>
        <w:t>广西中吉银工程项目管理有限公司</w:t>
      </w:r>
    </w:p>
    <w:p w14:paraId="72BDCA71">
      <w:pPr>
        <w:spacing w:line="360" w:lineRule="auto"/>
        <w:ind w:firstLine="210" w:firstLineChars="100"/>
        <w:jc w:val="right"/>
        <w:rPr>
          <w:rFonts w:hint="eastAsia" w:ascii="宋体" w:hAnsi="宋体" w:cs="宋体"/>
          <w:color w:val="auto"/>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rPr>
        <w:t>日</w:t>
      </w:r>
    </w:p>
    <w:p w14:paraId="78159E34">
      <w:pPr>
        <w:snapToGrid w:val="0"/>
        <w:spacing w:line="320" w:lineRule="exact"/>
        <w:ind w:left="238"/>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p>
    <w:p w14:paraId="6A019240">
      <w:pPr>
        <w:pStyle w:val="3"/>
        <w:keepNext w:val="0"/>
        <w:keepLines w:val="0"/>
        <w:jc w:val="center"/>
        <w:rPr>
          <w:rFonts w:hint="eastAsia" w:ascii="宋体" w:hAnsi="宋体" w:eastAsia="宋体" w:cs="宋体"/>
          <w:color w:val="auto"/>
          <w:sz w:val="30"/>
          <w:szCs w:val="30"/>
          <w:highlight w:val="none"/>
        </w:rPr>
      </w:pPr>
      <w:bookmarkStart w:id="53" w:name="_Toc19686830"/>
      <w:r>
        <w:rPr>
          <w:rFonts w:hint="eastAsia" w:ascii="宋体" w:hAnsi="宋体" w:eastAsia="宋体" w:cs="宋体"/>
          <w:color w:val="auto"/>
          <w:highlight w:val="none"/>
        </w:rPr>
        <w:t>第二章  招标项目采购需求</w:t>
      </w:r>
      <w:bookmarkEnd w:id="53"/>
    </w:p>
    <w:p w14:paraId="4531166E">
      <w:pPr>
        <w:spacing w:line="360" w:lineRule="auto"/>
        <w:jc w:val="left"/>
        <w:rPr>
          <w:rFonts w:hint="eastAsia" w:ascii="宋体" w:hAnsi="宋体" w:cs="宋体"/>
          <w:b/>
          <w:bCs/>
          <w:color w:val="auto"/>
          <w:szCs w:val="21"/>
          <w:highlight w:val="none"/>
        </w:rPr>
      </w:pPr>
      <w:bookmarkStart w:id="54" w:name="_Toc254970490"/>
      <w:bookmarkStart w:id="55" w:name="_Toc254970631"/>
      <w:r>
        <w:rPr>
          <w:rFonts w:hint="eastAsia" w:ascii="宋体" w:hAnsi="宋体" w:cs="宋体"/>
          <w:b/>
          <w:bCs/>
          <w:color w:val="auto"/>
          <w:szCs w:val="21"/>
          <w:highlight w:val="none"/>
        </w:rPr>
        <w:t>说明：</w:t>
      </w:r>
    </w:p>
    <w:p w14:paraId="1D3BE29C">
      <w:pPr>
        <w:spacing w:line="360" w:lineRule="auto"/>
        <w:ind w:firstLine="426" w:firstLineChars="202"/>
        <w:jc w:val="left"/>
        <w:rPr>
          <w:rFonts w:hint="eastAsia" w:ascii="宋体" w:hAnsi="宋体" w:cs="宋体"/>
          <w:b/>
          <w:bCs/>
          <w:color w:val="auto"/>
          <w:highlight w:val="none"/>
        </w:rPr>
      </w:pPr>
      <w:r>
        <w:rPr>
          <w:rFonts w:hint="eastAsia" w:ascii="宋体" w:hAnsi="宋体" w:cs="宋体"/>
          <w:b/>
          <w:bCs/>
          <w:color w:val="auto"/>
          <w:highlight w:val="none"/>
        </w:rPr>
        <w:t>1.本需求表中标注“★”的条款均为实质性要求或条件，投标人必须作出</w:t>
      </w:r>
    </w:p>
    <w:p w14:paraId="09C249EA">
      <w:pPr>
        <w:spacing w:line="360" w:lineRule="auto"/>
        <w:ind w:firstLine="426" w:firstLineChars="202"/>
        <w:jc w:val="left"/>
        <w:rPr>
          <w:rFonts w:hint="eastAsia" w:ascii="宋体" w:hAnsi="宋体" w:cs="宋体"/>
          <w:b/>
          <w:bCs/>
          <w:color w:val="auto"/>
          <w:highlight w:val="none"/>
        </w:rPr>
      </w:pPr>
      <w:r>
        <w:rPr>
          <w:rFonts w:hint="eastAsia" w:ascii="宋体" w:hAnsi="宋体" w:cs="宋体"/>
          <w:b/>
          <w:bCs/>
          <w:color w:val="auto"/>
          <w:highlight w:val="none"/>
        </w:rPr>
        <w:t>满足或者优于该要求和条件的承诺（另有要求的除外），否则投标无效。</w:t>
      </w:r>
    </w:p>
    <w:p w14:paraId="24117902">
      <w:pPr>
        <w:spacing w:line="360" w:lineRule="auto"/>
        <w:ind w:firstLine="426" w:firstLineChars="202"/>
        <w:jc w:val="left"/>
        <w:rPr>
          <w:rFonts w:hint="eastAsia" w:ascii="宋体" w:hAnsi="宋体" w:cs="宋体"/>
          <w:b/>
          <w:bCs/>
          <w:color w:val="auto"/>
          <w:highlight w:val="none"/>
        </w:rPr>
      </w:pPr>
      <w:r>
        <w:rPr>
          <w:rFonts w:hint="eastAsia" w:ascii="宋体" w:hAnsi="宋体" w:cs="宋体"/>
          <w:b/>
          <w:bCs/>
          <w:color w:val="auto"/>
          <w:highlight w:val="none"/>
          <w:lang w:val="en-US" w:eastAsia="zh-CN"/>
        </w:rPr>
        <w:t>2.</w:t>
      </w:r>
      <w:r>
        <w:rPr>
          <w:rFonts w:hint="eastAsia" w:ascii="宋体" w:hAnsi="宋体" w:cs="宋体"/>
          <w:b/>
          <w:bCs/>
          <w:color w:val="auto"/>
          <w:highlight w:val="none"/>
        </w:rPr>
        <w:t>投标人所投标货物或服务如有国家相关标准、行业标准、地方标准或者其他标准、规范要求的按相关规定执行，若执行标准有修改或更新按最新版本执行。</w:t>
      </w:r>
    </w:p>
    <w:p w14:paraId="4FEFFB85">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highlight w:val="none"/>
          <w:lang w:val="en-US" w:eastAsia="zh-CN"/>
        </w:rPr>
        <w:t>3.</w:t>
      </w:r>
      <w:r>
        <w:rPr>
          <w:rFonts w:hint="eastAsia" w:ascii="宋体" w:hAnsi="宋体" w:cs="宋体"/>
          <w:b/>
          <w:bCs/>
          <w:color w:val="auto"/>
          <w:highlight w:val="none"/>
        </w:rPr>
        <w:t>采购标的对应的中小企业划分标准所属行业：根据《关于印发中小企业划型标准规定的通知》（工信部联企业〔2011〕300号），本次采购标的属于：</w:t>
      </w:r>
      <w:r>
        <w:rPr>
          <w:rFonts w:hint="eastAsia" w:ascii="宋体" w:hAnsi="宋体" w:cs="宋体"/>
          <w:b/>
          <w:bCs/>
          <w:color w:val="auto"/>
          <w:highlight w:val="none"/>
          <w:u w:val="single"/>
        </w:rPr>
        <w:t>其他未列明行业</w:t>
      </w:r>
      <w:r>
        <w:rPr>
          <w:rFonts w:hint="eastAsia" w:ascii="宋体" w:hAnsi="宋体" w:cs="宋体"/>
          <w:b/>
          <w:bCs/>
          <w:color w:val="auto"/>
          <w:szCs w:val="21"/>
          <w:highlight w:val="none"/>
        </w:rPr>
        <w:t>。</w:t>
      </w:r>
    </w:p>
    <w:p w14:paraId="7F84DC9A">
      <w:pPr>
        <w:spacing w:line="360" w:lineRule="auto"/>
        <w:ind w:firstLine="308" w:firstLineChars="147"/>
        <w:jc w:val="left"/>
        <w:rPr>
          <w:rFonts w:hint="eastAsia" w:ascii="宋体" w:hAnsi="宋体" w:cs="宋体"/>
          <w:bCs/>
          <w:color w:val="auto"/>
          <w:szCs w:val="21"/>
          <w:highlight w:val="none"/>
          <w:u w:val="single"/>
        </w:rPr>
      </w:pPr>
    </w:p>
    <w:p w14:paraId="7EE0E9C8">
      <w:pPr>
        <w:spacing w:line="400" w:lineRule="exact"/>
        <w:ind w:firstLine="435"/>
        <w:rPr>
          <w:rFonts w:hint="eastAsia" w:ascii="宋体"/>
          <w:b/>
          <w:bCs/>
          <w:color w:val="auto"/>
          <w:sz w:val="28"/>
          <w:szCs w:val="28"/>
          <w:highlight w:val="none"/>
        </w:rPr>
      </w:pPr>
      <w:r>
        <w:rPr>
          <w:rFonts w:hint="eastAsia" w:ascii="宋体"/>
          <w:b/>
          <w:bCs/>
          <w:color w:val="auto"/>
          <w:sz w:val="28"/>
          <w:szCs w:val="28"/>
          <w:highlight w:val="none"/>
        </w:rPr>
        <w:t>本项目采购预算：600.00万元</w:t>
      </w:r>
      <w:r>
        <w:rPr>
          <w:rFonts w:hint="eastAsia" w:ascii="宋体" w:hAnsi="宋体"/>
          <w:color w:val="auto"/>
          <w:szCs w:val="21"/>
          <w:highlight w:val="none"/>
        </w:rPr>
        <w:t>（最高限价金额：600.00万元）</w:t>
      </w:r>
    </w:p>
    <w:tbl>
      <w:tblPr>
        <w:tblStyle w:val="4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794"/>
        <w:gridCol w:w="950"/>
        <w:gridCol w:w="6668"/>
      </w:tblGrid>
      <w:tr w14:paraId="0755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331D68AC">
            <w:pPr>
              <w:jc w:val="center"/>
              <w:rPr>
                <w:b/>
                <w:color w:val="auto"/>
                <w:highlight w:val="none"/>
              </w:rPr>
            </w:pPr>
            <w:r>
              <w:rPr>
                <w:rFonts w:hint="eastAsia"/>
                <w:b/>
                <w:color w:val="auto"/>
                <w:highlight w:val="none"/>
                <w:lang w:eastAsia="zh-CN"/>
              </w:rPr>
              <w:t>序</w:t>
            </w:r>
            <w:r>
              <w:rPr>
                <w:rFonts w:hint="eastAsia"/>
                <w:b/>
                <w:color w:val="auto"/>
                <w:highlight w:val="none"/>
              </w:rPr>
              <w:t>号</w:t>
            </w:r>
          </w:p>
        </w:tc>
        <w:tc>
          <w:tcPr>
            <w:tcW w:w="1660" w:type="dxa"/>
            <w:gridSpan w:val="2"/>
            <w:tcBorders>
              <w:top w:val="single" w:color="auto" w:sz="4" w:space="0"/>
              <w:left w:val="single" w:color="auto" w:sz="4" w:space="0"/>
              <w:bottom w:val="single" w:color="auto" w:sz="4" w:space="0"/>
              <w:right w:val="single" w:color="auto" w:sz="4" w:space="0"/>
            </w:tcBorders>
            <w:noWrap w:val="0"/>
            <w:vAlign w:val="center"/>
          </w:tcPr>
          <w:p w14:paraId="536C4288">
            <w:pPr>
              <w:jc w:val="center"/>
              <w:rPr>
                <w:rFonts w:hint="eastAsia"/>
                <w:b/>
                <w:color w:val="auto"/>
                <w:highlight w:val="none"/>
              </w:rPr>
            </w:pPr>
            <w:r>
              <w:rPr>
                <w:rFonts w:hint="eastAsia"/>
                <w:b/>
                <w:color w:val="auto"/>
                <w:highlight w:val="none"/>
              </w:rPr>
              <w:t>服务</w:t>
            </w:r>
          </w:p>
          <w:p w14:paraId="6FE87501">
            <w:pPr>
              <w:jc w:val="center"/>
              <w:rPr>
                <w:b/>
                <w:color w:val="auto"/>
                <w:highlight w:val="none"/>
              </w:rPr>
            </w:pPr>
            <w:r>
              <w:rPr>
                <w:rFonts w:hint="eastAsia"/>
                <w:b/>
                <w:color w:val="auto"/>
                <w:highlight w:val="none"/>
              </w:rPr>
              <w:t>名称</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28D987C">
            <w:pPr>
              <w:jc w:val="center"/>
              <w:rPr>
                <w:rFonts w:hint="default" w:eastAsia="宋体"/>
                <w:b/>
                <w:color w:val="auto"/>
                <w:highlight w:val="none"/>
                <w:lang w:val="en-US" w:eastAsia="zh-CN"/>
              </w:rPr>
            </w:pPr>
            <w:r>
              <w:rPr>
                <w:rFonts w:hint="eastAsia"/>
                <w:b/>
                <w:color w:val="auto"/>
                <w:highlight w:val="none"/>
                <w:lang w:val="en-US" w:eastAsia="zh-CN"/>
              </w:rPr>
              <w:t>数量及单位</w:t>
            </w:r>
          </w:p>
        </w:tc>
        <w:tc>
          <w:tcPr>
            <w:tcW w:w="6668" w:type="dxa"/>
            <w:tcBorders>
              <w:top w:val="single" w:color="auto" w:sz="4" w:space="0"/>
              <w:left w:val="single" w:color="auto" w:sz="4" w:space="0"/>
              <w:bottom w:val="single" w:color="auto" w:sz="4" w:space="0"/>
              <w:right w:val="single" w:color="auto" w:sz="4" w:space="0"/>
            </w:tcBorders>
            <w:noWrap w:val="0"/>
            <w:vAlign w:val="center"/>
          </w:tcPr>
          <w:p w14:paraId="14AAE227">
            <w:pPr>
              <w:jc w:val="center"/>
              <w:rPr>
                <w:b/>
                <w:color w:val="auto"/>
                <w:highlight w:val="none"/>
              </w:rPr>
            </w:pPr>
            <w:r>
              <w:rPr>
                <w:rFonts w:hint="eastAsia" w:ascii="宋体" w:hAnsi="宋体"/>
                <w:b/>
                <w:color w:val="auto"/>
                <w:szCs w:val="21"/>
                <w:highlight w:val="none"/>
              </w:rPr>
              <w:t>服务内容和要求</w:t>
            </w:r>
          </w:p>
        </w:tc>
      </w:tr>
      <w:tr w14:paraId="5DD2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401BB7C5">
            <w:pPr>
              <w:ind w:firstLine="105" w:firstLineChars="50"/>
              <w:rPr>
                <w:rFonts w:hint="eastAsia"/>
                <w:color w:val="auto"/>
                <w:highlight w:val="none"/>
              </w:rPr>
            </w:pPr>
            <w:r>
              <w:rPr>
                <w:rFonts w:hint="eastAsia" w:cs="Arial"/>
                <w:color w:val="auto"/>
                <w:highlight w:val="none"/>
              </w:rPr>
              <w:t>1</w:t>
            </w:r>
          </w:p>
        </w:tc>
        <w:tc>
          <w:tcPr>
            <w:tcW w:w="1660" w:type="dxa"/>
            <w:gridSpan w:val="2"/>
            <w:tcBorders>
              <w:top w:val="single" w:color="auto" w:sz="4" w:space="0"/>
              <w:left w:val="single" w:color="auto" w:sz="4" w:space="0"/>
              <w:bottom w:val="single" w:color="auto" w:sz="4" w:space="0"/>
              <w:right w:val="single" w:color="auto" w:sz="4" w:space="0"/>
            </w:tcBorders>
            <w:noWrap w:val="0"/>
            <w:vAlign w:val="center"/>
          </w:tcPr>
          <w:p w14:paraId="006B9BAB">
            <w:pPr>
              <w:spacing w:line="400" w:lineRule="exact"/>
              <w:jc w:val="center"/>
              <w:rPr>
                <w:color w:val="auto"/>
                <w:highlight w:val="none"/>
              </w:rPr>
            </w:pPr>
            <w:r>
              <w:rPr>
                <w:rFonts w:hint="eastAsia"/>
                <w:color w:val="auto"/>
                <w:highlight w:val="none"/>
              </w:rPr>
              <w:t>“金课”建设指导服务</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3161ECF1">
            <w:pPr>
              <w:spacing w:line="400" w:lineRule="exact"/>
              <w:jc w:val="center"/>
              <w:rPr>
                <w:rFonts w:hint="eastAsia" w:eastAsia="宋体"/>
                <w:color w:val="auto"/>
                <w:highlight w:val="none"/>
                <w:lang w:val="en-US" w:eastAsia="zh-CN"/>
              </w:rPr>
            </w:pPr>
            <w:r>
              <w:rPr>
                <w:rFonts w:hint="eastAsia" w:eastAsia="宋体"/>
                <w:color w:val="auto"/>
                <w:highlight w:val="none"/>
                <w:lang w:val="en-US" w:eastAsia="zh-CN"/>
              </w:rPr>
              <w:t>1项</w:t>
            </w:r>
          </w:p>
        </w:tc>
        <w:tc>
          <w:tcPr>
            <w:tcW w:w="6668" w:type="dxa"/>
            <w:tcBorders>
              <w:top w:val="single" w:color="auto" w:sz="4" w:space="0"/>
              <w:left w:val="single" w:color="auto" w:sz="4" w:space="0"/>
              <w:bottom w:val="single" w:color="auto" w:sz="4" w:space="0"/>
              <w:right w:val="single" w:color="auto" w:sz="4" w:space="0"/>
            </w:tcBorders>
            <w:noWrap w:val="0"/>
            <w:vAlign w:val="top"/>
          </w:tcPr>
          <w:p w14:paraId="1E938775">
            <w:pPr>
              <w:spacing w:line="400" w:lineRule="exact"/>
              <w:ind w:firstLine="420" w:firstLineChars="200"/>
              <w:rPr>
                <w:rFonts w:hint="eastAsia"/>
                <w:color w:val="auto"/>
                <w:highlight w:val="none"/>
              </w:rPr>
            </w:pPr>
            <w:r>
              <w:rPr>
                <w:rFonts w:hint="eastAsia"/>
                <w:color w:val="auto"/>
                <w:highlight w:val="none"/>
              </w:rPr>
              <w:t>项目引入中国高等职业教育领域一流课程专家，采取“一专家一课程”的服务指导方式，“一对一”伴随式辅导学校21支“金课”课程开发团队，旨在全面提升21支“金课”课程开发团队成员的课程开发与建设能力，确保21门“金课”在内容、方法、资源、评价等方面达到国家级成果（在线精品课程、规划教材）和自治区级东盟国际化资源申报标准，并具备国际化教学资源转化能力。</w:t>
            </w:r>
          </w:p>
          <w:p w14:paraId="4794A612">
            <w:pPr>
              <w:spacing w:line="400" w:lineRule="exact"/>
              <w:ind w:firstLine="420" w:firstLineChars="200"/>
              <w:rPr>
                <w:rFonts w:hint="eastAsia"/>
                <w:color w:val="auto"/>
                <w:highlight w:val="none"/>
              </w:rPr>
            </w:pPr>
            <w:r>
              <w:rPr>
                <w:rFonts w:hint="eastAsia"/>
                <w:color w:val="auto"/>
                <w:highlight w:val="none"/>
              </w:rPr>
              <w:t>21门课程名称：智能焊接技术及应用、机器人焊接工艺、机器视觉技术应用、集成电路版图设计、单片机原理及应用、电子线路板设计与制作、汽车电气设备检修、新能源汽车动力蓄电池及管理技术、二手车鉴定评估与交易、精密检测技术、空调工程设计、智慧快递运营、人工智能系统项目管理与实践、Web前端开发基础、居住空间设计、短视频创作与运营、财务管理、机械CAD/CAM应用、工匠精神的实践与养成、高等数学、金工实训。课程名称根据建设需求进行调整。</w:t>
            </w:r>
          </w:p>
          <w:p w14:paraId="696310E4">
            <w:pPr>
              <w:spacing w:line="400" w:lineRule="exact"/>
              <w:ind w:firstLine="422" w:firstLineChars="200"/>
              <w:rPr>
                <w:rFonts w:hint="eastAsia"/>
                <w:b/>
                <w:bCs/>
                <w:color w:val="auto"/>
                <w:highlight w:val="none"/>
              </w:rPr>
            </w:pPr>
            <w:r>
              <w:rPr>
                <w:rFonts w:hint="eastAsia"/>
                <w:b/>
                <w:bCs/>
                <w:color w:val="auto"/>
                <w:highlight w:val="none"/>
              </w:rPr>
              <w:t>一、课程开发团队能力提升</w:t>
            </w:r>
            <w:r>
              <w:rPr>
                <w:rFonts w:hint="eastAsia"/>
                <w:b/>
                <w:bCs/>
                <w:color w:val="auto"/>
                <w:highlight w:val="none"/>
                <w:lang w:eastAsia="zh-CN"/>
              </w:rPr>
              <w:t>要求</w:t>
            </w:r>
            <w:r>
              <w:rPr>
                <w:rFonts w:hint="eastAsia"/>
                <w:b/>
                <w:bCs/>
                <w:color w:val="auto"/>
                <w:highlight w:val="none"/>
              </w:rPr>
              <w:t xml:space="preserve"> </w:t>
            </w:r>
          </w:p>
          <w:p w14:paraId="307DFFC3">
            <w:pPr>
              <w:spacing w:line="400" w:lineRule="exact"/>
              <w:ind w:firstLine="422" w:firstLineChars="200"/>
              <w:rPr>
                <w:rFonts w:hint="eastAsia"/>
                <w:b/>
                <w:bCs/>
                <w:color w:val="auto"/>
                <w:highlight w:val="none"/>
              </w:rPr>
            </w:pPr>
            <w:r>
              <w:rPr>
                <w:rFonts w:hint="eastAsia"/>
                <w:b/>
                <w:bCs/>
                <w:color w:val="auto"/>
                <w:highlight w:val="none"/>
              </w:rPr>
              <w:t>（一）课程开发与运行的9道工序能力提升要求</w:t>
            </w:r>
          </w:p>
          <w:p w14:paraId="67F44110">
            <w:pPr>
              <w:spacing w:line="400" w:lineRule="exact"/>
              <w:ind w:firstLine="420" w:firstLineChars="200"/>
              <w:rPr>
                <w:rFonts w:hint="eastAsia"/>
                <w:color w:val="auto"/>
                <w:highlight w:val="none"/>
              </w:rPr>
            </w:pPr>
            <w:r>
              <w:rPr>
                <w:rFonts w:hint="eastAsia"/>
                <w:color w:val="auto"/>
                <w:highlight w:val="none"/>
              </w:rPr>
              <w:t>提升课程开发团队在课程开发、运行中课程标准设计、课程整体设计、课程单元设计、课程教案设计、单元评价方案设计、资源制作、规范施教、质量评价、持续改进教学等9道工序中的专业能力，确保课程符合教育部标准、OBE理念及国家级成果（国家级规划教材、在线精品课程）和自治区级东盟国际化资源申报标准，实现教学质量和教学效果的持续改进。</w:t>
            </w:r>
          </w:p>
          <w:p w14:paraId="1DEE9C89">
            <w:pPr>
              <w:spacing w:line="400" w:lineRule="exact"/>
              <w:ind w:firstLine="422" w:firstLineChars="200"/>
              <w:rPr>
                <w:rFonts w:hint="eastAsia" w:eastAsia="宋体"/>
                <w:b/>
                <w:bCs/>
                <w:color w:val="auto"/>
                <w:highlight w:val="none"/>
                <w:lang w:val="en-US" w:eastAsia="zh-CN"/>
              </w:rPr>
            </w:pPr>
            <w:r>
              <w:rPr>
                <w:rFonts w:hint="eastAsia"/>
                <w:b/>
                <w:bCs/>
                <w:color w:val="auto"/>
                <w:highlight w:val="none"/>
              </w:rPr>
              <w:t>1.课程标准设计能力</w:t>
            </w:r>
            <w:r>
              <w:rPr>
                <w:rFonts w:hint="eastAsia" w:ascii="Times New Roman" w:hAnsi="Times New Roman" w:eastAsia="宋体" w:cs="Times New Roman"/>
                <w:b/>
                <w:bCs/>
                <w:color w:val="auto"/>
                <w:highlight w:val="none"/>
                <w:u w:val="none"/>
                <w:lang w:val="en-US" w:eastAsia="zh-CN"/>
              </w:rPr>
              <w:t>要求</w:t>
            </w:r>
          </w:p>
          <w:p w14:paraId="28ABE342">
            <w:pPr>
              <w:spacing w:line="400" w:lineRule="exact"/>
              <w:ind w:firstLine="420" w:firstLineChars="200"/>
              <w:rPr>
                <w:rFonts w:hint="eastAsia"/>
                <w:color w:val="auto"/>
                <w:highlight w:val="none"/>
              </w:rPr>
            </w:pPr>
            <w:r>
              <w:rPr>
                <w:rFonts w:hint="eastAsia"/>
                <w:color w:val="auto"/>
                <w:highlight w:val="none"/>
              </w:rPr>
              <w:t>培训强化课程团队课程标准设计能力，包括OBE理念解读、课程标准模板使用说明、课程标准文本撰写技巧等内容，以提升教师的课程标准设计能力。辅导专家应提供及时、专业的咨询服务，解答教师在课程标准设计过程中遇到的问题和困惑。对课程团队撰写的课程标准进行批阅，指导其进行修改完善，确保课程标准符合教育部的最新政策和学校实际需求。</w:t>
            </w:r>
          </w:p>
          <w:p w14:paraId="7BBB9986">
            <w:pPr>
              <w:spacing w:line="400" w:lineRule="exact"/>
              <w:ind w:firstLine="422" w:firstLineChars="200"/>
              <w:rPr>
                <w:rFonts w:hint="eastAsia"/>
                <w:b/>
                <w:bCs/>
                <w:color w:val="auto"/>
                <w:highlight w:val="none"/>
              </w:rPr>
            </w:pPr>
            <w:r>
              <w:rPr>
                <w:rFonts w:hint="eastAsia"/>
                <w:b/>
                <w:bCs/>
                <w:color w:val="auto"/>
                <w:highlight w:val="none"/>
              </w:rPr>
              <w:t>★交付物：</w:t>
            </w:r>
          </w:p>
          <w:p w14:paraId="22F09F75">
            <w:pPr>
              <w:spacing w:line="400" w:lineRule="exact"/>
              <w:ind w:firstLine="420" w:firstLineChars="200"/>
              <w:rPr>
                <w:rFonts w:hint="eastAsia"/>
                <w:color w:val="auto"/>
                <w:highlight w:val="none"/>
              </w:rPr>
            </w:pPr>
            <w:r>
              <w:rPr>
                <w:rFonts w:hint="eastAsia"/>
                <w:color w:val="auto"/>
                <w:highlight w:val="none"/>
              </w:rPr>
              <w:t>（1）提供基于成果导向的课程标准模板。涵盖课程基本信息、课程目标、课程内容、教学方法与手段、教学资源、教学评价与反馈、课程实施建议等关键要素。</w:t>
            </w:r>
          </w:p>
          <w:p w14:paraId="10322E10">
            <w:pPr>
              <w:spacing w:line="400" w:lineRule="exact"/>
              <w:ind w:firstLine="420" w:firstLineChars="200"/>
              <w:rPr>
                <w:rFonts w:hint="eastAsia"/>
                <w:color w:val="auto"/>
                <w:highlight w:val="none"/>
              </w:rPr>
            </w:pPr>
            <w:r>
              <w:rPr>
                <w:rFonts w:hint="eastAsia"/>
                <w:color w:val="auto"/>
                <w:highlight w:val="none"/>
              </w:rPr>
              <w:t>（2）课程标准设计指导材料：包括课程标准设计方法的讲解PPT、案例分析、实践指导等。</w:t>
            </w:r>
          </w:p>
          <w:p w14:paraId="30233A72">
            <w:pPr>
              <w:spacing w:line="400" w:lineRule="exact"/>
              <w:ind w:firstLine="420" w:firstLineChars="200"/>
              <w:rPr>
                <w:rFonts w:hint="eastAsia"/>
                <w:color w:val="auto"/>
                <w:highlight w:val="none"/>
              </w:rPr>
            </w:pPr>
            <w:r>
              <w:rPr>
                <w:rFonts w:hint="eastAsia"/>
                <w:color w:val="auto"/>
                <w:highlight w:val="none"/>
              </w:rPr>
              <w:t>（3）指导对应团队制定符合教育部标准和OBE理念的课程标准文本，1份/门。所制定的课程标准须通过学校组织的验收。</w:t>
            </w:r>
          </w:p>
          <w:p w14:paraId="12A086B8">
            <w:pPr>
              <w:spacing w:line="400" w:lineRule="exact"/>
              <w:ind w:firstLine="422" w:firstLineChars="200"/>
              <w:rPr>
                <w:rFonts w:hint="eastAsia"/>
                <w:b/>
                <w:bCs/>
                <w:color w:val="auto"/>
                <w:highlight w:val="none"/>
              </w:rPr>
            </w:pPr>
            <w:r>
              <w:rPr>
                <w:rFonts w:hint="eastAsia"/>
                <w:b/>
                <w:bCs/>
                <w:color w:val="auto"/>
                <w:highlight w:val="none"/>
              </w:rPr>
              <w:t>2.课程整体设计能力</w:t>
            </w:r>
            <w:r>
              <w:rPr>
                <w:rFonts w:hint="eastAsia"/>
                <w:b/>
                <w:bCs/>
                <w:color w:val="auto"/>
                <w:highlight w:val="none"/>
                <w:lang w:eastAsia="zh-CN"/>
              </w:rPr>
              <w:t>要求</w:t>
            </w:r>
          </w:p>
          <w:p w14:paraId="0840CC18">
            <w:pPr>
              <w:spacing w:line="400" w:lineRule="exact"/>
              <w:ind w:firstLine="420" w:firstLineChars="200"/>
              <w:rPr>
                <w:rFonts w:hint="eastAsia"/>
                <w:color w:val="auto"/>
                <w:highlight w:val="none"/>
              </w:rPr>
            </w:pPr>
            <w:r>
              <w:rPr>
                <w:rFonts w:hint="eastAsia"/>
                <w:color w:val="auto"/>
                <w:highlight w:val="none"/>
              </w:rPr>
              <w:t>培训强化课程团队课程整体设计能力，涵盖课程目标设定、内容结构优化、教学方法创新、教学资源整合以及教学评价构建等关键方面，助力课程团队全面掌握课程设计的核心要素。辅导专家应提供及时、专业的咨询服务，解答教师在课程整体设计过程中遇到的问题和困惑。对课程团队撰写的整体设计进行批阅，指导其进行修改完善，确保课程整体设计既符合教学目标又贴合学生实际需求。</w:t>
            </w:r>
          </w:p>
          <w:p w14:paraId="7A0C5188">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7B6C9621">
            <w:pPr>
              <w:spacing w:line="400" w:lineRule="exact"/>
              <w:ind w:firstLine="420" w:firstLineChars="200"/>
              <w:rPr>
                <w:rFonts w:hint="eastAsia"/>
                <w:color w:val="auto"/>
                <w:highlight w:val="none"/>
              </w:rPr>
            </w:pPr>
            <w:r>
              <w:rPr>
                <w:rFonts w:hint="eastAsia"/>
                <w:color w:val="auto"/>
                <w:highlight w:val="none"/>
              </w:rPr>
              <w:t>（1）课程整体设计模板：涵盖课程目标、内容结构、教学方法、教学资源、教学评价等关键方面，确保课程设计者能够系统地规划课程。</w:t>
            </w:r>
          </w:p>
          <w:p w14:paraId="53C1E3B8">
            <w:pPr>
              <w:spacing w:line="400" w:lineRule="exact"/>
              <w:ind w:firstLine="420" w:firstLineChars="200"/>
              <w:rPr>
                <w:rFonts w:hint="eastAsia"/>
                <w:color w:val="auto"/>
                <w:highlight w:val="none"/>
              </w:rPr>
            </w:pPr>
            <w:r>
              <w:rPr>
                <w:rFonts w:hint="eastAsia"/>
                <w:color w:val="auto"/>
                <w:highlight w:val="none"/>
              </w:rPr>
              <w:t>（2）课程整体设计指导材料：包括课程整体设计方法的讲解PPT、案例分析、实践指导等。</w:t>
            </w:r>
          </w:p>
          <w:p w14:paraId="20F37768">
            <w:pPr>
              <w:spacing w:line="400" w:lineRule="exact"/>
              <w:ind w:firstLine="420" w:firstLineChars="200"/>
              <w:rPr>
                <w:rFonts w:hint="eastAsia"/>
                <w:color w:val="auto"/>
                <w:highlight w:val="none"/>
              </w:rPr>
            </w:pPr>
            <w:r>
              <w:rPr>
                <w:rFonts w:hint="eastAsia"/>
                <w:color w:val="auto"/>
                <w:highlight w:val="none"/>
              </w:rPr>
              <w:t>（3）课程整体设计文本：根据模板填写的课程整体设计文本，1份/门。所制定的课程整体设计须通过学校组织的验收。</w:t>
            </w:r>
          </w:p>
          <w:p w14:paraId="4805C1EC">
            <w:pPr>
              <w:spacing w:line="400" w:lineRule="exact"/>
              <w:ind w:firstLine="422" w:firstLineChars="200"/>
              <w:rPr>
                <w:rFonts w:hint="eastAsia"/>
                <w:b/>
                <w:bCs/>
                <w:color w:val="auto"/>
                <w:highlight w:val="none"/>
              </w:rPr>
            </w:pPr>
            <w:r>
              <w:rPr>
                <w:rFonts w:hint="eastAsia"/>
                <w:b/>
                <w:bCs/>
                <w:color w:val="auto"/>
                <w:highlight w:val="none"/>
              </w:rPr>
              <w:t>3.课程单元设计能力</w:t>
            </w:r>
            <w:r>
              <w:rPr>
                <w:rFonts w:hint="eastAsia" w:ascii="Times New Roman" w:hAnsi="Times New Roman" w:eastAsia="宋体" w:cs="Times New Roman"/>
                <w:b/>
                <w:bCs/>
                <w:color w:val="auto"/>
                <w:highlight w:val="none"/>
                <w:lang w:eastAsia="zh-CN"/>
              </w:rPr>
              <w:t>要求</w:t>
            </w:r>
          </w:p>
          <w:p w14:paraId="4528216C">
            <w:pPr>
              <w:spacing w:line="400" w:lineRule="exact"/>
              <w:ind w:firstLine="420" w:firstLineChars="200"/>
              <w:rPr>
                <w:rFonts w:hint="eastAsia"/>
                <w:color w:val="auto"/>
                <w:highlight w:val="none"/>
              </w:rPr>
            </w:pPr>
            <w:r>
              <w:rPr>
                <w:rFonts w:hint="eastAsia"/>
                <w:color w:val="auto"/>
                <w:highlight w:val="none"/>
              </w:rPr>
              <w:t>培训强化课程团队在课程单元设计上的专业能力，通过融合教育学、心理学及课程开发理论，系统化培训与实践，引导团队掌握先进设计理念，精心策划既符合课程目标又贴近学生需求的高质量教学单元，涵盖坚实理论基础、系统课程设计、连贯教学内容、创新教学活动及公正评估体系。辅导专家应提供及时、专业的咨询服务，解答教师在课程单元设计过程中遇到的问题和困惑。对课程团队撰写的单元设计进行批阅，指导其进行修改完善，确保课程单元设计既符合课程目标又贴合学生实际需求。</w:t>
            </w:r>
          </w:p>
          <w:p w14:paraId="4CB2B54F">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522937F2">
            <w:pPr>
              <w:spacing w:line="400" w:lineRule="exact"/>
              <w:ind w:firstLine="420" w:firstLineChars="200"/>
              <w:rPr>
                <w:rFonts w:hint="eastAsia"/>
                <w:color w:val="auto"/>
                <w:highlight w:val="none"/>
              </w:rPr>
            </w:pPr>
            <w:r>
              <w:rPr>
                <w:rFonts w:hint="eastAsia"/>
                <w:color w:val="auto"/>
                <w:highlight w:val="none"/>
              </w:rPr>
              <w:t>（1）课程单元设计模板：涵盖课程单元设计的所有关键要素，包括教学目标、教学内容、教学活动、教学评估等。</w:t>
            </w:r>
          </w:p>
          <w:p w14:paraId="44C04866">
            <w:pPr>
              <w:spacing w:line="400" w:lineRule="exact"/>
              <w:ind w:firstLine="420" w:firstLineChars="200"/>
              <w:rPr>
                <w:rFonts w:hint="eastAsia"/>
                <w:color w:val="auto"/>
                <w:highlight w:val="none"/>
              </w:rPr>
            </w:pPr>
            <w:r>
              <w:rPr>
                <w:rFonts w:hint="eastAsia"/>
                <w:color w:val="auto"/>
                <w:highlight w:val="none"/>
              </w:rPr>
              <w:t>（2）课程单元设计指导材料：包括教学单元设计方法的讲解PPT、案例分析、实践指导等。</w:t>
            </w:r>
          </w:p>
          <w:p w14:paraId="400878E2">
            <w:pPr>
              <w:spacing w:line="400" w:lineRule="exact"/>
              <w:ind w:firstLine="420" w:firstLineChars="200"/>
              <w:rPr>
                <w:rFonts w:hint="eastAsia"/>
                <w:color w:val="auto"/>
                <w:highlight w:val="none"/>
              </w:rPr>
            </w:pPr>
            <w:r>
              <w:rPr>
                <w:rFonts w:hint="eastAsia"/>
                <w:color w:val="auto"/>
                <w:highlight w:val="none"/>
              </w:rPr>
              <w:t>（3）课程单元设计文本：根据模板填写的每个教学单元的设计文本，每门课程至少三个单元。所制定的课程单元设计须通过学校组织的验收。</w:t>
            </w:r>
          </w:p>
          <w:p w14:paraId="4B1AD06F">
            <w:pPr>
              <w:spacing w:line="400" w:lineRule="exact"/>
              <w:ind w:firstLine="422" w:firstLineChars="200"/>
              <w:rPr>
                <w:rFonts w:hint="eastAsia"/>
                <w:b/>
                <w:bCs/>
                <w:color w:val="auto"/>
                <w:highlight w:val="none"/>
              </w:rPr>
            </w:pPr>
            <w:r>
              <w:rPr>
                <w:rFonts w:hint="eastAsia"/>
                <w:b/>
                <w:bCs/>
                <w:color w:val="auto"/>
                <w:highlight w:val="none"/>
              </w:rPr>
              <w:t>4.课程教案设计能力</w:t>
            </w:r>
            <w:r>
              <w:rPr>
                <w:rFonts w:hint="eastAsia" w:ascii="Times New Roman" w:hAnsi="Times New Roman" w:eastAsia="宋体" w:cs="Times New Roman"/>
                <w:b/>
                <w:bCs/>
                <w:color w:val="auto"/>
                <w:highlight w:val="none"/>
                <w:lang w:eastAsia="zh-CN"/>
              </w:rPr>
              <w:t>要求</w:t>
            </w:r>
          </w:p>
          <w:p w14:paraId="1A8FD87F">
            <w:pPr>
              <w:spacing w:line="400" w:lineRule="exact"/>
              <w:ind w:firstLine="420" w:firstLineChars="200"/>
              <w:rPr>
                <w:rFonts w:hint="eastAsia"/>
                <w:color w:val="auto"/>
                <w:highlight w:val="none"/>
              </w:rPr>
            </w:pPr>
            <w:r>
              <w:rPr>
                <w:rFonts w:hint="eastAsia"/>
                <w:color w:val="auto"/>
                <w:highlight w:val="none"/>
              </w:rPr>
              <w:t>培训课程团队编写结构清晰、内容详实、易于理解的教案。辅导专家应提供及时、专业的咨询服务，解答教师在课程教案设计过程中遇到的问题和困惑。对课程团队撰写的教案进行批阅，指导其进行修改完善，确保所设计的教案既覆盖教学内容、落实教学要求又贴合学生实际需求。</w:t>
            </w:r>
          </w:p>
          <w:p w14:paraId="0C28C915">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2375E405">
            <w:pPr>
              <w:spacing w:line="400" w:lineRule="exact"/>
              <w:ind w:firstLine="420" w:firstLineChars="200"/>
              <w:rPr>
                <w:rFonts w:hint="eastAsia"/>
                <w:color w:val="auto"/>
                <w:highlight w:val="none"/>
              </w:rPr>
            </w:pPr>
            <w:r>
              <w:rPr>
                <w:rFonts w:hint="eastAsia"/>
                <w:color w:val="auto"/>
                <w:highlight w:val="none"/>
              </w:rPr>
              <w:t>（1）教案设计模板：融入国家教学能力比赛规则元素的教案设计模板，教案包含但不限于教学内容、教学目标、教学重难点及策略、课前准备、课中教学设计、课堂评价、课后拓展、教学总结与反思等内容。</w:t>
            </w:r>
          </w:p>
          <w:p w14:paraId="17B84831">
            <w:pPr>
              <w:spacing w:line="400" w:lineRule="exact"/>
              <w:ind w:firstLine="420" w:firstLineChars="200"/>
              <w:rPr>
                <w:rFonts w:hint="eastAsia"/>
                <w:color w:val="auto"/>
                <w:highlight w:val="none"/>
              </w:rPr>
            </w:pPr>
            <w:r>
              <w:rPr>
                <w:rFonts w:hint="eastAsia"/>
                <w:color w:val="auto"/>
                <w:highlight w:val="none"/>
              </w:rPr>
              <w:t>（2）金课匹配教案样例：专家提供国家级金课匹配教案样例，4份/门，每份教案2-4学时。</w:t>
            </w:r>
          </w:p>
          <w:p w14:paraId="10362154">
            <w:pPr>
              <w:spacing w:line="400" w:lineRule="exact"/>
              <w:ind w:firstLine="420" w:firstLineChars="200"/>
              <w:rPr>
                <w:rFonts w:hint="eastAsia"/>
                <w:color w:val="auto"/>
                <w:highlight w:val="none"/>
              </w:rPr>
            </w:pPr>
            <w:r>
              <w:rPr>
                <w:rFonts w:hint="eastAsia"/>
                <w:color w:val="auto"/>
                <w:highlight w:val="none"/>
              </w:rPr>
              <w:t>（3）教案撰写指导材料：包括教案撰写方法的讲解PPT、案例分析、实践指导等。</w:t>
            </w:r>
          </w:p>
          <w:p w14:paraId="068E10BD">
            <w:pPr>
              <w:spacing w:line="400" w:lineRule="exact"/>
              <w:ind w:firstLine="420" w:firstLineChars="200"/>
              <w:rPr>
                <w:rFonts w:hint="eastAsia"/>
                <w:color w:val="auto"/>
                <w:highlight w:val="none"/>
              </w:rPr>
            </w:pPr>
            <w:r>
              <w:rPr>
                <w:rFonts w:hint="eastAsia"/>
                <w:color w:val="auto"/>
                <w:highlight w:val="none"/>
              </w:rPr>
              <w:t>（4）课程团队电子教案文本：课程团队撰写的本课程的电子教案文本，包含但不限于教学内容、教学目标、教学重难点及策略、课前准备、课中教学设计、课堂评价、课后拓展、教学总结与反思等内容。所撰写的教案须通过学校组织的验收。</w:t>
            </w:r>
          </w:p>
          <w:p w14:paraId="659DE409">
            <w:pPr>
              <w:spacing w:line="400" w:lineRule="exact"/>
              <w:ind w:firstLine="422" w:firstLineChars="200"/>
              <w:rPr>
                <w:rFonts w:hint="eastAsia"/>
                <w:b/>
                <w:bCs/>
                <w:color w:val="auto"/>
                <w:highlight w:val="none"/>
              </w:rPr>
            </w:pPr>
            <w:r>
              <w:rPr>
                <w:rFonts w:hint="eastAsia"/>
                <w:b/>
                <w:bCs/>
                <w:color w:val="auto"/>
                <w:highlight w:val="none"/>
              </w:rPr>
              <w:t>5.单元评价方案设计能力</w:t>
            </w:r>
            <w:r>
              <w:rPr>
                <w:rFonts w:hint="eastAsia" w:ascii="Times New Roman" w:hAnsi="Times New Roman" w:eastAsia="宋体" w:cs="Times New Roman"/>
                <w:b/>
                <w:bCs/>
                <w:color w:val="auto"/>
                <w:highlight w:val="none"/>
                <w:lang w:eastAsia="zh-CN"/>
              </w:rPr>
              <w:t>要求</w:t>
            </w:r>
          </w:p>
          <w:p w14:paraId="24281150">
            <w:pPr>
              <w:spacing w:line="400" w:lineRule="exact"/>
              <w:ind w:firstLine="420" w:firstLineChars="200"/>
              <w:rPr>
                <w:rFonts w:hint="eastAsia"/>
                <w:color w:val="auto"/>
                <w:highlight w:val="none"/>
              </w:rPr>
            </w:pPr>
            <w:r>
              <w:rPr>
                <w:rFonts w:hint="eastAsia"/>
                <w:color w:val="auto"/>
                <w:highlight w:val="none"/>
              </w:rPr>
              <w:t>培训强化课程团队在单元评价方案设计上的专业能力，帮助课程团队深入理解评价理论基础、科学分析课程目标、灵活设计多元化评价体系（包括形成性、总结性、同伴及自我评价等）。辅导专家应提供及时、专业的咨询服务，解答教师在单元评价方案设计过程中遇到的问题和困惑。对课程团队撰写的单元评价方案进行批阅，指导其进行修改完善，确保所设计的单元评价方案能全面、准确、公正</w:t>
            </w:r>
            <w:r>
              <w:rPr>
                <w:rFonts w:hint="eastAsia"/>
                <w:color w:val="auto"/>
                <w:highlight w:val="none"/>
                <w:lang w:eastAsia="zh-CN"/>
              </w:rPr>
              <w:t>地</w:t>
            </w:r>
            <w:r>
              <w:rPr>
                <w:rFonts w:hint="eastAsia"/>
                <w:color w:val="auto"/>
                <w:highlight w:val="none"/>
              </w:rPr>
              <w:t>评价单元教学效果，同时注重评价反馈与持续改进。</w:t>
            </w:r>
          </w:p>
          <w:p w14:paraId="7A5DB715">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1A0D74D9">
            <w:pPr>
              <w:spacing w:line="400" w:lineRule="exact"/>
              <w:ind w:firstLine="420" w:firstLineChars="200"/>
              <w:rPr>
                <w:rFonts w:hint="eastAsia"/>
                <w:color w:val="auto"/>
                <w:highlight w:val="none"/>
              </w:rPr>
            </w:pPr>
            <w:r>
              <w:rPr>
                <w:rFonts w:hint="eastAsia"/>
                <w:color w:val="auto"/>
                <w:highlight w:val="none"/>
              </w:rPr>
              <w:t>（1）单元评价方案设计模板：涵盖评价设计的基本框架，详细列出评价目标设定、评价内容选择、评价方式搭配、评价工具与技术应用、评价反馈与改进策略等关键要素。</w:t>
            </w:r>
          </w:p>
          <w:p w14:paraId="2D0D317C">
            <w:pPr>
              <w:spacing w:line="400" w:lineRule="exact"/>
              <w:ind w:firstLine="420" w:firstLineChars="200"/>
              <w:rPr>
                <w:rFonts w:hint="eastAsia"/>
                <w:color w:val="auto"/>
                <w:highlight w:val="none"/>
              </w:rPr>
            </w:pPr>
            <w:r>
              <w:rPr>
                <w:rFonts w:hint="eastAsia"/>
                <w:color w:val="auto"/>
                <w:highlight w:val="none"/>
              </w:rPr>
              <w:t>（2）单元评价方案撰写指导材料：包括单元评价方案撰写方法的讲解PPT、案例分析、实践指导等。</w:t>
            </w:r>
          </w:p>
          <w:p w14:paraId="7C6A8861">
            <w:pPr>
              <w:spacing w:line="400" w:lineRule="exact"/>
              <w:ind w:firstLine="420" w:firstLineChars="200"/>
              <w:rPr>
                <w:rFonts w:hint="eastAsia"/>
                <w:color w:val="auto"/>
                <w:highlight w:val="none"/>
              </w:rPr>
            </w:pPr>
            <w:r>
              <w:rPr>
                <w:rFonts w:hint="eastAsia"/>
                <w:color w:val="auto"/>
                <w:highlight w:val="none"/>
              </w:rPr>
              <w:t>（3）课程单元评价方案文本：每个课程团队定制一份详细的课程单元评价方案文本。所撰写的课程单元评价方案须通过学校组织的验收。</w:t>
            </w:r>
          </w:p>
          <w:p w14:paraId="49BE9E17">
            <w:pPr>
              <w:spacing w:line="400" w:lineRule="exact"/>
              <w:ind w:firstLine="422" w:firstLineChars="200"/>
              <w:rPr>
                <w:rFonts w:hint="eastAsia"/>
                <w:b/>
                <w:bCs/>
                <w:color w:val="auto"/>
                <w:highlight w:val="none"/>
              </w:rPr>
            </w:pPr>
            <w:r>
              <w:rPr>
                <w:rFonts w:hint="eastAsia"/>
                <w:b/>
                <w:bCs/>
                <w:color w:val="auto"/>
                <w:highlight w:val="none"/>
              </w:rPr>
              <w:t>6.资源制作能力提升</w:t>
            </w:r>
            <w:r>
              <w:rPr>
                <w:rFonts w:hint="eastAsia" w:ascii="Times New Roman" w:hAnsi="Times New Roman" w:eastAsia="宋体" w:cs="Times New Roman"/>
                <w:b/>
                <w:bCs/>
                <w:color w:val="auto"/>
                <w:highlight w:val="none"/>
                <w:lang w:eastAsia="zh-CN"/>
              </w:rPr>
              <w:t>要求</w:t>
            </w:r>
          </w:p>
          <w:p w14:paraId="3A107698">
            <w:pPr>
              <w:spacing w:line="400" w:lineRule="exact"/>
              <w:ind w:firstLine="422" w:firstLineChars="200"/>
              <w:rPr>
                <w:rFonts w:hint="eastAsia"/>
                <w:b/>
                <w:bCs/>
                <w:color w:val="auto"/>
                <w:highlight w:val="none"/>
              </w:rPr>
            </w:pPr>
            <w:r>
              <w:rPr>
                <w:rFonts w:hint="eastAsia"/>
                <w:b/>
                <w:bCs/>
                <w:color w:val="auto"/>
                <w:highlight w:val="none"/>
              </w:rPr>
              <w:t>对课程团队，</w:t>
            </w:r>
            <w:r>
              <w:rPr>
                <w:rFonts w:hint="eastAsia"/>
                <w:b/>
                <w:bCs/>
                <w:color w:val="auto"/>
                <w:highlight w:val="none"/>
                <w:lang w:val="en-US" w:eastAsia="zh-CN"/>
              </w:rPr>
              <w:t>至少</w:t>
            </w:r>
            <w:r>
              <w:rPr>
                <w:rFonts w:hint="eastAsia"/>
                <w:b/>
                <w:bCs/>
                <w:color w:val="auto"/>
                <w:highlight w:val="none"/>
              </w:rPr>
              <w:t>针对以下5个方面进行伴随式辅导：</w:t>
            </w:r>
          </w:p>
          <w:p w14:paraId="0B1BE933">
            <w:pPr>
              <w:spacing w:line="400" w:lineRule="exact"/>
              <w:ind w:firstLine="420" w:firstLineChars="200"/>
              <w:rPr>
                <w:rFonts w:hint="eastAsia"/>
                <w:color w:val="auto"/>
                <w:highlight w:val="none"/>
              </w:rPr>
            </w:pPr>
            <w:r>
              <w:rPr>
                <w:rFonts w:hint="eastAsia"/>
                <w:color w:val="auto"/>
                <w:highlight w:val="none"/>
              </w:rPr>
              <w:t>（1）金课资源开发指导</w:t>
            </w:r>
          </w:p>
          <w:p w14:paraId="75915928">
            <w:pPr>
              <w:spacing w:line="400" w:lineRule="exact"/>
              <w:ind w:firstLine="420" w:firstLineChars="200"/>
              <w:rPr>
                <w:rFonts w:hint="eastAsia"/>
                <w:color w:val="auto"/>
                <w:highlight w:val="none"/>
              </w:rPr>
            </w:pPr>
            <w:r>
              <w:rPr>
                <w:rFonts w:hint="eastAsia"/>
                <w:color w:val="auto"/>
                <w:highlight w:val="none"/>
              </w:rPr>
              <w:t>全面指导课程团队完成21门金课的课程资源建设任务，辅导课程开发团队进行数字化课程资源的制作，包括能力图谱/知识图谱的搭建。</w:t>
            </w:r>
          </w:p>
          <w:p w14:paraId="042595A2">
            <w:pPr>
              <w:spacing w:line="400" w:lineRule="exact"/>
              <w:ind w:firstLine="420" w:firstLineChars="200"/>
              <w:rPr>
                <w:rFonts w:hint="eastAsia"/>
                <w:color w:val="auto"/>
                <w:highlight w:val="none"/>
              </w:rPr>
            </w:pPr>
            <w:r>
              <w:rPr>
                <w:rFonts w:hint="eastAsia"/>
                <w:color w:val="auto"/>
                <w:highlight w:val="none"/>
              </w:rPr>
              <w:t>（2）教育数字化能力提升培训</w:t>
            </w:r>
          </w:p>
          <w:p w14:paraId="30816A52">
            <w:pPr>
              <w:spacing w:line="400" w:lineRule="exact"/>
              <w:ind w:firstLine="420" w:firstLineChars="200"/>
              <w:rPr>
                <w:rFonts w:hint="eastAsia"/>
                <w:color w:val="auto"/>
                <w:highlight w:val="none"/>
              </w:rPr>
            </w:pPr>
            <w:r>
              <w:rPr>
                <w:rFonts w:hint="eastAsia"/>
                <w:color w:val="auto"/>
                <w:highlight w:val="none"/>
              </w:rPr>
              <w:t>在线开放课程开发：培训在线开放课程的建设原则、流程及实际应用；分享项目化教学、课程思政融入及岗课赛证对标的在线课程设计方法。</w:t>
            </w:r>
          </w:p>
          <w:p w14:paraId="1410336D">
            <w:pPr>
              <w:spacing w:line="400" w:lineRule="exact"/>
              <w:ind w:firstLine="420" w:firstLineChars="200"/>
              <w:rPr>
                <w:rFonts w:hint="eastAsia"/>
                <w:color w:val="auto"/>
                <w:highlight w:val="none"/>
              </w:rPr>
            </w:pPr>
            <w:r>
              <w:rPr>
                <w:rFonts w:hint="eastAsia"/>
                <w:color w:val="auto"/>
                <w:highlight w:val="none"/>
              </w:rPr>
              <w:t>资源库建设与应用：培训职业教育专业教学资源库的建设流程与应用策略；培训基于资源库进行线上线下混合式教学设计。</w:t>
            </w:r>
          </w:p>
          <w:p w14:paraId="0C18A618">
            <w:pPr>
              <w:spacing w:line="400" w:lineRule="exact"/>
              <w:ind w:firstLine="420" w:firstLineChars="200"/>
              <w:rPr>
                <w:rFonts w:hint="eastAsia"/>
                <w:color w:val="auto"/>
                <w:highlight w:val="none"/>
              </w:rPr>
            </w:pPr>
            <w:r>
              <w:rPr>
                <w:rFonts w:hint="eastAsia"/>
                <w:color w:val="auto"/>
                <w:highlight w:val="none"/>
              </w:rPr>
              <w:t>AI 赋能教学资源建设：AI制作教学资源（快速生成教学用图、AI生成微课、AI辅助PPT制作等）、AI辅助教学、AI教学应用方法等。</w:t>
            </w:r>
          </w:p>
          <w:p w14:paraId="3A637C4E">
            <w:pPr>
              <w:spacing w:line="400" w:lineRule="exact"/>
              <w:ind w:firstLine="420" w:firstLineChars="200"/>
              <w:rPr>
                <w:rFonts w:hint="eastAsia"/>
                <w:color w:val="auto"/>
                <w:highlight w:val="none"/>
              </w:rPr>
            </w:pPr>
            <w:r>
              <w:rPr>
                <w:rFonts w:hint="eastAsia"/>
                <w:color w:val="auto"/>
                <w:highlight w:val="none"/>
              </w:rPr>
              <w:t>（3）课程资源制作软件技能培训</w:t>
            </w:r>
          </w:p>
          <w:p w14:paraId="38BE6E1E">
            <w:pPr>
              <w:spacing w:line="400" w:lineRule="exact"/>
              <w:ind w:firstLine="420" w:firstLineChars="200"/>
              <w:rPr>
                <w:rFonts w:hint="eastAsia"/>
                <w:color w:val="auto"/>
                <w:highlight w:val="none"/>
              </w:rPr>
            </w:pPr>
            <w:r>
              <w:rPr>
                <w:rFonts w:hint="eastAsia"/>
                <w:color w:val="auto"/>
                <w:highlight w:val="none"/>
              </w:rPr>
              <w:t>软件掌握：确保课程团队熟练掌握PPT课件制作、微课录制与视频剪辑、AI应用、数字人制作等相关软件。</w:t>
            </w:r>
          </w:p>
          <w:p w14:paraId="07B5AB1C">
            <w:pPr>
              <w:spacing w:line="400" w:lineRule="exact"/>
              <w:ind w:firstLine="420" w:firstLineChars="200"/>
              <w:rPr>
                <w:rFonts w:hint="eastAsia"/>
                <w:color w:val="auto"/>
                <w:highlight w:val="none"/>
              </w:rPr>
            </w:pPr>
            <w:r>
              <w:rPr>
                <w:rFonts w:hint="eastAsia"/>
                <w:color w:val="auto"/>
                <w:highlight w:val="none"/>
              </w:rPr>
              <w:t>微课制作：指导团队完成微课及视频剪辑、后期制作，确保微课质量高、效果好。</w:t>
            </w:r>
          </w:p>
          <w:p w14:paraId="5A10E351">
            <w:pPr>
              <w:spacing w:line="400" w:lineRule="exact"/>
              <w:ind w:firstLine="420" w:firstLineChars="200"/>
              <w:rPr>
                <w:rFonts w:hint="eastAsia"/>
                <w:color w:val="auto"/>
                <w:highlight w:val="none"/>
              </w:rPr>
            </w:pPr>
            <w:r>
              <w:rPr>
                <w:rFonts w:hint="eastAsia"/>
                <w:color w:val="auto"/>
                <w:highlight w:val="none"/>
              </w:rPr>
              <w:t>（4）AI赋能工具应用</w:t>
            </w:r>
          </w:p>
          <w:p w14:paraId="690C6C90">
            <w:pPr>
              <w:spacing w:line="400" w:lineRule="exact"/>
              <w:ind w:firstLine="420" w:firstLineChars="200"/>
              <w:rPr>
                <w:rFonts w:hint="eastAsia"/>
                <w:color w:val="auto"/>
                <w:highlight w:val="none"/>
              </w:rPr>
            </w:pPr>
            <w:r>
              <w:rPr>
                <w:rFonts w:hint="eastAsia"/>
                <w:color w:val="auto"/>
                <w:highlight w:val="none"/>
              </w:rPr>
              <w:t>工具提供：提供不少于6个课程资源建设AI赋能工具，包括但不限于AI课程思政案例生成、AI</w:t>
            </w:r>
            <w:r>
              <w:rPr>
                <w:rFonts w:hint="eastAsia"/>
                <w:color w:val="auto"/>
                <w:highlight w:val="none"/>
                <w:lang w:val="en-US" w:eastAsia="zh-CN"/>
              </w:rPr>
              <w:t xml:space="preserve"> </w:t>
            </w:r>
            <w:r>
              <w:rPr>
                <w:rFonts w:hint="eastAsia"/>
                <w:color w:val="auto"/>
                <w:highlight w:val="none"/>
              </w:rPr>
              <w:t>PPT课件生成、AI试题生成、AI视频脚本生成、AI数字教师生成和AI微课视频生成等。</w:t>
            </w:r>
          </w:p>
          <w:p w14:paraId="62A7D4D7">
            <w:pPr>
              <w:spacing w:line="400" w:lineRule="exact"/>
              <w:ind w:firstLine="420" w:firstLineChars="200"/>
              <w:rPr>
                <w:rFonts w:hint="eastAsia"/>
                <w:color w:val="auto"/>
                <w:highlight w:val="none"/>
              </w:rPr>
            </w:pPr>
            <w:r>
              <w:rPr>
                <w:rFonts w:hint="eastAsia"/>
                <w:color w:val="auto"/>
                <w:highlight w:val="none"/>
              </w:rPr>
              <w:t>使用指导：对老师进行AI工具的使用培训，提升课程资源建设效率与质量。</w:t>
            </w:r>
          </w:p>
          <w:p w14:paraId="1B22AE9B">
            <w:pPr>
              <w:spacing w:line="400" w:lineRule="exact"/>
              <w:ind w:firstLine="420" w:firstLineChars="200"/>
              <w:rPr>
                <w:rFonts w:hint="eastAsia"/>
                <w:color w:val="auto"/>
                <w:highlight w:val="none"/>
              </w:rPr>
            </w:pPr>
            <w:r>
              <w:rPr>
                <w:rFonts w:hint="eastAsia"/>
                <w:color w:val="auto"/>
                <w:highlight w:val="none"/>
              </w:rPr>
              <w:t>（5）伴随式辅导与持续支持</w:t>
            </w:r>
          </w:p>
          <w:p w14:paraId="2377DA59">
            <w:pPr>
              <w:spacing w:line="400" w:lineRule="exact"/>
              <w:ind w:firstLine="420" w:firstLineChars="200"/>
              <w:rPr>
                <w:rFonts w:hint="eastAsia"/>
                <w:color w:val="auto"/>
                <w:highlight w:val="none"/>
              </w:rPr>
            </w:pPr>
            <w:r>
              <w:rPr>
                <w:rFonts w:hint="eastAsia"/>
                <w:color w:val="auto"/>
                <w:highlight w:val="none"/>
              </w:rPr>
              <w:t>全程陪伴：在整个资源制作能力提升过程中，提供全程伴随式辅导，确保课程团队在遇到问题时能够及时获得帮助。</w:t>
            </w:r>
          </w:p>
          <w:p w14:paraId="588E3742">
            <w:pPr>
              <w:spacing w:line="400" w:lineRule="exact"/>
              <w:ind w:firstLine="420" w:firstLineChars="200"/>
              <w:rPr>
                <w:rFonts w:hint="eastAsia"/>
                <w:color w:val="auto"/>
                <w:highlight w:val="none"/>
              </w:rPr>
            </w:pPr>
            <w:r>
              <w:rPr>
                <w:rFonts w:hint="eastAsia"/>
                <w:color w:val="auto"/>
                <w:highlight w:val="none"/>
              </w:rPr>
              <w:t>持续更新：根据教育政策变化及学校需求，定期更新指导内容、素材及AI工具，保持资源制作的时效性与先进性。</w:t>
            </w:r>
          </w:p>
          <w:p w14:paraId="42C8FD2F">
            <w:pPr>
              <w:spacing w:line="400" w:lineRule="exact"/>
              <w:ind w:firstLine="420" w:firstLineChars="200"/>
              <w:rPr>
                <w:rFonts w:hint="eastAsia"/>
                <w:color w:val="auto"/>
                <w:highlight w:val="none"/>
              </w:rPr>
            </w:pPr>
            <w:r>
              <w:rPr>
                <w:rFonts w:hint="eastAsia"/>
                <w:color w:val="auto"/>
                <w:highlight w:val="none"/>
              </w:rPr>
              <w:t>反馈与改进：建立反馈机制，收集课程团队在使用过程中的意见与建议，不断优化辅导内容与方式，确保资源制作能力提升的实效性。</w:t>
            </w:r>
          </w:p>
          <w:p w14:paraId="48EB4B96">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647289A7">
            <w:pPr>
              <w:spacing w:line="400" w:lineRule="exact"/>
              <w:ind w:firstLine="420" w:firstLineChars="200"/>
              <w:rPr>
                <w:rFonts w:hint="eastAsia"/>
                <w:color w:val="auto"/>
                <w:highlight w:val="none"/>
              </w:rPr>
            </w:pPr>
            <w:r>
              <w:rPr>
                <w:rFonts w:hint="eastAsia"/>
                <w:color w:val="auto"/>
                <w:highlight w:val="none"/>
              </w:rPr>
              <w:t>（1）金课资源开发成果：21门金课建设完整资料包（包含能力图谱/知识图谱）</w:t>
            </w:r>
            <w:r>
              <w:rPr>
                <w:rFonts w:hint="eastAsia"/>
                <w:color w:val="auto"/>
                <w:highlight w:val="none"/>
                <w:lang w:eastAsia="zh-CN"/>
              </w:rPr>
              <w:t>，</w:t>
            </w:r>
            <w:r>
              <w:rPr>
                <w:rFonts w:hint="eastAsia"/>
                <w:color w:val="auto"/>
                <w:highlight w:val="none"/>
              </w:rPr>
              <w:t>达到国家级和自治区级东盟国际化资源申报标准。</w:t>
            </w:r>
          </w:p>
          <w:p w14:paraId="0CABE430">
            <w:pPr>
              <w:spacing w:line="400" w:lineRule="exact"/>
              <w:ind w:firstLine="420" w:firstLineChars="200"/>
              <w:rPr>
                <w:rFonts w:hint="eastAsia"/>
                <w:color w:val="auto"/>
                <w:highlight w:val="none"/>
              </w:rPr>
            </w:pPr>
            <w:r>
              <w:rPr>
                <w:rFonts w:hint="eastAsia"/>
                <w:color w:val="auto"/>
                <w:highlight w:val="none"/>
              </w:rPr>
              <w:t>（2）资源建设样例与素材库：21门金课匹配的资源建设样例集和数字化课程资源素材库，包括图片、音频、视频等。</w:t>
            </w:r>
          </w:p>
          <w:p w14:paraId="05F7F6AE">
            <w:pPr>
              <w:spacing w:line="400" w:lineRule="exact"/>
              <w:ind w:firstLine="420" w:firstLineChars="200"/>
              <w:rPr>
                <w:rFonts w:hint="eastAsia"/>
                <w:color w:val="auto"/>
                <w:highlight w:val="none"/>
              </w:rPr>
            </w:pPr>
            <w:r>
              <w:rPr>
                <w:rFonts w:hint="eastAsia"/>
                <w:color w:val="auto"/>
                <w:highlight w:val="none"/>
              </w:rPr>
              <w:t>（3）教育数字化能力提升培训材料：专业教学资源库建设指南及实操案例；线上线下混合式教学设计方案集；在线开放课程建设与应用手册；项目化教学、课程思政融入、岗课赛证对标在线课程设计方法论。</w:t>
            </w:r>
          </w:p>
          <w:p w14:paraId="462D63CF">
            <w:pPr>
              <w:spacing w:line="400" w:lineRule="exact"/>
              <w:ind w:firstLine="420" w:firstLineChars="200"/>
              <w:rPr>
                <w:rFonts w:hint="eastAsia"/>
                <w:color w:val="auto"/>
                <w:highlight w:val="none"/>
              </w:rPr>
            </w:pPr>
            <w:r>
              <w:rPr>
                <w:rFonts w:hint="eastAsia"/>
                <w:color w:val="auto"/>
                <w:highlight w:val="none"/>
              </w:rPr>
              <w:t>（4）课程资源制作软件技能证明：课程开发人员熟练掌握PPT课件制作、微课录制与剪辑等软件的证明文件或技能证书，每门课至少1人通过学校组织的技能考试；高质量微课作品集。</w:t>
            </w:r>
          </w:p>
          <w:p w14:paraId="4FC0EC60">
            <w:pPr>
              <w:spacing w:line="400" w:lineRule="exact"/>
              <w:ind w:firstLine="420" w:firstLineChars="200"/>
              <w:rPr>
                <w:rFonts w:hint="eastAsia"/>
                <w:color w:val="auto"/>
                <w:highlight w:val="none"/>
              </w:rPr>
            </w:pPr>
            <w:r>
              <w:rPr>
                <w:rFonts w:hint="eastAsia"/>
                <w:color w:val="auto"/>
                <w:highlight w:val="none"/>
              </w:rPr>
              <w:t>（5）AI赋能工具使用指南与成果：不少于6个课程资源建设AI赋能工具的使用手册及操作视频；利用AI工具生成的课程思政案例等示例。</w:t>
            </w:r>
          </w:p>
          <w:p w14:paraId="5FA56607">
            <w:pPr>
              <w:spacing w:line="400" w:lineRule="exact"/>
              <w:ind w:firstLine="420" w:firstLineChars="200"/>
              <w:rPr>
                <w:rFonts w:hint="eastAsia"/>
                <w:color w:val="auto"/>
                <w:highlight w:val="none"/>
              </w:rPr>
            </w:pPr>
            <w:r>
              <w:rPr>
                <w:rFonts w:hint="eastAsia"/>
                <w:color w:val="auto"/>
                <w:highlight w:val="none"/>
              </w:rPr>
              <w:t>（6）AI工具使用效果评估报告。</w:t>
            </w:r>
          </w:p>
          <w:p w14:paraId="47567520">
            <w:pPr>
              <w:spacing w:line="400" w:lineRule="exact"/>
              <w:ind w:firstLine="422" w:firstLineChars="200"/>
              <w:rPr>
                <w:rFonts w:hint="eastAsia"/>
                <w:b/>
                <w:bCs/>
                <w:color w:val="auto"/>
                <w:highlight w:val="none"/>
              </w:rPr>
            </w:pPr>
            <w:r>
              <w:rPr>
                <w:rFonts w:hint="eastAsia"/>
                <w:b/>
                <w:bCs/>
                <w:color w:val="auto"/>
                <w:highlight w:val="none"/>
              </w:rPr>
              <w:t>7.规范施教培训</w:t>
            </w:r>
          </w:p>
          <w:p w14:paraId="20E85C70">
            <w:pPr>
              <w:spacing w:line="400" w:lineRule="exact"/>
              <w:ind w:firstLine="420" w:firstLineChars="200"/>
              <w:rPr>
                <w:rFonts w:hint="eastAsia"/>
                <w:color w:val="auto"/>
                <w:highlight w:val="none"/>
              </w:rPr>
            </w:pPr>
            <w:r>
              <w:rPr>
                <w:rFonts w:hint="eastAsia"/>
                <w:color w:val="auto"/>
                <w:highlight w:val="none"/>
              </w:rPr>
              <w:t>（1）教学规范与标准解读：详细解析教学规范与标准的具体要求，包括但不限于教学目标设定、教学内容组织、教学方法选择、教学评估设计等。</w:t>
            </w:r>
          </w:p>
          <w:p w14:paraId="7455EDF9">
            <w:pPr>
              <w:spacing w:line="400" w:lineRule="exact"/>
              <w:ind w:firstLine="420" w:firstLineChars="200"/>
              <w:rPr>
                <w:rFonts w:hint="eastAsia"/>
                <w:color w:val="auto"/>
                <w:highlight w:val="none"/>
              </w:rPr>
            </w:pPr>
            <w:r>
              <w:rPr>
                <w:rFonts w:hint="eastAsia"/>
                <w:color w:val="auto"/>
                <w:highlight w:val="none"/>
              </w:rPr>
              <w:t>（2）教学技巧与策略培训：教授有效的教学技巧与策略，培训如何引导学生参与、如何设计互动环节、如何管理课堂纪律等。</w:t>
            </w:r>
          </w:p>
          <w:p w14:paraId="78D3D99C">
            <w:pPr>
              <w:spacing w:line="400" w:lineRule="exact"/>
              <w:ind w:firstLine="420" w:firstLineChars="200"/>
              <w:rPr>
                <w:rFonts w:hint="eastAsia"/>
                <w:color w:val="auto"/>
                <w:highlight w:val="none"/>
              </w:rPr>
            </w:pPr>
            <w:r>
              <w:rPr>
                <w:rFonts w:hint="eastAsia"/>
                <w:color w:val="auto"/>
                <w:highlight w:val="none"/>
              </w:rPr>
              <w:t>（3）示范教学观摩：组织现场或线上示范教学，让教师观摩并学习优秀的教学实践。</w:t>
            </w:r>
          </w:p>
          <w:p w14:paraId="657CA3DA">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1224F182">
            <w:pPr>
              <w:spacing w:line="400" w:lineRule="exact"/>
              <w:ind w:firstLine="420" w:firstLineChars="200"/>
              <w:rPr>
                <w:rFonts w:hint="eastAsia"/>
                <w:color w:val="auto"/>
                <w:highlight w:val="none"/>
              </w:rPr>
            </w:pPr>
            <w:r>
              <w:rPr>
                <w:rFonts w:hint="eastAsia"/>
                <w:color w:val="auto"/>
                <w:highlight w:val="none"/>
              </w:rPr>
              <w:t>（1）规范施教指南：一份详细的文档，涵盖教学规范与标准的所有要点，以及实施这些规范与标准的建议步骤和方法。</w:t>
            </w:r>
          </w:p>
          <w:p w14:paraId="2E12F531">
            <w:pPr>
              <w:spacing w:line="400" w:lineRule="exact"/>
              <w:ind w:firstLine="420" w:firstLineChars="200"/>
              <w:rPr>
                <w:rFonts w:hint="eastAsia"/>
                <w:color w:val="auto"/>
                <w:highlight w:val="none"/>
              </w:rPr>
            </w:pPr>
            <w:r>
              <w:rPr>
                <w:rFonts w:hint="eastAsia"/>
                <w:color w:val="auto"/>
                <w:highlight w:val="none"/>
              </w:rPr>
              <w:t>（2）示范教学视频：精选若干示范教学视频，展示优秀教师的教学实践，包括教学流程、教学方法、师生互动等。</w:t>
            </w:r>
          </w:p>
          <w:p w14:paraId="600ABE5F">
            <w:pPr>
              <w:spacing w:line="400" w:lineRule="exact"/>
              <w:ind w:firstLine="420" w:firstLineChars="200"/>
              <w:rPr>
                <w:rFonts w:hint="eastAsia"/>
                <w:color w:val="auto"/>
                <w:highlight w:val="none"/>
              </w:rPr>
            </w:pPr>
            <w:r>
              <w:rPr>
                <w:rFonts w:hint="eastAsia"/>
                <w:color w:val="auto"/>
                <w:highlight w:val="none"/>
              </w:rPr>
              <w:t>以上成果均须通过学校组织的验收。</w:t>
            </w:r>
          </w:p>
          <w:p w14:paraId="756A9FFE">
            <w:pPr>
              <w:spacing w:line="400" w:lineRule="exact"/>
              <w:ind w:firstLine="422" w:firstLineChars="200"/>
              <w:rPr>
                <w:rFonts w:hint="eastAsia"/>
                <w:b/>
                <w:bCs/>
                <w:color w:val="auto"/>
                <w:highlight w:val="none"/>
              </w:rPr>
            </w:pPr>
            <w:r>
              <w:rPr>
                <w:rFonts w:hint="eastAsia"/>
                <w:b/>
                <w:bCs/>
                <w:color w:val="auto"/>
                <w:highlight w:val="none"/>
              </w:rPr>
              <w:t>8.质量评价</w:t>
            </w:r>
          </w:p>
          <w:p w14:paraId="647E6C83">
            <w:pPr>
              <w:spacing w:line="400" w:lineRule="exact"/>
              <w:ind w:firstLine="420" w:firstLineChars="200"/>
              <w:rPr>
                <w:rFonts w:hint="eastAsia"/>
                <w:color w:val="auto"/>
                <w:highlight w:val="none"/>
              </w:rPr>
            </w:pPr>
            <w:r>
              <w:rPr>
                <w:rFonts w:hint="eastAsia"/>
                <w:color w:val="auto"/>
                <w:highlight w:val="none"/>
              </w:rPr>
              <w:t>（1）培训质量评价体系构建：培训设计涵盖课程设计、教学实施、学生反馈、学习效果等多维度的质量评价体系。</w:t>
            </w:r>
          </w:p>
          <w:p w14:paraId="1C110150">
            <w:pPr>
              <w:spacing w:line="400" w:lineRule="exact"/>
              <w:ind w:firstLine="420" w:firstLineChars="200"/>
              <w:rPr>
                <w:rFonts w:hint="eastAsia"/>
                <w:color w:val="auto"/>
                <w:highlight w:val="none"/>
              </w:rPr>
            </w:pPr>
            <w:r>
              <w:rPr>
                <w:rFonts w:hint="eastAsia"/>
                <w:color w:val="auto"/>
                <w:highlight w:val="none"/>
              </w:rPr>
              <w:t>（2）培训制定评估标准：根据教育部相关标准、OBE理念及自治区级金课申报标准，制定详细的课程及单元教学考核评价标准。</w:t>
            </w:r>
          </w:p>
          <w:p w14:paraId="611C87A4">
            <w:pPr>
              <w:spacing w:line="400" w:lineRule="exact"/>
              <w:ind w:firstLine="420" w:firstLineChars="200"/>
              <w:rPr>
                <w:rFonts w:hint="eastAsia"/>
                <w:color w:val="auto"/>
                <w:highlight w:val="none"/>
              </w:rPr>
            </w:pPr>
            <w:r>
              <w:rPr>
                <w:rFonts w:hint="eastAsia"/>
                <w:color w:val="auto"/>
                <w:highlight w:val="none"/>
              </w:rPr>
              <w:t>（3）培训评估方法：培训如何运用各种评估方法，如问卷调查、访谈、测试等，收集和分析数据。重点指导课程团队设计一套基于OBE理念、能够科学评测教学效果的考试试卷。</w:t>
            </w:r>
          </w:p>
          <w:p w14:paraId="530D9157">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52796372">
            <w:pPr>
              <w:spacing w:line="400" w:lineRule="exact"/>
              <w:ind w:firstLine="420" w:firstLineChars="200"/>
              <w:rPr>
                <w:rFonts w:hint="eastAsia"/>
                <w:color w:val="auto"/>
                <w:highlight w:val="none"/>
              </w:rPr>
            </w:pPr>
            <w:r>
              <w:rPr>
                <w:rFonts w:hint="eastAsia"/>
                <w:color w:val="auto"/>
                <w:highlight w:val="none"/>
              </w:rPr>
              <w:t>（1）教学考核评价标准文本：根据模板填写的课程及单元教学考核评价标准文本，详细列出各项评估指标及评分标准，1份/门。</w:t>
            </w:r>
          </w:p>
          <w:p w14:paraId="5A678C75">
            <w:pPr>
              <w:spacing w:line="400" w:lineRule="exact"/>
              <w:ind w:firstLine="420" w:firstLineChars="200"/>
              <w:rPr>
                <w:rFonts w:hint="eastAsia"/>
                <w:color w:val="auto"/>
                <w:highlight w:val="none"/>
              </w:rPr>
            </w:pPr>
            <w:r>
              <w:rPr>
                <w:rFonts w:hint="eastAsia"/>
                <w:color w:val="auto"/>
                <w:highlight w:val="none"/>
              </w:rPr>
              <w:t>（2）课程考试试卷，2套/门。</w:t>
            </w:r>
          </w:p>
          <w:p w14:paraId="1E81A09C">
            <w:pPr>
              <w:spacing w:line="400" w:lineRule="exact"/>
              <w:ind w:firstLine="420" w:firstLineChars="200"/>
              <w:rPr>
                <w:rFonts w:hint="eastAsia"/>
                <w:color w:val="auto"/>
                <w:highlight w:val="none"/>
              </w:rPr>
            </w:pPr>
            <w:r>
              <w:rPr>
                <w:rFonts w:hint="eastAsia"/>
                <w:color w:val="auto"/>
                <w:highlight w:val="none"/>
              </w:rPr>
              <w:t>（3）质量评价标准及评估报告模板：一份全面的质量评价标准文档，以及用于撰写评估报告的模板，指导如何整理和分析评估数据，撰写评估报告。</w:t>
            </w:r>
          </w:p>
          <w:p w14:paraId="08B2B271">
            <w:pPr>
              <w:spacing w:line="400" w:lineRule="exact"/>
              <w:ind w:firstLine="420" w:firstLineChars="200"/>
              <w:rPr>
                <w:rFonts w:hint="eastAsia"/>
                <w:color w:val="auto"/>
                <w:highlight w:val="none"/>
              </w:rPr>
            </w:pPr>
            <w:r>
              <w:rPr>
                <w:rFonts w:hint="eastAsia"/>
                <w:color w:val="auto"/>
                <w:highlight w:val="none"/>
              </w:rPr>
              <w:t>以上成果均须通过学校组织的验收。</w:t>
            </w:r>
          </w:p>
          <w:p w14:paraId="00817AA0">
            <w:pPr>
              <w:spacing w:line="400" w:lineRule="exact"/>
              <w:ind w:firstLine="422" w:firstLineChars="200"/>
              <w:rPr>
                <w:rFonts w:hint="eastAsia"/>
                <w:b/>
                <w:bCs/>
                <w:color w:val="auto"/>
                <w:highlight w:val="none"/>
              </w:rPr>
            </w:pPr>
            <w:r>
              <w:rPr>
                <w:rFonts w:hint="eastAsia"/>
                <w:b/>
                <w:bCs/>
                <w:color w:val="auto"/>
                <w:highlight w:val="none"/>
              </w:rPr>
              <w:t>9.持续改进教学</w:t>
            </w:r>
          </w:p>
          <w:p w14:paraId="155157BD">
            <w:pPr>
              <w:spacing w:line="400" w:lineRule="exact"/>
              <w:ind w:firstLine="420" w:firstLineChars="200"/>
              <w:rPr>
                <w:rFonts w:hint="eastAsia"/>
                <w:color w:val="auto"/>
                <w:highlight w:val="none"/>
              </w:rPr>
            </w:pPr>
            <w:r>
              <w:rPr>
                <w:rFonts w:hint="eastAsia"/>
                <w:color w:val="auto"/>
                <w:highlight w:val="none"/>
              </w:rPr>
              <w:t>（1）评估结果分析：教授如何解读评估结果，识别教学中的优点和不足。</w:t>
            </w:r>
          </w:p>
          <w:p w14:paraId="59FAF915">
            <w:pPr>
              <w:spacing w:line="400" w:lineRule="exact"/>
              <w:ind w:firstLine="420" w:firstLineChars="200"/>
              <w:rPr>
                <w:rFonts w:hint="eastAsia"/>
                <w:color w:val="auto"/>
                <w:highlight w:val="none"/>
              </w:rPr>
            </w:pPr>
            <w:r>
              <w:rPr>
                <w:rFonts w:hint="eastAsia"/>
                <w:color w:val="auto"/>
                <w:highlight w:val="none"/>
              </w:rPr>
              <w:t>（2）改进策略制定：根据评估结果，指导教师制定针对性</w:t>
            </w:r>
            <w:r>
              <w:rPr>
                <w:rFonts w:hint="eastAsia"/>
                <w:color w:val="auto"/>
                <w:highlight w:val="none"/>
                <w:lang w:eastAsia="zh-CN"/>
              </w:rPr>
              <w:t>地</w:t>
            </w:r>
            <w:r>
              <w:rPr>
                <w:rFonts w:hint="eastAsia"/>
                <w:color w:val="auto"/>
                <w:highlight w:val="none"/>
              </w:rPr>
              <w:t>改进策略，如调整教学内容、优化教学方法、加强师生互动等。</w:t>
            </w:r>
          </w:p>
          <w:p w14:paraId="3FEE7C91">
            <w:pPr>
              <w:spacing w:line="400" w:lineRule="exact"/>
              <w:ind w:firstLine="420" w:firstLineChars="200"/>
              <w:rPr>
                <w:rFonts w:hint="eastAsia"/>
                <w:color w:val="auto"/>
                <w:highlight w:val="none"/>
              </w:rPr>
            </w:pPr>
            <w:r>
              <w:rPr>
                <w:rFonts w:hint="eastAsia"/>
                <w:color w:val="auto"/>
                <w:highlight w:val="none"/>
              </w:rPr>
              <w:t>（3）实施与跟踪：培训实施改进计划，并跟踪改进效果，确保持续改进的有效性。</w:t>
            </w:r>
          </w:p>
          <w:p w14:paraId="0EC6C536">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75B4C2CD">
            <w:pPr>
              <w:spacing w:line="400" w:lineRule="exact"/>
              <w:ind w:firstLine="420" w:firstLineChars="200"/>
              <w:rPr>
                <w:rFonts w:hint="eastAsia"/>
                <w:color w:val="auto"/>
                <w:highlight w:val="none"/>
              </w:rPr>
            </w:pPr>
            <w:r>
              <w:rPr>
                <w:rFonts w:hint="eastAsia"/>
                <w:color w:val="auto"/>
                <w:highlight w:val="none"/>
              </w:rPr>
              <w:t>（1）持续改进教学计划：详细列出改进目标、改进策略、实施步骤和时间表，1份/门。</w:t>
            </w:r>
          </w:p>
          <w:p w14:paraId="203F2C06">
            <w:pPr>
              <w:spacing w:line="400" w:lineRule="exact"/>
              <w:ind w:firstLine="420" w:firstLineChars="200"/>
              <w:rPr>
                <w:rFonts w:hint="eastAsia"/>
                <w:color w:val="auto"/>
                <w:highlight w:val="none"/>
              </w:rPr>
            </w:pPr>
            <w:r>
              <w:rPr>
                <w:rFonts w:hint="eastAsia"/>
                <w:color w:val="auto"/>
                <w:highlight w:val="none"/>
              </w:rPr>
              <w:t>（2）实施案例集：收集并整理若干持续改进教学的成功案例，包括改进前后的对比、实施过程中的挑战与解决方案等，为其他教师提供借鉴和参考。</w:t>
            </w:r>
          </w:p>
          <w:p w14:paraId="59B78EC6">
            <w:pPr>
              <w:spacing w:line="400" w:lineRule="exact"/>
              <w:ind w:firstLine="422" w:firstLineChars="200"/>
              <w:rPr>
                <w:rFonts w:hint="eastAsia" w:eastAsia="宋体"/>
                <w:b/>
                <w:bCs/>
                <w:color w:val="auto"/>
                <w:highlight w:val="none"/>
                <w:lang w:eastAsia="zh-CN"/>
              </w:rPr>
            </w:pPr>
            <w:r>
              <w:rPr>
                <w:rFonts w:hint="eastAsia"/>
                <w:b/>
                <w:bCs/>
                <w:color w:val="auto"/>
                <w:highlight w:val="none"/>
              </w:rPr>
              <w:t>（二）课程开发流程与标准</w:t>
            </w:r>
            <w:r>
              <w:rPr>
                <w:rFonts w:hint="eastAsia"/>
                <w:b/>
                <w:bCs/>
                <w:color w:val="auto"/>
                <w:highlight w:val="none"/>
                <w:lang w:eastAsia="zh-CN"/>
              </w:rPr>
              <w:t>要求</w:t>
            </w:r>
          </w:p>
          <w:p w14:paraId="654C9280">
            <w:pPr>
              <w:spacing w:line="400" w:lineRule="exact"/>
              <w:ind w:firstLine="420" w:firstLineChars="200"/>
              <w:rPr>
                <w:rFonts w:hint="eastAsia"/>
                <w:color w:val="auto"/>
                <w:highlight w:val="none"/>
              </w:rPr>
            </w:pPr>
            <w:r>
              <w:rPr>
                <w:rFonts w:hint="eastAsia"/>
                <w:color w:val="auto"/>
                <w:highlight w:val="none"/>
              </w:rPr>
              <w:t>1.制定项目实施计划与流程规范：辅导课程团队教师，将课程开发的相关工序，进行流程、规范、标准制定，同时针对本次教师能力训练，制定好各阶段的具体任务、时间节点和交付成果，形成项目实施计划。包含但不限于课程开发、运行的9道工序，覆盖课程标准设计、课程整体设计、课程单元设计、课程教案设计、单元评价方案设计、资源制作、规范施教、质量评价、持续改进教学，需要定义出上述9道工序的流程、质量检查标准、软件固化规则与实现方式。</w:t>
            </w:r>
          </w:p>
          <w:p w14:paraId="2BDF9529">
            <w:pPr>
              <w:spacing w:line="400" w:lineRule="exact"/>
              <w:ind w:firstLine="420" w:firstLineChars="200"/>
              <w:rPr>
                <w:rFonts w:hint="eastAsia"/>
                <w:color w:val="auto"/>
                <w:highlight w:val="none"/>
              </w:rPr>
            </w:pPr>
            <w:r>
              <w:rPr>
                <w:rFonts w:hint="eastAsia"/>
                <w:color w:val="auto"/>
                <w:highlight w:val="none"/>
              </w:rPr>
              <w:t>2.制定课程开发质量标准：辅导课程团队教师制定课程开发质量标准，供应商针对前期调研的情况形成调研报告，提出优化或再造后的流程意见，学校达成最终意见、定稿，形成《课程开发流程与规范》《教学典型工作任务的评价体系标准》《金课建设的实施方案（包含金课的评审标准）》《教学能力评议标准》。包括课程内容的科学性、教学方法的创新性、课程评价的合理性等量化指标。</w:t>
            </w:r>
          </w:p>
          <w:p w14:paraId="356F10A7">
            <w:pPr>
              <w:spacing w:line="400" w:lineRule="exact"/>
              <w:ind w:firstLine="420" w:firstLineChars="200"/>
              <w:rPr>
                <w:rFonts w:hint="eastAsia"/>
                <w:color w:val="auto"/>
                <w:highlight w:val="none"/>
              </w:rPr>
            </w:pPr>
            <w:r>
              <w:rPr>
                <w:rFonts w:hint="eastAsia"/>
                <w:color w:val="auto"/>
                <w:highlight w:val="none"/>
              </w:rPr>
              <w:t>3.课程认证标准与实施办法及软件支撑方案：设计出《课程认证标准与实施办法》能够适用全校教师教学能力及“伴生开发”的课程质量认证；通过对课程开发与课程运行中数据采集，结合人工智能技术，能够对教学各道工序“伴生”作品进行质量评价的实现方案。</w:t>
            </w:r>
          </w:p>
          <w:p w14:paraId="3C0756B5">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1F2E38FC">
            <w:pPr>
              <w:spacing w:line="400" w:lineRule="exact"/>
              <w:ind w:firstLine="420" w:firstLineChars="200"/>
              <w:rPr>
                <w:rFonts w:hint="eastAsia"/>
                <w:color w:val="auto"/>
                <w:highlight w:val="none"/>
              </w:rPr>
            </w:pPr>
            <w:r>
              <w:rPr>
                <w:rFonts w:hint="eastAsia"/>
                <w:color w:val="auto"/>
                <w:highlight w:val="none"/>
              </w:rPr>
              <w:t>（1）牵头部门签字盖章的《项目实施计划》1份，项目实施计划详细列出课程开发的9道工序（课程标准设计、课程整体设计、课程单元设计、课程教案设计、单元评价方案设计、资源制作、规范施教、质量评价、持续改进教学）的具体任务、时间节点、交付成果，以及各阶段的教师能力训练计划。其中“课程标准设计、课程整体设计、课程单元设计、课程教案设计、单元评价方案设计、资源制作”6道工序需要在第一个学期完成；“规范施教、质量评价、持续改进教学”3道工序需要在第二个学期完成。辅导教师需要在合同期内启动应用推广。</w:t>
            </w:r>
          </w:p>
          <w:p w14:paraId="206AEADB">
            <w:pPr>
              <w:spacing w:line="400" w:lineRule="exact"/>
              <w:ind w:firstLine="420" w:firstLineChars="200"/>
              <w:rPr>
                <w:rFonts w:hint="eastAsia"/>
                <w:color w:val="auto"/>
                <w:highlight w:val="none"/>
              </w:rPr>
            </w:pPr>
            <w:r>
              <w:rPr>
                <w:rFonts w:hint="eastAsia"/>
                <w:color w:val="auto"/>
                <w:highlight w:val="none"/>
              </w:rPr>
              <w:t>（2）流程与规范文档1套：《课程开发流程与规范》，每道工序的流程描述、质量检查标准、软件固化规则与实现方式。</w:t>
            </w:r>
          </w:p>
          <w:p w14:paraId="4A8D433C">
            <w:pPr>
              <w:spacing w:line="400" w:lineRule="exact"/>
              <w:ind w:firstLine="420" w:firstLineChars="200"/>
              <w:rPr>
                <w:rFonts w:hint="eastAsia"/>
                <w:color w:val="auto"/>
                <w:highlight w:val="none"/>
              </w:rPr>
            </w:pPr>
            <w:r>
              <w:rPr>
                <w:rFonts w:hint="eastAsia"/>
                <w:color w:val="auto"/>
                <w:highlight w:val="none"/>
              </w:rPr>
              <w:t>（3）调研报告1份：基于前期调研情况，提出优化或再造后的流程意见。</w:t>
            </w:r>
          </w:p>
          <w:p w14:paraId="42284A37">
            <w:pPr>
              <w:spacing w:line="400" w:lineRule="exact"/>
              <w:ind w:firstLine="420" w:firstLineChars="200"/>
              <w:rPr>
                <w:rFonts w:hint="eastAsia"/>
                <w:color w:val="auto"/>
                <w:highlight w:val="none"/>
              </w:rPr>
            </w:pPr>
            <w:r>
              <w:rPr>
                <w:rFonts w:hint="eastAsia"/>
                <w:color w:val="auto"/>
                <w:highlight w:val="none"/>
              </w:rPr>
              <w:t>（4）质量标准文档1套：《教学典型工作任务的评价体系标准》《金课建设的实施方案（包含金课的评审标准）》《教学能力评议标准》，包含课程内容的科学性、教学方法的创新性、课程评价的合理性等量化指标。</w:t>
            </w:r>
          </w:p>
          <w:p w14:paraId="41232192">
            <w:pPr>
              <w:spacing w:line="400" w:lineRule="exact"/>
              <w:ind w:firstLine="420" w:firstLineChars="200"/>
              <w:rPr>
                <w:rFonts w:hint="eastAsia"/>
                <w:color w:val="auto"/>
                <w:highlight w:val="none"/>
              </w:rPr>
            </w:pPr>
            <w:r>
              <w:rPr>
                <w:rFonts w:hint="eastAsia"/>
                <w:color w:val="auto"/>
                <w:highlight w:val="none"/>
              </w:rPr>
              <w:t>（5）教师能力训练平台配置：在平台上固化并呈现这些改革措施，体现管理落地情况。</w:t>
            </w:r>
          </w:p>
          <w:p w14:paraId="0F872699">
            <w:pPr>
              <w:spacing w:line="400" w:lineRule="exact"/>
              <w:ind w:firstLine="420" w:firstLineChars="200"/>
              <w:rPr>
                <w:rFonts w:hint="eastAsia"/>
                <w:color w:val="auto"/>
                <w:highlight w:val="none"/>
              </w:rPr>
            </w:pPr>
            <w:r>
              <w:rPr>
                <w:rFonts w:hint="eastAsia"/>
                <w:color w:val="auto"/>
                <w:highlight w:val="none"/>
              </w:rPr>
              <w:t>（6）相关性制度设计文档1套：厘清“教师教学能力通过认证、课程质量获得学校金课等级认定”与“职称评定、评先评优、绩效奖励”的相关性制度；“教学能力评议优秀认定”与评先评优、绩效奖励的相关制度。</w:t>
            </w:r>
          </w:p>
          <w:p w14:paraId="65710F8A">
            <w:pPr>
              <w:spacing w:line="400" w:lineRule="exact"/>
              <w:ind w:firstLine="420" w:firstLineChars="200"/>
              <w:rPr>
                <w:rFonts w:hint="eastAsia"/>
                <w:color w:val="auto"/>
                <w:highlight w:val="none"/>
              </w:rPr>
            </w:pPr>
            <w:r>
              <w:rPr>
                <w:rFonts w:hint="eastAsia"/>
                <w:color w:val="auto"/>
                <w:highlight w:val="none"/>
              </w:rPr>
              <w:t>（7）设计《课程认证标准与实施办法》：适用于全校教师教学能力及“伴生开发”的课程质量认证。</w:t>
            </w:r>
          </w:p>
          <w:p w14:paraId="1F2D3AF1">
            <w:pPr>
              <w:spacing w:line="400" w:lineRule="exact"/>
              <w:ind w:firstLine="420" w:firstLineChars="200"/>
              <w:rPr>
                <w:rFonts w:hint="eastAsia"/>
                <w:color w:val="auto"/>
                <w:highlight w:val="none"/>
              </w:rPr>
            </w:pPr>
            <w:r>
              <w:rPr>
                <w:rFonts w:hint="eastAsia"/>
                <w:color w:val="auto"/>
                <w:highlight w:val="none"/>
              </w:rPr>
              <w:t>（8）设计《教师能力训练软件支撑方案》：基于软件平台采集教师教学过程数据的方案；结合人工智能技术，对教学各道工序“伴生”作品进行质量评价的实现方案；</w:t>
            </w:r>
          </w:p>
          <w:p w14:paraId="599029EF">
            <w:pPr>
              <w:spacing w:line="400" w:lineRule="exact"/>
              <w:ind w:firstLine="420" w:firstLineChars="200"/>
              <w:rPr>
                <w:rFonts w:hint="eastAsia"/>
                <w:color w:val="auto"/>
                <w:highlight w:val="none"/>
              </w:rPr>
            </w:pPr>
            <w:r>
              <w:rPr>
                <w:rFonts w:hint="eastAsia"/>
                <w:color w:val="auto"/>
                <w:highlight w:val="none"/>
              </w:rPr>
              <w:t>（9）项目总结报告1份：对整个项目过程、成果、挑战、解决方案等进行全面总结。</w:t>
            </w:r>
          </w:p>
          <w:p w14:paraId="3C754713">
            <w:pPr>
              <w:spacing w:line="400" w:lineRule="exact"/>
              <w:ind w:firstLine="420" w:firstLineChars="200"/>
              <w:rPr>
                <w:rFonts w:hint="eastAsia"/>
                <w:color w:val="auto"/>
                <w:highlight w:val="none"/>
              </w:rPr>
            </w:pPr>
            <w:r>
              <w:rPr>
                <w:rFonts w:hint="eastAsia"/>
                <w:color w:val="auto"/>
                <w:highlight w:val="none"/>
              </w:rPr>
              <w:t>（10）未来发展规划：基于项目成果，提出持续改进和未来发展规划的建议。</w:t>
            </w:r>
          </w:p>
          <w:p w14:paraId="385AEC34">
            <w:pPr>
              <w:spacing w:line="400" w:lineRule="exact"/>
              <w:ind w:firstLine="422" w:firstLineChars="200"/>
              <w:rPr>
                <w:rFonts w:hint="eastAsia" w:eastAsia="宋体"/>
                <w:b/>
                <w:bCs/>
                <w:color w:val="auto"/>
                <w:highlight w:val="none"/>
                <w:lang w:eastAsia="zh-CN"/>
              </w:rPr>
            </w:pPr>
            <w:r>
              <w:rPr>
                <w:rFonts w:hint="eastAsia"/>
                <w:b/>
                <w:bCs/>
                <w:color w:val="auto"/>
                <w:highlight w:val="none"/>
              </w:rPr>
              <w:t>（三）课程开发模型与模板</w:t>
            </w:r>
            <w:r>
              <w:rPr>
                <w:rFonts w:hint="eastAsia"/>
                <w:b/>
                <w:bCs/>
                <w:color w:val="auto"/>
                <w:highlight w:val="none"/>
                <w:lang w:eastAsia="zh-CN"/>
              </w:rPr>
              <w:t>要求</w:t>
            </w:r>
          </w:p>
          <w:p w14:paraId="155661BA">
            <w:pPr>
              <w:spacing w:line="400" w:lineRule="exact"/>
              <w:ind w:firstLine="420" w:firstLineChars="200"/>
              <w:rPr>
                <w:rFonts w:hint="eastAsia"/>
                <w:color w:val="auto"/>
                <w:highlight w:val="none"/>
              </w:rPr>
            </w:pPr>
            <w:r>
              <w:rPr>
                <w:rFonts w:hint="eastAsia"/>
                <w:color w:val="auto"/>
                <w:highlight w:val="none"/>
              </w:rPr>
              <w:t>基于前期调研，供应商与学校共同制定模板。根据理工科、文科、艺术类等学科及公共课的特点，设计对应模板。每套模板应包含课标、整体设计、单元设计、教案设计、单元评价设计、资源制作的模板。</w:t>
            </w:r>
          </w:p>
          <w:p w14:paraId="191EBEDD">
            <w:pPr>
              <w:spacing w:line="400" w:lineRule="exact"/>
              <w:ind w:firstLine="422" w:firstLineChars="200"/>
              <w:rPr>
                <w:rFonts w:hint="eastAsia"/>
                <w:color w:val="auto"/>
                <w:highlight w:val="none"/>
              </w:rPr>
            </w:pPr>
            <w:r>
              <w:rPr>
                <w:rFonts w:hint="eastAsia" w:ascii="宋体" w:hAnsi="宋体" w:cs="宋体"/>
                <w:b/>
                <w:bCs/>
                <w:color w:val="auto"/>
                <w:highlight w:val="none"/>
              </w:rPr>
              <w:t>★</w:t>
            </w:r>
            <w:r>
              <w:rPr>
                <w:rFonts w:hint="eastAsia"/>
                <w:b/>
                <w:bCs/>
                <w:color w:val="auto"/>
                <w:highlight w:val="none"/>
              </w:rPr>
              <w:t>交付物：</w:t>
            </w:r>
            <w:r>
              <w:rPr>
                <w:rFonts w:hint="eastAsia"/>
                <w:color w:val="auto"/>
                <w:highlight w:val="none"/>
              </w:rPr>
              <w:t>面向理工科、文科、艺术类等学科及公共课特点形成4套模板</w:t>
            </w:r>
            <w:r>
              <w:rPr>
                <w:rFonts w:hint="eastAsia"/>
                <w:color w:val="auto"/>
                <w:highlight w:val="none"/>
                <w:u w:val="none"/>
                <w:lang w:eastAsia="zh-CN"/>
              </w:rPr>
              <w:t>，至少包括以下内容</w:t>
            </w:r>
            <w:r>
              <w:rPr>
                <w:rFonts w:hint="eastAsia"/>
                <w:color w:val="auto"/>
                <w:highlight w:val="none"/>
                <w:u w:val="none"/>
              </w:rPr>
              <w:t>：</w:t>
            </w:r>
          </w:p>
          <w:p w14:paraId="1E98C378">
            <w:pPr>
              <w:spacing w:line="400" w:lineRule="exact"/>
              <w:ind w:firstLine="420" w:firstLineChars="200"/>
              <w:rPr>
                <w:rFonts w:hint="eastAsia"/>
                <w:color w:val="auto"/>
                <w:highlight w:val="none"/>
              </w:rPr>
            </w:pPr>
            <w:r>
              <w:rPr>
                <w:rFonts w:hint="eastAsia"/>
                <w:color w:val="auto"/>
                <w:highlight w:val="none"/>
              </w:rPr>
              <w:t>（1）《课程标准的模板》1份/套</w:t>
            </w:r>
          </w:p>
          <w:p w14:paraId="679005CE">
            <w:pPr>
              <w:spacing w:line="400" w:lineRule="exact"/>
              <w:ind w:firstLine="420" w:firstLineChars="200"/>
              <w:rPr>
                <w:rFonts w:hint="eastAsia"/>
                <w:color w:val="auto"/>
                <w:highlight w:val="none"/>
              </w:rPr>
            </w:pPr>
            <w:r>
              <w:rPr>
                <w:rFonts w:hint="eastAsia"/>
                <w:color w:val="auto"/>
                <w:highlight w:val="none"/>
              </w:rPr>
              <w:t>（2）《整体设计的模板》1份/套</w:t>
            </w:r>
          </w:p>
          <w:p w14:paraId="578A77B1">
            <w:pPr>
              <w:spacing w:line="400" w:lineRule="exact"/>
              <w:ind w:firstLine="420" w:firstLineChars="200"/>
              <w:rPr>
                <w:rFonts w:hint="eastAsia"/>
                <w:color w:val="auto"/>
                <w:highlight w:val="none"/>
              </w:rPr>
            </w:pPr>
            <w:r>
              <w:rPr>
                <w:rFonts w:hint="eastAsia"/>
                <w:color w:val="auto"/>
                <w:highlight w:val="none"/>
              </w:rPr>
              <w:t>（3）《单元设计的模板》1份/套</w:t>
            </w:r>
          </w:p>
          <w:p w14:paraId="556731DA">
            <w:pPr>
              <w:spacing w:line="400" w:lineRule="exact"/>
              <w:ind w:firstLine="420" w:firstLineChars="200"/>
              <w:rPr>
                <w:rFonts w:hint="eastAsia"/>
                <w:color w:val="auto"/>
                <w:highlight w:val="none"/>
              </w:rPr>
            </w:pPr>
            <w:r>
              <w:rPr>
                <w:rFonts w:hint="eastAsia"/>
                <w:color w:val="auto"/>
                <w:highlight w:val="none"/>
              </w:rPr>
              <w:t>（4）《教案设计的模板》1份/套</w:t>
            </w:r>
          </w:p>
          <w:p w14:paraId="013683B0">
            <w:pPr>
              <w:spacing w:line="400" w:lineRule="exact"/>
              <w:ind w:firstLine="420" w:firstLineChars="200"/>
              <w:rPr>
                <w:rFonts w:hint="eastAsia"/>
                <w:color w:val="auto"/>
                <w:highlight w:val="none"/>
              </w:rPr>
            </w:pPr>
            <w:r>
              <w:rPr>
                <w:rFonts w:hint="eastAsia"/>
                <w:color w:val="auto"/>
                <w:highlight w:val="none"/>
              </w:rPr>
              <w:t>（5）《单元评价设计的模板》1份/套</w:t>
            </w:r>
          </w:p>
          <w:p w14:paraId="0D6D72FD">
            <w:pPr>
              <w:spacing w:line="400" w:lineRule="exact"/>
              <w:ind w:firstLine="420" w:firstLineChars="200"/>
              <w:rPr>
                <w:rFonts w:hint="eastAsia"/>
                <w:color w:val="auto"/>
                <w:highlight w:val="none"/>
              </w:rPr>
            </w:pPr>
            <w:r>
              <w:rPr>
                <w:rFonts w:hint="eastAsia"/>
                <w:color w:val="auto"/>
                <w:highlight w:val="none"/>
              </w:rPr>
              <w:t>（6）《资源制作的模板》1份/套</w:t>
            </w:r>
          </w:p>
          <w:p w14:paraId="155DE9EB">
            <w:pPr>
              <w:spacing w:line="400" w:lineRule="exact"/>
              <w:ind w:firstLine="422" w:firstLineChars="200"/>
              <w:rPr>
                <w:rFonts w:hint="eastAsia" w:eastAsia="宋体"/>
                <w:b/>
                <w:bCs/>
                <w:color w:val="auto"/>
                <w:highlight w:val="none"/>
                <w:lang w:eastAsia="zh-CN"/>
              </w:rPr>
            </w:pPr>
            <w:r>
              <w:rPr>
                <w:rFonts w:hint="eastAsia"/>
                <w:b/>
                <w:bCs/>
                <w:color w:val="auto"/>
                <w:highlight w:val="none"/>
              </w:rPr>
              <w:t>二、课程开发团队能力提升保障</w:t>
            </w:r>
            <w:r>
              <w:rPr>
                <w:rFonts w:hint="eastAsia" w:ascii="Times New Roman" w:hAnsi="Times New Roman" w:eastAsia="宋体" w:cs="Times New Roman"/>
                <w:b/>
                <w:bCs/>
                <w:color w:val="auto"/>
                <w:highlight w:val="none"/>
                <w:lang w:eastAsia="zh-CN"/>
              </w:rPr>
              <w:t>要求</w:t>
            </w:r>
          </w:p>
          <w:p w14:paraId="6CA2E205">
            <w:pPr>
              <w:spacing w:line="400" w:lineRule="exact"/>
              <w:ind w:firstLine="422" w:firstLineChars="200"/>
              <w:rPr>
                <w:rFonts w:hint="eastAsia"/>
                <w:b/>
                <w:bCs/>
                <w:color w:val="auto"/>
                <w:highlight w:val="none"/>
              </w:rPr>
            </w:pPr>
            <w:r>
              <w:rPr>
                <w:rFonts w:hint="eastAsia"/>
                <w:b/>
                <w:bCs/>
                <w:color w:val="auto"/>
                <w:highlight w:val="none"/>
              </w:rPr>
              <w:t>（一）专家团队要求</w:t>
            </w:r>
          </w:p>
          <w:p w14:paraId="56853BC3">
            <w:pPr>
              <w:spacing w:line="400" w:lineRule="exact"/>
              <w:ind w:firstLine="422" w:firstLineChars="200"/>
              <w:rPr>
                <w:rFonts w:hint="eastAsia"/>
                <w:b/>
                <w:bCs/>
                <w:color w:val="auto"/>
                <w:highlight w:val="none"/>
              </w:rPr>
            </w:pPr>
            <w:r>
              <w:rPr>
                <w:rFonts w:hint="eastAsia"/>
                <w:b/>
                <w:bCs/>
                <w:color w:val="auto"/>
                <w:highlight w:val="none"/>
              </w:rPr>
              <w:t>1.专家能力要求</w:t>
            </w:r>
          </w:p>
          <w:p w14:paraId="5C6A8B65">
            <w:pPr>
              <w:spacing w:line="400" w:lineRule="exact"/>
              <w:ind w:firstLine="420" w:firstLineChars="200"/>
              <w:rPr>
                <w:rFonts w:hint="eastAsia"/>
                <w:b w:val="0"/>
                <w:bCs w:val="0"/>
                <w:color w:val="auto"/>
                <w:highlight w:val="none"/>
              </w:rPr>
            </w:pPr>
            <w:r>
              <w:rPr>
                <w:rFonts w:hint="eastAsia"/>
                <w:b w:val="0"/>
                <w:bCs w:val="0"/>
                <w:color w:val="auto"/>
                <w:highlight w:val="none"/>
              </w:rPr>
              <w:t>（1）面上培训专家</w:t>
            </w:r>
          </w:p>
          <w:p w14:paraId="63723BB8">
            <w:pPr>
              <w:spacing w:line="400" w:lineRule="exact"/>
              <w:ind w:firstLine="420" w:firstLineChars="200"/>
              <w:rPr>
                <w:rFonts w:hint="eastAsia"/>
                <w:color w:val="auto"/>
                <w:highlight w:val="none"/>
              </w:rPr>
            </w:pPr>
            <w:r>
              <w:rPr>
                <w:rFonts w:hint="eastAsia"/>
                <w:color w:val="auto"/>
                <w:highlight w:val="none"/>
              </w:rPr>
              <w:t>★要求提供≥4名熟悉职业教育课程建设的专家，对21支“金课”课程开发团队进行面上培训、辅导、认证，各类培训、专家评审全部通过本次双方参与设计的“教师能力训练平台”进行、9道工序成果质量的规范性核查也通过“教师能力训练平台”进行基于人工智能的核验。拟投入本项目的职业教育专家至少需要具备教授职称、具备国家职业教育宏观政策的解读与分析能力。职业教育课程专家优质的培训、辅导视频，能够收录到“教师能力训练平台”中，为全校教师提供“随时随地”的自主学习资源。投标</w:t>
            </w:r>
            <w:r>
              <w:rPr>
                <w:rFonts w:hint="eastAsia"/>
                <w:color w:val="auto"/>
                <w:highlight w:val="none"/>
                <w:lang w:val="en-US" w:eastAsia="zh-CN"/>
              </w:rPr>
              <w:t>时</w:t>
            </w:r>
            <w:r>
              <w:rPr>
                <w:rFonts w:hint="eastAsia"/>
                <w:color w:val="auto"/>
                <w:highlight w:val="none"/>
              </w:rPr>
              <w:t>提供专家职称证书</w:t>
            </w:r>
            <w:r>
              <w:rPr>
                <w:rFonts w:hint="eastAsia"/>
                <w:color w:val="auto"/>
                <w:highlight w:val="none"/>
                <w:lang w:val="en-US" w:eastAsia="zh-CN"/>
              </w:rPr>
              <w:t>扫描件</w:t>
            </w:r>
            <w:r>
              <w:rPr>
                <w:rFonts w:hint="eastAsia"/>
                <w:color w:val="auto"/>
                <w:highlight w:val="none"/>
              </w:rPr>
              <w:t>。</w:t>
            </w:r>
          </w:p>
          <w:p w14:paraId="2106E1EF">
            <w:pPr>
              <w:spacing w:line="400" w:lineRule="exact"/>
              <w:ind w:firstLine="420" w:firstLineChars="200"/>
              <w:rPr>
                <w:rFonts w:hint="eastAsia"/>
                <w:color w:val="auto"/>
                <w:highlight w:val="none"/>
              </w:rPr>
            </w:pPr>
            <w:r>
              <w:rPr>
                <w:rFonts w:hint="eastAsia"/>
                <w:color w:val="auto"/>
                <w:highlight w:val="none"/>
              </w:rPr>
              <w:t>★（2）一对一专家：每门课程</w:t>
            </w:r>
            <w:r>
              <w:rPr>
                <w:rFonts w:hint="eastAsia"/>
                <w:color w:val="auto"/>
                <w:highlight w:val="none"/>
                <w:lang w:val="en-US" w:eastAsia="zh-CN"/>
              </w:rPr>
              <w:t>至少</w:t>
            </w:r>
            <w:r>
              <w:rPr>
                <w:rFonts w:hint="eastAsia"/>
                <w:color w:val="auto"/>
                <w:highlight w:val="none"/>
              </w:rPr>
              <w:t>配备一名国家级对口课程专家，需≥21名专家，一对一专家需满足以下条件：</w:t>
            </w:r>
          </w:p>
          <w:p w14:paraId="37CD3203">
            <w:pPr>
              <w:spacing w:line="400" w:lineRule="exact"/>
              <w:ind w:firstLine="420" w:firstLineChars="200"/>
              <w:rPr>
                <w:rFonts w:hint="eastAsia"/>
                <w:color w:val="auto"/>
                <w:highlight w:val="none"/>
              </w:rPr>
            </w:pPr>
            <w:r>
              <w:rPr>
                <w:rFonts w:hint="eastAsia"/>
                <w:color w:val="auto"/>
                <w:highlight w:val="none"/>
              </w:rPr>
              <w:t>职业背景：应为国家级双高校在职教师，且为国家级在线精品课程主持人，具备高级职称以上。投标</w:t>
            </w:r>
            <w:r>
              <w:rPr>
                <w:rFonts w:hint="eastAsia"/>
                <w:color w:val="auto"/>
                <w:highlight w:val="none"/>
                <w:lang w:val="en-US" w:eastAsia="zh-CN"/>
              </w:rPr>
              <w:t>时</w:t>
            </w:r>
            <w:r>
              <w:rPr>
                <w:rFonts w:hint="eastAsia"/>
                <w:color w:val="auto"/>
                <w:highlight w:val="none"/>
              </w:rPr>
              <w:t>提供专家职称证书或</w:t>
            </w:r>
            <w:r>
              <w:rPr>
                <w:rFonts w:hint="eastAsia"/>
                <w:color w:val="auto"/>
                <w:highlight w:val="none"/>
                <w:lang w:val="en-US" w:eastAsia="zh-CN"/>
              </w:rPr>
              <w:t>相关证明</w:t>
            </w:r>
            <w:r>
              <w:rPr>
                <w:rFonts w:hint="eastAsia"/>
                <w:color w:val="auto"/>
                <w:highlight w:val="none"/>
              </w:rPr>
              <w:t>文件、专家关于指导对应课程建设的承诺书复印件。</w:t>
            </w:r>
          </w:p>
          <w:p w14:paraId="52D2CE60">
            <w:pPr>
              <w:spacing w:line="400" w:lineRule="exact"/>
              <w:ind w:firstLine="420" w:firstLineChars="200"/>
              <w:rPr>
                <w:rFonts w:hint="eastAsia"/>
                <w:color w:val="auto"/>
                <w:highlight w:val="none"/>
              </w:rPr>
            </w:pPr>
            <w:r>
              <w:rPr>
                <w:rFonts w:hint="eastAsia"/>
                <w:color w:val="auto"/>
                <w:highlight w:val="none"/>
              </w:rPr>
              <w:t>丰富经验：在近5年内，</w:t>
            </w:r>
            <w:r>
              <w:rPr>
                <w:rFonts w:hint="eastAsia"/>
                <w:color w:val="auto"/>
                <w:highlight w:val="none"/>
                <w:lang w:val="en-US" w:eastAsia="zh-CN"/>
              </w:rPr>
              <w:t>须</w:t>
            </w:r>
            <w:r>
              <w:rPr>
                <w:rFonts w:hint="eastAsia"/>
                <w:color w:val="auto"/>
                <w:highlight w:val="none"/>
              </w:rPr>
              <w:t>拥有至少2个成功的课程及专业建设项目经验，展现其在课程设计、实施与评估等方面的卓越能力。</w:t>
            </w:r>
          </w:p>
          <w:p w14:paraId="2C169DF4">
            <w:pPr>
              <w:spacing w:line="400" w:lineRule="exact"/>
              <w:ind w:firstLine="420" w:firstLineChars="200"/>
              <w:rPr>
                <w:rFonts w:hint="eastAsia"/>
                <w:color w:val="auto"/>
                <w:highlight w:val="none"/>
              </w:rPr>
            </w:pPr>
            <w:r>
              <w:rPr>
                <w:rFonts w:hint="eastAsia"/>
                <w:color w:val="auto"/>
                <w:highlight w:val="none"/>
              </w:rPr>
              <w:t>前沿理念：熟悉国际教育前沿理念，能够紧跟时代发展，将最新的教育理念与教学方法融入课程设计中，提升课程的创新性与实用性。</w:t>
            </w:r>
          </w:p>
          <w:p w14:paraId="5C4004B2">
            <w:pPr>
              <w:spacing w:line="400" w:lineRule="exact"/>
              <w:ind w:firstLine="420" w:firstLineChars="200"/>
              <w:rPr>
                <w:rFonts w:hint="eastAsia"/>
                <w:color w:val="auto"/>
                <w:highlight w:val="none"/>
              </w:rPr>
            </w:pPr>
            <w:r>
              <w:rPr>
                <w:rFonts w:hint="eastAsia"/>
                <w:color w:val="auto"/>
                <w:highlight w:val="none"/>
              </w:rPr>
              <w:t>对口指导：作为一对一专家，其所主讲课程应与所辅导课程一致或紧密相关，需深入了解所指导课程的特点、目标与受众，提供针对性的课程建设建议与指导。辅导专家全过程的培训、案例分析、评审与意见反馈，需要通过“教师能力训练平台”进行，辅导过程数据留痕，能够为校内没有参加受训的教师进行“案例学习”与“经典案例复盘”参考。同时，优质的辅导视频，能够收录到“教师能力训练平台”中，为全校教师提供“随时随地”的自主学习用途。</w:t>
            </w:r>
          </w:p>
          <w:p w14:paraId="4DDE3B32">
            <w:pPr>
              <w:spacing w:line="400" w:lineRule="exact"/>
              <w:ind w:firstLine="420" w:firstLineChars="200"/>
              <w:rPr>
                <w:rFonts w:hint="eastAsia"/>
                <w:color w:val="auto"/>
                <w:highlight w:val="none"/>
              </w:rPr>
            </w:pPr>
            <w:r>
              <w:rPr>
                <w:rFonts w:hint="eastAsia"/>
                <w:color w:val="auto"/>
                <w:highlight w:val="none"/>
              </w:rPr>
              <w:t>（3）行业/企业专家：课程相关领域的行业/企业专家，能够为课程开发提供岗位等产业相关信息或者标准。</w:t>
            </w:r>
          </w:p>
          <w:p w14:paraId="0EC3168B">
            <w:pPr>
              <w:spacing w:line="400" w:lineRule="exact"/>
              <w:ind w:firstLine="420" w:firstLineChars="200"/>
              <w:rPr>
                <w:rFonts w:hint="eastAsia"/>
                <w:color w:val="auto"/>
                <w:highlight w:val="none"/>
              </w:rPr>
            </w:pPr>
            <w:r>
              <w:rPr>
                <w:rFonts w:hint="eastAsia"/>
                <w:color w:val="auto"/>
                <w:highlight w:val="none"/>
              </w:rPr>
              <w:t>（4）面上培训专家和一对一专家每位专家每个学期至少1次</w:t>
            </w:r>
            <w:r>
              <w:rPr>
                <w:rFonts w:hint="eastAsia"/>
                <w:color w:val="auto"/>
                <w:highlight w:val="none"/>
                <w:lang w:val="en-US" w:eastAsia="zh-CN"/>
              </w:rPr>
              <w:t>及</w:t>
            </w:r>
            <w:r>
              <w:rPr>
                <w:rFonts w:hint="eastAsia"/>
                <w:color w:val="auto"/>
                <w:highlight w:val="none"/>
              </w:rPr>
              <w:t>以上入驻学校课程建设工作坊进行教培与教研工作。</w:t>
            </w:r>
          </w:p>
          <w:p w14:paraId="15D8893F">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60695A49">
            <w:pPr>
              <w:spacing w:line="400" w:lineRule="exact"/>
              <w:ind w:firstLine="420" w:firstLineChars="200"/>
              <w:rPr>
                <w:rFonts w:hint="eastAsia"/>
                <w:color w:val="auto"/>
                <w:highlight w:val="none"/>
              </w:rPr>
            </w:pPr>
            <w:r>
              <w:rPr>
                <w:rFonts w:hint="eastAsia"/>
                <w:color w:val="auto"/>
                <w:highlight w:val="none"/>
              </w:rPr>
              <w:t>（1）专家团队资料与成果：专家资料及认证、辅导视频；行业/企业专家提供的产业信息与标准文档；对口课程</w:t>
            </w:r>
            <w:r>
              <w:rPr>
                <w:rFonts w:hint="eastAsia"/>
                <w:color w:val="auto"/>
                <w:highlight w:val="none"/>
                <w:lang w:eastAsia="zh-CN"/>
              </w:rPr>
              <w:t>内含</w:t>
            </w:r>
            <w:r>
              <w:rPr>
                <w:rFonts w:hint="eastAsia"/>
                <w:color w:val="auto"/>
                <w:highlight w:val="none"/>
              </w:rPr>
              <w:t>辅导专家资料、培训、案例分析、评审报告及辅导视频。</w:t>
            </w:r>
          </w:p>
          <w:p w14:paraId="2B6ED067">
            <w:pPr>
              <w:spacing w:line="400" w:lineRule="exact"/>
              <w:ind w:firstLine="420" w:firstLineChars="200"/>
              <w:rPr>
                <w:rFonts w:hint="eastAsia"/>
                <w:color w:val="auto"/>
                <w:highlight w:val="none"/>
              </w:rPr>
            </w:pPr>
            <w:r>
              <w:rPr>
                <w:rFonts w:hint="eastAsia"/>
                <w:color w:val="auto"/>
                <w:highlight w:val="none"/>
              </w:rPr>
              <w:t>（2）课程辅导记录与资源：线下与线上指导记录，包括指导内容、问题及建议；收录至“教师能力训练平台”的培训、辅导视频资源。</w:t>
            </w:r>
          </w:p>
          <w:p w14:paraId="358158BE">
            <w:pPr>
              <w:spacing w:line="400" w:lineRule="exact"/>
              <w:ind w:firstLine="422" w:firstLineChars="200"/>
              <w:rPr>
                <w:rFonts w:hint="eastAsia"/>
                <w:b/>
                <w:bCs/>
                <w:color w:val="auto"/>
                <w:highlight w:val="none"/>
              </w:rPr>
            </w:pPr>
            <w:r>
              <w:rPr>
                <w:rFonts w:hint="eastAsia"/>
                <w:b/>
                <w:bCs/>
                <w:color w:val="auto"/>
                <w:highlight w:val="none"/>
              </w:rPr>
              <w:t>2.培训模式要求</w:t>
            </w:r>
          </w:p>
          <w:p w14:paraId="1137E6A6">
            <w:pPr>
              <w:spacing w:line="400" w:lineRule="exact"/>
              <w:ind w:firstLine="420" w:firstLineChars="200"/>
              <w:rPr>
                <w:rFonts w:hint="eastAsia"/>
                <w:color w:val="auto"/>
                <w:highlight w:val="none"/>
              </w:rPr>
            </w:pPr>
            <w:r>
              <w:rPr>
                <w:rFonts w:hint="eastAsia"/>
                <w:color w:val="auto"/>
                <w:highlight w:val="none"/>
              </w:rPr>
              <w:t>针对每门课程，由一对一专家结合所指导团队的基础，设计一套针对性的培训方案，以全面提升所指导团队课程标准设计、课程整体设计、课程单元设计、课程教案设计、单元评价方案设计、资源制作、规范施教、质量评价、持续改进教学的能力，全面提升所指导团队的教育教学能力与教育教学效果。</w:t>
            </w:r>
          </w:p>
          <w:p w14:paraId="0AD5D0EE">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34947A0E">
            <w:pPr>
              <w:spacing w:line="400" w:lineRule="exact"/>
              <w:ind w:firstLine="420" w:firstLineChars="200"/>
              <w:rPr>
                <w:rFonts w:hint="eastAsia"/>
                <w:color w:val="auto"/>
                <w:highlight w:val="none"/>
              </w:rPr>
            </w:pPr>
            <w:r>
              <w:rPr>
                <w:rFonts w:hint="eastAsia"/>
                <w:color w:val="auto"/>
                <w:highlight w:val="none"/>
              </w:rPr>
              <w:t>（1）21份“一对一”培训方案，详细阐述针对性培训方案，包括但不限于培训目标、培训内容、教学方法、时间安排、评估机制等关键要素。方案须经过学校审核通过，由专家、课程团队负责人、学校、供应商四方联签。</w:t>
            </w:r>
          </w:p>
          <w:p w14:paraId="5C9C804E">
            <w:pPr>
              <w:spacing w:line="400" w:lineRule="exact"/>
              <w:ind w:firstLine="420" w:firstLineChars="200"/>
              <w:rPr>
                <w:rFonts w:hint="eastAsia"/>
                <w:color w:val="auto"/>
                <w:highlight w:val="none"/>
              </w:rPr>
            </w:pPr>
            <w:r>
              <w:rPr>
                <w:rFonts w:hint="eastAsia"/>
                <w:color w:val="auto"/>
                <w:highlight w:val="none"/>
              </w:rPr>
              <w:t>（2）培训实施过程中的反馈与调整记录，以及培训结束后的效果评估报告，以全面反映培训模式的实施效果与改进空间。</w:t>
            </w:r>
          </w:p>
          <w:p w14:paraId="48910147">
            <w:pPr>
              <w:spacing w:line="400" w:lineRule="exact"/>
              <w:ind w:firstLine="422" w:firstLineChars="200"/>
              <w:rPr>
                <w:rFonts w:hint="eastAsia"/>
                <w:b/>
                <w:bCs/>
                <w:color w:val="auto"/>
                <w:highlight w:val="none"/>
              </w:rPr>
            </w:pPr>
            <w:r>
              <w:rPr>
                <w:rFonts w:hint="eastAsia"/>
                <w:b/>
                <w:bCs/>
                <w:color w:val="auto"/>
                <w:highlight w:val="none"/>
              </w:rPr>
              <w:t>3.时间要求</w:t>
            </w:r>
          </w:p>
          <w:p w14:paraId="1E9F5F75">
            <w:pPr>
              <w:spacing w:line="400" w:lineRule="exact"/>
              <w:ind w:firstLine="420" w:firstLineChars="200"/>
              <w:rPr>
                <w:rFonts w:hint="eastAsia"/>
                <w:color w:val="auto"/>
                <w:highlight w:val="none"/>
              </w:rPr>
            </w:pPr>
            <w:r>
              <w:rPr>
                <w:rFonts w:hint="eastAsia"/>
                <w:color w:val="auto"/>
                <w:highlight w:val="none"/>
              </w:rPr>
              <w:t>（1）线下集中培训：每个学期不少于3天到校指导，共不少于6天，每次指导时长≥8小时；</w:t>
            </w:r>
          </w:p>
          <w:p w14:paraId="52D2FBFF">
            <w:pPr>
              <w:spacing w:line="400" w:lineRule="exact"/>
              <w:ind w:firstLine="420" w:firstLineChars="200"/>
              <w:rPr>
                <w:rFonts w:hint="eastAsia"/>
                <w:color w:val="auto"/>
                <w:highlight w:val="none"/>
              </w:rPr>
            </w:pPr>
            <w:r>
              <w:rPr>
                <w:rFonts w:hint="eastAsia"/>
                <w:color w:val="auto"/>
                <w:highlight w:val="none"/>
              </w:rPr>
              <w:t>（2）线上指导：不限次数，不限时间。每次指导需形成详细的指导记录，包括指导内容、发现的问题、提出的建议等，提交学校留存。</w:t>
            </w:r>
          </w:p>
          <w:p w14:paraId="232BDA58">
            <w:pPr>
              <w:spacing w:line="400" w:lineRule="exact"/>
              <w:ind w:firstLine="420" w:firstLineChars="200"/>
              <w:rPr>
                <w:rFonts w:hint="eastAsia"/>
                <w:color w:val="auto"/>
                <w:highlight w:val="none"/>
              </w:rPr>
            </w:pPr>
            <w:r>
              <w:rPr>
                <w:rFonts w:hint="eastAsia"/>
                <w:color w:val="auto"/>
                <w:highlight w:val="none"/>
              </w:rPr>
              <w:t>（3）安排课程团队负责人到一对一专家所在学校进行累计不少于1个月跟班学习和随堂听课。</w:t>
            </w:r>
          </w:p>
          <w:p w14:paraId="1B67613B">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5CAC0226">
            <w:pPr>
              <w:spacing w:line="400" w:lineRule="exact"/>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线下与线上指导记录，包括指导内容、问题及建议。</w:t>
            </w:r>
          </w:p>
          <w:p w14:paraId="377C374D">
            <w:pPr>
              <w:spacing w:line="400" w:lineRule="exact"/>
              <w:ind w:firstLine="420" w:firstLineChars="20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不少于</w:t>
            </w:r>
            <w:r>
              <w:rPr>
                <w:rFonts w:hint="eastAsia"/>
                <w:color w:val="auto"/>
                <w:highlight w:val="none"/>
              </w:rPr>
              <w:t>1个月跟班学习和随堂听课</w:t>
            </w:r>
            <w:r>
              <w:rPr>
                <w:rFonts w:hint="eastAsia"/>
                <w:color w:val="auto"/>
                <w:highlight w:val="none"/>
                <w:lang w:eastAsia="zh-CN"/>
              </w:rPr>
              <w:t>的</w:t>
            </w:r>
            <w:r>
              <w:rPr>
                <w:rFonts w:hint="eastAsia"/>
                <w:color w:val="auto"/>
                <w:highlight w:val="none"/>
                <w:lang w:val="en-US" w:eastAsia="zh-CN"/>
              </w:rPr>
              <w:t>记录，包括指导内容、问题及建议。</w:t>
            </w:r>
          </w:p>
          <w:p w14:paraId="0470454B">
            <w:pPr>
              <w:spacing w:line="400" w:lineRule="exact"/>
              <w:ind w:firstLine="422" w:firstLineChars="200"/>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二</w:t>
            </w:r>
            <w:r>
              <w:rPr>
                <w:rFonts w:hint="eastAsia"/>
                <w:b/>
                <w:bCs/>
                <w:color w:val="auto"/>
                <w:highlight w:val="none"/>
                <w:lang w:eastAsia="zh-CN"/>
              </w:rPr>
              <w:t>）</w:t>
            </w:r>
            <w:r>
              <w:rPr>
                <w:rFonts w:hint="eastAsia"/>
                <w:b/>
                <w:bCs/>
                <w:color w:val="auto"/>
                <w:highlight w:val="none"/>
                <w:lang w:val="en-US" w:eastAsia="zh-CN"/>
              </w:rPr>
              <w:t>常驻</w:t>
            </w:r>
            <w:r>
              <w:rPr>
                <w:rFonts w:hint="eastAsia"/>
                <w:b/>
                <w:bCs/>
                <w:color w:val="auto"/>
                <w:highlight w:val="none"/>
              </w:rPr>
              <w:t>团队要求</w:t>
            </w:r>
          </w:p>
          <w:p w14:paraId="7B1D7BAB">
            <w:pPr>
              <w:spacing w:line="400" w:lineRule="exact"/>
              <w:ind w:firstLine="420" w:firstLineChars="200"/>
              <w:rPr>
                <w:rFonts w:hint="eastAsia"/>
                <w:color w:val="auto"/>
                <w:highlight w:val="none"/>
              </w:rPr>
            </w:pPr>
            <w:r>
              <w:rPr>
                <w:rFonts w:hint="eastAsia"/>
                <w:color w:val="auto"/>
                <w:highlight w:val="none"/>
              </w:rPr>
              <w:t>供应商</w:t>
            </w:r>
            <w:r>
              <w:rPr>
                <w:rFonts w:hint="eastAsia"/>
                <w:color w:val="auto"/>
                <w:highlight w:val="none"/>
                <w:lang w:val="en-US" w:eastAsia="zh-CN"/>
              </w:rPr>
              <w:t>须</w:t>
            </w:r>
            <w:r>
              <w:rPr>
                <w:rFonts w:hint="eastAsia"/>
                <w:color w:val="auto"/>
                <w:highlight w:val="none"/>
              </w:rPr>
              <w:t>向学校派驻一支技术团队（</w:t>
            </w:r>
            <w:r>
              <w:rPr>
                <w:rFonts w:hint="eastAsia"/>
                <w:color w:val="auto"/>
                <w:highlight w:val="none"/>
                <w:lang w:val="en-US" w:eastAsia="zh-CN"/>
              </w:rPr>
              <w:t>必须有</w:t>
            </w:r>
            <w:r>
              <w:rPr>
                <w:rFonts w:hint="eastAsia"/>
                <w:color w:val="auto"/>
                <w:highlight w:val="none"/>
              </w:rPr>
              <w:t>≥1名</w:t>
            </w:r>
            <w:r>
              <w:rPr>
                <w:rFonts w:hint="eastAsia"/>
                <w:color w:val="auto"/>
                <w:highlight w:val="none"/>
                <w:lang w:val="en-US" w:eastAsia="zh-CN"/>
              </w:rPr>
              <w:t>技术</w:t>
            </w:r>
            <w:r>
              <w:rPr>
                <w:rFonts w:hint="eastAsia"/>
                <w:color w:val="auto"/>
                <w:highlight w:val="none"/>
              </w:rPr>
              <w:t>成员常驻），该团队需精通课程拍摄、制作、剪辑及数字人构建等全方位技能，确保能有效指导课程团队教师全面、熟练掌握课程制作技能，从拍摄到后期制作、剪辑乃至数字人应用，全程提供专业辅导，最终提交详尽的技术指导记录与高质量的课程制作成果。</w:t>
            </w:r>
          </w:p>
          <w:p w14:paraId="0F7B5B27">
            <w:pPr>
              <w:spacing w:line="400" w:lineRule="exact"/>
              <w:ind w:firstLine="420" w:firstLineChars="200"/>
              <w:rPr>
                <w:rFonts w:hint="eastAsia"/>
                <w:color w:val="auto"/>
                <w:highlight w:val="none"/>
                <w:lang w:val="en-US" w:eastAsia="zh-CN"/>
              </w:rPr>
            </w:pPr>
            <w:r>
              <w:rPr>
                <w:rFonts w:hint="eastAsia"/>
                <w:color w:val="auto"/>
                <w:highlight w:val="none"/>
                <w:lang w:val="en-US" w:eastAsia="zh-CN"/>
              </w:rPr>
              <w:t>派驻售后服务人员≥1名，提供售后服务工作；</w:t>
            </w:r>
          </w:p>
          <w:p w14:paraId="3BEDC456">
            <w:pPr>
              <w:spacing w:line="400" w:lineRule="exact"/>
              <w:ind w:firstLine="420" w:firstLineChars="200"/>
              <w:rPr>
                <w:rFonts w:hint="default"/>
                <w:color w:val="auto"/>
                <w:highlight w:val="none"/>
                <w:lang w:val="en-US" w:eastAsia="zh-CN"/>
              </w:rPr>
            </w:pPr>
            <w:r>
              <w:rPr>
                <w:rFonts w:hint="eastAsia"/>
                <w:color w:val="auto"/>
                <w:highlight w:val="none"/>
                <w:lang w:val="en-US" w:eastAsia="zh-CN"/>
              </w:rPr>
              <w:t>设立项目协调岗位管理人员≥1名，负责处理项目实施过程中的协调问题、并管理整个项目实施团队。</w:t>
            </w:r>
          </w:p>
          <w:p w14:paraId="625A3ED0">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6DE5941C">
            <w:pPr>
              <w:spacing w:line="400" w:lineRule="exact"/>
              <w:ind w:firstLine="420" w:firstLineChars="200"/>
              <w:rPr>
                <w:rFonts w:hint="eastAsia"/>
                <w:color w:val="auto"/>
                <w:highlight w:val="none"/>
              </w:rPr>
            </w:pPr>
            <w:r>
              <w:rPr>
                <w:rFonts w:hint="eastAsia"/>
                <w:color w:val="auto"/>
                <w:highlight w:val="none"/>
              </w:rPr>
              <w:t>（1）技术指导记录：详细记录技术团队对课程团队教师的指导过程、关键节点、技术难题解决方案及创新实践等内容，体现技术团队的专业水平与辅导成效。</w:t>
            </w:r>
          </w:p>
          <w:p w14:paraId="7E2EA7BC">
            <w:pPr>
              <w:spacing w:line="400" w:lineRule="exact"/>
              <w:ind w:firstLine="420" w:firstLineChars="200"/>
              <w:rPr>
                <w:rFonts w:hint="eastAsia"/>
                <w:color w:val="auto"/>
                <w:highlight w:val="none"/>
              </w:rPr>
            </w:pPr>
            <w:r>
              <w:rPr>
                <w:rFonts w:hint="eastAsia"/>
                <w:color w:val="auto"/>
                <w:highlight w:val="none"/>
              </w:rPr>
              <w:t>（2）高质量课程制作成果：包括经过精心拍摄、制作、剪辑及数字人应用等流程处理的成品课程，需达到行业领先水平，满足教学需求与学习者期待。</w:t>
            </w:r>
          </w:p>
          <w:p w14:paraId="37FE5C70">
            <w:pPr>
              <w:spacing w:line="400" w:lineRule="exact"/>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售后服务工作记录：详细记录售后服务过程、问题解决情况及用户反馈等信息。</w:t>
            </w:r>
          </w:p>
          <w:p w14:paraId="6B912CEE">
            <w:pPr>
              <w:spacing w:line="400" w:lineRule="exact"/>
              <w:ind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项目协</w:t>
            </w:r>
            <w:r>
              <w:rPr>
                <w:rFonts w:hint="eastAsia"/>
                <w:color w:val="auto"/>
                <w:highlight w:val="none"/>
                <w:lang w:eastAsia="zh-CN"/>
              </w:rPr>
              <w:t>调管</w:t>
            </w:r>
            <w:r>
              <w:rPr>
                <w:rFonts w:hint="eastAsia"/>
                <w:color w:val="auto"/>
                <w:highlight w:val="none"/>
              </w:rPr>
              <w:t>理记录：详细记录项目协调管理过程、问题解决情况及团队管理成效等信息。</w:t>
            </w:r>
          </w:p>
          <w:p w14:paraId="7D6E5A85">
            <w:pPr>
              <w:spacing w:line="400" w:lineRule="exact"/>
              <w:ind w:firstLine="422" w:firstLineChars="200"/>
              <w:rPr>
                <w:rFonts w:hint="eastAsia"/>
                <w:b/>
                <w:bCs/>
                <w:color w:val="auto"/>
                <w:highlight w:val="none"/>
              </w:rPr>
            </w:pPr>
            <w:r>
              <w:rPr>
                <w:rFonts w:hint="eastAsia"/>
                <w:b/>
                <w:bCs/>
                <w:color w:val="auto"/>
                <w:highlight w:val="none"/>
              </w:rPr>
              <w:t>（</w:t>
            </w:r>
            <w:r>
              <w:rPr>
                <w:rFonts w:hint="eastAsia"/>
                <w:b/>
                <w:bCs/>
                <w:color w:val="auto"/>
                <w:highlight w:val="none"/>
                <w:lang w:val="en-US" w:eastAsia="zh-CN"/>
              </w:rPr>
              <w:t>三</w:t>
            </w:r>
            <w:r>
              <w:rPr>
                <w:rFonts w:hint="eastAsia"/>
                <w:b/>
                <w:bCs/>
                <w:color w:val="auto"/>
                <w:highlight w:val="none"/>
              </w:rPr>
              <w:t>）数字人建设与应用</w:t>
            </w:r>
          </w:p>
          <w:p w14:paraId="52D520B6">
            <w:pPr>
              <w:spacing w:line="400" w:lineRule="exact"/>
              <w:ind w:firstLine="420" w:firstLineChars="200"/>
              <w:rPr>
                <w:rFonts w:hint="eastAsia"/>
                <w:color w:val="auto"/>
                <w:highlight w:val="none"/>
              </w:rPr>
            </w:pPr>
            <w:r>
              <w:rPr>
                <w:rFonts w:hint="eastAsia"/>
                <w:color w:val="auto"/>
                <w:highlight w:val="none"/>
              </w:rPr>
              <w:t>指导课程团队教师完成21门校级金课的数字人建设及制作，提供每门课程≥2个数字人的制作软件授权，制作数字人的软件使用权限至少2年，生成时间不低于500分钟。数字人应具备多种形象和语音风格可供选择，且形象逼真、动作自然。指导每门课程负责人通过数字人制作微课不少于10个。专家需要辅导课程团队教师具备此项能力，最终让课程团队教师完成21门课程制作。</w:t>
            </w:r>
          </w:p>
          <w:p w14:paraId="33579EEA">
            <w:pPr>
              <w:spacing w:line="400" w:lineRule="exact"/>
              <w:ind w:firstLine="420" w:firstLineChars="200"/>
              <w:rPr>
                <w:rFonts w:hint="eastAsia"/>
                <w:color w:val="auto"/>
                <w:highlight w:val="none"/>
              </w:rPr>
            </w:pPr>
            <w:r>
              <w:rPr>
                <w:rFonts w:hint="eastAsia"/>
                <w:color w:val="auto"/>
                <w:highlight w:val="none"/>
              </w:rPr>
              <w:t>1.实现真人老师视频克隆、声音克隆，1:1复刻真人形象，包括形体、服装、肢体动作、神态、背景，数字老师通过文本和语音双重驱动，自动读取并解析识别输入脚本，驱动人物模型生成相应的数字形象，并需支持老师自主克隆数字人和数字声音，并需要为每位参考课的老师提供不少于5套形象训练。</w:t>
            </w:r>
          </w:p>
          <w:p w14:paraId="606C59DC">
            <w:pPr>
              <w:spacing w:line="400" w:lineRule="exact"/>
              <w:ind w:firstLine="420" w:firstLineChars="200"/>
              <w:rPr>
                <w:rFonts w:hint="eastAsia"/>
                <w:color w:val="auto"/>
                <w:highlight w:val="none"/>
              </w:rPr>
            </w:pPr>
            <w:r>
              <w:rPr>
                <w:rFonts w:hint="eastAsia"/>
                <w:color w:val="auto"/>
                <w:highlight w:val="none"/>
              </w:rPr>
              <w:t>2.数字教师声音克隆训练服务：支持不超过2分钟录音数据即可完成声音训练，实现声音克隆效果的要求，真人真声定制，还原度</w:t>
            </w:r>
            <w:r>
              <w:rPr>
                <w:rFonts w:hint="eastAsia"/>
                <w:color w:val="auto"/>
                <w:highlight w:val="none"/>
                <w:lang w:val="en-US" w:eastAsia="zh-CN"/>
              </w:rPr>
              <w:t>不低于</w:t>
            </w:r>
            <w:r>
              <w:rPr>
                <w:rFonts w:hint="eastAsia"/>
                <w:color w:val="auto"/>
                <w:highlight w:val="none"/>
              </w:rPr>
              <w:t>98%。</w:t>
            </w:r>
          </w:p>
          <w:p w14:paraId="0B5CC185">
            <w:pPr>
              <w:spacing w:line="400" w:lineRule="exact"/>
              <w:ind w:firstLine="420" w:firstLineChars="200"/>
              <w:rPr>
                <w:rFonts w:hint="eastAsia"/>
                <w:color w:val="auto"/>
                <w:highlight w:val="none"/>
              </w:rPr>
            </w:pPr>
            <w:r>
              <w:rPr>
                <w:rFonts w:hint="eastAsia"/>
                <w:color w:val="auto"/>
                <w:highlight w:val="none"/>
              </w:rPr>
              <w:t>3.真人数字教师可以自主生成数字人绿屏文件，导出可以结合专业特效包装软件进行教学视频后期剪辑包装，制作教学视频，减轻老师拍摄成本。</w:t>
            </w:r>
          </w:p>
          <w:p w14:paraId="399BC264">
            <w:pPr>
              <w:spacing w:line="400" w:lineRule="exact"/>
              <w:ind w:firstLine="420" w:firstLineChars="200"/>
              <w:rPr>
                <w:rFonts w:hint="eastAsia"/>
                <w:color w:val="auto"/>
                <w:highlight w:val="none"/>
              </w:rPr>
            </w:pPr>
            <w:r>
              <w:rPr>
                <w:rFonts w:hint="eastAsia"/>
                <w:color w:val="auto"/>
                <w:highlight w:val="none"/>
              </w:rPr>
              <w:t>4.老师可通过AI进行零基础生成PPT，PPT可直接转换成视频微课，并可插入数字人。</w:t>
            </w:r>
          </w:p>
          <w:p w14:paraId="1697E6F5">
            <w:pPr>
              <w:spacing w:line="400" w:lineRule="exact"/>
              <w:ind w:firstLine="420" w:firstLineChars="200"/>
              <w:rPr>
                <w:rFonts w:hint="eastAsia"/>
                <w:color w:val="auto"/>
                <w:highlight w:val="none"/>
              </w:rPr>
            </w:pPr>
            <w:r>
              <w:rPr>
                <w:rFonts w:hint="eastAsia"/>
                <w:color w:val="auto"/>
                <w:highlight w:val="none"/>
              </w:rPr>
              <w:t>5.满足老师上传教学PPT课件，同时自动转换为授课视频，且能100%地保留教学PPT课件中原有的动画效果。</w:t>
            </w:r>
          </w:p>
          <w:p w14:paraId="650448B0">
            <w:pPr>
              <w:spacing w:line="400" w:lineRule="exact"/>
              <w:ind w:firstLine="420" w:firstLineChars="200"/>
              <w:rPr>
                <w:rFonts w:hint="eastAsia"/>
                <w:color w:val="auto"/>
                <w:highlight w:val="none"/>
              </w:rPr>
            </w:pPr>
            <w:r>
              <w:rPr>
                <w:rFonts w:hint="eastAsia"/>
                <w:color w:val="auto"/>
                <w:highlight w:val="none"/>
              </w:rPr>
              <w:t>6.要求提供团队课程建设协同共建，为课程团队、教研室提供在线课程共创服务，包括如下：支持组建课程团队，邀请教师加入课程团队。分配建设任务和安排，并可在线跟进各建设任务的进展。数字资源进行在线审核，并可提出质量修改意见。批量下载整门课程数字资源，用于教学工作和存档。</w:t>
            </w:r>
          </w:p>
          <w:p w14:paraId="0C1BF8CF">
            <w:pPr>
              <w:spacing w:line="400" w:lineRule="exact"/>
              <w:ind w:firstLine="420" w:firstLineChars="200"/>
              <w:rPr>
                <w:rFonts w:hint="eastAsia"/>
                <w:color w:val="auto"/>
                <w:highlight w:val="none"/>
              </w:rPr>
            </w:pPr>
            <w:r>
              <w:rPr>
                <w:rFonts w:hint="eastAsia"/>
                <w:color w:val="auto"/>
                <w:highlight w:val="none"/>
              </w:rPr>
              <w:t>7.支持在线完成真人数字教师的形象和声音克隆，数据采集方式包括但不限于微信小程序、网页端工具、音视频采集工具等；（</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投标人可根据自身特点选择合适的数据采集方式。演示从授权到数据上传的全流程，重点展示合规性提示界面及用户授权确认环节。若采用其他方式，需演示等效功能，并说明其合规性保障机制。未提供任何数据采集功能的投标人，需在技术方案中明确说明替代方案，并承诺配合校方完成数据合规性审查。演示要求详见“商务要求表”）</w:t>
            </w:r>
          </w:p>
          <w:p w14:paraId="5BB292A1">
            <w:pPr>
              <w:spacing w:line="400" w:lineRule="exact"/>
              <w:ind w:firstLine="420" w:firstLineChars="200"/>
              <w:rPr>
                <w:rFonts w:hint="eastAsia"/>
                <w:color w:val="auto"/>
                <w:highlight w:val="none"/>
              </w:rPr>
            </w:pPr>
            <w:r>
              <w:rPr>
                <w:rFonts w:hint="eastAsia"/>
                <w:color w:val="auto"/>
                <w:highlight w:val="none"/>
              </w:rPr>
              <w:t>8.教学PPT课件结合AI技术快速制作微课视频，支持将老师的教学PPT课件（本地上传和在线生成），自动转换为授课视频；AI智能生成逐字稿，并可对逐字稿进行AI改写、润色、扩写、精简、语气改写和英文翻译。支持在使用office软件编辑PPT时，直接插入数字人图片。上传平台后自动识别数字人。并可通过平台生成AI微课。在PPT任意页面的任何位置插入数字教师，数字教师可调整任意尺寸，并可一键应用到所有页面，针对教学内容</w:t>
            </w:r>
            <w:r>
              <w:rPr>
                <w:rFonts w:hint="eastAsia"/>
                <w:color w:val="auto"/>
                <w:highlight w:val="none"/>
                <w:lang w:eastAsia="zh-CN"/>
              </w:rPr>
              <w:t>音频</w:t>
            </w:r>
            <w:r>
              <w:rPr>
                <w:rFonts w:hint="eastAsia"/>
                <w:color w:val="auto"/>
                <w:highlight w:val="none"/>
              </w:rPr>
              <w:t>发音和读法的要求：系统支持多音字正确发音；数码、数值、比分、分数、电话等特殊读法保障；教学音频对于停顿、灵活短句功能，满足教学视频展示的需求。包含AI工具包，提供做课过程中需要的一系列工具包。包含且不限于AI出题、AI文本编辑、AI思政、AI生成图片等功能；（</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30FC5DD1">
            <w:pPr>
              <w:spacing w:line="400" w:lineRule="exact"/>
              <w:ind w:firstLine="420" w:firstLineChars="200"/>
              <w:rPr>
                <w:rFonts w:hint="eastAsia"/>
                <w:color w:val="auto"/>
                <w:highlight w:val="none"/>
              </w:rPr>
            </w:pPr>
            <w:r>
              <w:rPr>
                <w:rFonts w:hint="eastAsia"/>
                <w:color w:val="auto"/>
                <w:highlight w:val="none"/>
              </w:rPr>
              <w:t>9.提供交互式课件制作系统；要求元素与页面，能有类似于PPT（考虑到传播与兼容性，谢绝采用PPT直接做课件）的入场、出场、强调等动画元素；课件中能够支持长页面，以解决智能手机中学习时屏幕大小的限制；支持测试、Office文档浏览、Scorm课件导入等交互性组件；课件中的元素，支持事件触发机制，以及能够对触发结果进行绑定；（</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03356AEE">
            <w:pPr>
              <w:spacing w:line="400" w:lineRule="exact"/>
              <w:ind w:firstLine="420" w:firstLineChars="200"/>
              <w:rPr>
                <w:rFonts w:hint="eastAsia"/>
                <w:color w:val="auto"/>
                <w:highlight w:val="none"/>
              </w:rPr>
            </w:pPr>
            <w:r>
              <w:rPr>
                <w:rFonts w:hint="eastAsia"/>
                <w:color w:val="auto"/>
                <w:highlight w:val="none"/>
              </w:rPr>
              <w:t>10.支持分配建设任务和安排，并可在线跟进各建设任务的进展；支持在线审核数字资源，可按时间点打点批注，提出质量修改意见；（</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16411BEC">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60F7E98D">
            <w:pPr>
              <w:spacing w:line="400" w:lineRule="exact"/>
              <w:ind w:firstLine="420" w:firstLineChars="200"/>
              <w:rPr>
                <w:rFonts w:hint="eastAsia"/>
                <w:color w:val="auto"/>
                <w:highlight w:val="none"/>
              </w:rPr>
            </w:pPr>
            <w:r>
              <w:rPr>
                <w:rFonts w:hint="eastAsia"/>
                <w:color w:val="auto"/>
                <w:highlight w:val="none"/>
              </w:rPr>
              <w:t>（1）提供制作数字人的软件使用权限至少2年。</w:t>
            </w:r>
          </w:p>
          <w:p w14:paraId="2512F71A">
            <w:pPr>
              <w:spacing w:line="400" w:lineRule="exact"/>
              <w:ind w:firstLine="420" w:firstLineChars="200"/>
              <w:rPr>
                <w:rFonts w:hint="eastAsia"/>
                <w:color w:val="auto"/>
                <w:highlight w:val="none"/>
              </w:rPr>
            </w:pPr>
            <w:r>
              <w:rPr>
                <w:rFonts w:hint="eastAsia"/>
                <w:color w:val="auto"/>
                <w:highlight w:val="none"/>
              </w:rPr>
              <w:t>（2）培训材料与证明文件：提供数字人建设、微课制作与在线课程共建的完整技术手册、操作指南、证明文件及教程。</w:t>
            </w:r>
          </w:p>
          <w:p w14:paraId="0D8076AF">
            <w:pPr>
              <w:spacing w:line="400" w:lineRule="exact"/>
              <w:ind w:firstLine="420" w:firstLineChars="200"/>
              <w:rPr>
                <w:rFonts w:hint="eastAsia"/>
                <w:color w:val="auto"/>
                <w:highlight w:val="none"/>
              </w:rPr>
            </w:pPr>
            <w:r>
              <w:rPr>
                <w:rFonts w:hint="eastAsia"/>
                <w:color w:val="auto"/>
                <w:highlight w:val="none"/>
              </w:rPr>
              <w:t>（3）生成的产品及衍生品知识产权归学校所有。</w:t>
            </w:r>
          </w:p>
          <w:p w14:paraId="6BAC148D">
            <w:pPr>
              <w:spacing w:line="400" w:lineRule="exact"/>
              <w:ind w:firstLine="422" w:firstLineChars="200"/>
              <w:rPr>
                <w:rFonts w:hint="eastAsia"/>
                <w:b/>
                <w:bCs/>
                <w:color w:val="auto"/>
                <w:highlight w:val="none"/>
              </w:rPr>
            </w:pPr>
            <w:r>
              <w:rPr>
                <w:rFonts w:hint="eastAsia"/>
                <w:b/>
                <w:bCs/>
                <w:color w:val="auto"/>
                <w:highlight w:val="none"/>
              </w:rPr>
              <w:t>（</w:t>
            </w:r>
            <w:r>
              <w:rPr>
                <w:rFonts w:hint="eastAsia"/>
                <w:b/>
                <w:bCs/>
                <w:color w:val="auto"/>
                <w:highlight w:val="none"/>
                <w:lang w:val="en-US" w:eastAsia="zh-CN"/>
              </w:rPr>
              <w:t>四</w:t>
            </w:r>
            <w:r>
              <w:rPr>
                <w:rFonts w:hint="eastAsia"/>
                <w:b/>
                <w:bCs/>
                <w:color w:val="auto"/>
                <w:highlight w:val="none"/>
              </w:rPr>
              <w:t>）</w:t>
            </w:r>
            <w:r>
              <w:rPr>
                <w:rFonts w:hint="eastAsia"/>
                <w:b/>
                <w:bCs/>
                <w:color w:val="auto"/>
                <w:highlight w:val="none"/>
                <w:lang w:val="en-US" w:eastAsia="zh-CN"/>
              </w:rPr>
              <w:t>数字</w:t>
            </w:r>
            <w:r>
              <w:rPr>
                <w:rFonts w:hint="eastAsia"/>
                <w:b/>
                <w:bCs/>
                <w:color w:val="auto"/>
                <w:highlight w:val="none"/>
              </w:rPr>
              <w:t>教材编写出版</w:t>
            </w:r>
          </w:p>
          <w:p w14:paraId="2768DB7A">
            <w:pPr>
              <w:spacing w:line="400" w:lineRule="exact"/>
              <w:ind w:firstLine="420" w:firstLineChars="200"/>
              <w:rPr>
                <w:rFonts w:hint="eastAsia"/>
                <w:color w:val="auto"/>
                <w:highlight w:val="none"/>
              </w:rPr>
            </w:pPr>
            <w:r>
              <w:rPr>
                <w:rFonts w:hint="eastAsia"/>
                <w:color w:val="auto"/>
                <w:highlight w:val="none"/>
              </w:rPr>
              <w:t>指导课程团队教师完成21门校级金课数字教材的编写，数字教材应具备多媒体融合、互动性强的特点，并</w:t>
            </w:r>
            <w:r>
              <w:rPr>
                <w:rFonts w:hint="eastAsia"/>
                <w:color w:val="auto"/>
                <w:highlight w:val="none"/>
                <w:lang w:val="en-US" w:eastAsia="zh-CN"/>
              </w:rPr>
              <w:t>协调组织</w:t>
            </w:r>
            <w:r>
              <w:rPr>
                <w:rFonts w:hint="eastAsia"/>
                <w:color w:val="auto"/>
                <w:highlight w:val="none"/>
              </w:rPr>
              <w:t>在相关课程对应专业的出版社出版（</w:t>
            </w:r>
            <w:r>
              <w:rPr>
                <w:rFonts w:hint="eastAsia"/>
                <w:color w:val="auto"/>
                <w:highlight w:val="none"/>
                <w:lang w:val="en-US" w:eastAsia="zh-CN"/>
              </w:rPr>
              <w:t>如</w:t>
            </w:r>
            <w:r>
              <w:rPr>
                <w:rFonts w:hint="eastAsia"/>
                <w:color w:val="auto"/>
                <w:highlight w:val="none"/>
              </w:rPr>
              <w:t>高等教育出版社、机械工业出版社、电子工业出版社、北京理工大学出版社等课程属性关联性较强的出版社）。</w:t>
            </w:r>
          </w:p>
          <w:p w14:paraId="78B0966E">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52F208ED">
            <w:pPr>
              <w:spacing w:line="400" w:lineRule="exact"/>
              <w:ind w:firstLine="420" w:firstLineChars="200"/>
              <w:rPr>
                <w:rFonts w:hint="eastAsia"/>
                <w:color w:val="auto"/>
                <w:highlight w:val="none"/>
              </w:rPr>
            </w:pPr>
            <w:r>
              <w:rPr>
                <w:rFonts w:hint="eastAsia"/>
                <w:color w:val="auto"/>
                <w:highlight w:val="none"/>
              </w:rPr>
              <w:t>完成21门校级金课数字教材编写，并</w:t>
            </w:r>
            <w:r>
              <w:rPr>
                <w:rFonts w:hint="eastAsia"/>
                <w:color w:val="auto"/>
                <w:highlight w:val="none"/>
                <w:lang w:val="en-US" w:eastAsia="zh-CN"/>
              </w:rPr>
              <w:t>协调组织</w:t>
            </w:r>
            <w:r>
              <w:rPr>
                <w:rFonts w:hint="eastAsia"/>
                <w:color w:val="auto"/>
                <w:highlight w:val="none"/>
              </w:rPr>
              <w:t>由相关课程对应专业的出版社出版（如高等教育出版社、机械工业出版社、电子工业出版社、北京理工大学出版社等课程属性关联性较强的出版社）。</w:t>
            </w:r>
          </w:p>
          <w:p w14:paraId="7BD79D8D">
            <w:pPr>
              <w:spacing w:line="400" w:lineRule="exact"/>
              <w:ind w:firstLine="422" w:firstLineChars="200"/>
              <w:rPr>
                <w:rFonts w:hint="eastAsia"/>
                <w:b/>
                <w:bCs/>
                <w:color w:val="auto"/>
                <w:highlight w:val="none"/>
              </w:rPr>
            </w:pPr>
            <w:r>
              <w:rPr>
                <w:rFonts w:hint="eastAsia"/>
                <w:b/>
                <w:bCs/>
                <w:color w:val="auto"/>
                <w:highlight w:val="none"/>
              </w:rPr>
              <w:t>（</w:t>
            </w:r>
            <w:r>
              <w:rPr>
                <w:rFonts w:hint="eastAsia"/>
                <w:b/>
                <w:bCs/>
                <w:color w:val="auto"/>
                <w:highlight w:val="none"/>
                <w:lang w:val="en-US" w:eastAsia="zh-CN"/>
              </w:rPr>
              <w:t>五</w:t>
            </w:r>
            <w:r>
              <w:rPr>
                <w:rFonts w:hint="eastAsia"/>
                <w:b/>
                <w:bCs/>
                <w:color w:val="auto"/>
                <w:highlight w:val="none"/>
              </w:rPr>
              <w:t>）面向东盟国</w:t>
            </w:r>
            <w:r>
              <w:rPr>
                <w:rFonts w:hint="eastAsia"/>
                <w:b/>
                <w:bCs/>
                <w:color w:val="auto"/>
                <w:highlight w:val="none"/>
                <w:lang w:val="en-US" w:eastAsia="zh-CN"/>
              </w:rPr>
              <w:t>际</w:t>
            </w:r>
            <w:r>
              <w:rPr>
                <w:rFonts w:hint="eastAsia"/>
                <w:b/>
                <w:bCs/>
                <w:color w:val="auto"/>
                <w:highlight w:val="none"/>
              </w:rPr>
              <w:t>化教学资源制作</w:t>
            </w:r>
          </w:p>
          <w:p w14:paraId="1EA99F46">
            <w:pPr>
              <w:spacing w:line="400" w:lineRule="exact"/>
              <w:ind w:firstLine="420" w:firstLineChars="200"/>
              <w:rPr>
                <w:rFonts w:hint="eastAsia"/>
                <w:color w:val="auto"/>
                <w:highlight w:val="none"/>
              </w:rPr>
            </w:pPr>
            <w:r>
              <w:rPr>
                <w:rFonts w:hint="eastAsia"/>
                <w:color w:val="auto"/>
                <w:highlight w:val="none"/>
              </w:rPr>
              <w:t>供应商提供指导、培训，由课程团队教师完成并翻译21门校级金课、教材等，最终翻译后的作品能够转化成面向东盟国际化教学资源（课程、教材、培训包），数量不少于21个，质量能够达到申报自治区级面向东盟国际化教学资源的标准。</w:t>
            </w:r>
          </w:p>
          <w:p w14:paraId="5B3FE46F">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55AE5798">
            <w:pPr>
              <w:spacing w:line="400" w:lineRule="exact"/>
              <w:ind w:firstLine="420" w:firstLineChars="200"/>
              <w:rPr>
                <w:rFonts w:hint="eastAsia"/>
                <w:color w:val="auto"/>
                <w:highlight w:val="none"/>
              </w:rPr>
            </w:pPr>
            <w:r>
              <w:rPr>
                <w:rFonts w:hint="eastAsia"/>
                <w:color w:val="auto"/>
                <w:highlight w:val="none"/>
              </w:rPr>
              <w:t>完成并翻译21门校级金课或教材，可转化为自治区级标准的面向东盟国际化教学资源。</w:t>
            </w:r>
          </w:p>
          <w:p w14:paraId="440C4B21">
            <w:pPr>
              <w:spacing w:line="400" w:lineRule="exact"/>
              <w:ind w:firstLine="422" w:firstLineChars="200"/>
              <w:rPr>
                <w:rFonts w:hint="eastAsia"/>
                <w:b/>
                <w:bCs/>
                <w:color w:val="auto"/>
                <w:highlight w:val="none"/>
              </w:rPr>
            </w:pPr>
            <w:r>
              <w:rPr>
                <w:rFonts w:hint="eastAsia"/>
                <w:b/>
                <w:bCs/>
                <w:color w:val="auto"/>
                <w:highlight w:val="none"/>
              </w:rPr>
              <w:t>（</w:t>
            </w:r>
            <w:r>
              <w:rPr>
                <w:rFonts w:hint="eastAsia"/>
                <w:b/>
                <w:bCs/>
                <w:color w:val="auto"/>
                <w:highlight w:val="none"/>
                <w:lang w:val="en-US" w:eastAsia="zh-CN"/>
              </w:rPr>
              <w:t>六</w:t>
            </w:r>
            <w:r>
              <w:rPr>
                <w:rFonts w:hint="eastAsia"/>
                <w:b/>
                <w:bCs/>
                <w:color w:val="auto"/>
                <w:highlight w:val="none"/>
              </w:rPr>
              <w:t>）AI智能体辅助训练</w:t>
            </w:r>
          </w:p>
          <w:p w14:paraId="39680B6A">
            <w:pPr>
              <w:spacing w:line="400" w:lineRule="exact"/>
              <w:ind w:firstLine="420" w:firstLineChars="200"/>
              <w:rPr>
                <w:rFonts w:hint="eastAsia"/>
                <w:color w:val="auto"/>
                <w:highlight w:val="none"/>
              </w:rPr>
            </w:pPr>
            <w:r>
              <w:rPr>
                <w:rFonts w:hint="eastAsia"/>
                <w:color w:val="auto"/>
                <w:highlight w:val="none"/>
              </w:rPr>
              <w:t>1.AI智能体辅助课程设计系统</w:t>
            </w:r>
          </w:p>
          <w:p w14:paraId="49827E00">
            <w:pPr>
              <w:spacing w:line="400" w:lineRule="exact"/>
              <w:ind w:firstLine="420" w:firstLineChars="200"/>
              <w:rPr>
                <w:rFonts w:hint="eastAsia"/>
                <w:color w:val="auto"/>
                <w:highlight w:val="none"/>
              </w:rPr>
            </w:pPr>
            <w:r>
              <w:rPr>
                <w:rFonts w:hint="eastAsia"/>
                <w:color w:val="auto"/>
                <w:highlight w:val="none"/>
              </w:rPr>
              <w:t>包含岗位胜任力设计、职业能力分析、对口专家辅导管理、课程认证管理、知识库管理、AI自动化规范核查、专家线上评审、教师档案袋、人岗匹配分析等内容。AI生成专家知识库、AI生成专家数字分身，形成AI专家，24小时全程在线，解答老师在教学设计</w:t>
            </w:r>
            <w:r>
              <w:rPr>
                <w:rFonts w:hint="eastAsia"/>
                <w:color w:val="auto"/>
                <w:highlight w:val="none"/>
                <w:lang w:eastAsia="zh-CN"/>
              </w:rPr>
              <w:t>的</w:t>
            </w:r>
            <w:r>
              <w:rPr>
                <w:rFonts w:hint="eastAsia"/>
                <w:color w:val="auto"/>
                <w:highlight w:val="none"/>
              </w:rPr>
              <w:t>问题。AI生成教师课程知识库，老师可通过AI生成具有自己本门课程特色的教学设计、资源内容、单元设计、教案设计等内容。</w:t>
            </w:r>
          </w:p>
          <w:p w14:paraId="61A3065C">
            <w:pPr>
              <w:spacing w:line="400" w:lineRule="exact"/>
              <w:ind w:firstLine="420" w:firstLineChars="200"/>
              <w:rPr>
                <w:rFonts w:hint="eastAsia"/>
                <w:color w:val="auto"/>
                <w:highlight w:val="none"/>
              </w:rPr>
            </w:pPr>
            <w:r>
              <w:rPr>
                <w:rFonts w:hint="eastAsia"/>
                <w:color w:val="auto"/>
                <w:highlight w:val="none"/>
              </w:rPr>
              <w:t>（1）岗位胜任力设计：胜任力模型构建，构建教师岗位胜任力模型，明确能力标准；胜任力评估工具：提供自我评估问卷，帮助教师量化胜任力水平；胜任力提升计划：基于评估结果，为教师定制胜任力提升方案。</w:t>
            </w:r>
          </w:p>
          <w:p w14:paraId="12B39904">
            <w:pPr>
              <w:spacing w:line="400" w:lineRule="exact"/>
              <w:ind w:firstLine="420" w:firstLineChars="200"/>
              <w:rPr>
                <w:rFonts w:hint="eastAsia"/>
                <w:color w:val="auto"/>
                <w:highlight w:val="none"/>
              </w:rPr>
            </w:pPr>
            <w:r>
              <w:rPr>
                <w:rFonts w:hint="eastAsia"/>
                <w:color w:val="auto"/>
                <w:highlight w:val="none"/>
              </w:rPr>
              <w:t>（2）职业能力分析：整合行业能力要求，分析教师能力差距与提升路径。</w:t>
            </w:r>
          </w:p>
          <w:p w14:paraId="515F1734">
            <w:pPr>
              <w:spacing w:line="400" w:lineRule="exact"/>
              <w:ind w:firstLine="420" w:firstLineChars="200"/>
              <w:rPr>
                <w:rFonts w:hint="eastAsia"/>
                <w:color w:val="auto"/>
                <w:highlight w:val="none"/>
              </w:rPr>
            </w:pPr>
            <w:r>
              <w:rPr>
                <w:rFonts w:hint="eastAsia"/>
                <w:color w:val="auto"/>
                <w:highlight w:val="none"/>
              </w:rPr>
              <w:t>（3）对口专家辅导管理：智能匹配专家资源，提供个性化辅导服务。</w:t>
            </w:r>
          </w:p>
          <w:p w14:paraId="7DA28A65">
            <w:pPr>
              <w:spacing w:line="400" w:lineRule="exact"/>
              <w:ind w:firstLine="420" w:firstLineChars="200"/>
              <w:rPr>
                <w:rFonts w:hint="eastAsia"/>
                <w:color w:val="auto"/>
                <w:highlight w:val="none"/>
              </w:rPr>
            </w:pPr>
            <w:r>
              <w:rPr>
                <w:rFonts w:hint="eastAsia"/>
                <w:color w:val="auto"/>
                <w:highlight w:val="none"/>
              </w:rPr>
              <w:t>（4）课程认证管理：制定认证标准，简化申请流程，提供认证反馈。</w:t>
            </w:r>
          </w:p>
          <w:p w14:paraId="3785AD97">
            <w:pPr>
              <w:spacing w:line="400" w:lineRule="exact"/>
              <w:ind w:firstLine="420" w:firstLineChars="200"/>
              <w:rPr>
                <w:rFonts w:hint="eastAsia"/>
                <w:color w:val="auto"/>
                <w:highlight w:val="none"/>
              </w:rPr>
            </w:pPr>
            <w:r>
              <w:rPr>
                <w:rFonts w:hint="eastAsia"/>
                <w:color w:val="auto"/>
                <w:highlight w:val="none"/>
              </w:rPr>
              <w:t>（5）知识库管理：利用AI整合专家与教师知识，实现智能搜索与推荐。</w:t>
            </w:r>
          </w:p>
          <w:p w14:paraId="4A939D1B">
            <w:pPr>
              <w:spacing w:line="400" w:lineRule="exact"/>
              <w:ind w:firstLine="420" w:firstLineChars="200"/>
              <w:rPr>
                <w:rFonts w:hint="eastAsia"/>
                <w:color w:val="auto"/>
                <w:highlight w:val="none"/>
              </w:rPr>
            </w:pPr>
            <w:r>
              <w:rPr>
                <w:rFonts w:hint="eastAsia"/>
                <w:color w:val="auto"/>
                <w:highlight w:val="none"/>
              </w:rPr>
              <w:t>（6）AI自动化规范核查：内置设计规范，利用AI自动核查，提供即时反馈。</w:t>
            </w:r>
          </w:p>
          <w:p w14:paraId="7FD6AFD9">
            <w:pPr>
              <w:spacing w:line="400" w:lineRule="exact"/>
              <w:ind w:firstLine="420" w:firstLineChars="200"/>
              <w:rPr>
                <w:rFonts w:hint="eastAsia"/>
                <w:color w:val="auto"/>
                <w:highlight w:val="none"/>
              </w:rPr>
            </w:pPr>
            <w:r>
              <w:rPr>
                <w:rFonts w:hint="eastAsia"/>
                <w:color w:val="auto"/>
                <w:highlight w:val="none"/>
              </w:rPr>
              <w:t>（7）专家线上评审：支持在线评审，确保教学材料质量，提供改进建议。</w:t>
            </w:r>
          </w:p>
          <w:p w14:paraId="64EB645C">
            <w:pPr>
              <w:spacing w:line="400" w:lineRule="exact"/>
              <w:ind w:firstLine="420" w:firstLineChars="200"/>
              <w:rPr>
                <w:rFonts w:hint="eastAsia"/>
                <w:color w:val="auto"/>
                <w:highlight w:val="none"/>
              </w:rPr>
            </w:pPr>
            <w:r>
              <w:rPr>
                <w:rFonts w:hint="eastAsia"/>
                <w:color w:val="auto"/>
                <w:highlight w:val="none"/>
              </w:rPr>
              <w:t>（8）教师档案袋：记录教师成长历程，提供个性化职业发展规划。</w:t>
            </w:r>
          </w:p>
          <w:p w14:paraId="479E7152">
            <w:pPr>
              <w:spacing w:line="400" w:lineRule="exact"/>
              <w:ind w:firstLine="420" w:firstLineChars="200"/>
              <w:rPr>
                <w:rFonts w:hint="eastAsia"/>
                <w:color w:val="auto"/>
                <w:highlight w:val="none"/>
              </w:rPr>
            </w:pPr>
            <w:r>
              <w:rPr>
                <w:rFonts w:hint="eastAsia"/>
                <w:color w:val="auto"/>
                <w:highlight w:val="none"/>
              </w:rPr>
              <w:t>（9）人岗匹配分析：分析岗位与教师能力匹配度，指导职业发展路径。</w:t>
            </w:r>
          </w:p>
          <w:p w14:paraId="050089B5">
            <w:pPr>
              <w:spacing w:line="400" w:lineRule="exact"/>
              <w:ind w:firstLine="420" w:firstLineChars="200"/>
              <w:rPr>
                <w:rFonts w:hint="eastAsia"/>
                <w:color w:val="auto"/>
                <w:highlight w:val="none"/>
              </w:rPr>
            </w:pPr>
            <w:r>
              <w:rPr>
                <w:rFonts w:hint="eastAsia"/>
                <w:color w:val="auto"/>
                <w:highlight w:val="none"/>
              </w:rPr>
              <w:t>（10）AI生成专家知识库与数字分身：自动生成专家知识库，创建24小时在线辅导专家分身。（</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4E53CC25">
            <w:pPr>
              <w:spacing w:line="400" w:lineRule="exact"/>
              <w:ind w:firstLine="420" w:firstLineChars="200"/>
              <w:rPr>
                <w:rFonts w:hint="eastAsia"/>
                <w:color w:val="auto"/>
                <w:highlight w:val="none"/>
              </w:rPr>
            </w:pPr>
            <w:r>
              <w:rPr>
                <w:rFonts w:hint="eastAsia"/>
                <w:color w:val="auto"/>
                <w:highlight w:val="none"/>
              </w:rPr>
              <w:t>（11）AI生成教师课程知识库：支持教师生成个性化课程，促进知识共享与协作。系统兼容性要求：桌面端：Windows、Linux；移动端：安卓、ios、鸿蒙。（</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5C9E4ACA">
            <w:pPr>
              <w:spacing w:line="400" w:lineRule="exact"/>
              <w:ind w:firstLine="420" w:firstLineChars="200"/>
              <w:rPr>
                <w:rFonts w:hint="eastAsia"/>
                <w:color w:val="auto"/>
                <w:highlight w:val="none"/>
              </w:rPr>
            </w:pPr>
            <w:r>
              <w:rPr>
                <w:rFonts w:hint="eastAsia"/>
                <w:color w:val="auto"/>
                <w:highlight w:val="none"/>
              </w:rPr>
              <w:t>2.AI智能体训练平台</w:t>
            </w:r>
          </w:p>
          <w:p w14:paraId="4DC15CDE">
            <w:pPr>
              <w:spacing w:line="400" w:lineRule="exact"/>
              <w:ind w:firstLine="420" w:firstLineChars="200"/>
              <w:rPr>
                <w:rFonts w:hint="eastAsia"/>
                <w:color w:val="auto"/>
                <w:highlight w:val="none"/>
              </w:rPr>
            </w:pPr>
            <w:r>
              <w:rPr>
                <w:rFonts w:hint="eastAsia"/>
                <w:color w:val="auto"/>
                <w:highlight w:val="none"/>
              </w:rPr>
              <w:t>（1）建立专家智能体知识库，导入</w:t>
            </w:r>
            <w:r>
              <w:rPr>
                <w:rFonts w:hint="eastAsia"/>
                <w:color w:val="auto"/>
                <w:highlight w:val="none"/>
                <w:lang w:val="en-US" w:eastAsia="zh-CN"/>
              </w:rPr>
              <w:t>本项目完成的</w:t>
            </w:r>
            <w:r>
              <w:rPr>
                <w:rFonts w:hint="eastAsia"/>
                <w:color w:val="auto"/>
                <w:highlight w:val="none"/>
              </w:rPr>
              <w:t>《课程开发流程与标准》《课程开发模型与模板》的标准</w:t>
            </w:r>
            <w:r>
              <w:rPr>
                <w:rFonts w:hint="eastAsia"/>
                <w:color w:val="auto"/>
                <w:highlight w:val="none"/>
                <w:lang w:val="en-US" w:eastAsia="zh-CN"/>
              </w:rPr>
              <w:t>及项目</w:t>
            </w:r>
            <w:r>
              <w:rPr>
                <w:rFonts w:hint="eastAsia"/>
                <w:color w:val="auto"/>
                <w:highlight w:val="none"/>
              </w:rPr>
              <w:t>专家</w:t>
            </w:r>
            <w:r>
              <w:rPr>
                <w:rFonts w:hint="eastAsia"/>
                <w:color w:val="auto"/>
                <w:highlight w:val="none"/>
                <w:lang w:val="en-US" w:eastAsia="zh-CN"/>
              </w:rPr>
              <w:t>团队</w:t>
            </w:r>
            <w:r>
              <w:rPr>
                <w:rFonts w:hint="eastAsia"/>
                <w:color w:val="auto"/>
                <w:highlight w:val="none"/>
              </w:rPr>
              <w:t>的辅助培训材料、创新教学理念和学情分析方法等内容到AI智能体知识库当中。训练出AI专家智能体结构，并生成AI专家分身。老师培训完成后，制作教学设计和课程设计时遇到任何问题，可随时与AI专家分享交流、答疑、分析教学理念等。</w:t>
            </w:r>
          </w:p>
          <w:p w14:paraId="645946A3">
            <w:pPr>
              <w:spacing w:line="400" w:lineRule="exact"/>
              <w:ind w:firstLine="420" w:firstLineChars="200"/>
              <w:rPr>
                <w:rFonts w:hint="eastAsia"/>
                <w:color w:val="auto"/>
                <w:highlight w:val="none"/>
              </w:rPr>
            </w:pPr>
            <w:r>
              <w:rPr>
                <w:rFonts w:hint="eastAsia"/>
                <w:color w:val="auto"/>
                <w:highlight w:val="none"/>
              </w:rPr>
              <w:t>（2）建立教师AI智能体知识库，导入教师现有教材、人才培养方案、课程标准、专业信息、教案、课程辅助材料等内容到AI智能体知识库当中，训练出课程AI智能体，通过智能体生成属于本门课程特色的AI教学设计、AI教案生成、AI课程思政案例生成、AI</w:t>
            </w:r>
            <w:r>
              <w:rPr>
                <w:rFonts w:hint="eastAsia"/>
                <w:color w:val="auto"/>
                <w:highlight w:val="none"/>
                <w:lang w:val="en-US" w:eastAsia="zh-CN"/>
              </w:rPr>
              <w:t xml:space="preserve"> </w:t>
            </w:r>
            <w:r>
              <w:rPr>
                <w:rFonts w:hint="eastAsia"/>
                <w:color w:val="auto"/>
                <w:highlight w:val="none"/>
              </w:rPr>
              <w:t>PPT课件生成、AI试题生成、AI视频脚本生成、AI数字教师生成、AI微课视频生成、AI评价等课程相关内容，快速协助老师创作课程相关内容。</w:t>
            </w:r>
          </w:p>
          <w:p w14:paraId="392CF29A">
            <w:pPr>
              <w:spacing w:line="400" w:lineRule="exact"/>
              <w:ind w:firstLine="420" w:firstLineChars="200"/>
              <w:rPr>
                <w:rFonts w:hint="eastAsia"/>
                <w:color w:val="auto"/>
                <w:highlight w:val="none"/>
              </w:rPr>
            </w:pPr>
            <w:r>
              <w:rPr>
                <w:rFonts w:hint="eastAsia"/>
                <w:color w:val="auto"/>
                <w:highlight w:val="none"/>
              </w:rPr>
              <w:t>（3）建立课程申报AI智能体知识库，通过导入国家相关政策、辅导申报材料、申报模板、课程特色等内容，老师可以快速生成本课程申报材料，并与专家打磨与修改。</w:t>
            </w:r>
          </w:p>
          <w:p w14:paraId="11CC584B">
            <w:pPr>
              <w:spacing w:line="400" w:lineRule="exact"/>
              <w:ind w:firstLine="420" w:firstLineChars="200"/>
              <w:rPr>
                <w:rFonts w:hint="eastAsia"/>
                <w:color w:val="auto"/>
                <w:highlight w:val="none"/>
              </w:rPr>
            </w:pPr>
            <w:r>
              <w:rPr>
                <w:rFonts w:hint="eastAsia"/>
                <w:color w:val="auto"/>
                <w:highlight w:val="none"/>
              </w:rPr>
              <w:t>（4）提供自主可控的AI智能体平台，支持教育多场景、全流程的AI应用，助力智能助教、智能助学、智能助管和智能助研；且支持为学校定制专属首页。（</w:t>
            </w:r>
            <w:r>
              <w:rPr>
                <w:rFonts w:hint="eastAsia"/>
                <w:color w:val="auto"/>
                <w:highlight w:val="none"/>
                <w:lang w:val="en-US" w:eastAsia="zh-CN"/>
              </w:rPr>
              <w:t>如有请</w:t>
            </w:r>
            <w:r>
              <w:rPr>
                <w:rFonts w:hint="eastAsia"/>
                <w:color w:val="auto"/>
                <w:highlight w:val="none"/>
              </w:rPr>
              <w:t>提供自有平台作品登记证书）</w:t>
            </w:r>
          </w:p>
          <w:p w14:paraId="0E8178BB">
            <w:pPr>
              <w:spacing w:line="400" w:lineRule="exact"/>
              <w:ind w:firstLine="420" w:firstLineChars="200"/>
              <w:rPr>
                <w:rFonts w:hint="eastAsia"/>
                <w:color w:val="auto"/>
                <w:highlight w:val="none"/>
              </w:rPr>
            </w:pPr>
            <w:r>
              <w:rPr>
                <w:rFonts w:hint="eastAsia"/>
                <w:color w:val="auto"/>
                <w:highlight w:val="none"/>
              </w:rPr>
              <w:t>（5）通过平台用户可自主创</w:t>
            </w:r>
            <w:r>
              <w:rPr>
                <w:rFonts w:hint="eastAsia"/>
                <w:color w:val="auto"/>
                <w:highlight w:val="none"/>
                <w:lang w:eastAsia="zh-CN"/>
              </w:rPr>
              <w:t>建</w:t>
            </w:r>
            <w:r>
              <w:rPr>
                <w:rFonts w:hint="eastAsia"/>
                <w:color w:val="auto"/>
                <w:highlight w:val="none"/>
              </w:rPr>
              <w:t>智能体及AI知识库，AI知识库支持上传各类知识材料，如word、pdf和txt等类型，提供知识库管理，支持创建多个知识库；并每个知识库支持关联多个智能体。（</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460E23C5">
            <w:pPr>
              <w:spacing w:line="400" w:lineRule="exact"/>
              <w:ind w:firstLine="420" w:firstLineChars="200"/>
              <w:rPr>
                <w:rFonts w:hint="eastAsia"/>
                <w:color w:val="auto"/>
                <w:highlight w:val="none"/>
              </w:rPr>
            </w:pPr>
            <w:r>
              <w:rPr>
                <w:rFonts w:hint="eastAsia"/>
                <w:color w:val="auto"/>
                <w:highlight w:val="none"/>
              </w:rPr>
              <w:t>（6）要求平台内置覆盖智能做课、教师助教、学生助学、产教融合、学术课题、教学比赛、教师成长、日常工作等多场景的共享智能体，每个类别不少于10个智能体，总数不少于200个，并支持老师直接使用；（</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05511775">
            <w:pPr>
              <w:spacing w:line="400" w:lineRule="exact"/>
              <w:ind w:firstLine="420" w:firstLineChars="200"/>
              <w:rPr>
                <w:rFonts w:hint="eastAsia"/>
                <w:color w:val="auto"/>
                <w:highlight w:val="none"/>
              </w:rPr>
            </w:pPr>
            <w:r>
              <w:rPr>
                <w:rFonts w:hint="eastAsia"/>
                <w:color w:val="auto"/>
                <w:highlight w:val="none"/>
              </w:rPr>
              <w:t>（7）通过平台可一句话创建智能体，实时预览智能体效果；并由AI自动填充智能体配置信息包含智能体封面、名称、简介、人设与回复逻辑、开场白等，并支持AI一键生成与优化；支持数据分析，包括对话次数、使用次数、对话记录等；（</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4077A199">
            <w:pPr>
              <w:spacing w:line="400" w:lineRule="exact"/>
              <w:ind w:firstLine="420" w:firstLineChars="200"/>
              <w:rPr>
                <w:rFonts w:hint="eastAsia"/>
                <w:color w:val="auto"/>
                <w:highlight w:val="none"/>
              </w:rPr>
            </w:pPr>
            <w:r>
              <w:rPr>
                <w:rFonts w:hint="eastAsia"/>
                <w:color w:val="auto"/>
                <w:highlight w:val="none"/>
              </w:rPr>
              <w:t>（8）提供教学设计助手，支持输入文本和上传文件生成，支持基于OBE、STEAM等多种教学理念，支持基于BOPPPS、5E、ADDIE等多种教学模式生成教学设计，并可以直接生成文档。（</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605AE6DA">
            <w:pPr>
              <w:spacing w:line="400" w:lineRule="exact"/>
              <w:ind w:firstLine="422" w:firstLineChars="200"/>
              <w:rPr>
                <w:rFonts w:hint="eastAsia"/>
                <w:b/>
                <w:bCs/>
                <w:color w:val="auto"/>
                <w:highlight w:val="none"/>
              </w:rPr>
            </w:pPr>
            <w:r>
              <w:rPr>
                <w:rFonts w:hint="eastAsia"/>
                <w:b/>
                <w:bCs/>
                <w:color w:val="auto"/>
                <w:highlight w:val="none"/>
              </w:rPr>
              <w:t>交付物：</w:t>
            </w:r>
          </w:p>
          <w:p w14:paraId="0D3ED8F2">
            <w:pPr>
              <w:spacing w:line="400" w:lineRule="exact"/>
              <w:ind w:firstLine="420" w:firstLineChars="200"/>
              <w:rPr>
                <w:rFonts w:hint="eastAsia"/>
                <w:color w:val="auto"/>
                <w:highlight w:val="none"/>
              </w:rPr>
            </w:pPr>
            <w:r>
              <w:rPr>
                <w:rFonts w:hint="eastAsia"/>
                <w:color w:val="auto"/>
                <w:highlight w:val="none"/>
              </w:rPr>
              <w:t>（1）提供AI智能体辅助课程设计系统，包含所有列出的功能模块和AI智能体，并免费使用年限2年。</w:t>
            </w:r>
          </w:p>
          <w:p w14:paraId="054FA983">
            <w:pPr>
              <w:spacing w:line="400" w:lineRule="exact"/>
              <w:ind w:firstLine="420" w:firstLineChars="200"/>
              <w:rPr>
                <w:rFonts w:hint="eastAsia"/>
                <w:color w:val="auto"/>
                <w:highlight w:val="none"/>
              </w:rPr>
            </w:pPr>
            <w:r>
              <w:rPr>
                <w:rFonts w:hint="eastAsia"/>
                <w:color w:val="auto"/>
                <w:highlight w:val="none"/>
              </w:rPr>
              <w:t>（2）开放AI智能体训练平台，提供专家与教师智能体知识库，并免费使用年限2年。</w:t>
            </w:r>
          </w:p>
          <w:p w14:paraId="2CFAA642">
            <w:pPr>
              <w:spacing w:line="400" w:lineRule="exact"/>
              <w:ind w:firstLine="420" w:firstLineChars="200"/>
              <w:rPr>
                <w:rFonts w:hint="eastAsia"/>
                <w:color w:val="auto"/>
                <w:highlight w:val="none"/>
              </w:rPr>
            </w:pPr>
            <w:r>
              <w:rPr>
                <w:rFonts w:hint="eastAsia"/>
                <w:color w:val="auto"/>
                <w:highlight w:val="none"/>
              </w:rPr>
              <w:t>（3）系统使用手册与培训材料：提供系统平台的使用手册和操作指南，以及AI智能体的使用说明和培训课程。</w:t>
            </w:r>
          </w:p>
          <w:p w14:paraId="2490D13B">
            <w:pPr>
              <w:spacing w:line="400" w:lineRule="exact"/>
              <w:ind w:firstLine="420" w:firstLineChars="200"/>
              <w:rPr>
                <w:rFonts w:hint="eastAsia"/>
                <w:color w:val="auto"/>
                <w:highlight w:val="none"/>
              </w:rPr>
            </w:pPr>
            <w:r>
              <w:rPr>
                <w:rFonts w:hint="eastAsia"/>
                <w:color w:val="auto"/>
                <w:highlight w:val="none"/>
              </w:rPr>
              <w:t>（4）技术支持与维护服务：涵盖系统升级、故障排查、数据备份等。与免费使用期限一致，为2年。</w:t>
            </w:r>
          </w:p>
          <w:p w14:paraId="6E131D10">
            <w:pPr>
              <w:spacing w:line="400" w:lineRule="exact"/>
              <w:ind w:firstLine="422" w:firstLineChars="200"/>
              <w:rPr>
                <w:rFonts w:hint="eastAsia"/>
                <w:b/>
                <w:bCs/>
                <w:color w:val="auto"/>
                <w:highlight w:val="none"/>
              </w:rPr>
            </w:pPr>
            <w:r>
              <w:rPr>
                <w:rFonts w:hint="eastAsia"/>
                <w:b/>
                <w:bCs/>
                <w:color w:val="auto"/>
                <w:highlight w:val="none"/>
              </w:rPr>
              <w:t>（</w:t>
            </w:r>
            <w:r>
              <w:rPr>
                <w:rFonts w:hint="eastAsia"/>
                <w:b/>
                <w:bCs/>
                <w:color w:val="auto"/>
                <w:highlight w:val="none"/>
                <w:lang w:val="en-US" w:eastAsia="zh-CN"/>
              </w:rPr>
              <w:t>七</w:t>
            </w:r>
            <w:r>
              <w:rPr>
                <w:rFonts w:hint="eastAsia"/>
                <w:b/>
                <w:bCs/>
                <w:color w:val="auto"/>
                <w:highlight w:val="none"/>
              </w:rPr>
              <w:t>）教师能力训练平台</w:t>
            </w:r>
          </w:p>
          <w:p w14:paraId="3DBBBC7E">
            <w:pPr>
              <w:spacing w:line="400" w:lineRule="exact"/>
              <w:ind w:firstLine="420" w:firstLineChars="200"/>
              <w:rPr>
                <w:rFonts w:hint="eastAsia"/>
                <w:color w:val="auto"/>
                <w:highlight w:val="none"/>
              </w:rPr>
            </w:pPr>
            <w:r>
              <w:rPr>
                <w:rFonts w:hint="eastAsia"/>
                <w:color w:val="auto"/>
                <w:highlight w:val="none"/>
              </w:rPr>
              <w:t>为</w:t>
            </w:r>
            <w:r>
              <w:rPr>
                <w:rFonts w:hint="eastAsia"/>
                <w:color w:val="auto"/>
                <w:highlight w:val="none"/>
                <w:lang w:eastAsia="zh-CN"/>
              </w:rPr>
              <w:t>采购</w:t>
            </w:r>
            <w:r>
              <w:rPr>
                <w:rFonts w:hint="eastAsia"/>
                <w:color w:val="auto"/>
                <w:highlight w:val="none"/>
              </w:rPr>
              <w:t>方提供一套教师能力训练平台。该平台是供应商基于本项目的实际需求及未来全体教师能力发展的需求而研制，</w:t>
            </w:r>
            <w:r>
              <w:rPr>
                <w:rFonts w:hint="eastAsia"/>
                <w:color w:val="auto"/>
                <w:highlight w:val="none"/>
                <w:lang w:eastAsia="zh-CN"/>
              </w:rPr>
              <w:t>至少</w:t>
            </w:r>
            <w:r>
              <w:rPr>
                <w:rFonts w:hint="eastAsia"/>
                <w:color w:val="auto"/>
                <w:highlight w:val="none"/>
              </w:rPr>
              <w:t>具备以下功能。</w:t>
            </w:r>
          </w:p>
          <w:p w14:paraId="16660056">
            <w:pPr>
              <w:spacing w:line="400" w:lineRule="exact"/>
              <w:ind w:firstLine="420" w:firstLineChars="200"/>
              <w:rPr>
                <w:rFonts w:hint="eastAsia"/>
                <w:color w:val="auto"/>
                <w:highlight w:val="none"/>
              </w:rPr>
            </w:pPr>
            <w:r>
              <w:rPr>
                <w:rFonts w:hint="eastAsia"/>
                <w:color w:val="auto"/>
                <w:highlight w:val="none"/>
              </w:rPr>
              <w:t>1.系统化训练流程模块（</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1F0FEA64">
            <w:pPr>
              <w:spacing w:line="400" w:lineRule="exact"/>
              <w:ind w:firstLine="420" w:firstLineChars="200"/>
              <w:rPr>
                <w:rFonts w:hint="eastAsia"/>
                <w:color w:val="auto"/>
                <w:highlight w:val="none"/>
              </w:rPr>
            </w:pPr>
            <w:r>
              <w:rPr>
                <w:rFonts w:hint="eastAsia"/>
                <w:color w:val="auto"/>
                <w:highlight w:val="none"/>
              </w:rPr>
              <w:t>能记录和再现21支“金课”团队在课程标准设计、课程整体设计、课程单元设计、课程教案设计、单元评价方案设计、资源制作、规范施教、质量评价、持续改进教学等9个环节学习、提交作业、专家阅批反馈、团队修改定稿的全流程，同时具备拓展至校内所有教师的功能。该模块能够实时追踪教师学习进度，留痕，定期提供学习报告与个性化反馈，促进持续改进。</w:t>
            </w:r>
          </w:p>
          <w:p w14:paraId="42ABA952">
            <w:pPr>
              <w:spacing w:line="400" w:lineRule="exact"/>
              <w:ind w:firstLine="420" w:firstLineChars="200"/>
              <w:rPr>
                <w:rFonts w:hint="eastAsia"/>
                <w:color w:val="auto"/>
                <w:highlight w:val="none"/>
              </w:rPr>
            </w:pPr>
            <w:r>
              <w:rPr>
                <w:rFonts w:hint="eastAsia"/>
                <w:color w:val="auto"/>
                <w:highlight w:val="none"/>
              </w:rPr>
              <w:t>2.教师能力发展在线学习模块（</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05F8BB7C">
            <w:pPr>
              <w:spacing w:line="400" w:lineRule="exact"/>
              <w:ind w:firstLine="420" w:firstLineChars="200"/>
              <w:rPr>
                <w:rFonts w:hint="eastAsia"/>
                <w:color w:val="auto"/>
                <w:highlight w:val="none"/>
              </w:rPr>
            </w:pPr>
            <w:r>
              <w:rPr>
                <w:rFonts w:hint="eastAsia"/>
                <w:color w:val="auto"/>
                <w:highlight w:val="none"/>
              </w:rPr>
              <w:t>能够支持受训教师线上登录访问学习，能够保存学习进度，记录学习者学习时间。平台需要内置超过100门以上各类课程。课程内容需要覆盖教学成果奖申报、关键办学能力评估、专业群规划、课程开发、一流核心课程建设、专业教学资源库建设、五金新基建、教师能力训练体系构建、数字化转型等多个领域，课程形式既要包含专家理论报告</w:t>
            </w:r>
            <w:r>
              <w:rPr>
                <w:rFonts w:hint="eastAsia"/>
                <w:color w:val="auto"/>
                <w:highlight w:val="none"/>
                <w:lang w:eastAsia="zh-CN"/>
              </w:rPr>
              <w:t>，也</w:t>
            </w:r>
            <w:r>
              <w:rPr>
                <w:rFonts w:ascii="PingFang-SC-Regular" w:hAnsi="PingFang-SC-Regular" w:eastAsia="PingFang-SC-Regular" w:cs="PingFang-SC-Regular"/>
                <w:i w:val="0"/>
                <w:iCs w:val="0"/>
                <w:caps w:val="0"/>
                <w:color w:val="auto"/>
                <w:spacing w:val="0"/>
                <w:sz w:val="22"/>
                <w:szCs w:val="22"/>
                <w:highlight w:val="none"/>
                <w:shd w:val="clear" w:color="auto" w:fill="FDFDFE"/>
              </w:rPr>
              <w:t>有</w:t>
            </w:r>
            <w:r>
              <w:rPr>
                <w:rFonts w:hint="eastAsia"/>
                <w:color w:val="auto"/>
                <w:highlight w:val="none"/>
              </w:rPr>
              <w:t>真实案例辅导过程录制视频案例。</w:t>
            </w:r>
          </w:p>
          <w:p w14:paraId="7E9C1DED">
            <w:pPr>
              <w:spacing w:line="400" w:lineRule="exact"/>
              <w:ind w:firstLine="420" w:firstLineChars="200"/>
              <w:rPr>
                <w:rFonts w:hint="eastAsia"/>
                <w:color w:val="auto"/>
                <w:highlight w:val="none"/>
              </w:rPr>
            </w:pPr>
            <w:r>
              <w:rPr>
                <w:rFonts w:hint="eastAsia"/>
                <w:color w:val="auto"/>
                <w:highlight w:val="none"/>
              </w:rPr>
              <w:t>建立知识库管理机制，提供本校及外校的最佳实践</w:t>
            </w:r>
            <w:r>
              <w:rPr>
                <w:rFonts w:hint="eastAsia"/>
                <w:color w:val="auto"/>
                <w:highlight w:val="none"/>
                <w:lang w:val="en-US" w:eastAsia="zh-CN"/>
              </w:rPr>
              <w:t>案例</w:t>
            </w:r>
            <w:r>
              <w:rPr>
                <w:rFonts w:hint="eastAsia"/>
                <w:color w:val="auto"/>
                <w:highlight w:val="none"/>
              </w:rPr>
              <w:t>。整合国内外先进教学理念，提供案例分享、专家讲座等资源，拓宽教师视野。提供兄弟院校开放的各类知识库参考，包含但不限于兄弟院校优秀的人才培养方案、课程标准、课程设计方案、教案、数字化课程资源、教学方案、质量评价标准、持续改进学习策略等。设立教师创新成果展示区，鼓励教师分享创新案例，增强教学创新氛围。</w:t>
            </w:r>
          </w:p>
          <w:p w14:paraId="3A3B61F2">
            <w:pPr>
              <w:spacing w:line="400" w:lineRule="exact"/>
              <w:ind w:firstLine="420" w:firstLineChars="200"/>
              <w:rPr>
                <w:rFonts w:hint="eastAsia"/>
                <w:color w:val="auto"/>
                <w:highlight w:val="none"/>
              </w:rPr>
            </w:pPr>
            <w:r>
              <w:rPr>
                <w:rFonts w:hint="eastAsia"/>
                <w:color w:val="auto"/>
                <w:highlight w:val="none"/>
              </w:rPr>
              <w:t>3.课程设计支持模块（</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47CA33A6">
            <w:pPr>
              <w:spacing w:line="400" w:lineRule="exact"/>
              <w:ind w:firstLine="420" w:firstLineChars="200"/>
              <w:rPr>
                <w:rFonts w:hint="eastAsia"/>
                <w:color w:val="auto"/>
                <w:highlight w:val="none"/>
              </w:rPr>
            </w:pPr>
            <w:r>
              <w:rPr>
                <w:rFonts w:hint="eastAsia"/>
                <w:color w:val="auto"/>
                <w:highlight w:val="none"/>
              </w:rPr>
              <w:t>课标设计工具：提供课标设计模板与指南，辅助教师制定清晰、科学的教学目标。</w:t>
            </w:r>
          </w:p>
          <w:p w14:paraId="746BBBCF">
            <w:pPr>
              <w:spacing w:line="400" w:lineRule="exact"/>
              <w:ind w:firstLine="420" w:firstLineChars="200"/>
              <w:rPr>
                <w:rFonts w:hint="eastAsia"/>
                <w:color w:val="auto"/>
                <w:highlight w:val="none"/>
              </w:rPr>
            </w:pPr>
            <w:r>
              <w:rPr>
                <w:rFonts w:hint="eastAsia"/>
                <w:color w:val="auto"/>
                <w:highlight w:val="none"/>
              </w:rPr>
              <w:t>教学资源库：整合优质教学资源，如课件、视频、案例、测试题等，支持快速备课。</w:t>
            </w:r>
          </w:p>
          <w:p w14:paraId="25D9B62E">
            <w:pPr>
              <w:spacing w:line="400" w:lineRule="exact"/>
              <w:ind w:firstLine="420" w:firstLineChars="200"/>
              <w:rPr>
                <w:rFonts w:hint="eastAsia"/>
                <w:color w:val="auto"/>
                <w:highlight w:val="none"/>
              </w:rPr>
            </w:pPr>
            <w:r>
              <w:rPr>
                <w:rFonts w:hint="eastAsia"/>
                <w:color w:val="auto"/>
                <w:highlight w:val="none"/>
              </w:rPr>
              <w:t>教案智能生成：基于课标设计与教学资源，智能生成教案模板，支持教师自定义修改与优化。</w:t>
            </w:r>
          </w:p>
          <w:p w14:paraId="2D0CA053">
            <w:pPr>
              <w:spacing w:line="400" w:lineRule="exact"/>
              <w:ind w:firstLine="420" w:firstLineChars="200"/>
              <w:rPr>
                <w:rFonts w:hint="eastAsia"/>
                <w:color w:val="auto"/>
                <w:highlight w:val="none"/>
              </w:rPr>
            </w:pPr>
            <w:r>
              <w:rPr>
                <w:rFonts w:hint="eastAsia"/>
                <w:color w:val="auto"/>
                <w:highlight w:val="none"/>
              </w:rPr>
              <w:t>4.AI智能辅助模块（</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02D0B17F">
            <w:pPr>
              <w:spacing w:line="400" w:lineRule="exact"/>
              <w:ind w:firstLine="420" w:firstLineChars="200"/>
              <w:rPr>
                <w:rFonts w:hint="eastAsia"/>
                <w:color w:val="auto"/>
                <w:highlight w:val="none"/>
              </w:rPr>
            </w:pPr>
            <w:r>
              <w:rPr>
                <w:rFonts w:hint="eastAsia"/>
                <w:color w:val="auto"/>
                <w:highlight w:val="none"/>
              </w:rPr>
              <w:t>个性化学习建议：分析教师学习行为，智能推荐适合的学习资源与训练课程。</w:t>
            </w:r>
          </w:p>
          <w:p w14:paraId="438792EF">
            <w:pPr>
              <w:spacing w:line="400" w:lineRule="exact"/>
              <w:ind w:firstLine="420" w:firstLineChars="200"/>
              <w:rPr>
                <w:rFonts w:hint="eastAsia"/>
                <w:color w:val="auto"/>
                <w:highlight w:val="none"/>
              </w:rPr>
            </w:pPr>
            <w:r>
              <w:rPr>
                <w:rFonts w:hint="eastAsia"/>
                <w:color w:val="auto"/>
                <w:highlight w:val="none"/>
              </w:rPr>
              <w:t>教学设计优化：利用AI算法检测教案中的潜在问题，提供个性化优化建议。</w:t>
            </w:r>
          </w:p>
          <w:p w14:paraId="6455122D">
            <w:pPr>
              <w:spacing w:line="400" w:lineRule="exact"/>
              <w:ind w:firstLine="420" w:firstLineChars="200"/>
              <w:rPr>
                <w:rFonts w:hint="eastAsia"/>
                <w:color w:val="auto"/>
                <w:highlight w:val="none"/>
              </w:rPr>
            </w:pPr>
            <w:r>
              <w:rPr>
                <w:rFonts w:hint="eastAsia"/>
                <w:color w:val="auto"/>
                <w:highlight w:val="none"/>
              </w:rPr>
              <w:t>教学效果预测：基于历史数据，预测教案实施效果，为教师提供调整建议。</w:t>
            </w:r>
          </w:p>
          <w:p w14:paraId="690C8B8E">
            <w:pPr>
              <w:spacing w:line="400" w:lineRule="exact"/>
              <w:ind w:firstLine="420" w:firstLineChars="200"/>
              <w:rPr>
                <w:rFonts w:hint="eastAsia"/>
                <w:color w:val="auto"/>
                <w:highlight w:val="none"/>
              </w:rPr>
            </w:pPr>
            <w:r>
              <w:rPr>
                <w:rFonts w:hint="eastAsia"/>
                <w:color w:val="auto"/>
                <w:highlight w:val="none"/>
              </w:rPr>
              <w:t>5.教学能力评估模块（</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5E187F7B">
            <w:pPr>
              <w:spacing w:line="400" w:lineRule="exact"/>
              <w:ind w:firstLine="420" w:firstLineChars="200"/>
              <w:rPr>
                <w:rFonts w:hint="eastAsia"/>
                <w:color w:val="auto"/>
                <w:highlight w:val="none"/>
              </w:rPr>
            </w:pPr>
            <w:r>
              <w:rPr>
                <w:rFonts w:hint="eastAsia"/>
                <w:color w:val="auto"/>
                <w:highlight w:val="none"/>
              </w:rPr>
              <w:t>教师端：支持教师提交教学设计、教案、教学反思等材料，进行自我评价与展示。</w:t>
            </w:r>
          </w:p>
          <w:p w14:paraId="1665A36E">
            <w:pPr>
              <w:spacing w:line="400" w:lineRule="exact"/>
              <w:ind w:firstLine="420" w:firstLineChars="200"/>
              <w:rPr>
                <w:rFonts w:hint="eastAsia"/>
                <w:color w:val="auto"/>
                <w:highlight w:val="none"/>
              </w:rPr>
            </w:pPr>
            <w:r>
              <w:rPr>
                <w:rFonts w:hint="eastAsia"/>
                <w:color w:val="auto"/>
                <w:highlight w:val="none"/>
              </w:rPr>
              <w:t>专家评审端：专家在线评审教师提交的材料，提供专业意见与改进建议，支持多维度评分。</w:t>
            </w:r>
          </w:p>
          <w:p w14:paraId="2D155300">
            <w:pPr>
              <w:spacing w:line="400" w:lineRule="exact"/>
              <w:ind w:firstLine="420" w:firstLineChars="200"/>
              <w:rPr>
                <w:rFonts w:hint="eastAsia"/>
                <w:color w:val="auto"/>
                <w:highlight w:val="none"/>
              </w:rPr>
            </w:pPr>
            <w:r>
              <w:rPr>
                <w:rFonts w:hint="eastAsia"/>
                <w:color w:val="auto"/>
                <w:highlight w:val="none"/>
              </w:rPr>
              <w:t>管理端：汇总评审数据，生成教师能力发展报告，支持管理者进行整体规划与决策。</w:t>
            </w:r>
          </w:p>
          <w:p w14:paraId="4877A3F6">
            <w:pPr>
              <w:spacing w:line="400" w:lineRule="exact"/>
              <w:ind w:firstLine="420" w:firstLineChars="200"/>
              <w:rPr>
                <w:rFonts w:hint="eastAsia"/>
                <w:color w:val="auto"/>
                <w:highlight w:val="none"/>
              </w:rPr>
            </w:pPr>
            <w:r>
              <w:rPr>
                <w:rFonts w:hint="eastAsia"/>
                <w:color w:val="auto"/>
                <w:highlight w:val="none"/>
              </w:rPr>
              <w:t>6.AI教学评价分析模块（</w:t>
            </w:r>
            <w:r>
              <w:rPr>
                <w:rFonts w:hint="eastAsia"/>
                <w:color w:val="auto"/>
                <w:highlight w:val="none"/>
                <w:lang w:val="en-US" w:eastAsia="zh-CN"/>
              </w:rPr>
              <w:t>投</w:t>
            </w:r>
            <w:r>
              <w:rPr>
                <w:rFonts w:hint="eastAsia"/>
                <w:color w:val="auto"/>
                <w:highlight w:val="none"/>
              </w:rPr>
              <w:t>标时</w:t>
            </w:r>
            <w:r>
              <w:rPr>
                <w:rFonts w:hint="eastAsia"/>
                <w:color w:val="auto"/>
                <w:highlight w:val="none"/>
                <w:lang w:val="en-US" w:eastAsia="zh-CN"/>
              </w:rPr>
              <w:t>如有请</w:t>
            </w:r>
            <w:r>
              <w:rPr>
                <w:rFonts w:hint="eastAsia"/>
                <w:color w:val="auto"/>
                <w:highlight w:val="none"/>
              </w:rPr>
              <w:t>提供真实</w:t>
            </w:r>
            <w:r>
              <w:rPr>
                <w:rFonts w:hint="eastAsia"/>
                <w:color w:val="auto"/>
                <w:highlight w:val="none"/>
                <w:lang w:val="en-US" w:eastAsia="zh-CN"/>
              </w:rPr>
              <w:t>产品</w:t>
            </w:r>
            <w:r>
              <w:rPr>
                <w:rFonts w:hint="eastAsia"/>
                <w:color w:val="auto"/>
                <w:highlight w:val="none"/>
              </w:rPr>
              <w:t>演示，演示要求详见“商务要求表”）</w:t>
            </w:r>
          </w:p>
          <w:p w14:paraId="72492AD3">
            <w:pPr>
              <w:spacing w:line="400" w:lineRule="exact"/>
              <w:ind w:firstLine="420" w:firstLineChars="200"/>
              <w:rPr>
                <w:rFonts w:hint="eastAsia"/>
                <w:color w:val="auto"/>
                <w:highlight w:val="none"/>
              </w:rPr>
            </w:pPr>
            <w:r>
              <w:rPr>
                <w:rFonts w:hint="eastAsia"/>
                <w:color w:val="auto"/>
                <w:highlight w:val="none"/>
              </w:rPr>
              <w:t>多模态数据分析：通过视频分析、语音识别、文本挖掘等技术，对课堂实录视频进行多维度分析。</w:t>
            </w:r>
          </w:p>
          <w:p w14:paraId="23111534">
            <w:pPr>
              <w:spacing w:line="400" w:lineRule="exact"/>
              <w:ind w:firstLine="420" w:firstLineChars="200"/>
              <w:rPr>
                <w:rFonts w:hint="eastAsia"/>
                <w:color w:val="auto"/>
                <w:highlight w:val="none"/>
              </w:rPr>
            </w:pPr>
            <w:r>
              <w:rPr>
                <w:rFonts w:hint="eastAsia"/>
                <w:color w:val="auto"/>
                <w:highlight w:val="none"/>
              </w:rPr>
              <w:t>前瞻性评价：基于数据分析结果，提供前瞻性的教学评价，指出潜在问题与改进方向。</w:t>
            </w:r>
          </w:p>
          <w:p w14:paraId="2DC82305">
            <w:pPr>
              <w:spacing w:line="400" w:lineRule="exact"/>
              <w:ind w:firstLine="420" w:firstLineChars="200"/>
              <w:rPr>
                <w:rFonts w:hint="eastAsia"/>
                <w:color w:val="auto"/>
                <w:highlight w:val="none"/>
              </w:rPr>
            </w:pPr>
            <w:r>
              <w:rPr>
                <w:rFonts w:hint="eastAsia"/>
                <w:color w:val="auto"/>
                <w:highlight w:val="none"/>
              </w:rPr>
              <w:t>优化建议报告：生成详细的优化建议报告，包括教学互动、学生参与度、教学内容等方面的改进建议。</w:t>
            </w:r>
          </w:p>
          <w:p w14:paraId="657680A5">
            <w:pPr>
              <w:spacing w:line="400" w:lineRule="exact"/>
              <w:ind w:firstLine="422" w:firstLineChars="200"/>
              <w:rPr>
                <w:rFonts w:hint="eastAsia"/>
                <w:b/>
                <w:bCs/>
                <w:color w:val="auto"/>
                <w:highlight w:val="none"/>
              </w:rPr>
            </w:pPr>
            <w:r>
              <w:rPr>
                <w:rFonts w:hint="eastAsia" w:ascii="宋体" w:hAnsi="宋体" w:cs="宋体"/>
                <w:b/>
                <w:bCs/>
                <w:color w:val="auto"/>
                <w:highlight w:val="none"/>
              </w:rPr>
              <w:t>★</w:t>
            </w:r>
            <w:r>
              <w:rPr>
                <w:rFonts w:hint="eastAsia"/>
                <w:b/>
                <w:bCs/>
                <w:color w:val="auto"/>
                <w:highlight w:val="none"/>
              </w:rPr>
              <w:t>交付物：</w:t>
            </w:r>
          </w:p>
          <w:p w14:paraId="060A03E5">
            <w:pPr>
              <w:spacing w:line="400" w:lineRule="exact"/>
              <w:ind w:firstLine="420" w:firstLineChars="200"/>
              <w:rPr>
                <w:rFonts w:hint="eastAsia"/>
                <w:color w:val="auto"/>
                <w:highlight w:val="none"/>
              </w:rPr>
            </w:pPr>
            <w:r>
              <w:rPr>
                <w:rFonts w:hint="eastAsia"/>
                <w:color w:val="auto"/>
                <w:highlight w:val="none"/>
              </w:rPr>
              <w:t>（1）教师能力训练平台</w:t>
            </w:r>
          </w:p>
          <w:p w14:paraId="1A21CDA3">
            <w:pPr>
              <w:spacing w:line="400" w:lineRule="exact"/>
              <w:ind w:firstLine="420" w:firstLineChars="200"/>
              <w:rPr>
                <w:rFonts w:hint="eastAsia"/>
                <w:color w:val="auto"/>
                <w:highlight w:val="none"/>
              </w:rPr>
            </w:pPr>
            <w:r>
              <w:rPr>
                <w:rFonts w:hint="eastAsia"/>
                <w:color w:val="auto"/>
                <w:highlight w:val="none"/>
              </w:rPr>
              <w:t>包括教师端、专家评审端和管理端三个主要模块，实现上述所有功能。</w:t>
            </w:r>
          </w:p>
          <w:p w14:paraId="23EAA539">
            <w:pPr>
              <w:spacing w:line="400" w:lineRule="exact"/>
              <w:ind w:firstLine="420" w:firstLineChars="200"/>
              <w:rPr>
                <w:rFonts w:hint="eastAsia"/>
                <w:color w:val="auto"/>
                <w:highlight w:val="none"/>
              </w:rPr>
            </w:pPr>
            <w:r>
              <w:rPr>
                <w:rFonts w:hint="eastAsia"/>
                <w:color w:val="auto"/>
                <w:highlight w:val="none"/>
              </w:rPr>
              <w:t>（2）系统操作手册与培训材料</w:t>
            </w:r>
          </w:p>
          <w:p w14:paraId="06DED6A3">
            <w:pPr>
              <w:spacing w:line="400" w:lineRule="exact"/>
              <w:ind w:firstLine="420" w:firstLineChars="200"/>
              <w:rPr>
                <w:rFonts w:hint="eastAsia"/>
                <w:color w:val="auto"/>
                <w:highlight w:val="none"/>
              </w:rPr>
            </w:pPr>
            <w:r>
              <w:rPr>
                <w:rFonts w:hint="eastAsia"/>
                <w:color w:val="auto"/>
                <w:highlight w:val="none"/>
              </w:rPr>
              <w:t>提供详细的系统操作手册，帮助教师、专家和管理者快速上手使用系统。</w:t>
            </w:r>
          </w:p>
          <w:p w14:paraId="68831C5D">
            <w:pPr>
              <w:spacing w:line="400" w:lineRule="exact"/>
              <w:ind w:firstLine="420" w:firstLineChars="200"/>
              <w:rPr>
                <w:rFonts w:hint="eastAsia"/>
                <w:color w:val="auto"/>
                <w:highlight w:val="none"/>
              </w:rPr>
            </w:pPr>
            <w:r>
              <w:rPr>
                <w:rFonts w:hint="eastAsia"/>
                <w:color w:val="auto"/>
                <w:highlight w:val="none"/>
              </w:rPr>
              <w:t>准备培训材料，包括视频教程、PPT等，用于系统上线前的培训。</w:t>
            </w:r>
          </w:p>
          <w:p w14:paraId="598783DC">
            <w:pPr>
              <w:spacing w:line="400" w:lineRule="exact"/>
              <w:ind w:firstLine="420" w:firstLineChars="200"/>
              <w:rPr>
                <w:rFonts w:hint="eastAsia"/>
                <w:color w:val="auto"/>
                <w:highlight w:val="none"/>
              </w:rPr>
            </w:pPr>
            <w:r>
              <w:rPr>
                <w:rFonts w:hint="eastAsia"/>
                <w:color w:val="auto"/>
                <w:highlight w:val="none"/>
              </w:rPr>
              <w:t>（3）用户支持与维护服务</w:t>
            </w:r>
          </w:p>
          <w:p w14:paraId="78017827">
            <w:pPr>
              <w:spacing w:line="400" w:lineRule="exact"/>
              <w:ind w:firstLine="420" w:firstLineChars="200"/>
              <w:rPr>
                <w:rFonts w:hint="eastAsia"/>
                <w:color w:val="auto"/>
                <w:highlight w:val="none"/>
              </w:rPr>
            </w:pPr>
            <w:r>
              <w:rPr>
                <w:rFonts w:hint="eastAsia"/>
                <w:color w:val="auto"/>
                <w:highlight w:val="none"/>
              </w:rPr>
              <w:t>提供7x24小时在线技术支持与咨询服务，解决教师在使用过程中遇到的问题。</w:t>
            </w:r>
          </w:p>
          <w:p w14:paraId="21DEBEA1">
            <w:pPr>
              <w:spacing w:line="400" w:lineRule="exact"/>
              <w:ind w:firstLine="420" w:firstLineChars="200"/>
              <w:rPr>
                <w:rFonts w:hint="eastAsia"/>
                <w:color w:val="auto"/>
                <w:highlight w:val="none"/>
              </w:rPr>
            </w:pPr>
            <w:r>
              <w:rPr>
                <w:rFonts w:hint="eastAsia"/>
                <w:color w:val="auto"/>
                <w:highlight w:val="none"/>
              </w:rPr>
              <w:t>定期进行系统维护与升级，确保系统稳定运行，满足教师实际需求。</w:t>
            </w:r>
          </w:p>
          <w:p w14:paraId="71455A2E">
            <w:pPr>
              <w:spacing w:line="400" w:lineRule="exact"/>
              <w:ind w:firstLine="420" w:firstLineChars="200"/>
              <w:rPr>
                <w:rFonts w:hint="eastAsia"/>
                <w:color w:val="auto"/>
                <w:highlight w:val="none"/>
              </w:rPr>
            </w:pPr>
            <w:r>
              <w:rPr>
                <w:rFonts w:hint="eastAsia"/>
                <w:color w:val="auto"/>
                <w:highlight w:val="none"/>
              </w:rPr>
              <w:t>（4）系统实施与部署方案</w:t>
            </w:r>
          </w:p>
          <w:p w14:paraId="451AF80C">
            <w:pPr>
              <w:spacing w:line="400" w:lineRule="exact"/>
              <w:ind w:firstLine="420" w:firstLineChars="200"/>
              <w:rPr>
                <w:rFonts w:hint="eastAsia"/>
                <w:color w:val="auto"/>
                <w:highlight w:val="none"/>
                <w:lang w:eastAsia="zh-CN"/>
              </w:rPr>
            </w:pPr>
            <w:r>
              <w:rPr>
                <w:rFonts w:hint="eastAsia"/>
                <w:color w:val="auto"/>
                <w:highlight w:val="none"/>
              </w:rPr>
              <w:t>包括系统部署计划、完成该系统的本地化部署，系统正式上线前完成其安全漏洞扫描和等保2.0系统二级测评，确保系统安全稳定运行</w:t>
            </w:r>
            <w:r>
              <w:rPr>
                <w:rFonts w:hint="eastAsia"/>
                <w:color w:val="auto"/>
                <w:highlight w:val="none"/>
                <w:lang w:eastAsia="zh-CN"/>
              </w:rPr>
              <w:t>。</w:t>
            </w:r>
          </w:p>
          <w:p w14:paraId="5E7640E3">
            <w:pPr>
              <w:spacing w:line="400" w:lineRule="exact"/>
              <w:ind w:firstLine="420" w:firstLineChars="200"/>
              <w:rPr>
                <w:rFonts w:hint="eastAsia"/>
                <w:color w:val="auto"/>
                <w:highlight w:val="none"/>
                <w:lang w:eastAsia="zh-CN"/>
              </w:rPr>
            </w:pPr>
            <w:r>
              <w:rPr>
                <w:rFonts w:hint="eastAsia"/>
                <w:color w:val="auto"/>
                <w:highlight w:val="none"/>
                <w:lang w:eastAsia="zh-CN"/>
              </w:rPr>
              <w:t>与学校多因子认证系统对接，实现单点登录。对接后实时获取数据</w:t>
            </w:r>
            <w:r>
              <w:rPr>
                <w:rFonts w:hint="eastAsia"/>
                <w:color w:val="auto"/>
                <w:highlight w:val="none"/>
                <w:lang w:val="en-US" w:eastAsia="zh-CN"/>
              </w:rPr>
              <w:t>中</w:t>
            </w:r>
            <w:r>
              <w:rPr>
                <w:rFonts w:hint="eastAsia"/>
                <w:color w:val="auto"/>
                <w:highlight w:val="none"/>
                <w:lang w:eastAsia="zh-CN"/>
              </w:rPr>
              <w:t>心数据并推送至平台，根据系统原有账号实现统一登录平台，实现自动同步；当账号在数据中心数据发生变更时，对接程序自动与校方数据中心同步。</w:t>
            </w:r>
          </w:p>
        </w:tc>
      </w:tr>
      <w:tr w14:paraId="4C3C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5FFD378F">
            <w:pPr>
              <w:ind w:firstLine="105" w:firstLineChars="50"/>
              <w:rPr>
                <w:rFonts w:hint="eastAsia" w:eastAsia="宋体" w:cs="Arial"/>
                <w:color w:val="auto"/>
                <w:highlight w:val="none"/>
                <w:lang w:val="en-US" w:eastAsia="zh-CN"/>
              </w:rPr>
            </w:pPr>
            <w:r>
              <w:rPr>
                <w:rFonts w:hint="eastAsia" w:cs="Arial"/>
                <w:color w:val="auto"/>
                <w:highlight w:val="none"/>
                <w:lang w:val="en-US" w:eastAsia="zh-CN"/>
              </w:rPr>
              <w:t>2</w:t>
            </w:r>
          </w:p>
        </w:tc>
        <w:tc>
          <w:tcPr>
            <w:tcW w:w="1660" w:type="dxa"/>
            <w:gridSpan w:val="2"/>
            <w:tcBorders>
              <w:top w:val="single" w:color="auto" w:sz="4" w:space="0"/>
              <w:left w:val="single" w:color="auto" w:sz="4" w:space="0"/>
              <w:bottom w:val="single" w:color="auto" w:sz="4" w:space="0"/>
              <w:right w:val="single" w:color="auto" w:sz="4" w:space="0"/>
            </w:tcBorders>
            <w:noWrap w:val="0"/>
            <w:vAlign w:val="center"/>
          </w:tcPr>
          <w:p w14:paraId="6525E95C">
            <w:pPr>
              <w:spacing w:line="400" w:lineRule="exact"/>
              <w:jc w:val="center"/>
              <w:rPr>
                <w:color w:val="auto"/>
                <w:highlight w:val="none"/>
              </w:rPr>
            </w:pPr>
            <w:r>
              <w:rPr>
                <w:rFonts w:hint="eastAsia"/>
                <w:color w:val="auto"/>
                <w:highlight w:val="none"/>
              </w:rPr>
              <w:t>“金课”成果转化服务</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49C50DFE">
            <w:pPr>
              <w:spacing w:line="400" w:lineRule="exact"/>
              <w:jc w:val="center"/>
              <w:rPr>
                <w:rFonts w:hint="default" w:eastAsia="宋体"/>
                <w:color w:val="auto"/>
                <w:highlight w:val="none"/>
                <w:lang w:val="en-US" w:eastAsia="zh-CN"/>
              </w:rPr>
            </w:pPr>
            <w:r>
              <w:rPr>
                <w:rFonts w:hint="eastAsia" w:eastAsia="宋体"/>
                <w:color w:val="auto"/>
                <w:highlight w:val="none"/>
                <w:lang w:val="en-US" w:eastAsia="zh-CN"/>
              </w:rPr>
              <w:t>1项</w:t>
            </w:r>
          </w:p>
        </w:tc>
        <w:tc>
          <w:tcPr>
            <w:tcW w:w="6668" w:type="dxa"/>
            <w:tcBorders>
              <w:top w:val="single" w:color="auto" w:sz="4" w:space="0"/>
              <w:left w:val="single" w:color="auto" w:sz="4" w:space="0"/>
              <w:bottom w:val="single" w:color="auto" w:sz="4" w:space="0"/>
              <w:right w:val="single" w:color="auto" w:sz="4" w:space="0"/>
            </w:tcBorders>
            <w:noWrap w:val="0"/>
            <w:vAlign w:val="top"/>
          </w:tcPr>
          <w:p w14:paraId="6FBB251C">
            <w:pPr>
              <w:spacing w:line="400" w:lineRule="exact"/>
              <w:ind w:firstLine="420" w:firstLineChars="200"/>
              <w:rPr>
                <w:rFonts w:hint="eastAsia"/>
                <w:color w:val="auto"/>
                <w:highlight w:val="none"/>
              </w:rPr>
            </w:pPr>
            <w:r>
              <w:rPr>
                <w:rFonts w:hint="eastAsia"/>
                <w:color w:val="auto"/>
                <w:highlight w:val="none"/>
              </w:rPr>
              <w:t>按照省部级</w:t>
            </w:r>
            <w:r>
              <w:rPr>
                <w:rFonts w:hint="eastAsia"/>
                <w:color w:val="auto"/>
                <w:highlight w:val="none"/>
                <w:lang w:val="en-US" w:eastAsia="zh-CN"/>
              </w:rPr>
              <w:t>及</w:t>
            </w:r>
            <w:r>
              <w:rPr>
                <w:rFonts w:hint="eastAsia"/>
                <w:color w:val="auto"/>
                <w:highlight w:val="none"/>
              </w:rPr>
              <w:t>以上成果遴选规范与标准，结合学校发展战略和课程建设目标，制定详细的成果培育计划。为课程负责人提供全程伴随式申报辅导，包括申报书撰写、建设方案设计、建设任务规划等方面的指导。确保至少转化形成省部级</w:t>
            </w:r>
            <w:r>
              <w:rPr>
                <w:rFonts w:hint="eastAsia"/>
                <w:color w:val="auto"/>
                <w:highlight w:val="none"/>
                <w:lang w:val="en-US" w:eastAsia="zh-CN"/>
              </w:rPr>
              <w:t>及</w:t>
            </w:r>
            <w:r>
              <w:rPr>
                <w:rFonts w:hint="eastAsia"/>
                <w:color w:val="auto"/>
                <w:highlight w:val="none"/>
              </w:rPr>
              <w:t>以上标志性成果5项；至少转化形成国家级</w:t>
            </w:r>
            <w:r>
              <w:rPr>
                <w:rFonts w:hint="eastAsia"/>
                <w:color w:val="auto"/>
                <w:highlight w:val="none"/>
                <w:lang w:val="en-US" w:eastAsia="zh-CN"/>
              </w:rPr>
              <w:t>及</w:t>
            </w:r>
            <w:r>
              <w:rPr>
                <w:rFonts w:hint="eastAsia"/>
                <w:color w:val="auto"/>
                <w:highlight w:val="none"/>
              </w:rPr>
              <w:t>以上标志性成果2项。成果类型包括：国家级/自治区级精品在线课程、规划教材、东盟国际化资源。</w:t>
            </w:r>
          </w:p>
        </w:tc>
      </w:tr>
      <w:tr w14:paraId="5070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14:paraId="2F6836CE">
            <w:pPr>
              <w:rPr>
                <w:rFonts w:hint="eastAsia" w:ascii="新宋体" w:eastAsia="新宋体"/>
                <w:color w:val="auto"/>
                <w:szCs w:val="21"/>
                <w:highlight w:val="none"/>
              </w:rPr>
            </w:pPr>
            <w:r>
              <w:rPr>
                <w:rFonts w:hint="eastAsia" w:ascii="新宋体" w:eastAsia="新宋体"/>
                <w:b/>
                <w:color w:val="auto"/>
                <w:szCs w:val="21"/>
                <w:highlight w:val="none"/>
              </w:rPr>
              <w:t>★商务要求表</w:t>
            </w:r>
          </w:p>
        </w:tc>
      </w:tr>
      <w:tr w14:paraId="360B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66BFD92A">
            <w:pPr>
              <w:tabs>
                <w:tab w:val="left" w:pos="180"/>
                <w:tab w:val="left" w:pos="1620"/>
              </w:tabs>
              <w:spacing w:line="40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服务时间及地点</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20F30C58">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1.服务时间：自合同签订之日起12个月内完成全部服务。</w:t>
            </w:r>
          </w:p>
          <w:p w14:paraId="2C0702E6">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2.服务地点：南宁市大学东路101号，具体指定地点由课程负责人安排。</w:t>
            </w:r>
          </w:p>
          <w:p w14:paraId="01C4617C">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3.服务方式：除专家外，其他团队驻校服务，常年驻校服务至少2人（其中技术成员≥1名，服务人员≥1名）。</w:t>
            </w:r>
          </w:p>
        </w:tc>
      </w:tr>
      <w:tr w14:paraId="1621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705D54D">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项目资质保障要求</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25037D38">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1.资质一致性要求：投入项目的专家团队成员在专业领域、职称等级、职业背景、项目经验等核心资质维度上，须与投标文件中承诺的资质标准完全一致。供应商需在合同签订后3个工作日内提交专家团队全体成员的资质备案表（含学历证书、职称证书、项目合同等关键材料复印件），并加盖公章确认真实性。</w:t>
            </w:r>
          </w:p>
          <w:p w14:paraId="1A26FCC9">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2.专家替换：若专家因故无法履职，供应商需提前15天提出替换方案，新专家资质不得低于原要求。</w:t>
            </w:r>
          </w:p>
          <w:p w14:paraId="373A0AC9">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3.资质造假处理：供应商提供的专家职称、项目经验等材料存在伪造、篡改或虚假陈述。</w:t>
            </w:r>
          </w:p>
          <w:p w14:paraId="5C7E3F13">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4.处理流程：学校发现疑似造假行为后，书面通知供应商限期澄清（≤5个工作日）；供应商需提供原始证明材料原件及第三方权威机构验证报告；若证实造假，学校有权立即终止合同，并扣除全部已支付款项；供应商需退还学校已支付费用，并赔偿因合同终止导致的直接损失（如重新招标成本、项目延期损失等）。</w:t>
            </w:r>
          </w:p>
          <w:p w14:paraId="03783987">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5.法律后果：供应商需承担因造假行为引发的全部法律责任，学校保留追究其法律责任的权利。</w:t>
            </w:r>
          </w:p>
        </w:tc>
      </w:tr>
      <w:tr w14:paraId="605B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6C82C620">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质保期及</w:t>
            </w:r>
          </w:p>
          <w:p w14:paraId="223516C9">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售后服务要求</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3C10ABAF">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1.项目验收合格后，除序号1中规定的服务年限外，供应商应提供1年的免费售后服务，包括但不限于课程运行过程中的技术支持、课程内容更新建议、成果申报专家指导等。</w:t>
            </w:r>
          </w:p>
          <w:p w14:paraId="7574DABB">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2.在售后服务期内，供应商应在接到采购人售后服务需求后的2小时内响应，并在 48 小时内解决问题；如因问题复杂无法在规定时间内解决，应向采购人说明原因，并制定解决方案和时间节点，确保问题得到妥善解决。</w:t>
            </w:r>
          </w:p>
          <w:p w14:paraId="42E6D4C4">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3.售后服务期内，供应商应每季度对课程运行情况进行回访，收集意见和建议，形成回访报告提交采购人。</w:t>
            </w:r>
          </w:p>
        </w:tc>
      </w:tr>
      <w:tr w14:paraId="3BE0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4BCA0D4">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知识产权</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64860611">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供应商应保证所提供的服务及相关成果（包括课程设计方案、教材、素材资源、数字人等）不侵犯任何第三方的知识产权。在项目实施过程中及项目完成后，所有知识产权归采购人所有，但供应商有权在合理范围内用于宣传推广自身业务，但需事先获得采购人的书面同意。若因供应商原因导致采购人遭受知识产权纠纷，供应商应承担全部法律责任，并赔偿采购人因此遭受的全部损失，包括但不限于经济赔偿、诉讼费用、律师费用等。</w:t>
            </w:r>
          </w:p>
        </w:tc>
      </w:tr>
      <w:tr w14:paraId="2756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1B18BC0">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验收标准与方法</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5A384CA9">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验收标准依据服务技术要求中的各项量化指标及质量标准执行。验收方法采用阶段性验收与最终验收相结合的方式。阶段性验收在项目实施过程中按照关键时间节点（如课程设计方案完成、资源制作完成等）进行，由采购人组织相关专家、课程团队负责人代表对阶段性成果进行评估；最终验收在项目全部完成后进行，采购人组织验收小组，通过听取汇报、查阅资料、实地考察等方式对项目整体进行验收。验收合格后，出具验收报告；验收不合格的，供应商应按照验收意见进行整改，直至验收合格，整改期间产生的费用由供应商自行承担。若整改后仍未通过验收，采购人有权解除合同，并要求供应商承担相应的违约责任。</w:t>
            </w:r>
          </w:p>
        </w:tc>
      </w:tr>
      <w:tr w14:paraId="5A94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60006266">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付款方式</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227A6C6C">
            <w:pPr>
              <w:tabs>
                <w:tab w:val="left" w:pos="180"/>
                <w:tab w:val="left" w:pos="1620"/>
              </w:tabs>
              <w:spacing w:line="400" w:lineRule="exact"/>
              <w:ind w:firstLine="422" w:firstLineChars="200"/>
              <w:jc w:val="left"/>
              <w:rPr>
                <w:rFonts w:hint="eastAsia" w:ascii="宋体" w:hAnsi="宋体"/>
                <w:b/>
                <w:bCs/>
                <w:color w:val="auto"/>
                <w:kern w:val="2"/>
                <w:sz w:val="21"/>
                <w:szCs w:val="21"/>
                <w:highlight w:val="none"/>
                <w:lang w:val="en-US" w:eastAsia="zh-CN" w:bidi="ar-SA"/>
              </w:rPr>
            </w:pPr>
            <w:r>
              <w:rPr>
                <w:rFonts w:hint="eastAsia" w:ascii="宋体" w:hAnsi="宋体"/>
                <w:b/>
                <w:bCs/>
                <w:color w:val="auto"/>
                <w:kern w:val="2"/>
                <w:sz w:val="21"/>
                <w:szCs w:val="21"/>
                <w:highlight w:val="none"/>
                <w:lang w:val="en-US" w:eastAsia="zh-CN" w:bidi="ar-SA"/>
              </w:rPr>
              <w:t>一、项目预算费用总额（最高限价）</w:t>
            </w:r>
          </w:p>
          <w:p w14:paraId="62B0C5E3">
            <w:pPr>
              <w:tabs>
                <w:tab w:val="left" w:pos="180"/>
                <w:tab w:val="left" w:pos="1620"/>
              </w:tabs>
              <w:spacing w:line="400" w:lineRule="exact"/>
              <w:ind w:firstLine="420" w:firstLineChars="200"/>
              <w:jc w:val="left"/>
              <w:rPr>
                <w:rFonts w:hint="eastAsia" w:ascii="宋体" w:hAnsi="宋体"/>
                <w:b w:val="0"/>
                <w:bCs w:val="0"/>
                <w:color w:val="auto"/>
                <w:kern w:val="2"/>
                <w:sz w:val="21"/>
                <w:szCs w:val="21"/>
                <w:highlight w:val="none"/>
                <w:lang w:val="en-US" w:eastAsia="zh-CN" w:bidi="ar-SA"/>
              </w:rPr>
            </w:pPr>
            <w:r>
              <w:rPr>
                <w:rFonts w:hint="eastAsia" w:ascii="宋体" w:hAnsi="宋体"/>
                <w:b w:val="0"/>
                <w:bCs w:val="0"/>
                <w:color w:val="auto"/>
                <w:kern w:val="2"/>
                <w:sz w:val="21"/>
                <w:szCs w:val="21"/>
                <w:highlight w:val="none"/>
                <w:lang w:val="en-US" w:eastAsia="zh-CN" w:bidi="ar-SA"/>
              </w:rPr>
              <w:t>本项目预算费用总额（最高限价）：陆佰万元整（¥6000000元），其构成为：“金课”建设指导服务预算费用总额肆佰贰拾万元整（¥4200000元）；“金课”成果转化服务预算费用总额壹佰捌拾万元整（¥1800000元）。</w:t>
            </w:r>
            <w:r>
              <w:rPr>
                <w:rFonts w:hint="eastAsia" w:ascii="宋体" w:hAnsi="宋体"/>
                <w:b/>
                <w:bCs/>
                <w:color w:val="auto"/>
                <w:kern w:val="2"/>
                <w:sz w:val="21"/>
                <w:szCs w:val="21"/>
                <w:highlight w:val="none"/>
                <w:lang w:val="en-US" w:eastAsia="zh-CN" w:bidi="ar-SA"/>
              </w:rPr>
              <w:t>投标人报价时各项内容不能超过以上分项预算价，总价不得超过本项目总预算金额，否则投标无效。</w:t>
            </w:r>
          </w:p>
          <w:p w14:paraId="0010ECF9">
            <w:pPr>
              <w:tabs>
                <w:tab w:val="left" w:pos="180"/>
                <w:tab w:val="left" w:pos="1620"/>
              </w:tabs>
              <w:spacing w:line="400" w:lineRule="exact"/>
              <w:ind w:firstLine="422" w:firstLineChars="200"/>
              <w:jc w:val="left"/>
              <w:rPr>
                <w:rFonts w:hint="eastAsia" w:ascii="宋体" w:hAnsi="宋体"/>
                <w:b/>
                <w:bCs/>
                <w:color w:val="auto"/>
                <w:kern w:val="2"/>
                <w:sz w:val="21"/>
                <w:szCs w:val="21"/>
                <w:highlight w:val="none"/>
                <w:lang w:val="en-US" w:eastAsia="zh-CN" w:bidi="ar-SA"/>
              </w:rPr>
            </w:pPr>
            <w:r>
              <w:rPr>
                <w:rFonts w:hint="eastAsia" w:ascii="宋体" w:hAnsi="宋体"/>
                <w:b/>
                <w:bCs/>
                <w:color w:val="auto"/>
                <w:kern w:val="2"/>
                <w:sz w:val="21"/>
                <w:szCs w:val="21"/>
                <w:highlight w:val="none"/>
                <w:lang w:val="en-US" w:eastAsia="zh-CN" w:bidi="ar-SA"/>
              </w:rPr>
              <w:t>二、支付方式</w:t>
            </w:r>
          </w:p>
          <w:p w14:paraId="1C7B8F20">
            <w:pPr>
              <w:tabs>
                <w:tab w:val="left" w:pos="180"/>
                <w:tab w:val="left" w:pos="1620"/>
              </w:tabs>
              <w:spacing w:line="400" w:lineRule="exact"/>
              <w:ind w:firstLine="422" w:firstLineChars="200"/>
              <w:jc w:val="left"/>
              <w:rPr>
                <w:rFonts w:hint="eastAsia" w:ascii="宋体" w:hAnsi="宋体"/>
                <w:b/>
                <w:bCs/>
                <w:color w:val="auto"/>
                <w:kern w:val="2"/>
                <w:sz w:val="21"/>
                <w:szCs w:val="21"/>
                <w:highlight w:val="none"/>
                <w:lang w:val="en-US" w:eastAsia="zh-CN" w:bidi="ar-SA"/>
              </w:rPr>
            </w:pPr>
            <w:r>
              <w:rPr>
                <w:rFonts w:hint="eastAsia" w:ascii="宋体" w:hAnsi="宋体"/>
                <w:b/>
                <w:bCs/>
                <w:color w:val="auto"/>
                <w:kern w:val="2"/>
                <w:sz w:val="21"/>
                <w:szCs w:val="21"/>
                <w:highlight w:val="none"/>
                <w:lang w:val="en-US" w:eastAsia="zh-CN" w:bidi="ar-SA"/>
              </w:rPr>
              <w:t>（一）“金课”建设指导服务费用支付方式</w:t>
            </w:r>
          </w:p>
          <w:p w14:paraId="3E033F1E">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合同签订后，采购方在收到发票后10个工作日内支付“金课”建设指导服务费总金额20%的预付款；中标方</w:t>
            </w:r>
            <w:r>
              <w:rPr>
                <w:rFonts w:hint="eastAsia"/>
                <w:color w:val="auto"/>
                <w:highlight w:val="none"/>
                <w:lang w:val="en-US" w:eastAsia="zh-CN"/>
              </w:rPr>
              <w:t>在线课程、教材完成三审或者</w:t>
            </w:r>
            <w:r>
              <w:rPr>
                <w:rFonts w:hint="eastAsia" w:ascii="宋体" w:hAnsi="宋体"/>
                <w:color w:val="auto"/>
                <w:kern w:val="2"/>
                <w:sz w:val="21"/>
                <w:szCs w:val="21"/>
                <w:highlight w:val="none"/>
                <w:lang w:val="en-US" w:eastAsia="zh-CN" w:bidi="ar-SA"/>
              </w:rPr>
              <w:t>2026年3月31日前书面通知采购方进行中期验收，采购人在中期验收合格后收到发票后10个工作日内，支付“金课”建设指导服务费总金额30%的进度款；总体验收合格后，采购人在收到发票后10个工作日内支付“金课”建设指导服务费总金额剩余款项。供应商在申请款项的同时提供正式、合法的发票。“金课”建设指导服务1年内完成。</w:t>
            </w:r>
          </w:p>
          <w:p w14:paraId="45E42D6A">
            <w:pPr>
              <w:tabs>
                <w:tab w:val="left" w:pos="180"/>
                <w:tab w:val="left" w:pos="1620"/>
              </w:tabs>
              <w:spacing w:line="400" w:lineRule="exact"/>
              <w:ind w:firstLine="422" w:firstLineChars="200"/>
              <w:jc w:val="left"/>
              <w:rPr>
                <w:rFonts w:hint="eastAsia" w:ascii="宋体" w:hAnsi="宋体"/>
                <w:b/>
                <w:bCs/>
                <w:color w:val="auto"/>
                <w:kern w:val="2"/>
                <w:sz w:val="21"/>
                <w:szCs w:val="21"/>
                <w:highlight w:val="none"/>
                <w:lang w:val="en-US" w:eastAsia="zh-CN" w:bidi="ar-SA"/>
              </w:rPr>
            </w:pPr>
            <w:r>
              <w:rPr>
                <w:rFonts w:hint="eastAsia" w:ascii="宋体" w:hAnsi="宋体"/>
                <w:b/>
                <w:bCs/>
                <w:color w:val="auto"/>
                <w:kern w:val="2"/>
                <w:sz w:val="21"/>
                <w:szCs w:val="21"/>
                <w:highlight w:val="none"/>
                <w:lang w:val="en-US" w:eastAsia="zh-CN" w:bidi="ar-SA"/>
              </w:rPr>
              <w:t>1.中期验收合格标准：</w:t>
            </w:r>
          </w:p>
          <w:p w14:paraId="7126CB3C">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①辅导本次受训教师，完成了课程标准、课程整体设计、单元设计、教案设计、单元评价设计、资源制作服务阶段的全部交付物（参考招标文件采购需求约定的每个阶段的交付物）；</w:t>
            </w:r>
          </w:p>
          <w:p w14:paraId="1410F696">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②教师能力训练平台投入使用，能够支撑课程标准、课程整体设计、单元设计、教案设计、单元评价设计、资源制作服务阶段的全部业务流程要求，达到本招标文件约定的技术要求；</w:t>
            </w:r>
          </w:p>
          <w:p w14:paraId="6552F7BE">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③教师能力发展线上学习平台投入使用，达到招标文件的技术要求。</w:t>
            </w:r>
          </w:p>
          <w:p w14:paraId="1B9CD6A2">
            <w:pPr>
              <w:tabs>
                <w:tab w:val="left" w:pos="180"/>
                <w:tab w:val="left" w:pos="1620"/>
              </w:tabs>
              <w:spacing w:line="400" w:lineRule="exact"/>
              <w:ind w:firstLine="422" w:firstLineChars="200"/>
              <w:jc w:val="left"/>
              <w:rPr>
                <w:rFonts w:hint="eastAsia" w:ascii="宋体" w:hAnsi="宋体"/>
                <w:b/>
                <w:bCs/>
                <w:color w:val="auto"/>
                <w:kern w:val="2"/>
                <w:sz w:val="21"/>
                <w:szCs w:val="21"/>
                <w:highlight w:val="none"/>
                <w:lang w:val="en-US" w:eastAsia="zh-CN" w:bidi="ar-SA"/>
              </w:rPr>
            </w:pPr>
            <w:r>
              <w:rPr>
                <w:rFonts w:hint="eastAsia" w:ascii="宋体" w:hAnsi="宋体"/>
                <w:b/>
                <w:bCs/>
                <w:color w:val="auto"/>
                <w:kern w:val="2"/>
                <w:sz w:val="21"/>
                <w:szCs w:val="21"/>
                <w:highlight w:val="none"/>
                <w:lang w:val="en-US" w:eastAsia="zh-CN" w:bidi="ar-SA"/>
              </w:rPr>
              <w:t>2.总体验收合格标准：</w:t>
            </w:r>
          </w:p>
          <w:p w14:paraId="68249BEA">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辅导本次受训教师，完成了本协议约定的全部剩余服务阶段的全部交付物（参考招标文件采购需求约定的每个阶段的交付物）。</w:t>
            </w:r>
          </w:p>
          <w:p w14:paraId="4F789BEB">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辅导本次受训教师，完成了本协议约定的全部剩余服务阶段的全部交付物（参考招标文件采购需求约定的每个阶段的交付物）。</w:t>
            </w:r>
          </w:p>
          <w:p w14:paraId="195C44BA">
            <w:pPr>
              <w:tabs>
                <w:tab w:val="left" w:pos="180"/>
                <w:tab w:val="left" w:pos="1620"/>
              </w:tabs>
              <w:spacing w:line="400" w:lineRule="exact"/>
              <w:ind w:firstLine="422" w:firstLineChars="200"/>
              <w:jc w:val="left"/>
              <w:rPr>
                <w:rFonts w:hint="eastAsia" w:ascii="宋体" w:hAnsi="宋体"/>
                <w:b/>
                <w:bCs/>
                <w:color w:val="auto"/>
                <w:kern w:val="2"/>
                <w:sz w:val="21"/>
                <w:szCs w:val="21"/>
                <w:highlight w:val="none"/>
                <w:lang w:val="en-US" w:eastAsia="zh-CN" w:bidi="ar-SA"/>
              </w:rPr>
            </w:pPr>
            <w:r>
              <w:rPr>
                <w:rFonts w:hint="eastAsia" w:ascii="宋体" w:hAnsi="宋体"/>
                <w:b/>
                <w:bCs/>
                <w:color w:val="auto"/>
                <w:kern w:val="2"/>
                <w:sz w:val="21"/>
                <w:szCs w:val="21"/>
                <w:highlight w:val="none"/>
                <w:lang w:val="en-US" w:eastAsia="zh-CN" w:bidi="ar-SA"/>
              </w:rPr>
              <w:t>3.数字教程出版费支付：</w:t>
            </w:r>
          </w:p>
          <w:p w14:paraId="735F1D8A">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出版费由供应商支付。</w:t>
            </w:r>
          </w:p>
          <w:p w14:paraId="01271E53">
            <w:pPr>
              <w:tabs>
                <w:tab w:val="left" w:pos="180"/>
                <w:tab w:val="left" w:pos="1620"/>
              </w:tabs>
              <w:spacing w:line="400" w:lineRule="exact"/>
              <w:ind w:firstLine="422" w:firstLineChars="200"/>
              <w:jc w:val="left"/>
              <w:rPr>
                <w:rFonts w:hint="eastAsia" w:ascii="宋体" w:hAnsi="宋体"/>
                <w:b/>
                <w:bCs/>
                <w:color w:val="auto"/>
                <w:kern w:val="2"/>
                <w:sz w:val="21"/>
                <w:szCs w:val="21"/>
                <w:highlight w:val="none"/>
                <w:lang w:val="en-US" w:eastAsia="zh-CN" w:bidi="ar-SA"/>
              </w:rPr>
            </w:pPr>
            <w:r>
              <w:rPr>
                <w:rFonts w:hint="eastAsia" w:ascii="宋体" w:hAnsi="宋体"/>
                <w:b/>
                <w:bCs/>
                <w:color w:val="auto"/>
                <w:kern w:val="2"/>
                <w:sz w:val="21"/>
                <w:szCs w:val="21"/>
                <w:highlight w:val="none"/>
                <w:lang w:val="en-US" w:eastAsia="zh-CN" w:bidi="ar-SA"/>
              </w:rPr>
              <w:t>4.翻译转化成面向东盟国际化教学资源费支付：</w:t>
            </w:r>
          </w:p>
          <w:p w14:paraId="7166E7DE">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翻译转化成面向东盟国际化教学资源由供应商支付。</w:t>
            </w:r>
          </w:p>
          <w:p w14:paraId="171414E5">
            <w:pPr>
              <w:tabs>
                <w:tab w:val="left" w:pos="180"/>
                <w:tab w:val="left" w:pos="1620"/>
              </w:tabs>
              <w:spacing w:line="400" w:lineRule="exact"/>
              <w:ind w:firstLine="422" w:firstLineChars="200"/>
              <w:jc w:val="left"/>
              <w:rPr>
                <w:rFonts w:hint="eastAsia" w:ascii="宋体" w:hAnsi="宋体"/>
                <w:b/>
                <w:bCs/>
                <w:color w:val="auto"/>
                <w:kern w:val="2"/>
                <w:sz w:val="21"/>
                <w:szCs w:val="21"/>
                <w:highlight w:val="none"/>
                <w:lang w:val="en-US" w:eastAsia="zh-CN" w:bidi="ar-SA"/>
              </w:rPr>
            </w:pPr>
            <w:r>
              <w:rPr>
                <w:rFonts w:hint="eastAsia" w:ascii="宋体" w:hAnsi="宋体"/>
                <w:b/>
                <w:bCs/>
                <w:color w:val="auto"/>
                <w:kern w:val="2"/>
                <w:sz w:val="21"/>
                <w:szCs w:val="21"/>
                <w:highlight w:val="none"/>
                <w:lang w:val="en-US" w:eastAsia="zh-CN" w:bidi="ar-SA"/>
              </w:rPr>
              <w:t>（二）“金课”成果转化服务费用支付标准与方式</w:t>
            </w:r>
          </w:p>
          <w:p w14:paraId="53633430">
            <w:pPr>
              <w:tabs>
                <w:tab w:val="left" w:pos="180"/>
                <w:tab w:val="left" w:pos="1620"/>
              </w:tabs>
              <w:spacing w:line="400" w:lineRule="exact"/>
              <w:ind w:firstLine="422" w:firstLineChars="200"/>
              <w:jc w:val="left"/>
              <w:rPr>
                <w:rFonts w:hint="eastAsia" w:ascii="宋体" w:hAnsi="宋体"/>
                <w:b/>
                <w:bCs/>
                <w:color w:val="auto"/>
                <w:kern w:val="2"/>
                <w:sz w:val="21"/>
                <w:szCs w:val="21"/>
                <w:highlight w:val="none"/>
                <w:lang w:val="en-US" w:eastAsia="zh-CN" w:bidi="ar-SA"/>
              </w:rPr>
            </w:pPr>
            <w:r>
              <w:rPr>
                <w:rFonts w:hint="eastAsia" w:ascii="宋体" w:hAnsi="宋体"/>
                <w:b/>
                <w:bCs/>
                <w:color w:val="auto"/>
                <w:kern w:val="2"/>
                <w:sz w:val="21"/>
                <w:szCs w:val="21"/>
                <w:highlight w:val="none"/>
                <w:lang w:val="en-US" w:eastAsia="zh-CN" w:bidi="ar-SA"/>
              </w:rPr>
              <w:t>（1）支付标准</w:t>
            </w:r>
          </w:p>
          <w:p w14:paraId="78151BEE">
            <w:pPr>
              <w:tabs>
                <w:tab w:val="left" w:pos="180"/>
                <w:tab w:val="left" w:pos="1620"/>
              </w:tabs>
              <w:spacing w:line="400" w:lineRule="exact"/>
              <w:ind w:firstLine="420" w:firstLineChars="200"/>
              <w:jc w:val="left"/>
              <w:rPr>
                <w:rFonts w:hint="eastAsia"/>
                <w:color w:val="auto"/>
                <w:highlight w:val="none"/>
                <w:lang w:val="en-US" w:eastAsia="zh-CN"/>
              </w:rPr>
            </w:pPr>
            <w:r>
              <w:rPr>
                <w:rFonts w:hint="eastAsia"/>
                <w:color w:val="auto"/>
                <w:highlight w:val="none"/>
                <w:lang w:val="en-US" w:eastAsia="zh-CN"/>
              </w:rPr>
              <w:t>（1）一档：获省部级标志性成果</w:t>
            </w:r>
            <w:r>
              <w:rPr>
                <w:rFonts w:hint="eastAsia" w:ascii="宋体" w:hAnsi="宋体" w:eastAsia="宋体" w:cs="宋体"/>
                <w:color w:val="auto"/>
                <w:highlight w:val="none"/>
                <w:lang w:val="en-US" w:eastAsia="zh-CN"/>
              </w:rPr>
              <w:t>≧</w:t>
            </w:r>
            <w:r>
              <w:rPr>
                <w:rFonts w:hint="eastAsia"/>
                <w:color w:val="auto"/>
                <w:highlight w:val="none"/>
                <w:lang w:val="en-US" w:eastAsia="zh-CN"/>
              </w:rPr>
              <w:t>5项</w:t>
            </w:r>
            <w:r>
              <w:rPr>
                <w:rFonts w:hint="eastAsia" w:ascii="宋体" w:hAnsi="宋体" w:eastAsia="宋体" w:cs="宋体"/>
                <w:color w:val="auto"/>
                <w:highlight w:val="none"/>
                <w:lang w:val="en-US" w:eastAsia="zh-CN"/>
              </w:rPr>
              <w:t>＜8项</w:t>
            </w:r>
            <w:r>
              <w:rPr>
                <w:rFonts w:hint="eastAsia"/>
                <w:color w:val="auto"/>
                <w:highlight w:val="none"/>
                <w:lang w:val="en-US" w:eastAsia="zh-CN"/>
              </w:rPr>
              <w:t>，国家级达2项，满足一档要求，每项支付标准：省部级成果支付3万元，国家级15万元。</w:t>
            </w:r>
          </w:p>
          <w:p w14:paraId="50CFA017">
            <w:pPr>
              <w:tabs>
                <w:tab w:val="left" w:pos="180"/>
                <w:tab w:val="left" w:pos="1620"/>
              </w:tabs>
              <w:spacing w:line="400" w:lineRule="exact"/>
              <w:ind w:firstLine="420" w:firstLineChars="200"/>
              <w:jc w:val="left"/>
              <w:rPr>
                <w:rFonts w:hint="eastAsia"/>
                <w:color w:val="auto"/>
                <w:highlight w:val="none"/>
                <w:lang w:val="en-US" w:eastAsia="zh-CN"/>
              </w:rPr>
            </w:pPr>
            <w:r>
              <w:rPr>
                <w:rFonts w:hint="eastAsia"/>
                <w:color w:val="auto"/>
                <w:highlight w:val="none"/>
                <w:lang w:val="en-US" w:eastAsia="zh-CN"/>
              </w:rPr>
              <w:t>（2）二档：获省部级标志性成果</w:t>
            </w:r>
            <w:r>
              <w:rPr>
                <w:rFonts w:hint="eastAsia" w:ascii="宋体" w:hAnsi="宋体" w:eastAsia="宋体" w:cs="宋体"/>
                <w:color w:val="auto"/>
                <w:highlight w:val="none"/>
                <w:lang w:val="en-US" w:eastAsia="zh-CN"/>
              </w:rPr>
              <w:t>≧8项＜10项</w:t>
            </w:r>
            <w:r>
              <w:rPr>
                <w:rFonts w:hint="eastAsia"/>
                <w:color w:val="auto"/>
                <w:highlight w:val="none"/>
                <w:lang w:val="en-US" w:eastAsia="zh-CN"/>
              </w:rPr>
              <w:t>，国家级达2项，满足二档要求，每项支付标准：省部级成果支付5万元，国家级20万元。</w:t>
            </w:r>
          </w:p>
          <w:p w14:paraId="45AA28AB">
            <w:pPr>
              <w:tabs>
                <w:tab w:val="left" w:pos="180"/>
                <w:tab w:val="left" w:pos="1620"/>
              </w:tabs>
              <w:spacing w:line="400" w:lineRule="exact"/>
              <w:ind w:firstLine="420" w:firstLineChars="200"/>
              <w:jc w:val="left"/>
              <w:rPr>
                <w:rFonts w:hint="eastAsia"/>
                <w:color w:val="auto"/>
                <w:highlight w:val="none"/>
                <w:lang w:val="en-US" w:eastAsia="zh-CN"/>
              </w:rPr>
            </w:pPr>
            <w:r>
              <w:rPr>
                <w:rFonts w:hint="eastAsia"/>
                <w:color w:val="auto"/>
                <w:highlight w:val="none"/>
                <w:lang w:val="en-US" w:eastAsia="zh-CN"/>
              </w:rPr>
              <w:t>（3）三档：获省部级标志性成果达到10项，国家级达到3项，满足三档要求，每项支付标准：省部级成果支付10万元，国家级30万元。最大</w:t>
            </w:r>
            <w:r>
              <w:rPr>
                <w:rFonts w:hint="eastAsia" w:ascii="宋体" w:hAnsi="宋体"/>
                <w:color w:val="auto"/>
                <w:kern w:val="2"/>
                <w:sz w:val="21"/>
                <w:szCs w:val="21"/>
                <w:highlight w:val="none"/>
                <w:lang w:val="en-US" w:eastAsia="zh-CN" w:bidi="ar-SA"/>
              </w:rPr>
              <w:t>支付不超过180万元。</w:t>
            </w:r>
          </w:p>
          <w:p w14:paraId="2F84A05A">
            <w:pPr>
              <w:tabs>
                <w:tab w:val="left" w:pos="180"/>
                <w:tab w:val="left" w:pos="1620"/>
              </w:tabs>
              <w:spacing w:line="400" w:lineRule="exact"/>
              <w:ind w:firstLine="422" w:firstLineChars="200"/>
              <w:jc w:val="left"/>
              <w:rPr>
                <w:rFonts w:hint="eastAsia" w:ascii="宋体" w:hAnsi="宋体"/>
                <w:b/>
                <w:bCs/>
                <w:color w:val="auto"/>
                <w:kern w:val="2"/>
                <w:sz w:val="21"/>
                <w:szCs w:val="21"/>
                <w:highlight w:val="none"/>
                <w:lang w:val="en-US" w:eastAsia="zh-CN" w:bidi="ar-SA"/>
              </w:rPr>
            </w:pPr>
            <w:r>
              <w:rPr>
                <w:rFonts w:hint="eastAsia" w:ascii="宋体" w:hAnsi="宋体"/>
                <w:b/>
                <w:bCs/>
                <w:color w:val="auto"/>
                <w:kern w:val="2"/>
                <w:sz w:val="21"/>
                <w:szCs w:val="21"/>
                <w:highlight w:val="none"/>
                <w:lang w:val="en-US" w:eastAsia="zh-CN" w:bidi="ar-SA"/>
              </w:rPr>
              <w:t>（2）支付方式</w:t>
            </w:r>
          </w:p>
          <w:p w14:paraId="17CCFD90">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金课”成果转化服务应在项目验收合格之日起2年内完成，超过时限将不予支付项目服务费用。根据获得的成果数量分档计算服务费，按实际达标的最高档次计算总费用，已支付费用不重复计费，仅补足与前一档次的差额。以上总支付不超过180万元。</w:t>
            </w:r>
          </w:p>
          <w:p w14:paraId="081394C6">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每达到一个档次成果数量，提交相关成果证明材料，并附“金课”成果转化服务费申请函。供应商在申请款项的同时提供正式、合法的发票。</w:t>
            </w:r>
          </w:p>
        </w:tc>
      </w:tr>
      <w:tr w14:paraId="61E9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6AE08DB2">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1CB86FAA">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1.履约保证金金额：按中标金额的5%交纳。（供应商符合政府采购促进中小企业发展政策的按2%缴纳）</w:t>
            </w:r>
          </w:p>
          <w:p w14:paraId="531B13E6">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2.履约保证金递交方式：以电汇、转账、汇票或金融机构或担保机构出具的保函等非现金形式提交。由中标人在签订合同前按规定的金额直接缴入广西机电职业技术学院账户，账户名称： 广西机电职业技术学院；开户行：中国建设银行广西南宁大学路支行；银行账号：4500 1604 8510 5050 3961。</w:t>
            </w:r>
          </w:p>
          <w:p w14:paraId="06D626E3">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3.中标人须在签订合同之前按照本条规定的履约保证金金额、递交方式直接转入采购人账户，否则不予签订合同。项目验收合格后一年内退付（无息）。由中标人向履约保证金收取单位提供《采购项目合同验收书》《采购项目履约保证金退付意见书》，保证金收取单位在收到合格材料后，根据中标人在相关违约处罚扣款后的实际数额在5个工作日内办理退还手续（不计利息）。若采购内容质保期各不相同的，也可按金额比例分次退付。</w:t>
            </w:r>
          </w:p>
          <w:p w14:paraId="5157445E">
            <w:pPr>
              <w:tabs>
                <w:tab w:val="left" w:pos="180"/>
                <w:tab w:val="left" w:pos="1620"/>
              </w:tabs>
              <w:spacing w:line="400" w:lineRule="exact"/>
              <w:ind w:firstLine="420" w:firstLineChars="200"/>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4.在履约保证金退还日期前，若中标人的开户名称、开户银行、账号有变动的，请以书面形式通知广西机电职业技术学院，否则由此产生的后果由中标人自负。</w:t>
            </w:r>
          </w:p>
        </w:tc>
      </w:tr>
      <w:tr w14:paraId="3BCE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A9EEF8D">
            <w:pP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演示要求</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2995AA0D">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1.本项目有演示评审内容（具体详见“评标方法及评标标准”），评审当日，投标人需进行演示。演示需供应商自备设备（含电脑、电源线、网络通信等所需辅助设备），并自行搭建演示环境。不参加演示或演示达不到评审要求的，演示分则计0分。</w:t>
            </w:r>
          </w:p>
          <w:p w14:paraId="7834829B">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2.演示时间：评审当日，具体演示时间另行通知。</w:t>
            </w:r>
          </w:p>
          <w:p w14:paraId="03E18BE1">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3.演示方式：在广西政府采购云平台视频会议系统通过共享屏幕方式进行真实产品线上功能演示，只接受真实软件演示，不接受临时搭建的demo 环境、截图、视频等方式演示。请投标人自行提前做好演示所有的准备。</w:t>
            </w:r>
          </w:p>
          <w:p w14:paraId="0D378CA0">
            <w:pPr>
              <w:tabs>
                <w:tab w:val="left" w:pos="180"/>
                <w:tab w:val="left" w:pos="1620"/>
              </w:tabs>
              <w:spacing w:line="400" w:lineRule="exact"/>
              <w:jc w:val="left"/>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4.演示时间要求：每位投标人演示时间约20分钟（含讲解、演示），因演示所产生的所有费用由投标人自行承担。</w:t>
            </w:r>
          </w:p>
        </w:tc>
      </w:tr>
      <w:tr w14:paraId="2AFF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E61218D">
            <w:pP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其他要求</w:t>
            </w:r>
          </w:p>
        </w:tc>
        <w:tc>
          <w:tcPr>
            <w:tcW w:w="8412" w:type="dxa"/>
            <w:gridSpan w:val="3"/>
            <w:tcBorders>
              <w:top w:val="single" w:color="auto" w:sz="4" w:space="0"/>
              <w:left w:val="single" w:color="auto" w:sz="4" w:space="0"/>
              <w:bottom w:val="single" w:color="auto" w:sz="4" w:space="0"/>
              <w:right w:val="single" w:color="auto" w:sz="4" w:space="0"/>
            </w:tcBorders>
            <w:noWrap w:val="0"/>
            <w:vAlign w:val="center"/>
          </w:tcPr>
          <w:p w14:paraId="74AEF901">
            <w:pPr>
              <w:tabs>
                <w:tab w:val="left" w:pos="180"/>
                <w:tab w:val="left" w:pos="1620"/>
              </w:tabs>
              <w:spacing w:line="400" w:lineRule="exact"/>
              <w:jc w:val="left"/>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投标人如有，可自行根据项目要求，在投标文件中提供针对本项目的服务策划方案、数字教材编写出版方案、实施方案、拟投入本项目实施团队情况、服务承诺、质量保证承诺、业绩信誉等相关材料。</w:t>
            </w:r>
          </w:p>
        </w:tc>
      </w:tr>
    </w:tbl>
    <w:p w14:paraId="6607629A">
      <w:pPr>
        <w:spacing w:line="360" w:lineRule="auto"/>
        <w:jc w:val="left"/>
        <w:rPr>
          <w:rFonts w:hint="eastAsia" w:ascii="宋体"/>
          <w:color w:val="auto"/>
          <w:szCs w:val="21"/>
          <w:highlight w:val="none"/>
        </w:rPr>
      </w:pPr>
    </w:p>
    <w:p w14:paraId="54454906">
      <w:pPr>
        <w:spacing w:line="360" w:lineRule="auto"/>
        <w:jc w:val="left"/>
        <w:rPr>
          <w:rFonts w:hint="eastAsia" w:ascii="宋体"/>
          <w:color w:val="auto"/>
          <w:szCs w:val="21"/>
          <w:highlight w:val="none"/>
        </w:rPr>
      </w:pPr>
    </w:p>
    <w:bookmarkEnd w:id="54"/>
    <w:bookmarkEnd w:id="55"/>
    <w:p w14:paraId="000E9542">
      <w:pPr>
        <w:pStyle w:val="3"/>
        <w:keepNext w:val="0"/>
        <w:keepLines w:val="0"/>
        <w:spacing w:line="240" w:lineRule="auto"/>
        <w:jc w:val="center"/>
        <w:rPr>
          <w:rFonts w:hint="eastAsia" w:ascii="宋体" w:hAnsi="宋体" w:eastAsia="宋体" w:cs="宋体"/>
          <w:color w:val="auto"/>
          <w:highlight w:val="none"/>
        </w:rPr>
      </w:pPr>
      <w:bookmarkStart w:id="56" w:name="_Toc19686831"/>
      <w:r>
        <w:rPr>
          <w:rFonts w:hint="eastAsia" w:ascii="宋体" w:hAnsi="宋体" w:eastAsia="宋体" w:cs="宋体"/>
          <w:color w:val="auto"/>
          <w:highlight w:val="none"/>
        </w:rPr>
        <w:br w:type="page"/>
      </w:r>
      <w:r>
        <w:rPr>
          <w:rFonts w:hint="eastAsia" w:ascii="宋体" w:hAnsi="宋体" w:eastAsia="宋体" w:cs="宋体"/>
          <w:color w:val="auto"/>
          <w:highlight w:val="none"/>
        </w:rPr>
        <w:t>第三章  投标人须知</w:t>
      </w:r>
      <w:bookmarkEnd w:id="56"/>
    </w:p>
    <w:p w14:paraId="7E6CB007">
      <w:pPr>
        <w:spacing w:line="240" w:lineRule="auto"/>
        <w:jc w:val="center"/>
        <w:rPr>
          <w:rFonts w:hint="eastAsia" w:ascii="宋体" w:hAnsi="宋体" w:cs="宋体"/>
          <w:color w:val="auto"/>
          <w:sz w:val="36"/>
          <w:szCs w:val="36"/>
          <w:highlight w:val="none"/>
        </w:rPr>
      </w:pPr>
      <w:bookmarkStart w:id="57" w:name="_Toc254970667"/>
      <w:bookmarkStart w:id="58" w:name="_Toc254970526"/>
      <w:r>
        <w:rPr>
          <w:rFonts w:hint="eastAsia" w:ascii="宋体" w:hAnsi="宋体" w:cs="宋体"/>
          <w:color w:val="auto"/>
          <w:sz w:val="36"/>
          <w:szCs w:val="36"/>
          <w:highlight w:val="none"/>
        </w:rPr>
        <w:t>投标人须知前附表</w:t>
      </w:r>
      <w:bookmarkEnd w:id="57"/>
      <w:bookmarkEnd w:id="58"/>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56910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54CBA1B">
            <w:pPr>
              <w:snapToGrid w:val="0"/>
              <w:spacing w:line="360" w:lineRule="exact"/>
              <w:jc w:val="center"/>
              <w:rPr>
                <w:rFonts w:hint="eastAsia" w:ascii="宋体"/>
                <w:color w:val="auto"/>
                <w:szCs w:val="21"/>
                <w:highlight w:val="none"/>
              </w:rPr>
            </w:pPr>
            <w:r>
              <w:rPr>
                <w:rFonts w:hint="eastAsia" w:ascii="宋体"/>
                <w:color w:val="auto"/>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F9F34E7">
            <w:pPr>
              <w:snapToGrid w:val="0"/>
              <w:spacing w:line="360" w:lineRule="exact"/>
              <w:jc w:val="center"/>
              <w:rPr>
                <w:rFonts w:hint="eastAsia" w:ascii="宋体"/>
                <w:color w:val="auto"/>
                <w:szCs w:val="21"/>
                <w:highlight w:val="none"/>
              </w:rPr>
            </w:pPr>
            <w:r>
              <w:rPr>
                <w:rFonts w:hint="eastAsia" w:ascii="宋体"/>
                <w:color w:val="auto"/>
                <w:szCs w:val="21"/>
                <w:highlight w:val="none"/>
              </w:rPr>
              <w:t>内容、要求</w:t>
            </w:r>
          </w:p>
        </w:tc>
      </w:tr>
      <w:tr w14:paraId="44912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C14860E">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060AE73">
            <w:pPr>
              <w:snapToGrid w:val="0"/>
              <w:spacing w:line="360" w:lineRule="exact"/>
              <w:rPr>
                <w:rFonts w:hint="eastAsia" w:ascii="宋体" w:eastAsia="宋体"/>
                <w:color w:val="auto"/>
                <w:szCs w:val="21"/>
                <w:highlight w:val="none"/>
                <w:lang w:eastAsia="zh-CN"/>
              </w:rPr>
            </w:pPr>
            <w:r>
              <w:rPr>
                <w:rFonts w:hint="eastAsia" w:ascii="宋体"/>
                <w:color w:val="auto"/>
                <w:szCs w:val="21"/>
                <w:highlight w:val="none"/>
              </w:rPr>
              <w:t>采购项目名称：</w:t>
            </w:r>
            <w:r>
              <w:rPr>
                <w:rFonts w:hint="eastAsia" w:ascii="宋体"/>
                <w:color w:val="auto"/>
                <w:szCs w:val="21"/>
                <w:highlight w:val="none"/>
                <w:lang w:eastAsia="zh-CN"/>
              </w:rPr>
              <w:t>学院21支“金课”课程开发团队能力训练及课程伴生建设服务项目</w:t>
            </w:r>
          </w:p>
          <w:p w14:paraId="34D07C02">
            <w:pPr>
              <w:snapToGrid w:val="0"/>
              <w:spacing w:line="360" w:lineRule="exact"/>
              <w:rPr>
                <w:rFonts w:hint="eastAsia" w:ascii="宋体"/>
                <w:color w:val="auto"/>
                <w:szCs w:val="21"/>
                <w:highlight w:val="none"/>
              </w:rPr>
            </w:pPr>
            <w:r>
              <w:rPr>
                <w:rFonts w:hint="eastAsia" w:ascii="宋体"/>
                <w:color w:val="auto"/>
                <w:szCs w:val="21"/>
                <w:highlight w:val="none"/>
              </w:rPr>
              <w:t>采购项目编号：GXZC2025-G3-002312-GXZJ</w:t>
            </w:r>
          </w:p>
        </w:tc>
      </w:tr>
      <w:tr w14:paraId="77ADB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5883927">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F350321">
            <w:pPr>
              <w:snapToGrid w:val="0"/>
              <w:spacing w:line="360" w:lineRule="exact"/>
              <w:rPr>
                <w:rFonts w:hint="eastAsia" w:ascii="宋体"/>
                <w:color w:val="auto"/>
                <w:szCs w:val="21"/>
                <w:highlight w:val="none"/>
              </w:rPr>
            </w:pPr>
            <w:r>
              <w:rPr>
                <w:rFonts w:hint="eastAsia" w:ascii="宋体"/>
                <w:color w:val="auto"/>
                <w:szCs w:val="21"/>
                <w:highlight w:val="none"/>
              </w:rPr>
              <w:t>投标报价及费用：1、本项目投标应以人民币报价；2、不论投标结果如何，投标人均应自行承担所有与投标有关的全部费用；3、本项目的代理服务费按投标人须知第九条规定的（服务类）标准下浮</w:t>
            </w:r>
            <w:r>
              <w:rPr>
                <w:rFonts w:hint="eastAsia" w:ascii="宋体"/>
                <w:color w:val="auto"/>
                <w:szCs w:val="21"/>
                <w:highlight w:val="none"/>
                <w:lang w:val="en-US" w:eastAsia="zh-CN"/>
              </w:rPr>
              <w:t>2</w:t>
            </w:r>
            <w:r>
              <w:rPr>
                <w:rFonts w:hint="eastAsia" w:ascii="宋体"/>
                <w:color w:val="auto"/>
                <w:szCs w:val="21"/>
                <w:highlight w:val="none"/>
              </w:rPr>
              <w:t>0%采用差额定率累进计费方式计算，由中标人向采购代理机构支付。</w:t>
            </w:r>
          </w:p>
        </w:tc>
      </w:tr>
      <w:tr w14:paraId="238E5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96B07B8">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1C017CE">
            <w:pPr>
              <w:snapToGrid w:val="0"/>
              <w:spacing w:line="360" w:lineRule="exact"/>
              <w:rPr>
                <w:rFonts w:hint="eastAsia"/>
                <w:b/>
                <w:color w:val="auto"/>
                <w:highlight w:val="none"/>
              </w:rPr>
            </w:pPr>
            <w:r>
              <w:rPr>
                <w:rFonts w:hint="eastAsia" w:ascii="宋体"/>
                <w:color w:val="auto"/>
                <w:szCs w:val="21"/>
                <w:highlight w:val="none"/>
              </w:rPr>
              <w:t>投标保证金（人民币）：详见本项目公开招标公告。</w:t>
            </w:r>
          </w:p>
          <w:p w14:paraId="5ED5EA3F">
            <w:pPr>
              <w:snapToGrid w:val="0"/>
              <w:spacing w:line="360" w:lineRule="exact"/>
              <w:rPr>
                <w:rFonts w:hint="eastAsia" w:ascii="宋体"/>
                <w:color w:val="auto"/>
                <w:szCs w:val="21"/>
                <w:highlight w:val="none"/>
              </w:rPr>
            </w:pPr>
            <w:r>
              <w:rPr>
                <w:rFonts w:hint="eastAsia"/>
                <w:color w:val="auto"/>
                <w:highlight w:val="none"/>
              </w:rPr>
              <w:t>投标保证金必须根据招标公告的要求进行缴纳，否则视为无效投标保证金。本项目不接受现金形式或从个人账户转出的投标保证金。</w:t>
            </w:r>
          </w:p>
        </w:tc>
      </w:tr>
      <w:tr w14:paraId="47055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8507A71">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3B6FB08">
            <w:pPr>
              <w:snapToGrid w:val="0"/>
              <w:spacing w:line="360" w:lineRule="exact"/>
              <w:rPr>
                <w:rFonts w:hint="eastAsia" w:ascii="宋体"/>
                <w:color w:val="auto"/>
                <w:szCs w:val="21"/>
                <w:highlight w:val="none"/>
              </w:rPr>
            </w:pPr>
            <w:r>
              <w:rPr>
                <w:rFonts w:hint="eastAsia" w:ascii="宋体"/>
                <w:color w:val="auto"/>
                <w:szCs w:val="21"/>
                <w:highlight w:val="none"/>
              </w:rPr>
              <w:t>现场踏勘：</w:t>
            </w:r>
            <w:r>
              <w:rPr>
                <w:rFonts w:hint="eastAsia" w:ascii="宋体"/>
                <w:color w:val="auto"/>
                <w:szCs w:val="21"/>
                <w:highlight w:val="none"/>
                <w:u w:val="single"/>
              </w:rPr>
              <w:t>无</w:t>
            </w:r>
            <w:r>
              <w:rPr>
                <w:rFonts w:hint="eastAsia" w:ascii="宋体"/>
                <w:color w:val="auto"/>
                <w:szCs w:val="21"/>
                <w:highlight w:val="none"/>
              </w:rPr>
              <w:t>。</w:t>
            </w:r>
          </w:p>
        </w:tc>
      </w:tr>
      <w:tr w14:paraId="473DB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061D7BA">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3916086">
            <w:pPr>
              <w:snapToGrid w:val="0"/>
              <w:spacing w:line="360" w:lineRule="exact"/>
              <w:rPr>
                <w:rFonts w:hint="eastAsia" w:ascii="宋体"/>
                <w:color w:val="auto"/>
                <w:szCs w:val="21"/>
                <w:highlight w:val="none"/>
              </w:rPr>
            </w:pPr>
            <w:r>
              <w:rPr>
                <w:rFonts w:hint="eastAsia" w:ascii="宋体"/>
                <w:color w:val="auto"/>
                <w:szCs w:val="21"/>
                <w:highlight w:val="none"/>
              </w:rPr>
              <w:t>演示时间及地点：</w:t>
            </w:r>
            <w:r>
              <w:rPr>
                <w:rFonts w:hint="eastAsia" w:ascii="宋体"/>
                <w:color w:val="auto"/>
                <w:szCs w:val="21"/>
                <w:highlight w:val="none"/>
                <w:u w:val="single"/>
                <w:lang w:val="en-US" w:eastAsia="zh-CN"/>
              </w:rPr>
              <w:t>详见《第二章  招标项目采购需求》</w:t>
            </w:r>
            <w:r>
              <w:rPr>
                <w:rFonts w:hint="eastAsia" w:ascii="宋体"/>
                <w:color w:val="auto"/>
                <w:szCs w:val="21"/>
                <w:highlight w:val="none"/>
              </w:rPr>
              <w:t>。</w:t>
            </w:r>
          </w:p>
        </w:tc>
      </w:tr>
      <w:tr w14:paraId="0AD6A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0A0D2C3">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1E87C9F">
            <w:pPr>
              <w:snapToGrid w:val="0"/>
              <w:spacing w:line="360" w:lineRule="exact"/>
              <w:rPr>
                <w:rFonts w:hint="eastAsia" w:ascii="宋体"/>
                <w:color w:val="auto"/>
                <w:szCs w:val="21"/>
                <w:highlight w:val="none"/>
              </w:rPr>
            </w:pPr>
            <w:r>
              <w:rPr>
                <w:rFonts w:hint="eastAsia" w:ascii="宋体"/>
                <w:color w:val="auto"/>
                <w:szCs w:val="21"/>
                <w:highlight w:val="none"/>
              </w:rPr>
              <w:t>答疑、澄清：投标人如认为招标文件表述不清晰、有误或有不合理要求的，应以书面形式要求采购人或者本公司作出书面答疑、澄清；</w:t>
            </w:r>
          </w:p>
          <w:p w14:paraId="3FCABD27">
            <w:pPr>
              <w:snapToGrid w:val="0"/>
              <w:spacing w:line="360" w:lineRule="exact"/>
              <w:rPr>
                <w:rFonts w:hint="eastAsia" w:ascii="宋体"/>
                <w:color w:val="auto"/>
                <w:szCs w:val="21"/>
                <w:highlight w:val="none"/>
              </w:rPr>
            </w:pPr>
            <w:r>
              <w:rPr>
                <w:rFonts w:hint="eastAsia" w:ascii="宋体"/>
                <w:color w:val="auto"/>
                <w:szCs w:val="21"/>
                <w:highlight w:val="none"/>
              </w:rPr>
              <w:t>询问、质疑：投标人如认为招标文件存在歧视性、排他性或者其他违法内容的，按投标人须知“一、总则（九）询问、质疑和投诉”中的要求向采购人或者本公司提出书面询问、质疑。</w:t>
            </w:r>
          </w:p>
          <w:p w14:paraId="67D64F51">
            <w:pPr>
              <w:snapToGrid w:val="0"/>
              <w:spacing w:line="360" w:lineRule="exact"/>
              <w:rPr>
                <w:rFonts w:hint="eastAsia" w:ascii="宋体"/>
                <w:color w:val="auto"/>
                <w:szCs w:val="21"/>
                <w:highlight w:val="none"/>
              </w:rPr>
            </w:pPr>
            <w:r>
              <w:rPr>
                <w:rFonts w:hint="eastAsia" w:ascii="宋体"/>
                <w:color w:val="auto"/>
                <w:szCs w:val="21"/>
                <w:highlight w:val="none"/>
              </w:rPr>
              <w:t>答疑、澄清内容是招标文件的</w:t>
            </w:r>
            <w:r>
              <w:rPr>
                <w:rFonts w:hint="eastAsia" w:ascii="宋体"/>
                <w:color w:val="auto"/>
                <w:szCs w:val="21"/>
                <w:highlight w:val="none"/>
                <w:lang w:eastAsia="zh-CN"/>
              </w:rPr>
              <w:t>组成部分</w:t>
            </w:r>
            <w:r>
              <w:rPr>
                <w:rFonts w:hint="eastAsia" w:ascii="宋体"/>
                <w:color w:val="auto"/>
                <w:szCs w:val="21"/>
                <w:highlight w:val="none"/>
              </w:rPr>
              <w:t>，本公司将以书面形式送达所有已报名的投标人；本公司可以视采购具体情况，延长招标文件或者资格预审文件提供期限，并在财政部门指定的政府采购信息发布媒体上发布公告。</w:t>
            </w:r>
          </w:p>
        </w:tc>
      </w:tr>
      <w:tr w14:paraId="49D3E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238DB65">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C754977">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投标文件形式：投标供应商应准备电子投标文件。</w:t>
            </w:r>
          </w:p>
          <w:p w14:paraId="02B086F2">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电子投标文件是指通过“广西政府采购云平台电子投标客户端”完成投标文件编制后生成并加密的数据电文形式的电子加密投标文件。</w:t>
            </w:r>
          </w:p>
        </w:tc>
      </w:tr>
      <w:tr w14:paraId="4DAD3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196857A">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8F995BB">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投标文件的编制：供应商应先安装“广西政府采购云平台电子投标客户端”，并按照本招标文件和“广西政府采购云平台”的要求，通过“广西政府采购云平台电子投标客户端”编制并加密投标文件。</w:t>
            </w:r>
          </w:p>
        </w:tc>
      </w:tr>
      <w:tr w14:paraId="66B7F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B7A1784">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255B503">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投标文件的盖章：投标文件中所涉及的加盖公章均采用CA电子签章。</w:t>
            </w:r>
          </w:p>
        </w:tc>
      </w:tr>
      <w:tr w14:paraId="1CF55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BABF034">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94EBE28">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14:paraId="2E39E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22EFB32">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322ED1C">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投标文件份数：电子加密投标文件在线上传提交一份。</w:t>
            </w:r>
          </w:p>
        </w:tc>
      </w:tr>
      <w:tr w14:paraId="06DA8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5401B3F">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FF6FC31">
            <w:pPr>
              <w:autoSpaceDE w:val="0"/>
              <w:autoSpaceDN w:val="0"/>
              <w:snapToGrid w:val="0"/>
              <w:spacing w:line="360" w:lineRule="exact"/>
              <w:textAlignment w:val="bottom"/>
              <w:rPr>
                <w:rFonts w:ascii="宋体"/>
                <w:color w:val="auto"/>
                <w:szCs w:val="21"/>
                <w:highlight w:val="none"/>
              </w:rPr>
            </w:pPr>
            <w:r>
              <w:rPr>
                <w:rFonts w:hint="eastAsia" w:ascii="宋体"/>
                <w:color w:val="auto"/>
                <w:szCs w:val="21"/>
                <w:highlight w:val="none"/>
              </w:rPr>
              <w:t>投标文件的上传和提交：本项目通过“广西政府采购云平台”</w:t>
            </w:r>
            <w:r>
              <w:rPr>
                <w:rFonts w:ascii="宋体"/>
                <w:color w:val="auto"/>
                <w:szCs w:val="21"/>
                <w:highlight w:val="none"/>
              </w:rPr>
              <w:t>实行在线投标响应（电子投标），投标供应商应当在投标截止时间前，将生成的</w:t>
            </w:r>
            <w:r>
              <w:rPr>
                <w:rFonts w:hint="eastAsia" w:ascii="宋体"/>
                <w:color w:val="auto"/>
                <w:szCs w:val="21"/>
                <w:highlight w:val="none"/>
              </w:rPr>
              <w:t>“</w:t>
            </w:r>
            <w:r>
              <w:rPr>
                <w:rFonts w:ascii="宋体"/>
                <w:color w:val="auto"/>
                <w:szCs w:val="21"/>
                <w:highlight w:val="none"/>
              </w:rPr>
              <w:t>电子加密投标文件</w:t>
            </w:r>
            <w:r>
              <w:rPr>
                <w:rFonts w:hint="eastAsia" w:ascii="宋体"/>
                <w:color w:val="auto"/>
                <w:szCs w:val="21"/>
                <w:highlight w:val="none"/>
              </w:rPr>
              <w:t>”</w:t>
            </w:r>
            <w:r>
              <w:rPr>
                <w:rFonts w:ascii="宋体"/>
                <w:color w:val="auto"/>
                <w:szCs w:val="21"/>
                <w:highlight w:val="none"/>
              </w:rPr>
              <w:t>上传提交至</w:t>
            </w:r>
            <w:r>
              <w:rPr>
                <w:rFonts w:hint="eastAsia" w:ascii="宋体"/>
                <w:color w:val="auto"/>
                <w:szCs w:val="21"/>
                <w:highlight w:val="none"/>
              </w:rPr>
              <w:t>“广西政府采购云平台”</w:t>
            </w:r>
            <w:r>
              <w:rPr>
                <w:rFonts w:ascii="宋体"/>
                <w:color w:val="auto"/>
                <w:szCs w:val="21"/>
                <w:highlight w:val="none"/>
              </w:rPr>
              <w:t>。</w:t>
            </w:r>
          </w:p>
          <w:p w14:paraId="11619267">
            <w:pPr>
              <w:autoSpaceDE w:val="0"/>
              <w:autoSpaceDN w:val="0"/>
              <w:snapToGrid w:val="0"/>
              <w:spacing w:line="360" w:lineRule="exact"/>
              <w:textAlignment w:val="bottom"/>
              <w:rPr>
                <w:rFonts w:ascii="宋体"/>
                <w:color w:val="auto"/>
                <w:szCs w:val="21"/>
                <w:highlight w:val="none"/>
              </w:rPr>
            </w:pPr>
            <w:r>
              <w:rPr>
                <w:rFonts w:hint="eastAsia" w:ascii="宋体"/>
                <w:color w:val="auto"/>
                <w:szCs w:val="21"/>
                <w:highlight w:val="none"/>
              </w:rPr>
              <w:t>“电子加密投标文件”的上传、提交：</w:t>
            </w:r>
          </w:p>
          <w:p w14:paraId="23687216">
            <w:pPr>
              <w:autoSpaceDE w:val="0"/>
              <w:autoSpaceDN w:val="0"/>
              <w:snapToGrid w:val="0"/>
              <w:spacing w:line="360" w:lineRule="exact"/>
              <w:textAlignment w:val="bottom"/>
              <w:rPr>
                <w:rFonts w:ascii="宋体"/>
                <w:color w:val="auto"/>
                <w:szCs w:val="21"/>
                <w:highlight w:val="none"/>
              </w:rPr>
            </w:pPr>
            <w:r>
              <w:rPr>
                <w:rFonts w:hint="eastAsia" w:ascii="宋体"/>
                <w:color w:val="auto"/>
                <w:szCs w:val="21"/>
                <w:highlight w:val="none"/>
              </w:rPr>
              <w:t>a.投标供应商应在投标截止时间前将“电子加密投标文件”成功上传提交至“广西政府采购云平台”，否则投标无效。</w:t>
            </w:r>
          </w:p>
          <w:p w14:paraId="47F0CB96">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b.“电子加密投标文件”成功上传提交后，供应商可自行打印投标文件接收回执。</w:t>
            </w:r>
          </w:p>
        </w:tc>
      </w:tr>
      <w:tr w14:paraId="429EF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D4804E7">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AB304CF">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电子加密投标文件的解密：</w:t>
            </w:r>
          </w:p>
          <w:p w14:paraId="6F94E35C">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开标后，采购代理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16B5E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594F371">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5A4D5B4">
            <w:pPr>
              <w:snapToGrid w:val="0"/>
              <w:spacing w:line="360" w:lineRule="exact"/>
              <w:rPr>
                <w:rFonts w:hint="eastAsia" w:ascii="宋体"/>
                <w:color w:val="auto"/>
                <w:szCs w:val="21"/>
                <w:highlight w:val="none"/>
              </w:rPr>
            </w:pPr>
            <w:r>
              <w:rPr>
                <w:rFonts w:hint="eastAsia" w:ascii="宋体"/>
                <w:color w:val="auto"/>
                <w:szCs w:val="21"/>
                <w:highlight w:val="none"/>
              </w:rPr>
              <w:t>提交投标文件截止时间、开标时间和地点：</w:t>
            </w:r>
            <w:r>
              <w:rPr>
                <w:rFonts w:hint="eastAsia" w:ascii="宋体"/>
                <w:b/>
                <w:color w:val="auto"/>
                <w:szCs w:val="21"/>
                <w:highlight w:val="none"/>
              </w:rPr>
              <w:t>详见本项目公开招标公告。</w:t>
            </w:r>
          </w:p>
        </w:tc>
      </w:tr>
      <w:tr w14:paraId="0D570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A17992F">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26C8C4C">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评标方法：综合评分法。</w:t>
            </w:r>
          </w:p>
        </w:tc>
      </w:tr>
      <w:tr w14:paraId="61FC6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C83F3B0">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6BBF1FB">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中标公告及中标通知书：采购代理机构在采购人依法确认中标人</w:t>
            </w:r>
            <w:r>
              <w:rPr>
                <w:rFonts w:hint="eastAsia" w:ascii="宋体"/>
                <w:color w:val="auto"/>
                <w:szCs w:val="21"/>
                <w:highlight w:val="none"/>
                <w:lang w:eastAsia="zh-CN"/>
              </w:rPr>
              <w:t>后两个</w:t>
            </w:r>
            <w:r>
              <w:rPr>
                <w:rFonts w:hint="eastAsia" w:ascii="宋体"/>
                <w:color w:val="auto"/>
                <w:szCs w:val="21"/>
                <w:highlight w:val="none"/>
              </w:rPr>
              <w:t>工作日内发布中标公告和中标通知书，中标公告发布于财政部门指定的政府采购信息发布媒体。</w:t>
            </w:r>
          </w:p>
        </w:tc>
      </w:tr>
      <w:tr w14:paraId="0D9DD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9AF3186">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0355DE4">
            <w:pPr>
              <w:autoSpaceDE w:val="0"/>
              <w:autoSpaceDN w:val="0"/>
              <w:snapToGrid w:val="0"/>
              <w:spacing w:line="360" w:lineRule="exact"/>
              <w:textAlignment w:val="bottom"/>
              <w:rPr>
                <w:rFonts w:hint="eastAsia" w:ascii="宋体"/>
                <w:color w:val="auto"/>
                <w:szCs w:val="21"/>
                <w:highlight w:val="none"/>
              </w:rPr>
            </w:pPr>
            <w:r>
              <w:rPr>
                <w:rFonts w:hint="eastAsia" w:ascii="宋体"/>
                <w:color w:val="auto"/>
                <w:szCs w:val="21"/>
                <w:highlight w:val="none"/>
              </w:rPr>
              <w:t>采购资金来源：</w:t>
            </w:r>
            <w:r>
              <w:rPr>
                <w:rFonts w:hint="eastAsia"/>
                <w:color w:val="auto"/>
                <w:highlight w:val="none"/>
              </w:rPr>
              <w:t>财政性资金</w:t>
            </w:r>
            <w:r>
              <w:rPr>
                <w:rFonts w:hint="eastAsia" w:ascii="宋体"/>
                <w:color w:val="auto"/>
                <w:szCs w:val="21"/>
                <w:highlight w:val="none"/>
              </w:rPr>
              <w:t>。</w:t>
            </w:r>
          </w:p>
        </w:tc>
      </w:tr>
      <w:tr w14:paraId="58CDE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23BA9D9">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D40D9AE">
            <w:pPr>
              <w:snapToGrid w:val="0"/>
              <w:spacing w:line="360" w:lineRule="exact"/>
              <w:rPr>
                <w:rFonts w:hint="eastAsia" w:ascii="宋体"/>
                <w:color w:val="auto"/>
                <w:szCs w:val="21"/>
                <w:highlight w:val="none"/>
              </w:rPr>
            </w:pPr>
            <w:r>
              <w:rPr>
                <w:rFonts w:hint="eastAsia" w:ascii="宋体"/>
                <w:color w:val="auto"/>
                <w:szCs w:val="21"/>
                <w:highlight w:val="none"/>
              </w:rPr>
              <w:t>付款方式：</w:t>
            </w:r>
            <w:r>
              <w:rPr>
                <w:rFonts w:hint="eastAsia" w:ascii="宋体" w:hAnsi="宋体" w:cs="宋体"/>
                <w:color w:val="auto"/>
                <w:kern w:val="0"/>
                <w:szCs w:val="21"/>
                <w:highlight w:val="none"/>
              </w:rPr>
              <w:t>见招标项目采购需求。</w:t>
            </w:r>
          </w:p>
        </w:tc>
      </w:tr>
      <w:tr w14:paraId="5D391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615A06F">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B73064E">
            <w:pPr>
              <w:snapToGrid w:val="0"/>
              <w:spacing w:line="360" w:lineRule="exact"/>
              <w:rPr>
                <w:rFonts w:hint="eastAsia" w:ascii="宋体"/>
                <w:color w:val="auto"/>
                <w:szCs w:val="21"/>
                <w:highlight w:val="none"/>
              </w:rPr>
            </w:pPr>
            <w:r>
              <w:rPr>
                <w:rFonts w:hint="eastAsia" w:ascii="宋体"/>
                <w:color w:val="auto"/>
                <w:szCs w:val="21"/>
                <w:highlight w:val="none"/>
              </w:rPr>
              <w:t>投标文件有效期：</w:t>
            </w:r>
            <w:r>
              <w:rPr>
                <w:rFonts w:hint="eastAsia" w:ascii="宋体" w:cs="Arial"/>
                <w:color w:val="auto"/>
                <w:szCs w:val="21"/>
                <w:highlight w:val="none"/>
                <w:u w:val="single"/>
              </w:rPr>
              <w:t xml:space="preserve"> 60</w:t>
            </w:r>
            <w:r>
              <w:rPr>
                <w:rFonts w:hint="eastAsia" w:ascii="宋体" w:cs="Arial"/>
                <w:color w:val="auto"/>
                <w:szCs w:val="21"/>
                <w:highlight w:val="none"/>
              </w:rPr>
              <w:t>天。</w:t>
            </w:r>
          </w:p>
        </w:tc>
      </w:tr>
      <w:tr w14:paraId="3B95E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9C247E6">
            <w:pPr>
              <w:numPr>
                <w:ilvl w:val="0"/>
                <w:numId w:val="4"/>
              </w:numPr>
              <w:snapToGrid w:val="0"/>
              <w:spacing w:line="360" w:lineRule="exact"/>
              <w:jc w:val="center"/>
              <w:rPr>
                <w:rFonts w:hint="eastAsia" w:ascii="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A3418D1">
            <w:pPr>
              <w:snapToGrid w:val="0"/>
              <w:spacing w:line="360" w:lineRule="exact"/>
              <w:rPr>
                <w:rFonts w:hint="eastAsia"/>
                <w:color w:val="auto"/>
                <w:highlight w:val="none"/>
              </w:rPr>
            </w:pPr>
            <w:r>
              <w:rPr>
                <w:rFonts w:hint="eastAsia"/>
                <w:color w:val="auto"/>
                <w:highlight w:val="none"/>
              </w:rPr>
              <w:t>本招标文件解释权属广西中吉银工程项目管理有限公司。</w:t>
            </w:r>
          </w:p>
        </w:tc>
      </w:tr>
    </w:tbl>
    <w:p w14:paraId="39D6AD6B">
      <w:pPr>
        <w:jc w:val="center"/>
        <w:rPr>
          <w:rFonts w:hint="eastAsia" w:ascii="宋体" w:hAnsi="宋体" w:cs="宋体"/>
          <w:color w:val="auto"/>
          <w:sz w:val="36"/>
          <w:szCs w:val="36"/>
          <w:highlight w:val="none"/>
        </w:rPr>
      </w:pPr>
    </w:p>
    <w:p w14:paraId="371CDE88">
      <w:pPr>
        <w:snapToGrid w:val="0"/>
        <w:rPr>
          <w:rFonts w:hint="eastAsia" w:ascii="宋体" w:hAnsi="宋体" w:cs="宋体"/>
          <w:color w:val="auto"/>
          <w:sz w:val="24"/>
          <w:szCs w:val="20"/>
          <w:highlight w:val="none"/>
        </w:rPr>
      </w:pPr>
    </w:p>
    <w:p w14:paraId="075610A1">
      <w:pPr>
        <w:snapToGrid w:val="0"/>
        <w:rPr>
          <w:rFonts w:hint="eastAsia" w:ascii="宋体" w:hAnsi="宋体" w:cs="宋体"/>
          <w:color w:val="auto"/>
          <w:sz w:val="24"/>
          <w:szCs w:val="20"/>
          <w:highlight w:val="none"/>
        </w:rPr>
      </w:pPr>
    </w:p>
    <w:p w14:paraId="4E5A88D8">
      <w:pPr>
        <w:spacing w:line="360" w:lineRule="exact"/>
        <w:rPr>
          <w:rFonts w:hint="eastAsia" w:ascii="宋体" w:hAnsi="宋体" w:cs="宋体"/>
          <w:color w:val="auto"/>
          <w:highlight w:val="none"/>
        </w:rPr>
      </w:pPr>
    </w:p>
    <w:p w14:paraId="52D00B54">
      <w:pPr>
        <w:pStyle w:val="4"/>
        <w:keepNext w:val="0"/>
        <w:keepLines w:val="0"/>
        <w:spacing w:line="240" w:lineRule="auto"/>
        <w:jc w:val="center"/>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7BD3C61F">
      <w:pPr>
        <w:pStyle w:val="25"/>
        <w:snapToGrid w:val="0"/>
        <w:spacing w:before="120" w:after="120" w:line="380" w:lineRule="exact"/>
        <w:jc w:val="center"/>
        <w:rPr>
          <w:rFonts w:hint="eastAsia"/>
          <w:b/>
          <w:color w:val="auto"/>
          <w:sz w:val="21"/>
          <w:szCs w:val="21"/>
          <w:highlight w:val="none"/>
        </w:rPr>
      </w:pPr>
      <w:r>
        <w:rPr>
          <w:rFonts w:hint="eastAsia"/>
          <w:b/>
          <w:color w:val="auto"/>
          <w:sz w:val="21"/>
          <w:szCs w:val="21"/>
          <w:highlight w:val="none"/>
        </w:rPr>
        <w:t>一、总  则</w:t>
      </w:r>
      <w:bookmarkStart w:id="59" w:name="_Toc254970668"/>
      <w:bookmarkStart w:id="60" w:name="_Toc254970527"/>
    </w:p>
    <w:p w14:paraId="0D30E78C">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ascii="Times New Roman" w:hAnsi="宋体" w:eastAsia="宋体" w:cs="Times New Roman"/>
          <w:b/>
          <w:bCs/>
          <w:color w:val="auto"/>
          <w:sz w:val="21"/>
          <w:szCs w:val="21"/>
          <w:highlight w:val="none"/>
        </w:rPr>
      </w:pPr>
      <w:r>
        <w:rPr>
          <w:rFonts w:hint="eastAsia" w:ascii="Times New Roman" w:hAnsi="宋体" w:eastAsia="宋体" w:cs="Times New Roman"/>
          <w:b/>
          <w:bCs/>
          <w:color w:val="auto"/>
          <w:sz w:val="21"/>
          <w:szCs w:val="21"/>
          <w:highlight w:val="none"/>
        </w:rPr>
        <w:t>（一）适用范围</w:t>
      </w:r>
      <w:bookmarkEnd w:id="59"/>
      <w:bookmarkEnd w:id="60"/>
    </w:p>
    <w:p w14:paraId="4694C496">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ascii="Times New Roman" w:hAnsi="宋体" w:eastAsia="宋体" w:cs="Times New Roman"/>
          <w:color w:val="auto"/>
          <w:sz w:val="21"/>
          <w:szCs w:val="21"/>
          <w:highlight w:val="none"/>
        </w:rPr>
      </w:pPr>
      <w:r>
        <w:rPr>
          <w:rFonts w:hint="eastAsia" w:ascii="Times New Roman" w:hAnsi="宋体" w:eastAsia="宋体" w:cs="Times New Roman"/>
          <w:color w:val="auto"/>
          <w:sz w:val="21"/>
          <w:szCs w:val="21"/>
          <w:highlight w:val="none"/>
        </w:rPr>
        <w:t>本招标文件适用于</w:t>
      </w:r>
      <w:r>
        <w:rPr>
          <w:rFonts w:hint="eastAsia" w:ascii="Times New Roman" w:hAnsi="宋体" w:eastAsia="宋体" w:cs="Times New Roman"/>
          <w:color w:val="auto"/>
          <w:sz w:val="21"/>
          <w:szCs w:val="21"/>
          <w:highlight w:val="none"/>
          <w:lang w:eastAsia="zh-CN"/>
        </w:rPr>
        <w:t>本项目</w:t>
      </w:r>
      <w:r>
        <w:rPr>
          <w:rFonts w:hint="eastAsia" w:ascii="Times New Roman" w:hAnsi="宋体" w:eastAsia="宋体" w:cs="Times New Roman"/>
          <w:color w:val="auto"/>
          <w:sz w:val="21"/>
          <w:szCs w:val="21"/>
          <w:highlight w:val="none"/>
        </w:rPr>
        <w:t>的招标、投标、评标、定标、验收、合同履约、付款等行为（法律、法规另有规定的，从其规定）。</w:t>
      </w:r>
      <w:bookmarkStart w:id="61" w:name="_Toc254970528"/>
      <w:bookmarkStart w:id="62" w:name="_Toc254970669"/>
    </w:p>
    <w:p w14:paraId="21D98566">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ascii="Times New Roman" w:hAnsi="宋体" w:eastAsia="宋体" w:cs="Times New Roman"/>
          <w:b/>
          <w:bCs/>
          <w:color w:val="auto"/>
          <w:sz w:val="21"/>
          <w:szCs w:val="21"/>
          <w:highlight w:val="none"/>
        </w:rPr>
      </w:pPr>
      <w:r>
        <w:rPr>
          <w:rFonts w:hint="eastAsia" w:ascii="Times New Roman" w:hAnsi="宋体" w:eastAsia="宋体" w:cs="Times New Roman"/>
          <w:b/>
          <w:bCs/>
          <w:color w:val="auto"/>
          <w:sz w:val="21"/>
          <w:szCs w:val="21"/>
          <w:highlight w:val="none"/>
        </w:rPr>
        <w:t>（二）定义</w:t>
      </w:r>
      <w:bookmarkEnd w:id="61"/>
      <w:bookmarkEnd w:id="62"/>
    </w:p>
    <w:p w14:paraId="1159AF8C">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hAnsi="宋体"/>
          <w:color w:val="auto"/>
          <w:sz w:val="21"/>
          <w:szCs w:val="21"/>
          <w:highlight w:val="none"/>
        </w:rPr>
      </w:pPr>
      <w:r>
        <w:rPr>
          <w:rFonts w:hint="eastAsia" w:ascii="宋体" w:hAnsi="宋体"/>
          <w:color w:val="auto"/>
          <w:sz w:val="21"/>
          <w:szCs w:val="21"/>
          <w:highlight w:val="none"/>
        </w:rPr>
        <w:t>1.</w:t>
      </w:r>
      <w:r>
        <w:rPr>
          <w:rFonts w:hint="eastAsia" w:hAnsi="宋体"/>
          <w:color w:val="auto"/>
          <w:sz w:val="21"/>
          <w:szCs w:val="21"/>
          <w:highlight w:val="none"/>
        </w:rPr>
        <w:t xml:space="preserve"> “采购人”系指组织本次招标的采购单位。</w:t>
      </w:r>
    </w:p>
    <w:p w14:paraId="189F44BD">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hAnsi="宋体"/>
          <w:color w:val="auto"/>
          <w:sz w:val="21"/>
          <w:szCs w:val="21"/>
          <w:highlight w:val="none"/>
        </w:rPr>
        <w:t xml:space="preserve"> “采购代理机构”系指广西中吉银工程项目管理有限公司（以下简称“本公司”）。</w:t>
      </w:r>
    </w:p>
    <w:p w14:paraId="0989D6AA">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hAnsi="宋体"/>
          <w:color w:val="auto"/>
          <w:sz w:val="21"/>
          <w:szCs w:val="21"/>
          <w:highlight w:val="none"/>
        </w:rPr>
      </w:pPr>
      <w:r>
        <w:rPr>
          <w:rFonts w:hint="eastAsia" w:ascii="宋体" w:hAnsi="宋体"/>
          <w:color w:val="auto"/>
          <w:sz w:val="21"/>
          <w:szCs w:val="21"/>
          <w:highlight w:val="none"/>
        </w:rPr>
        <w:t>3.</w:t>
      </w:r>
      <w:r>
        <w:rPr>
          <w:rFonts w:hint="eastAsia" w:hAnsi="宋体"/>
          <w:color w:val="auto"/>
          <w:sz w:val="21"/>
          <w:szCs w:val="21"/>
          <w:highlight w:val="none"/>
        </w:rPr>
        <w:t xml:space="preserve"> “投标人”系指响应招标、参加投标竞争的法人、其他组织或者自然人。</w:t>
      </w:r>
    </w:p>
    <w:p w14:paraId="10E1ECAC">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4.“产品”系指供方按招标文件规定，须向采购人提供的一切设备、保险、税金、备品备件、工具、手册</w:t>
      </w:r>
      <w:r>
        <w:rPr>
          <w:rFonts w:hint="eastAsia"/>
          <w:color w:val="auto"/>
          <w:sz w:val="21"/>
          <w:szCs w:val="21"/>
          <w:highlight w:val="none"/>
          <w:lang w:eastAsia="zh-CN"/>
        </w:rPr>
        <w:t>及其他有关</w:t>
      </w:r>
      <w:r>
        <w:rPr>
          <w:rFonts w:hint="eastAsia"/>
          <w:color w:val="auto"/>
          <w:sz w:val="21"/>
          <w:szCs w:val="21"/>
          <w:highlight w:val="none"/>
        </w:rPr>
        <w:t>技术资料和材料。</w:t>
      </w:r>
    </w:p>
    <w:p w14:paraId="2E599E6E">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5.“服务”系指招标文件规定投标人须承担的安装、调试、技术协助、校准、培训、技术指导以及其他类似的义务。</w:t>
      </w:r>
    </w:p>
    <w:p w14:paraId="77362155">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6.“项目”系指投标人按招标文件规定向采购人提供的产品和服务。</w:t>
      </w:r>
    </w:p>
    <w:p w14:paraId="338E4FD3">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7.“书面形式”包括信函、传真、电报等。</w:t>
      </w:r>
    </w:p>
    <w:p w14:paraId="7A3050F3">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8.“★”系指实质性要求条款。</w:t>
      </w:r>
      <w:bookmarkStart w:id="63" w:name="_Toc254970529"/>
      <w:bookmarkStart w:id="64" w:name="_Toc254970670"/>
    </w:p>
    <w:p w14:paraId="55A9DFFD">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9. “允许偏离的技术、性能指标或者辅助功能项目”系指不带“★”的非实质性要求的技术指标、主要功能项目条款。</w:t>
      </w:r>
    </w:p>
    <w:p w14:paraId="727C0867">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b/>
          <w:color w:val="auto"/>
          <w:sz w:val="21"/>
          <w:szCs w:val="21"/>
          <w:highlight w:val="none"/>
        </w:rPr>
      </w:pPr>
      <w:r>
        <w:rPr>
          <w:rFonts w:hint="eastAsia"/>
          <w:b/>
          <w:color w:val="auto"/>
          <w:sz w:val="21"/>
          <w:szCs w:val="21"/>
          <w:highlight w:val="none"/>
        </w:rPr>
        <w:t>（三）招标方式</w:t>
      </w:r>
      <w:bookmarkEnd w:id="63"/>
      <w:bookmarkEnd w:id="64"/>
    </w:p>
    <w:p w14:paraId="0180A485">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公开招标方式。</w:t>
      </w:r>
      <w:bookmarkStart w:id="65" w:name="_Toc254970530"/>
      <w:bookmarkStart w:id="66" w:name="_Toc254970671"/>
    </w:p>
    <w:p w14:paraId="0DB8F94A">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b/>
          <w:color w:val="auto"/>
          <w:sz w:val="21"/>
          <w:szCs w:val="21"/>
          <w:highlight w:val="none"/>
        </w:rPr>
      </w:pPr>
      <w:r>
        <w:rPr>
          <w:rFonts w:hint="eastAsia"/>
          <w:b/>
          <w:color w:val="auto"/>
          <w:sz w:val="21"/>
          <w:szCs w:val="21"/>
          <w:highlight w:val="none"/>
        </w:rPr>
        <w:t>（四）投标委托</w:t>
      </w:r>
      <w:bookmarkEnd w:id="65"/>
      <w:bookmarkEnd w:id="66"/>
    </w:p>
    <w:p w14:paraId="1A9BEB55">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如投标人代表不是法定代表人</w:t>
      </w:r>
      <w:r>
        <w:rPr>
          <w:rFonts w:hint="eastAsia"/>
          <w:color w:val="auto"/>
          <w:sz w:val="21"/>
          <w:szCs w:val="21"/>
          <w:highlight w:val="none"/>
          <w:lang w:eastAsia="zh-CN"/>
        </w:rPr>
        <w:t>（</w:t>
      </w:r>
      <w:r>
        <w:rPr>
          <w:rFonts w:hint="eastAsia"/>
          <w:color w:val="auto"/>
          <w:sz w:val="21"/>
          <w:szCs w:val="21"/>
          <w:highlight w:val="none"/>
        </w:rPr>
        <w:t>负责人</w:t>
      </w:r>
      <w:r>
        <w:rPr>
          <w:rFonts w:hint="eastAsia"/>
          <w:color w:val="auto"/>
          <w:sz w:val="21"/>
          <w:szCs w:val="21"/>
          <w:highlight w:val="none"/>
          <w:lang w:eastAsia="zh-CN"/>
        </w:rPr>
        <w:t>）</w:t>
      </w:r>
      <w:r>
        <w:rPr>
          <w:rFonts w:hint="eastAsia"/>
          <w:color w:val="auto"/>
          <w:sz w:val="21"/>
          <w:szCs w:val="21"/>
          <w:highlight w:val="none"/>
        </w:rPr>
        <w:t>，须有法定代表人</w:t>
      </w:r>
      <w:r>
        <w:rPr>
          <w:rFonts w:hint="eastAsia"/>
          <w:color w:val="auto"/>
          <w:sz w:val="21"/>
          <w:szCs w:val="21"/>
          <w:highlight w:val="none"/>
          <w:lang w:eastAsia="zh-CN"/>
        </w:rPr>
        <w:t>（</w:t>
      </w:r>
      <w:r>
        <w:rPr>
          <w:rFonts w:hint="eastAsia"/>
          <w:color w:val="auto"/>
          <w:sz w:val="21"/>
          <w:szCs w:val="21"/>
          <w:highlight w:val="none"/>
        </w:rPr>
        <w:t>负责人</w:t>
      </w:r>
      <w:r>
        <w:rPr>
          <w:rFonts w:hint="eastAsia"/>
          <w:color w:val="auto"/>
          <w:sz w:val="21"/>
          <w:szCs w:val="21"/>
          <w:highlight w:val="none"/>
          <w:lang w:eastAsia="zh-CN"/>
        </w:rPr>
        <w:t>）</w:t>
      </w:r>
      <w:r>
        <w:rPr>
          <w:rFonts w:hint="eastAsia"/>
          <w:color w:val="auto"/>
          <w:sz w:val="21"/>
          <w:szCs w:val="21"/>
          <w:highlight w:val="none"/>
        </w:rPr>
        <w:t>出具的授权委托书（格式见第六章《投标文件格式》）。</w:t>
      </w:r>
      <w:bookmarkStart w:id="67" w:name="_Toc254970672"/>
      <w:bookmarkStart w:id="68" w:name="_Toc254970531"/>
    </w:p>
    <w:p w14:paraId="5C70B403">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b/>
          <w:color w:val="auto"/>
          <w:sz w:val="21"/>
          <w:szCs w:val="21"/>
          <w:highlight w:val="none"/>
        </w:rPr>
      </w:pPr>
      <w:r>
        <w:rPr>
          <w:rFonts w:hint="eastAsia"/>
          <w:b/>
          <w:color w:val="auto"/>
          <w:sz w:val="21"/>
          <w:szCs w:val="21"/>
          <w:highlight w:val="none"/>
        </w:rPr>
        <w:t>（五）投标费用</w:t>
      </w:r>
      <w:bookmarkEnd w:id="67"/>
      <w:bookmarkEnd w:id="68"/>
    </w:p>
    <w:p w14:paraId="4BCCCBCF">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投标人均应自行承担所有与投标有关的全部费用（招标文件有相关的规定除外）。</w:t>
      </w:r>
    </w:p>
    <w:p w14:paraId="4C6E6B31">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b/>
          <w:color w:val="auto"/>
          <w:sz w:val="21"/>
          <w:szCs w:val="21"/>
          <w:highlight w:val="none"/>
        </w:rPr>
      </w:pPr>
      <w:r>
        <w:rPr>
          <w:rFonts w:hint="eastAsia"/>
          <w:b/>
          <w:color w:val="auto"/>
          <w:sz w:val="21"/>
          <w:szCs w:val="21"/>
          <w:highlight w:val="none"/>
        </w:rPr>
        <w:t>（六）联合体投标</w:t>
      </w:r>
    </w:p>
    <w:p w14:paraId="25A7D1DB">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hAnsi="宋体"/>
          <w:color w:val="auto"/>
          <w:sz w:val="21"/>
          <w:szCs w:val="21"/>
          <w:highlight w:val="none"/>
        </w:rPr>
      </w:pPr>
      <w:r>
        <w:rPr>
          <w:rFonts w:hint="eastAsia" w:hAnsi="宋体"/>
          <w:color w:val="auto"/>
          <w:sz w:val="21"/>
          <w:szCs w:val="21"/>
          <w:highlight w:val="none"/>
        </w:rPr>
        <w:t>本项目明确不接受联合体形式投标，本招标文件所有相关联合体要求及格式文件均不适用。投标人以联合体形式参加投标的，投标无效。</w:t>
      </w:r>
    </w:p>
    <w:p w14:paraId="2F8265C7">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cs="宋体"/>
          <w:b/>
          <w:color w:val="auto"/>
          <w:kern w:val="0"/>
          <w:sz w:val="21"/>
          <w:szCs w:val="21"/>
          <w:highlight w:val="none"/>
        </w:rPr>
      </w:pPr>
      <w:r>
        <w:rPr>
          <w:rFonts w:hint="eastAsia"/>
          <w:b/>
          <w:color w:val="auto"/>
          <w:sz w:val="21"/>
          <w:szCs w:val="21"/>
          <w:highlight w:val="none"/>
        </w:rPr>
        <w:t>（七）</w:t>
      </w:r>
      <w:r>
        <w:rPr>
          <w:rFonts w:hint="eastAsia" w:cs="宋体"/>
          <w:b/>
          <w:color w:val="auto"/>
          <w:kern w:val="0"/>
          <w:sz w:val="21"/>
          <w:szCs w:val="21"/>
          <w:highlight w:val="none"/>
        </w:rPr>
        <w:t>转包与分包</w:t>
      </w:r>
    </w:p>
    <w:p w14:paraId="2494C899">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s="宋体"/>
          <w:color w:val="auto"/>
          <w:kern w:val="0"/>
          <w:sz w:val="21"/>
          <w:szCs w:val="21"/>
          <w:highlight w:val="none"/>
        </w:rPr>
      </w:pPr>
      <w:r>
        <w:rPr>
          <w:rFonts w:hint="eastAsia" w:cs="宋体"/>
          <w:color w:val="auto"/>
          <w:kern w:val="0"/>
          <w:sz w:val="21"/>
          <w:szCs w:val="21"/>
          <w:highlight w:val="none"/>
        </w:rPr>
        <w:t>1.本项目不允许转包。</w:t>
      </w:r>
    </w:p>
    <w:p w14:paraId="72988B33">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s="宋体"/>
          <w:color w:val="auto"/>
          <w:kern w:val="0"/>
          <w:sz w:val="21"/>
          <w:szCs w:val="21"/>
          <w:highlight w:val="none"/>
        </w:rPr>
      </w:pPr>
      <w:r>
        <w:rPr>
          <w:rFonts w:hint="eastAsia" w:cs="宋体"/>
          <w:color w:val="auto"/>
          <w:kern w:val="0"/>
          <w:sz w:val="21"/>
          <w:szCs w:val="21"/>
          <w:highlight w:val="none"/>
        </w:rPr>
        <w:t>2.本项目不可以分包。</w:t>
      </w:r>
      <w:bookmarkStart w:id="69" w:name="_Toc254970532"/>
      <w:bookmarkStart w:id="70" w:name="_Toc254970673"/>
    </w:p>
    <w:p w14:paraId="6BB78D92">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rFonts w:hint="eastAsia"/>
          <w:b/>
          <w:color w:val="auto"/>
          <w:sz w:val="21"/>
          <w:szCs w:val="21"/>
          <w:highlight w:val="none"/>
        </w:rPr>
      </w:pPr>
      <w:r>
        <w:rPr>
          <w:rFonts w:hint="eastAsia"/>
          <w:b/>
          <w:color w:val="auto"/>
          <w:sz w:val="21"/>
          <w:szCs w:val="21"/>
          <w:highlight w:val="none"/>
        </w:rPr>
        <w:t>（八）特别说明：</w:t>
      </w:r>
      <w:bookmarkEnd w:id="69"/>
      <w:bookmarkEnd w:id="70"/>
      <w:bookmarkStart w:id="71" w:name="_Toc254970533"/>
      <w:bookmarkStart w:id="72" w:name="_Toc254970674"/>
    </w:p>
    <w:p w14:paraId="7AE372AF">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★1.单位负责人为同一人或者存在直接控股、管理关系的不同供应商，不得参加同一合同项下的政府采购活动。</w:t>
      </w:r>
    </w:p>
    <w:p w14:paraId="0C1A5A1E">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14:paraId="386CCAB0">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非单一产品采购项目中，多家投标人提供的招标文件中载明的核心产品品牌相同的，视为提供相同品牌产品。</w:t>
      </w:r>
    </w:p>
    <w:p w14:paraId="3F838403">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eastAsia="zh-CN"/>
        </w:rPr>
        <w:t>3</w:t>
      </w:r>
      <w:r>
        <w:rPr>
          <w:rFonts w:hint="eastAsia"/>
          <w:color w:val="auto"/>
          <w:sz w:val="21"/>
          <w:szCs w:val="21"/>
          <w:highlight w:val="none"/>
        </w:rPr>
        <w:t>.投标人应仔细阅读招标文件的所有内容，按照招标文件的要求提交投标文件，并对所提供的全部资料的真实性承担法律责任。</w:t>
      </w:r>
    </w:p>
    <w:p w14:paraId="74FA34DD">
      <w:pPr>
        <w:keepNext w:val="0"/>
        <w:keepLines w:val="0"/>
        <w:pageBreakBefore w:val="0"/>
        <w:widowControl w:val="0"/>
        <w:kinsoku/>
        <w:wordWrap/>
        <w:overflowPunct/>
        <w:topLinePunct w:val="0"/>
        <w:autoSpaceDE/>
        <w:autoSpaceDN/>
        <w:bidi w:val="0"/>
        <w:adjustRightInd/>
        <w:snapToGrid w:val="0"/>
        <w:spacing w:line="370" w:lineRule="exact"/>
        <w:ind w:firstLine="420" w:firstLineChars="200"/>
        <w:jc w:val="left"/>
        <w:textAlignment w:val="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eastAsia="zh-CN"/>
        </w:rPr>
        <w:t>4</w:t>
      </w:r>
      <w:r>
        <w:rPr>
          <w:rFonts w:hint="eastAsia"/>
          <w:color w:val="auto"/>
          <w:sz w:val="21"/>
          <w:szCs w:val="21"/>
          <w:highlight w:val="none"/>
        </w:rPr>
        <w:t>.投标人在投标活动中提供任何虚假材料、互相串通投标，其投标无效，并报监管部门查处。</w:t>
      </w:r>
    </w:p>
    <w:p w14:paraId="2A162160">
      <w:pPr>
        <w:keepNext w:val="0"/>
        <w:keepLines w:val="0"/>
        <w:pageBreakBefore w:val="0"/>
        <w:widowControl w:val="0"/>
        <w:kinsoku/>
        <w:wordWrap/>
        <w:overflowPunct/>
        <w:topLinePunct w:val="0"/>
        <w:autoSpaceDE/>
        <w:autoSpaceDN/>
        <w:bidi w:val="0"/>
        <w:adjustRightInd/>
        <w:snapToGrid w:val="0"/>
        <w:spacing w:line="370" w:lineRule="exact"/>
        <w:ind w:firstLine="422" w:firstLineChars="200"/>
        <w:jc w:val="left"/>
        <w:textAlignment w:val="auto"/>
        <w:rPr>
          <w:b/>
          <w:bCs/>
          <w:color w:val="auto"/>
          <w:sz w:val="21"/>
          <w:szCs w:val="21"/>
          <w:highlight w:val="none"/>
        </w:rPr>
      </w:pPr>
      <w:r>
        <w:rPr>
          <w:rFonts w:hint="eastAsia"/>
          <w:b/>
          <w:bCs/>
          <w:color w:val="auto"/>
          <w:sz w:val="21"/>
          <w:szCs w:val="21"/>
          <w:highlight w:val="none"/>
        </w:rPr>
        <w:t>（九）</w:t>
      </w:r>
      <w:bookmarkEnd w:id="71"/>
      <w:bookmarkEnd w:id="72"/>
      <w:r>
        <w:rPr>
          <w:rFonts w:hint="eastAsia"/>
          <w:b/>
          <w:color w:val="auto"/>
          <w:sz w:val="21"/>
          <w:szCs w:val="21"/>
          <w:highlight w:val="none"/>
        </w:rPr>
        <w:t>询问、质疑和投诉</w:t>
      </w:r>
    </w:p>
    <w:p w14:paraId="5AC1FFB9">
      <w:pPr>
        <w:pStyle w:val="25"/>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color w:val="auto"/>
          <w:sz w:val="21"/>
          <w:szCs w:val="21"/>
          <w:highlight w:val="none"/>
        </w:rPr>
      </w:pPr>
      <w:r>
        <w:rPr>
          <w:rFonts w:hint="eastAsia"/>
          <w:color w:val="auto"/>
          <w:sz w:val="21"/>
          <w:szCs w:val="21"/>
          <w:highlight w:val="none"/>
        </w:rPr>
        <w:t>1.投标人对政府采购活动事项有疑问的，可以向采购人、采购代理机构提出询问。</w:t>
      </w:r>
    </w:p>
    <w:p w14:paraId="310FE8FF">
      <w:pPr>
        <w:pStyle w:val="25"/>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color w:val="auto"/>
          <w:sz w:val="21"/>
          <w:szCs w:val="21"/>
          <w:highlight w:val="none"/>
        </w:rPr>
      </w:pPr>
      <w:r>
        <w:rPr>
          <w:rFonts w:hint="eastAsia"/>
          <w:color w:val="auto"/>
          <w:sz w:val="21"/>
          <w:szCs w:val="21"/>
          <w:highlight w:val="none"/>
        </w:rPr>
        <w:t>2.投标人认为招标文件、招标过程或中标结果使自己的合法权益受到损害的，应当在知道或者应知其权益受到损害之日起七个工作日内，以书面形式向采购人、采购代理机构提出质疑，投标人在法定质疑期内必须一次性提出针对同一采购程序环节的质疑。具体计算时间如下：</w:t>
      </w:r>
    </w:p>
    <w:p w14:paraId="022AE303">
      <w:pPr>
        <w:pStyle w:val="25"/>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color w:val="auto"/>
          <w:sz w:val="21"/>
          <w:szCs w:val="21"/>
          <w:highlight w:val="none"/>
        </w:rPr>
      </w:pPr>
      <w:r>
        <w:rPr>
          <w:color w:val="auto"/>
          <w:sz w:val="21"/>
          <w:szCs w:val="21"/>
          <w:highlight w:val="none"/>
        </w:rPr>
        <w:t>（</w:t>
      </w:r>
      <w:r>
        <w:rPr>
          <w:rFonts w:hint="eastAsia"/>
          <w:color w:val="auto"/>
          <w:sz w:val="21"/>
          <w:szCs w:val="21"/>
          <w:highlight w:val="none"/>
        </w:rPr>
        <w:t>1</w:t>
      </w:r>
      <w:r>
        <w:rPr>
          <w:color w:val="auto"/>
          <w:sz w:val="21"/>
          <w:szCs w:val="21"/>
          <w:highlight w:val="none"/>
        </w:rPr>
        <w:t>）</w:t>
      </w:r>
      <w:r>
        <w:rPr>
          <w:rFonts w:hint="eastAsia"/>
          <w:color w:val="auto"/>
          <w:sz w:val="21"/>
          <w:szCs w:val="21"/>
          <w:highlight w:val="none"/>
        </w:rPr>
        <w:t>对可以质疑的采购文件提出质疑的，为收到采购文件之日或者采购文件公告期限届满之日</w:t>
      </w:r>
      <w:r>
        <w:rPr>
          <w:color w:val="auto"/>
          <w:sz w:val="21"/>
          <w:szCs w:val="21"/>
          <w:highlight w:val="none"/>
        </w:rPr>
        <w:t>；</w:t>
      </w:r>
    </w:p>
    <w:p w14:paraId="0F79A531">
      <w:pPr>
        <w:pStyle w:val="25"/>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color w:val="auto"/>
          <w:sz w:val="21"/>
          <w:szCs w:val="21"/>
          <w:highlight w:val="none"/>
        </w:rPr>
      </w:pPr>
      <w:r>
        <w:rPr>
          <w:color w:val="auto"/>
          <w:sz w:val="21"/>
          <w:szCs w:val="21"/>
          <w:highlight w:val="none"/>
        </w:rPr>
        <w:t>（</w:t>
      </w:r>
      <w:r>
        <w:rPr>
          <w:rFonts w:hint="eastAsia"/>
          <w:color w:val="auto"/>
          <w:sz w:val="21"/>
          <w:szCs w:val="21"/>
          <w:highlight w:val="none"/>
        </w:rPr>
        <w:t>2</w:t>
      </w:r>
      <w:r>
        <w:rPr>
          <w:color w:val="auto"/>
          <w:sz w:val="21"/>
          <w:szCs w:val="21"/>
          <w:highlight w:val="none"/>
        </w:rPr>
        <w:t>）对</w:t>
      </w:r>
      <w:r>
        <w:rPr>
          <w:rFonts w:hint="eastAsia"/>
          <w:color w:val="auto"/>
          <w:sz w:val="21"/>
          <w:szCs w:val="21"/>
          <w:highlight w:val="none"/>
          <w:lang w:eastAsia="zh-CN"/>
        </w:rPr>
        <w:t>采购</w:t>
      </w:r>
      <w:r>
        <w:rPr>
          <w:color w:val="auto"/>
          <w:sz w:val="21"/>
          <w:szCs w:val="21"/>
          <w:highlight w:val="none"/>
        </w:rPr>
        <w:t>过程提出质疑的，为各采购程序环节结束之日；</w:t>
      </w:r>
    </w:p>
    <w:p w14:paraId="66505B28">
      <w:pPr>
        <w:pStyle w:val="25"/>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color w:val="auto"/>
          <w:sz w:val="21"/>
          <w:szCs w:val="21"/>
          <w:highlight w:val="none"/>
        </w:rPr>
      </w:pPr>
      <w:r>
        <w:rPr>
          <w:color w:val="auto"/>
          <w:sz w:val="21"/>
          <w:szCs w:val="21"/>
          <w:highlight w:val="none"/>
        </w:rPr>
        <w:t>（</w:t>
      </w:r>
      <w:r>
        <w:rPr>
          <w:rFonts w:hint="eastAsia"/>
          <w:color w:val="auto"/>
          <w:sz w:val="21"/>
          <w:szCs w:val="21"/>
          <w:highlight w:val="none"/>
        </w:rPr>
        <w:t>3</w:t>
      </w:r>
      <w:r>
        <w:rPr>
          <w:color w:val="auto"/>
          <w:sz w:val="21"/>
          <w:szCs w:val="21"/>
          <w:highlight w:val="none"/>
        </w:rPr>
        <w:t>）对中标结果提出质疑的，为中标结果公告期限届满之日。</w:t>
      </w:r>
    </w:p>
    <w:p w14:paraId="245B0F67">
      <w:pPr>
        <w:pStyle w:val="25"/>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color w:val="auto"/>
          <w:sz w:val="21"/>
          <w:szCs w:val="21"/>
          <w:highlight w:val="none"/>
        </w:rPr>
      </w:pPr>
      <w:r>
        <w:rPr>
          <w:rFonts w:hint="eastAsia"/>
          <w:color w:val="auto"/>
          <w:sz w:val="21"/>
          <w:szCs w:val="21"/>
          <w:highlight w:val="none"/>
        </w:rPr>
        <w:t>投标人对招标采购单位的质疑答复不满意或者招标采购单位未在规定时间内作出答复的，可以在答复期满后十五个工作日内向同级采购监管部门投诉。</w:t>
      </w:r>
    </w:p>
    <w:p w14:paraId="13863656">
      <w:pPr>
        <w:pStyle w:val="25"/>
        <w:keepNext w:val="0"/>
        <w:keepLines w:val="0"/>
        <w:pageBreakBefore w:val="0"/>
        <w:widowControl w:val="0"/>
        <w:kinsoku/>
        <w:wordWrap/>
        <w:overflowPunct/>
        <w:topLinePunct w:val="0"/>
        <w:autoSpaceDE/>
        <w:autoSpaceDN/>
        <w:bidi w:val="0"/>
        <w:adjustRightInd/>
        <w:snapToGrid w:val="0"/>
        <w:spacing w:line="370" w:lineRule="exact"/>
        <w:ind w:firstLine="420" w:firstLineChars="200"/>
        <w:textAlignment w:val="auto"/>
        <w:rPr>
          <w:rFonts w:hint="eastAsia"/>
          <w:bCs/>
          <w:color w:val="auto"/>
          <w:sz w:val="21"/>
          <w:szCs w:val="21"/>
          <w:highlight w:val="none"/>
          <w:lang w:eastAsia="zh-CN"/>
        </w:rPr>
      </w:pPr>
      <w:r>
        <w:rPr>
          <w:rFonts w:hint="eastAsia"/>
          <w:bCs/>
          <w:color w:val="auto"/>
          <w:sz w:val="21"/>
          <w:szCs w:val="21"/>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bookmarkStart w:id="73" w:name="_Toc254970675"/>
      <w:bookmarkStart w:id="74" w:name="_Toc254970534"/>
    </w:p>
    <w:p w14:paraId="7B9BA294">
      <w:pPr>
        <w:keepNext w:val="0"/>
        <w:keepLines w:val="0"/>
        <w:pageBreakBefore w:val="0"/>
        <w:widowControl w:val="0"/>
        <w:kinsoku/>
        <w:wordWrap/>
        <w:overflowPunct/>
        <w:topLinePunct w:val="0"/>
        <w:autoSpaceDE/>
        <w:autoSpaceDN/>
        <w:bidi w:val="0"/>
        <w:adjustRightInd/>
        <w:spacing w:line="37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4.供应商提出质疑应当提交质疑函和必要的证明材料。质疑函应当包括下列内容：</w:t>
      </w:r>
    </w:p>
    <w:p w14:paraId="6E93BBEC">
      <w:pPr>
        <w:spacing w:line="37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（1）供应商的姓名或者名称、地址、邮编、联系人及联系电话；</w:t>
      </w:r>
    </w:p>
    <w:p w14:paraId="524D63B9">
      <w:pPr>
        <w:spacing w:line="37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（2）质疑项目的名称、编号；</w:t>
      </w:r>
    </w:p>
    <w:p w14:paraId="75324D84">
      <w:pPr>
        <w:spacing w:line="37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（3）具体、明确的质疑事项和与质疑事项相关的请求；</w:t>
      </w:r>
    </w:p>
    <w:p w14:paraId="1C045DC1">
      <w:pPr>
        <w:spacing w:line="37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（4）事实依据；</w:t>
      </w:r>
    </w:p>
    <w:p w14:paraId="1DCDD638">
      <w:pPr>
        <w:spacing w:line="37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（5）必要的法律依据；</w:t>
      </w:r>
    </w:p>
    <w:p w14:paraId="599810A6">
      <w:pPr>
        <w:spacing w:line="37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（6）提出质疑的日期。</w:t>
      </w:r>
    </w:p>
    <w:p w14:paraId="3E354DE8">
      <w:pPr>
        <w:spacing w:line="37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供应商为自然人的，应当由本人签字；供应商为法人或者其他组织的，应当由法定代表人、主要负责人，或者其授权代表签字或者盖章，并加盖公章。</w:t>
      </w:r>
    </w:p>
    <w:p w14:paraId="67915BF7">
      <w:pPr>
        <w:spacing w:line="37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代理人提出质疑和投诉，应当提交供应商签署的授权委托书。</w:t>
      </w:r>
    </w:p>
    <w:p w14:paraId="4A19338C">
      <w:pPr>
        <w:pStyle w:val="25"/>
        <w:snapToGrid w:val="0"/>
        <w:spacing w:line="370" w:lineRule="exact"/>
        <w:ind w:firstLine="420" w:firstLineChars="200"/>
        <w:rPr>
          <w:rFonts w:hAnsi="宋体"/>
          <w:color w:val="auto"/>
          <w:sz w:val="21"/>
          <w:szCs w:val="21"/>
          <w:highlight w:val="none"/>
        </w:rPr>
      </w:pPr>
      <w:r>
        <w:rPr>
          <w:rFonts w:hint="eastAsia" w:hAnsi="宋体"/>
          <w:color w:val="auto"/>
          <w:sz w:val="21"/>
          <w:szCs w:val="21"/>
          <w:highlight w:val="none"/>
          <w:lang w:eastAsia="zh-CN"/>
        </w:rPr>
        <w:t>5</w:t>
      </w:r>
      <w:r>
        <w:rPr>
          <w:rFonts w:hint="eastAsia" w:hAnsi="宋体"/>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76B34114">
      <w:pPr>
        <w:pStyle w:val="25"/>
        <w:snapToGrid w:val="0"/>
        <w:spacing w:line="370" w:lineRule="exact"/>
        <w:ind w:firstLine="420" w:firstLineChars="200"/>
        <w:rPr>
          <w:rFonts w:hAnsi="宋体"/>
          <w:color w:val="auto"/>
          <w:sz w:val="21"/>
          <w:szCs w:val="21"/>
          <w:highlight w:val="none"/>
        </w:rPr>
      </w:pPr>
      <w:r>
        <w:rPr>
          <w:rFonts w:hint="eastAsia" w:hAnsi="宋体"/>
          <w:color w:val="auto"/>
          <w:sz w:val="21"/>
          <w:szCs w:val="21"/>
          <w:highlight w:val="none"/>
        </w:rPr>
        <w:t>（一）对采购文件提出的质疑，依法通过澄清或者修改可以继续开展采购活动的，澄清或者修改采购文件后继续开展采购活动；否则应当修改采购文件后重新开展采购活动。</w:t>
      </w:r>
    </w:p>
    <w:p w14:paraId="2DA22B72">
      <w:pPr>
        <w:pStyle w:val="25"/>
        <w:snapToGrid w:val="0"/>
        <w:spacing w:line="370" w:lineRule="exact"/>
        <w:ind w:firstLine="420" w:firstLineChars="200"/>
        <w:rPr>
          <w:rFonts w:hAnsi="宋体"/>
          <w:color w:val="auto"/>
          <w:sz w:val="21"/>
          <w:szCs w:val="21"/>
          <w:highlight w:val="none"/>
        </w:rPr>
      </w:pPr>
      <w:r>
        <w:rPr>
          <w:rFonts w:hint="eastAsia" w:hAnsi="宋体"/>
          <w:color w:val="auto"/>
          <w:sz w:val="21"/>
          <w:szCs w:val="21"/>
          <w:highlight w:val="none"/>
        </w:rPr>
        <w:t>（二）对采购过程、中标结果提出的质疑，合格供应商符合法定数量时，可以从合格的中标候选人中另行确定中标供应商的，应当依法根据中标候选人推荐原则另行确定中标供应商；否则应当重新开展采购活动。</w:t>
      </w:r>
    </w:p>
    <w:p w14:paraId="629794A0">
      <w:pPr>
        <w:pStyle w:val="25"/>
        <w:snapToGrid w:val="0"/>
        <w:spacing w:line="370" w:lineRule="exact"/>
        <w:ind w:firstLine="420" w:firstLineChars="200"/>
        <w:rPr>
          <w:rFonts w:hAnsi="宋体"/>
          <w:color w:val="auto"/>
          <w:sz w:val="21"/>
          <w:szCs w:val="21"/>
          <w:highlight w:val="none"/>
        </w:rPr>
      </w:pPr>
      <w:r>
        <w:rPr>
          <w:rFonts w:hint="eastAsia" w:hAnsi="宋体"/>
          <w:color w:val="auto"/>
          <w:sz w:val="21"/>
          <w:szCs w:val="21"/>
          <w:highlight w:val="none"/>
        </w:rPr>
        <w:t>质疑答复导致中标结果改变的，采购人或者采购代理机构应当将有关情况书面报告本级财政部门。</w:t>
      </w:r>
    </w:p>
    <w:p w14:paraId="3746713C">
      <w:pPr>
        <w:snapToGrid w:val="0"/>
        <w:spacing w:line="360" w:lineRule="exact"/>
        <w:ind w:firstLine="420"/>
        <w:jc w:val="left"/>
        <w:rPr>
          <w:rFonts w:hint="eastAsia" w:ascii="宋体" w:hAnsi="宋体"/>
          <w:color w:val="auto"/>
          <w:sz w:val="21"/>
          <w:szCs w:val="21"/>
          <w:highlight w:val="none"/>
        </w:rPr>
      </w:pPr>
      <w:r>
        <w:rPr>
          <w:rFonts w:hint="eastAsia" w:ascii="宋体" w:hAnsi="宋体"/>
          <w:color w:val="auto"/>
          <w:sz w:val="21"/>
          <w:szCs w:val="21"/>
          <w:highlight w:val="none"/>
        </w:rPr>
        <w:t xml:space="preserve">①质疑联系部门及电话为：广西中吉银工程项目管理有限公司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0771-3120820                  </w:t>
      </w:r>
    </w:p>
    <w:p w14:paraId="23D827C6">
      <w:pPr>
        <w:snapToGrid w:val="0"/>
        <w:spacing w:line="36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通讯地址：南宁市青秀区民族大道159号凤岭·新新家园A区2栋15层</w:t>
      </w:r>
    </w:p>
    <w:p w14:paraId="4B823395">
      <w:pPr>
        <w:snapToGrid w:val="0"/>
        <w:spacing w:line="36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②投诉联系部门及电话为：广西壮族自治区财政厅政府采购监督管理处    0771-5331544</w:t>
      </w:r>
    </w:p>
    <w:p w14:paraId="44323FA2">
      <w:pPr>
        <w:snapToGrid w:val="0"/>
        <w:spacing w:line="36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通讯地址：广西南宁市桃源路69号</w:t>
      </w:r>
    </w:p>
    <w:p w14:paraId="7349DA26">
      <w:pPr>
        <w:pStyle w:val="25"/>
        <w:snapToGrid w:val="0"/>
        <w:spacing w:line="370" w:lineRule="exact"/>
        <w:rPr>
          <w:rFonts w:hint="eastAsia"/>
          <w:bCs/>
          <w:color w:val="auto"/>
          <w:sz w:val="21"/>
          <w:szCs w:val="21"/>
          <w:highlight w:val="none"/>
          <w:lang w:val="en-US"/>
        </w:rPr>
      </w:pPr>
    </w:p>
    <w:p w14:paraId="6EA1CDB3">
      <w:pPr>
        <w:pStyle w:val="25"/>
        <w:snapToGrid w:val="0"/>
        <w:spacing w:line="370" w:lineRule="exact"/>
        <w:jc w:val="center"/>
        <w:rPr>
          <w:rFonts w:hint="eastAsia"/>
          <w:b/>
          <w:color w:val="auto"/>
          <w:sz w:val="21"/>
          <w:szCs w:val="21"/>
          <w:highlight w:val="none"/>
        </w:rPr>
      </w:pPr>
      <w:r>
        <w:rPr>
          <w:rFonts w:hint="eastAsia"/>
          <w:b/>
          <w:color w:val="auto"/>
          <w:sz w:val="21"/>
          <w:szCs w:val="21"/>
          <w:highlight w:val="none"/>
        </w:rPr>
        <w:t>二、招标文件</w:t>
      </w:r>
      <w:bookmarkEnd w:id="73"/>
      <w:bookmarkEnd w:id="74"/>
    </w:p>
    <w:p w14:paraId="152AABCB">
      <w:pPr>
        <w:pStyle w:val="25"/>
        <w:snapToGrid w:val="0"/>
        <w:spacing w:line="370" w:lineRule="exact"/>
        <w:ind w:firstLine="422" w:firstLineChars="200"/>
        <w:rPr>
          <w:rFonts w:hint="eastAsia"/>
          <w:b/>
          <w:color w:val="auto"/>
          <w:sz w:val="21"/>
          <w:szCs w:val="21"/>
          <w:highlight w:val="none"/>
        </w:rPr>
      </w:pPr>
      <w:r>
        <w:rPr>
          <w:rFonts w:hint="eastAsia"/>
          <w:b/>
          <w:color w:val="auto"/>
          <w:sz w:val="21"/>
          <w:szCs w:val="21"/>
          <w:highlight w:val="none"/>
        </w:rPr>
        <w:t>（一）招标文件的构成</w:t>
      </w:r>
    </w:p>
    <w:p w14:paraId="51C671C0">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1.公开招标公告；</w:t>
      </w:r>
    </w:p>
    <w:p w14:paraId="3FBC84FD">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2.招标项目采购需求</w:t>
      </w:r>
    </w:p>
    <w:p w14:paraId="2D4762A1">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3.投标人须知；</w:t>
      </w:r>
    </w:p>
    <w:p w14:paraId="0CB2CB2C">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4.评标方法及评分标准；</w:t>
      </w:r>
    </w:p>
    <w:p w14:paraId="622F49DC">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5.政府采购合同主要条款；</w:t>
      </w:r>
    </w:p>
    <w:p w14:paraId="6F696D4A">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6.投标文件格式。</w:t>
      </w:r>
    </w:p>
    <w:p w14:paraId="08B33A99">
      <w:pPr>
        <w:pStyle w:val="25"/>
        <w:snapToGrid w:val="0"/>
        <w:spacing w:line="370" w:lineRule="exact"/>
        <w:ind w:firstLine="422" w:firstLineChars="200"/>
        <w:rPr>
          <w:rFonts w:hint="eastAsia"/>
          <w:b/>
          <w:color w:val="auto"/>
          <w:sz w:val="21"/>
          <w:szCs w:val="21"/>
          <w:highlight w:val="none"/>
        </w:rPr>
      </w:pPr>
      <w:r>
        <w:rPr>
          <w:rFonts w:hint="eastAsia"/>
          <w:b/>
          <w:color w:val="auto"/>
          <w:sz w:val="21"/>
          <w:szCs w:val="21"/>
          <w:highlight w:val="none"/>
        </w:rPr>
        <w:t>（二）投标人的风险</w:t>
      </w:r>
    </w:p>
    <w:p w14:paraId="23F82C49">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1.投标人应认真阅读招标文件，按照招标文件的要求编制投标文件。投标文件应对招标文件提出的要求和条件作出实质性的响应。投标人没有按照招标文件要求提供全部资料，或者投标人没有对招标文件在各方面作出实质性响应是投标人的风险，并可能导致其投标被拒绝。</w:t>
      </w:r>
    </w:p>
    <w:p w14:paraId="2B62C938">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2.对招标文件提出的实质性要求和条件作出响应是指投标人必须对招标文件中涉及招标项目的价格、采购</w:t>
      </w:r>
      <w:r>
        <w:rPr>
          <w:rFonts w:hint="eastAsia"/>
          <w:color w:val="auto"/>
          <w:sz w:val="21"/>
          <w:szCs w:val="21"/>
          <w:highlight w:val="none"/>
          <w:lang w:eastAsia="zh-CN"/>
        </w:rPr>
        <w:t>服务</w:t>
      </w:r>
      <w:r>
        <w:rPr>
          <w:rFonts w:hint="eastAsia"/>
          <w:color w:val="auto"/>
          <w:sz w:val="21"/>
          <w:szCs w:val="21"/>
          <w:highlight w:val="none"/>
        </w:rPr>
        <w:t>的</w:t>
      </w:r>
      <w:r>
        <w:rPr>
          <w:rFonts w:hint="eastAsia"/>
          <w:color w:val="auto"/>
          <w:sz w:val="21"/>
          <w:szCs w:val="21"/>
          <w:highlight w:val="none"/>
          <w:lang w:eastAsia="zh-CN"/>
        </w:rPr>
        <w:t>服务要求</w:t>
      </w:r>
      <w:r>
        <w:rPr>
          <w:rFonts w:hint="eastAsia"/>
          <w:color w:val="auto"/>
          <w:sz w:val="21"/>
          <w:szCs w:val="21"/>
          <w:highlight w:val="none"/>
        </w:rPr>
        <w:t>及其它要求、合同主要条款等内容作出响应。</w:t>
      </w:r>
    </w:p>
    <w:p w14:paraId="2EAB27C8">
      <w:pPr>
        <w:pStyle w:val="25"/>
        <w:snapToGrid w:val="0"/>
        <w:spacing w:line="370" w:lineRule="exact"/>
        <w:ind w:firstLine="422" w:firstLineChars="200"/>
        <w:rPr>
          <w:rFonts w:hint="eastAsia"/>
          <w:b/>
          <w:color w:val="auto"/>
          <w:sz w:val="21"/>
          <w:szCs w:val="21"/>
          <w:highlight w:val="none"/>
        </w:rPr>
      </w:pPr>
      <w:r>
        <w:rPr>
          <w:rFonts w:hint="eastAsia"/>
          <w:b/>
          <w:color w:val="auto"/>
          <w:sz w:val="21"/>
          <w:szCs w:val="21"/>
          <w:highlight w:val="none"/>
        </w:rPr>
        <w:t>（三）招标文件的澄清与修改</w:t>
      </w:r>
    </w:p>
    <w:p w14:paraId="19FCAAFD">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 xml:space="preserve">1. </w:t>
      </w:r>
      <w:r>
        <w:rPr>
          <w:rFonts w:hint="eastAsia"/>
          <w:bCs/>
          <w:color w:val="auto"/>
          <w:sz w:val="21"/>
          <w:szCs w:val="21"/>
          <w:highlight w:val="none"/>
        </w:rPr>
        <w:t>投标人应认真阅读本招标文件，发现其中有误或有不合理要求的，</w:t>
      </w:r>
      <w:r>
        <w:rPr>
          <w:rFonts w:hint="eastAsia" w:hAnsi="宋体"/>
          <w:bCs/>
          <w:color w:val="auto"/>
          <w:sz w:val="21"/>
          <w:szCs w:val="21"/>
          <w:highlight w:val="none"/>
        </w:rPr>
        <w:t>投标人</w:t>
      </w:r>
      <w:r>
        <w:rPr>
          <w:rFonts w:hint="eastAsia" w:hAnsi="宋体"/>
          <w:b/>
          <w:bCs/>
          <w:color w:val="auto"/>
          <w:sz w:val="21"/>
          <w:szCs w:val="21"/>
          <w:highlight w:val="none"/>
        </w:rPr>
        <w:t>应当</w:t>
      </w:r>
      <w:r>
        <w:rPr>
          <w:rFonts w:hint="eastAsia" w:hAnsi="宋体"/>
          <w:bCs/>
          <w:color w:val="auto"/>
          <w:sz w:val="21"/>
          <w:szCs w:val="21"/>
          <w:highlight w:val="none"/>
        </w:rPr>
        <w:t>在</w:t>
      </w:r>
      <w:r>
        <w:rPr>
          <w:rFonts w:hint="eastAsia" w:hAnsi="宋体"/>
          <w:bCs/>
          <w:color w:val="auto"/>
          <w:sz w:val="21"/>
          <w:szCs w:val="21"/>
          <w:highlight w:val="none"/>
          <w:u w:val="single"/>
        </w:rPr>
        <w:t>“采购文件：第三章 《投标人须知及前附表》序号6”规定的时间</w:t>
      </w:r>
      <w:r>
        <w:rPr>
          <w:rFonts w:hint="eastAsia" w:hAnsi="宋体"/>
          <w:bCs/>
          <w:color w:val="auto"/>
          <w:sz w:val="21"/>
          <w:szCs w:val="21"/>
          <w:highlight w:val="none"/>
        </w:rPr>
        <w:t>前以书面形式要求</w:t>
      </w:r>
      <w:r>
        <w:rPr>
          <w:rFonts w:hAnsi="宋体"/>
          <w:color w:val="auto"/>
          <w:sz w:val="21"/>
          <w:szCs w:val="21"/>
          <w:highlight w:val="none"/>
        </w:rPr>
        <w:t>采购人或者采购代理机构</w:t>
      </w:r>
      <w:r>
        <w:rPr>
          <w:rFonts w:hint="eastAsia" w:hAnsi="宋体"/>
          <w:color w:val="auto"/>
          <w:sz w:val="21"/>
          <w:szCs w:val="21"/>
          <w:highlight w:val="none"/>
        </w:rPr>
        <w:t>答疑、澄清</w:t>
      </w:r>
      <w:r>
        <w:rPr>
          <w:rFonts w:hint="eastAsia" w:hAnsi="宋体"/>
          <w:bCs/>
          <w:color w:val="auto"/>
          <w:sz w:val="21"/>
          <w:szCs w:val="21"/>
          <w:highlight w:val="none"/>
        </w:rPr>
        <w:t>。</w:t>
      </w:r>
      <w:r>
        <w:rPr>
          <w:rFonts w:hint="eastAsia"/>
          <w:bCs/>
          <w:color w:val="auto"/>
          <w:sz w:val="21"/>
          <w:szCs w:val="21"/>
          <w:highlight w:val="none"/>
        </w:rPr>
        <w:t>采购代理机构对已发出的招标文件进行必要澄清、答复、修改或补充</w:t>
      </w:r>
      <w:r>
        <w:rPr>
          <w:rFonts w:hint="eastAsia" w:hAnsi="宋体"/>
          <w:b/>
          <w:bCs/>
          <w:color w:val="auto"/>
          <w:sz w:val="21"/>
          <w:szCs w:val="21"/>
          <w:highlight w:val="none"/>
          <w:lang w:eastAsia="zh-CN"/>
        </w:rPr>
        <w:t>的内容</w:t>
      </w:r>
      <w:r>
        <w:rPr>
          <w:rFonts w:hint="eastAsia" w:hAnsi="宋体"/>
          <w:b/>
          <w:bCs/>
          <w:color w:val="auto"/>
          <w:sz w:val="21"/>
          <w:szCs w:val="21"/>
          <w:highlight w:val="none"/>
        </w:rPr>
        <w:t>可能影响投标文件编制的</w:t>
      </w:r>
      <w:r>
        <w:rPr>
          <w:rFonts w:hint="eastAsia"/>
          <w:bCs/>
          <w:color w:val="auto"/>
          <w:sz w:val="21"/>
          <w:szCs w:val="21"/>
          <w:highlight w:val="none"/>
        </w:rPr>
        <w:t>，应当在招标文件要求提交投标文件截止时间</w:t>
      </w:r>
      <w:r>
        <w:rPr>
          <w:rFonts w:hint="eastAsia"/>
          <w:bCs/>
          <w:color w:val="auto"/>
          <w:sz w:val="21"/>
          <w:szCs w:val="21"/>
          <w:highlight w:val="none"/>
          <w:lang w:eastAsia="zh-CN"/>
        </w:rPr>
        <w:t>15</w:t>
      </w:r>
      <w:r>
        <w:rPr>
          <w:rFonts w:hint="eastAsia"/>
          <w:bCs/>
          <w:color w:val="auto"/>
          <w:sz w:val="21"/>
          <w:szCs w:val="21"/>
          <w:highlight w:val="none"/>
        </w:rPr>
        <w:t>日前，在财政部门指定的政府采购信息发布媒体上发布更正公告，并以书面形式通知所有招标文件收受人。</w:t>
      </w:r>
    </w:p>
    <w:p w14:paraId="738D0F03">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2. 招标文件澄清、答复、修改、补充的内容为招标文件的组成部分。当招标文件与招标文件的答复、澄清、修改、补充通知就同一内容的表述不一致时，以最后发出的书面文件为准。</w:t>
      </w:r>
    </w:p>
    <w:p w14:paraId="6D380CF1">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3. 招标文件的澄清、答复、修改、补充都应该通过本采购代理机构以法定形式发布，采购人非通过本机构，不得擅自澄清、答复、修改、补充招标文件。</w:t>
      </w:r>
    </w:p>
    <w:p w14:paraId="7E95ADD5">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4. 采购代理机构</w:t>
      </w:r>
      <w:r>
        <w:rPr>
          <w:rFonts w:hint="eastAsia" w:hAnsi="宋体"/>
          <w:color w:val="auto"/>
          <w:sz w:val="21"/>
          <w:szCs w:val="21"/>
          <w:highlight w:val="none"/>
        </w:rPr>
        <w:t>可以视采购具体情况，延长招标文件或者资格预审文件提供期限，并在财政部门指定的政府采购信息发布媒体上发布公告。</w:t>
      </w:r>
    </w:p>
    <w:p w14:paraId="535F558B">
      <w:pPr>
        <w:pStyle w:val="25"/>
        <w:snapToGrid w:val="0"/>
        <w:spacing w:line="370" w:lineRule="exact"/>
        <w:rPr>
          <w:rFonts w:hint="eastAsia"/>
          <w:color w:val="auto"/>
          <w:sz w:val="21"/>
          <w:szCs w:val="21"/>
          <w:highlight w:val="none"/>
        </w:rPr>
      </w:pPr>
      <w:bookmarkStart w:id="75" w:name="_Toc254970676"/>
      <w:bookmarkStart w:id="76" w:name="_Toc254970535"/>
    </w:p>
    <w:p w14:paraId="1EF5F843">
      <w:pPr>
        <w:pStyle w:val="25"/>
        <w:snapToGrid w:val="0"/>
        <w:spacing w:line="370" w:lineRule="exact"/>
        <w:jc w:val="center"/>
        <w:rPr>
          <w:rFonts w:hint="eastAsia"/>
          <w:b/>
          <w:color w:val="auto"/>
          <w:sz w:val="21"/>
          <w:szCs w:val="21"/>
          <w:highlight w:val="none"/>
        </w:rPr>
      </w:pPr>
      <w:r>
        <w:rPr>
          <w:rFonts w:hint="eastAsia"/>
          <w:b/>
          <w:color w:val="auto"/>
          <w:sz w:val="21"/>
          <w:szCs w:val="21"/>
          <w:highlight w:val="none"/>
        </w:rPr>
        <w:t>三、投标文件的编制</w:t>
      </w:r>
      <w:bookmarkEnd w:id="75"/>
      <w:bookmarkEnd w:id="76"/>
      <w:bookmarkStart w:id="77" w:name="_Toc254970677"/>
      <w:bookmarkStart w:id="78" w:name="_Toc254970536"/>
    </w:p>
    <w:p w14:paraId="75A7B986">
      <w:pPr>
        <w:pStyle w:val="25"/>
        <w:snapToGrid w:val="0"/>
        <w:spacing w:line="370" w:lineRule="exact"/>
        <w:ind w:firstLine="422" w:firstLineChars="200"/>
        <w:jc w:val="left"/>
        <w:rPr>
          <w:rFonts w:hint="eastAsia"/>
          <w:b/>
          <w:color w:val="auto"/>
          <w:sz w:val="21"/>
          <w:szCs w:val="21"/>
          <w:highlight w:val="none"/>
        </w:rPr>
      </w:pPr>
      <w:r>
        <w:rPr>
          <w:rFonts w:hint="eastAsia"/>
          <w:b/>
          <w:color w:val="auto"/>
          <w:sz w:val="21"/>
          <w:szCs w:val="21"/>
          <w:highlight w:val="none"/>
        </w:rPr>
        <w:t>（一）投标文件的组成</w:t>
      </w:r>
      <w:bookmarkEnd w:id="77"/>
      <w:bookmarkEnd w:id="78"/>
      <w:r>
        <w:rPr>
          <w:rFonts w:hint="eastAsia"/>
          <w:b/>
          <w:color w:val="auto"/>
          <w:sz w:val="21"/>
          <w:szCs w:val="21"/>
          <w:highlight w:val="none"/>
        </w:rPr>
        <w:t>（以下要求“必须提供”的，请按要求在投标文件中提供，否则作投标无效处理；其他如有请提供）</w:t>
      </w:r>
    </w:p>
    <w:p w14:paraId="3EDC28F7">
      <w:pPr>
        <w:snapToGrid w:val="0"/>
        <w:spacing w:line="360" w:lineRule="exact"/>
        <w:ind w:firstLine="420" w:firstLineChars="200"/>
        <w:jc w:val="left"/>
        <w:rPr>
          <w:rFonts w:hint="eastAsia" w:ascii="宋体"/>
          <w:color w:val="auto"/>
          <w:sz w:val="21"/>
          <w:szCs w:val="21"/>
          <w:highlight w:val="none"/>
        </w:rPr>
      </w:pPr>
      <w:r>
        <w:rPr>
          <w:rFonts w:hint="eastAsia" w:ascii="宋体" w:hAnsi="宋体"/>
          <w:color w:val="auto"/>
          <w:sz w:val="21"/>
          <w:szCs w:val="21"/>
          <w:highlight w:val="none"/>
        </w:rPr>
        <w:t>投标文件由资格文件、商务技术文件、报价文件</w:t>
      </w:r>
      <w:r>
        <w:rPr>
          <w:rFonts w:hint="eastAsia" w:ascii="宋体"/>
          <w:b/>
          <w:color w:val="auto"/>
          <w:sz w:val="21"/>
          <w:szCs w:val="21"/>
          <w:highlight w:val="none"/>
        </w:rPr>
        <w:t>三部分</w:t>
      </w:r>
      <w:r>
        <w:rPr>
          <w:rFonts w:hint="eastAsia" w:ascii="宋体"/>
          <w:color w:val="auto"/>
          <w:sz w:val="21"/>
          <w:szCs w:val="21"/>
          <w:highlight w:val="none"/>
        </w:rPr>
        <w:t>组成。</w:t>
      </w:r>
      <w:r>
        <w:rPr>
          <w:rFonts w:hint="eastAsia" w:ascii="宋体"/>
          <w:b/>
          <w:color w:val="auto"/>
          <w:sz w:val="21"/>
          <w:szCs w:val="21"/>
          <w:highlight w:val="none"/>
        </w:rPr>
        <w:t>（扫描件或其他电子文件）</w:t>
      </w:r>
    </w:p>
    <w:p w14:paraId="0B219448">
      <w:pPr>
        <w:snapToGrid w:val="0"/>
        <w:spacing w:before="156" w:beforeLines="50" w:line="360" w:lineRule="exact"/>
        <w:ind w:firstLine="413" w:firstLineChars="196"/>
        <w:jc w:val="left"/>
        <w:rPr>
          <w:rFonts w:hint="eastAsia" w:ascii="宋体" w:hAnsi="宋体"/>
          <w:b/>
          <w:color w:val="auto"/>
          <w:sz w:val="21"/>
          <w:szCs w:val="21"/>
          <w:highlight w:val="none"/>
        </w:rPr>
      </w:pPr>
      <w:r>
        <w:rPr>
          <w:rFonts w:hint="eastAsia" w:ascii="宋体" w:hAnsi="宋体"/>
          <w:b/>
          <w:color w:val="auto"/>
          <w:sz w:val="21"/>
          <w:szCs w:val="21"/>
          <w:highlight w:val="none"/>
        </w:rPr>
        <w:t>1.资格文件：</w:t>
      </w:r>
    </w:p>
    <w:p w14:paraId="05E63514">
      <w:pPr>
        <w:snapToGrid w:val="0"/>
        <w:spacing w:line="360" w:lineRule="exact"/>
        <w:ind w:firstLine="411" w:firstLineChars="196"/>
        <w:jc w:val="left"/>
        <w:rPr>
          <w:rFonts w:hint="eastAsia" w:ascii="宋体" w:hAnsi="宋体"/>
          <w:color w:val="auto"/>
          <w:sz w:val="21"/>
          <w:szCs w:val="21"/>
          <w:highlight w:val="none"/>
        </w:rPr>
      </w:pPr>
      <w:r>
        <w:rPr>
          <w:rFonts w:hint="eastAsia" w:ascii="宋体" w:hAnsi="宋体"/>
          <w:color w:val="auto"/>
          <w:sz w:val="21"/>
          <w:szCs w:val="21"/>
          <w:highlight w:val="none"/>
        </w:rPr>
        <w:t>（1）有效的主体资格证明文件；</w:t>
      </w:r>
    </w:p>
    <w:p w14:paraId="3BB90BB7">
      <w:pPr>
        <w:spacing w:line="370" w:lineRule="exact"/>
        <w:rPr>
          <w:rFonts w:hint="eastAsia"/>
          <w:b/>
          <w:color w:val="auto"/>
          <w:sz w:val="21"/>
          <w:szCs w:val="21"/>
          <w:highlight w:val="none"/>
        </w:rPr>
      </w:pPr>
      <w:r>
        <w:rPr>
          <w:rFonts w:hint="eastAsia"/>
          <w:b/>
          <w:color w:val="auto"/>
          <w:sz w:val="21"/>
          <w:szCs w:val="21"/>
          <w:highlight w:val="none"/>
        </w:rPr>
        <w:t xml:space="preserve">    </w:t>
      </w:r>
      <w:r>
        <w:rPr>
          <w:rFonts w:hint="eastAsia" w:ascii="宋体" w:hAnsi="宋体"/>
          <w:color w:val="auto"/>
          <w:sz w:val="21"/>
          <w:szCs w:val="21"/>
          <w:highlight w:val="none"/>
        </w:rPr>
        <w:t xml:space="preserve"> 投标人有效的“主体资格证明文件”（如营业执照、事业单位法人证书、执业许可证、自然人身份证等）</w:t>
      </w:r>
      <w:r>
        <w:rPr>
          <w:rFonts w:hint="eastAsia" w:hAnsi="宋体"/>
          <w:color w:val="auto"/>
          <w:sz w:val="21"/>
          <w:szCs w:val="21"/>
          <w:highlight w:val="none"/>
        </w:rPr>
        <w:t>复印件</w:t>
      </w:r>
      <w:r>
        <w:rPr>
          <w:rFonts w:hint="eastAsia" w:ascii="宋体" w:hAnsi="宋体"/>
          <w:color w:val="auto"/>
          <w:sz w:val="21"/>
          <w:szCs w:val="21"/>
          <w:highlight w:val="none"/>
        </w:rPr>
        <w:t>，同时要加盖单位公章；</w:t>
      </w:r>
      <w:r>
        <w:rPr>
          <w:rFonts w:hint="eastAsia" w:ascii="宋体" w:hAnsi="宋体"/>
          <w:b/>
          <w:color w:val="auto"/>
          <w:sz w:val="21"/>
          <w:szCs w:val="21"/>
          <w:highlight w:val="none"/>
        </w:rPr>
        <w:t>（必须提供）</w:t>
      </w:r>
    </w:p>
    <w:p w14:paraId="1F36BDFA">
      <w:pPr>
        <w:snapToGrid w:val="0"/>
        <w:spacing w:line="360" w:lineRule="exact"/>
        <w:ind w:firstLine="411" w:firstLineChars="196"/>
        <w:jc w:val="left"/>
        <w:rPr>
          <w:rFonts w:ascii="宋体" w:hAnsi="宋体"/>
          <w:color w:val="auto"/>
          <w:sz w:val="21"/>
          <w:szCs w:val="21"/>
          <w:highlight w:val="none"/>
        </w:rPr>
      </w:pPr>
      <w:r>
        <w:rPr>
          <w:rFonts w:hint="eastAsia" w:ascii="宋体" w:hAnsi="宋体"/>
          <w:color w:val="auto"/>
          <w:sz w:val="21"/>
          <w:szCs w:val="21"/>
          <w:highlight w:val="none"/>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color w:val="auto"/>
          <w:sz w:val="21"/>
          <w:szCs w:val="21"/>
          <w:highlight w:val="none"/>
        </w:rPr>
        <w:t>（必须提供，新成立单位按实际提供）</w:t>
      </w:r>
    </w:p>
    <w:p w14:paraId="17AF7521">
      <w:pPr>
        <w:snapToGrid w:val="0"/>
        <w:spacing w:line="360" w:lineRule="exact"/>
        <w:ind w:firstLine="411" w:firstLineChars="196"/>
        <w:jc w:val="left"/>
        <w:rPr>
          <w:rFonts w:hint="eastAsia" w:ascii="宋体" w:hAnsi="宋体"/>
          <w:color w:val="auto"/>
          <w:sz w:val="21"/>
          <w:szCs w:val="21"/>
          <w:highlight w:val="none"/>
        </w:rPr>
      </w:pPr>
      <w:r>
        <w:rPr>
          <w:rFonts w:hint="eastAsia" w:ascii="宋体" w:hAnsi="宋体"/>
          <w:color w:val="auto"/>
          <w:sz w:val="21"/>
          <w:szCs w:val="21"/>
          <w:highlight w:val="none"/>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color w:val="auto"/>
          <w:sz w:val="21"/>
          <w:szCs w:val="21"/>
          <w:highlight w:val="none"/>
        </w:rPr>
        <w:t>（必须提供，新成立单位按实际提供）</w:t>
      </w:r>
    </w:p>
    <w:p w14:paraId="4DD98FE2">
      <w:pPr>
        <w:snapToGrid w:val="0"/>
        <w:spacing w:line="360" w:lineRule="exact"/>
        <w:jc w:val="left"/>
        <w:rPr>
          <w:rFonts w:hint="eastAsia" w:ascii="宋体" w:hAnsi="宋体"/>
          <w:b/>
          <w:color w:val="auto"/>
          <w:sz w:val="21"/>
          <w:szCs w:val="21"/>
          <w:highlight w:val="none"/>
        </w:rPr>
      </w:pPr>
      <w:r>
        <w:rPr>
          <w:rFonts w:hint="eastAsia" w:ascii="宋体" w:hAnsi="宋体"/>
          <w:b/>
          <w:color w:val="auto"/>
          <w:sz w:val="21"/>
          <w:szCs w:val="21"/>
          <w:highlight w:val="none"/>
        </w:rPr>
        <w:t xml:space="preserve">    </w:t>
      </w:r>
      <w:r>
        <w:rPr>
          <w:rFonts w:hint="eastAsia" w:ascii="宋体" w:hAnsi="宋体"/>
          <w:color w:val="auto"/>
          <w:sz w:val="21"/>
          <w:szCs w:val="21"/>
          <w:highlight w:val="none"/>
        </w:rPr>
        <w:t>（4）财务状况报告</w:t>
      </w:r>
      <w:r>
        <w:rPr>
          <w:rFonts w:hint="eastAsia"/>
          <w:color w:val="auto"/>
          <w:sz w:val="21"/>
          <w:szCs w:val="21"/>
          <w:highlight w:val="none"/>
        </w:rPr>
        <w:t>（</w:t>
      </w:r>
      <w:r>
        <w:rPr>
          <w:rFonts w:hint="eastAsia"/>
          <w:color w:val="auto"/>
          <w:sz w:val="21"/>
          <w:szCs w:val="21"/>
          <w:highlight w:val="none"/>
          <w:u w:val="single"/>
        </w:rPr>
        <w:t>2</w:t>
      </w:r>
      <w:r>
        <w:rPr>
          <w:color w:val="auto"/>
          <w:sz w:val="21"/>
          <w:szCs w:val="21"/>
          <w:highlight w:val="none"/>
          <w:u w:val="single"/>
        </w:rPr>
        <w:t>023</w:t>
      </w:r>
      <w:r>
        <w:rPr>
          <w:rFonts w:hint="eastAsia"/>
          <w:color w:val="auto"/>
          <w:sz w:val="21"/>
          <w:szCs w:val="21"/>
          <w:highlight w:val="none"/>
          <w:u w:val="single"/>
        </w:rPr>
        <w:t>年</w:t>
      </w:r>
      <w:r>
        <w:rPr>
          <w:rFonts w:hint="eastAsia"/>
          <w:color w:val="auto"/>
          <w:sz w:val="21"/>
          <w:szCs w:val="21"/>
          <w:highlight w:val="none"/>
          <w:u w:val="single"/>
          <w:lang w:val="en-US" w:eastAsia="zh-CN"/>
        </w:rPr>
        <w:t>或2024年</w:t>
      </w:r>
      <w:r>
        <w:rPr>
          <w:rFonts w:hint="eastAsia"/>
          <w:color w:val="auto"/>
          <w:sz w:val="21"/>
          <w:szCs w:val="21"/>
          <w:highlight w:val="none"/>
        </w:rPr>
        <w:t>财务报表复印件）或者银行出具的资信证明，或者中国人民银行征信中心出具的信用报告（企业竞标的提供企业信用报告，自然人竞标的提供个人信用报告）；供应商属于成立时间</w:t>
      </w:r>
      <w:r>
        <w:rPr>
          <w:rFonts w:hint="eastAsia"/>
          <w:color w:val="auto"/>
          <w:kern w:val="0"/>
          <w:sz w:val="21"/>
          <w:szCs w:val="21"/>
          <w:highlight w:val="none"/>
        </w:rPr>
        <w:t>在规定年度之后</w:t>
      </w:r>
      <w:r>
        <w:rPr>
          <w:rFonts w:hint="eastAsia"/>
          <w:color w:val="auto"/>
          <w:sz w:val="21"/>
          <w:szCs w:val="21"/>
          <w:highlight w:val="none"/>
        </w:rPr>
        <w:t>的法人或其他组织，只需提供响应文件提交截止时间前一个月的财务状况报告（表）或银行出具的资信证明或者中国人民银行征信中心出具的企业信用报告；资信证明应在有效期内，未注明有效期的，银行出具时间至响应文件提交截止时间不超过一年）</w:t>
      </w:r>
      <w:r>
        <w:rPr>
          <w:rFonts w:hint="eastAsia" w:ascii="宋体" w:hAnsi="宋体"/>
          <w:b/>
          <w:color w:val="auto"/>
          <w:sz w:val="21"/>
          <w:szCs w:val="21"/>
          <w:highlight w:val="none"/>
        </w:rPr>
        <w:t>（必须提供）</w:t>
      </w:r>
    </w:p>
    <w:p w14:paraId="65C55630">
      <w:pPr>
        <w:snapToGrid w:val="0"/>
        <w:spacing w:line="360" w:lineRule="exact"/>
        <w:ind w:firstLine="411" w:firstLineChars="196"/>
        <w:jc w:val="left"/>
        <w:rPr>
          <w:rFonts w:hint="eastAsia" w:ascii="宋体" w:hAnsi="宋体" w:cs="宋体"/>
          <w:b/>
          <w:color w:val="auto"/>
          <w:kern w:val="0"/>
          <w:sz w:val="21"/>
          <w:szCs w:val="21"/>
          <w:highlight w:val="none"/>
        </w:rPr>
      </w:pPr>
      <w:r>
        <w:rPr>
          <w:rFonts w:hint="eastAsia" w:ascii="宋体" w:hAnsi="宋体" w:cs="宋体"/>
          <w:color w:val="auto"/>
          <w:kern w:val="0"/>
          <w:sz w:val="21"/>
          <w:szCs w:val="21"/>
          <w:highlight w:val="none"/>
        </w:rPr>
        <w:t>（5）</w:t>
      </w:r>
      <w:r>
        <w:rPr>
          <w:rFonts w:ascii="宋体" w:hAnsi="宋体"/>
          <w:color w:val="auto"/>
          <w:sz w:val="21"/>
          <w:szCs w:val="21"/>
          <w:highlight w:val="none"/>
        </w:rPr>
        <w:t>具备履行合同所必需的设备和专业技术能力的证明材料</w:t>
      </w:r>
      <w:r>
        <w:rPr>
          <w:rFonts w:hint="eastAsia" w:ascii="宋体" w:hAnsi="宋体" w:cs="宋体"/>
          <w:color w:val="auto"/>
          <w:kern w:val="0"/>
          <w:sz w:val="21"/>
          <w:szCs w:val="21"/>
          <w:highlight w:val="none"/>
        </w:rPr>
        <w:t>。</w:t>
      </w:r>
      <w:r>
        <w:rPr>
          <w:rFonts w:hint="eastAsia" w:ascii="宋体" w:hAnsi="宋体"/>
          <w:b/>
          <w:color w:val="auto"/>
          <w:sz w:val="21"/>
          <w:szCs w:val="21"/>
          <w:highlight w:val="none"/>
        </w:rPr>
        <w:t>（内容、格式自拟，必须提供）</w:t>
      </w:r>
    </w:p>
    <w:p w14:paraId="74A070D4">
      <w:pPr>
        <w:snapToGrid w:val="0"/>
        <w:spacing w:line="360" w:lineRule="exact"/>
        <w:ind w:firstLine="411" w:firstLineChars="196"/>
        <w:jc w:val="left"/>
        <w:rPr>
          <w:rFonts w:hint="eastAsia" w:ascii="宋体" w:hAnsi="宋体"/>
          <w:color w:val="auto"/>
          <w:sz w:val="21"/>
          <w:szCs w:val="21"/>
          <w:highlight w:val="none"/>
        </w:rPr>
      </w:pPr>
      <w:r>
        <w:rPr>
          <w:rFonts w:hint="eastAsia" w:ascii="宋体" w:hAnsi="宋体" w:cs="宋体"/>
          <w:color w:val="auto"/>
          <w:kern w:val="0"/>
          <w:sz w:val="21"/>
          <w:szCs w:val="21"/>
          <w:highlight w:val="none"/>
        </w:rPr>
        <w:t>（6）</w:t>
      </w:r>
      <w:r>
        <w:rPr>
          <w:rFonts w:hint="eastAsia" w:ascii="宋体" w:hAnsi="宋体"/>
          <w:color w:val="auto"/>
          <w:sz w:val="21"/>
          <w:szCs w:val="21"/>
          <w:highlight w:val="none"/>
        </w:rPr>
        <w:t>参加政府采购活动前三年内在经营活动中没有重大违法记录和不良信用记录的书面声明。（</w:t>
      </w:r>
      <w:r>
        <w:rPr>
          <w:rFonts w:hint="eastAsia" w:ascii="宋体" w:hAnsi="宋体"/>
          <w:b/>
          <w:color w:val="auto"/>
          <w:sz w:val="21"/>
          <w:szCs w:val="21"/>
          <w:highlight w:val="none"/>
        </w:rPr>
        <w:t>格式自拟，必须提供</w:t>
      </w:r>
      <w:r>
        <w:rPr>
          <w:rFonts w:hint="eastAsia" w:ascii="宋体" w:hAnsi="宋体"/>
          <w:color w:val="auto"/>
          <w:sz w:val="21"/>
          <w:szCs w:val="21"/>
          <w:highlight w:val="none"/>
        </w:rPr>
        <w:t>）</w:t>
      </w:r>
    </w:p>
    <w:p w14:paraId="37222E54">
      <w:pPr>
        <w:snapToGrid w:val="0"/>
        <w:spacing w:line="360" w:lineRule="exact"/>
        <w:ind w:firstLine="413" w:firstLineChars="196"/>
        <w:jc w:val="left"/>
        <w:rPr>
          <w:rFonts w:hint="eastAsia" w:ascii="宋体" w:hAnsi="宋体"/>
          <w:b/>
          <w:color w:val="auto"/>
          <w:sz w:val="21"/>
          <w:szCs w:val="21"/>
          <w:highlight w:val="none"/>
        </w:rPr>
      </w:pPr>
      <w:r>
        <w:rPr>
          <w:rFonts w:hint="eastAsia" w:ascii="宋体" w:hAnsi="宋体"/>
          <w:b/>
          <w:color w:val="auto"/>
          <w:sz w:val="21"/>
          <w:szCs w:val="21"/>
          <w:highlight w:val="none"/>
        </w:rPr>
        <w:t>注：采购人或采购代理机构在资格审查结束前对供应商进行信用查询</w:t>
      </w:r>
    </w:p>
    <w:p w14:paraId="5E647AD6">
      <w:pPr>
        <w:snapToGrid w:val="0"/>
        <w:spacing w:line="360" w:lineRule="exact"/>
        <w:ind w:firstLine="413" w:firstLineChars="196"/>
        <w:jc w:val="left"/>
        <w:rPr>
          <w:rFonts w:hint="eastAsia" w:ascii="宋体" w:hAnsi="宋体"/>
          <w:b/>
          <w:color w:val="auto"/>
          <w:sz w:val="21"/>
          <w:szCs w:val="21"/>
          <w:highlight w:val="none"/>
        </w:rPr>
      </w:pPr>
      <w:r>
        <w:rPr>
          <w:rFonts w:hint="eastAsia" w:ascii="宋体" w:hAnsi="宋体"/>
          <w:b/>
          <w:color w:val="auto"/>
          <w:sz w:val="21"/>
          <w:szCs w:val="21"/>
          <w:highlight w:val="none"/>
        </w:rPr>
        <w:t>查询渠道：“信用中国”网站</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www.creditchina.gov.cn</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 xml:space="preserve"> 、中国政府采购网</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www.ccgp.gov.cn</w:t>
      </w:r>
      <w:r>
        <w:rPr>
          <w:rFonts w:hint="eastAsia" w:ascii="宋体" w:hAnsi="宋体"/>
          <w:b/>
          <w:color w:val="auto"/>
          <w:sz w:val="21"/>
          <w:szCs w:val="21"/>
          <w:highlight w:val="none"/>
          <w:lang w:eastAsia="zh-CN"/>
        </w:rPr>
        <w:t>）</w:t>
      </w:r>
    </w:p>
    <w:p w14:paraId="2895959F">
      <w:pPr>
        <w:snapToGrid w:val="0"/>
        <w:spacing w:line="360" w:lineRule="exact"/>
        <w:ind w:firstLine="413" w:firstLineChars="196"/>
        <w:jc w:val="left"/>
        <w:rPr>
          <w:rFonts w:hint="eastAsia" w:ascii="宋体" w:hAnsi="宋体"/>
          <w:b/>
          <w:color w:val="auto"/>
          <w:sz w:val="21"/>
          <w:szCs w:val="21"/>
          <w:highlight w:val="none"/>
        </w:rPr>
      </w:pPr>
      <w:r>
        <w:rPr>
          <w:rFonts w:hint="eastAsia" w:ascii="宋体" w:hAnsi="宋体"/>
          <w:b/>
          <w:color w:val="auto"/>
          <w:sz w:val="21"/>
          <w:szCs w:val="21"/>
          <w:highlight w:val="none"/>
        </w:rPr>
        <w:t>查询截止时间：资格审查结束前。</w:t>
      </w:r>
    </w:p>
    <w:p w14:paraId="7D463FD2">
      <w:pPr>
        <w:snapToGrid w:val="0"/>
        <w:spacing w:line="360" w:lineRule="exact"/>
        <w:ind w:firstLine="413" w:firstLineChars="196"/>
        <w:jc w:val="left"/>
        <w:rPr>
          <w:rFonts w:hint="eastAsia" w:ascii="宋体" w:hAnsi="宋体"/>
          <w:b/>
          <w:color w:val="auto"/>
          <w:sz w:val="21"/>
          <w:szCs w:val="21"/>
          <w:highlight w:val="none"/>
        </w:rPr>
      </w:pPr>
      <w:r>
        <w:rPr>
          <w:rFonts w:hint="eastAsia" w:ascii="宋体" w:hAnsi="宋体"/>
          <w:b/>
          <w:color w:val="auto"/>
          <w:sz w:val="21"/>
          <w:szCs w:val="21"/>
          <w:highlight w:val="none"/>
        </w:rPr>
        <w:t>查询记录和证据留存方式：在查询网站中直接打印查询记录，打印材料作为评审资料保存。</w:t>
      </w:r>
    </w:p>
    <w:p w14:paraId="590E021D">
      <w:pPr>
        <w:snapToGrid w:val="0"/>
        <w:spacing w:line="360" w:lineRule="exact"/>
        <w:ind w:firstLine="413" w:firstLineChars="196"/>
        <w:jc w:val="left"/>
        <w:rPr>
          <w:rFonts w:hint="eastAsia" w:ascii="宋体" w:hAnsi="宋体"/>
          <w:b/>
          <w:color w:val="auto"/>
          <w:sz w:val="21"/>
          <w:szCs w:val="21"/>
          <w:highlight w:val="none"/>
        </w:rPr>
      </w:pPr>
      <w:r>
        <w:rPr>
          <w:rFonts w:hint="eastAsia" w:ascii="宋体" w:hAnsi="宋体"/>
          <w:b/>
          <w:color w:val="auto"/>
          <w:sz w:val="21"/>
          <w:szCs w:val="21"/>
          <w:highlight w:val="none"/>
        </w:rPr>
        <w:t>信用信息使用规则：对在“信用中国”网站</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www.creditchina.gov.cn</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 xml:space="preserve"> 、中国政府采购网</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www.ccgp.gov.cn</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被列入失信被执行人、重大税收违法失信主体、政府采购严重违法失信行为记录名单及其他不符合《中华人民共和国政府采购法》第二十二条规定条件的供应商，将拒绝其参与政府采购活动。</w:t>
      </w:r>
    </w:p>
    <w:p w14:paraId="4C278902">
      <w:pPr>
        <w:pStyle w:val="25"/>
        <w:snapToGrid w:val="0"/>
        <w:spacing w:line="370" w:lineRule="exact"/>
        <w:ind w:firstLine="422" w:firstLineChars="200"/>
        <w:jc w:val="left"/>
        <w:rPr>
          <w:rFonts w:hint="eastAsia"/>
          <w:b/>
          <w:color w:val="auto"/>
          <w:sz w:val="21"/>
          <w:szCs w:val="21"/>
          <w:highlight w:val="none"/>
          <w:lang w:eastAsia="zh-CN"/>
        </w:rPr>
      </w:pPr>
      <w:r>
        <w:rPr>
          <w:rFonts w:hint="eastAsia"/>
          <w:b/>
          <w:color w:val="auto"/>
          <w:sz w:val="21"/>
          <w:szCs w:val="21"/>
          <w:highlight w:val="none"/>
        </w:rPr>
        <w:t>2.商务技术文件：</w:t>
      </w:r>
    </w:p>
    <w:p w14:paraId="2DE8EC7A">
      <w:pPr>
        <w:pStyle w:val="25"/>
        <w:snapToGrid w:val="0"/>
        <w:spacing w:line="370" w:lineRule="exact"/>
        <w:ind w:firstLine="422" w:firstLineChars="200"/>
        <w:jc w:val="left"/>
        <w:rPr>
          <w:rFonts w:hint="eastAsia"/>
          <w:b/>
          <w:color w:val="auto"/>
          <w:sz w:val="21"/>
          <w:szCs w:val="21"/>
          <w:highlight w:val="none"/>
        </w:rPr>
      </w:pPr>
      <w:r>
        <w:rPr>
          <w:rFonts w:hint="eastAsia"/>
          <w:b/>
          <w:color w:val="auto"/>
          <w:sz w:val="21"/>
          <w:szCs w:val="21"/>
          <w:highlight w:val="none"/>
        </w:rPr>
        <w:t>2.</w:t>
      </w:r>
      <w:r>
        <w:rPr>
          <w:rFonts w:hint="eastAsia"/>
          <w:b/>
          <w:color w:val="auto"/>
          <w:sz w:val="21"/>
          <w:szCs w:val="21"/>
          <w:highlight w:val="none"/>
          <w:lang w:eastAsia="zh-CN"/>
        </w:rPr>
        <w:t>1</w:t>
      </w:r>
      <w:r>
        <w:rPr>
          <w:rFonts w:hint="eastAsia"/>
          <w:b/>
          <w:color w:val="auto"/>
          <w:sz w:val="21"/>
          <w:szCs w:val="21"/>
          <w:highlight w:val="none"/>
        </w:rPr>
        <w:t>商务文件：</w:t>
      </w:r>
    </w:p>
    <w:p w14:paraId="75092526">
      <w:pPr>
        <w:snapToGrid w:val="0"/>
        <w:spacing w:line="370" w:lineRule="exact"/>
        <w:ind w:firstLine="411" w:firstLineChars="196"/>
        <w:jc w:val="left"/>
        <w:rPr>
          <w:rFonts w:hint="eastAsia" w:ascii="宋体"/>
          <w:color w:val="auto"/>
          <w:sz w:val="21"/>
          <w:szCs w:val="21"/>
          <w:highlight w:val="none"/>
        </w:rPr>
      </w:pPr>
      <w:r>
        <w:rPr>
          <w:rFonts w:hint="eastAsia" w:ascii="宋体"/>
          <w:color w:val="auto"/>
          <w:sz w:val="21"/>
          <w:szCs w:val="21"/>
          <w:highlight w:val="none"/>
        </w:rPr>
        <w:t>（1）</w:t>
      </w:r>
      <w:r>
        <w:rPr>
          <w:rFonts w:hint="eastAsia" w:ascii="宋体" w:hAnsi="宋体"/>
          <w:color w:val="auto"/>
          <w:sz w:val="21"/>
          <w:szCs w:val="21"/>
          <w:highlight w:val="none"/>
        </w:rPr>
        <w:t>投标保证金的提交凭证</w:t>
      </w:r>
      <w:r>
        <w:rPr>
          <w:rFonts w:hint="eastAsia" w:ascii="宋体"/>
          <w:color w:val="auto"/>
          <w:sz w:val="21"/>
          <w:szCs w:val="21"/>
          <w:highlight w:val="none"/>
        </w:rPr>
        <w:t>；</w:t>
      </w:r>
      <w:r>
        <w:rPr>
          <w:rFonts w:hint="eastAsia" w:ascii="宋体"/>
          <w:b/>
          <w:color w:val="auto"/>
          <w:sz w:val="21"/>
          <w:szCs w:val="21"/>
          <w:highlight w:val="none"/>
        </w:rPr>
        <w:t>（必须提供）</w:t>
      </w:r>
    </w:p>
    <w:p w14:paraId="0CDB2C42">
      <w:pPr>
        <w:snapToGrid w:val="0"/>
        <w:spacing w:line="370" w:lineRule="exact"/>
        <w:ind w:firstLine="411" w:firstLineChars="196"/>
        <w:jc w:val="left"/>
        <w:rPr>
          <w:rFonts w:hint="eastAsia" w:ascii="宋体"/>
          <w:color w:val="auto"/>
          <w:sz w:val="21"/>
          <w:szCs w:val="21"/>
          <w:highlight w:val="none"/>
        </w:rPr>
      </w:pPr>
      <w:r>
        <w:rPr>
          <w:rFonts w:hint="eastAsia" w:ascii="宋体"/>
          <w:color w:val="auto"/>
          <w:sz w:val="21"/>
          <w:szCs w:val="21"/>
          <w:highlight w:val="none"/>
        </w:rPr>
        <w:t xml:space="preserve">（2）投标声明书 </w:t>
      </w:r>
      <w:r>
        <w:rPr>
          <w:rFonts w:hint="eastAsia" w:ascii="宋体"/>
          <w:color w:val="auto"/>
          <w:sz w:val="21"/>
          <w:szCs w:val="21"/>
          <w:highlight w:val="none"/>
          <w:lang w:eastAsia="zh-CN"/>
        </w:rPr>
        <w:t>（</w:t>
      </w:r>
      <w:r>
        <w:rPr>
          <w:rFonts w:hint="eastAsia" w:ascii="宋体"/>
          <w:color w:val="auto"/>
          <w:sz w:val="21"/>
          <w:szCs w:val="21"/>
          <w:highlight w:val="none"/>
        </w:rPr>
        <w:t>格式见第六章</w:t>
      </w:r>
      <w:r>
        <w:rPr>
          <w:rFonts w:hint="eastAsia" w:ascii="宋体"/>
          <w:color w:val="auto"/>
          <w:sz w:val="21"/>
          <w:szCs w:val="21"/>
          <w:highlight w:val="none"/>
          <w:lang w:eastAsia="zh-CN"/>
        </w:rPr>
        <w:t>）</w:t>
      </w:r>
      <w:r>
        <w:rPr>
          <w:rFonts w:hint="eastAsia" w:ascii="宋体"/>
          <w:color w:val="auto"/>
          <w:sz w:val="21"/>
          <w:szCs w:val="21"/>
          <w:highlight w:val="none"/>
        </w:rPr>
        <w:t>；</w:t>
      </w:r>
      <w:r>
        <w:rPr>
          <w:rFonts w:hint="eastAsia" w:ascii="宋体"/>
          <w:b/>
          <w:color w:val="auto"/>
          <w:sz w:val="21"/>
          <w:szCs w:val="21"/>
          <w:highlight w:val="none"/>
        </w:rPr>
        <w:t>（必须提供）</w:t>
      </w:r>
    </w:p>
    <w:p w14:paraId="0C73D4C0">
      <w:pPr>
        <w:snapToGrid w:val="0"/>
        <w:spacing w:line="370" w:lineRule="exact"/>
        <w:ind w:firstLine="411" w:firstLineChars="196"/>
        <w:jc w:val="left"/>
        <w:rPr>
          <w:rFonts w:hint="eastAsia" w:ascii="宋体"/>
          <w:color w:val="auto"/>
          <w:sz w:val="21"/>
          <w:szCs w:val="21"/>
          <w:highlight w:val="none"/>
        </w:rPr>
      </w:pPr>
      <w:r>
        <w:rPr>
          <w:rFonts w:hint="eastAsia" w:ascii="宋体"/>
          <w:color w:val="auto"/>
          <w:sz w:val="21"/>
          <w:szCs w:val="21"/>
          <w:highlight w:val="none"/>
        </w:rPr>
        <w:t>（3）法定代表人</w:t>
      </w:r>
      <w:r>
        <w:rPr>
          <w:rFonts w:hint="eastAsia" w:ascii="宋体"/>
          <w:color w:val="auto"/>
          <w:sz w:val="21"/>
          <w:szCs w:val="21"/>
          <w:highlight w:val="none"/>
          <w:lang w:eastAsia="zh-CN"/>
        </w:rPr>
        <w:t>（</w:t>
      </w:r>
      <w:r>
        <w:rPr>
          <w:rFonts w:hint="eastAsia" w:ascii="宋体"/>
          <w:color w:val="auto"/>
          <w:sz w:val="21"/>
          <w:szCs w:val="21"/>
          <w:highlight w:val="none"/>
        </w:rPr>
        <w:t>负责人</w:t>
      </w:r>
      <w:r>
        <w:rPr>
          <w:rFonts w:hint="eastAsia" w:ascii="宋体"/>
          <w:color w:val="auto"/>
          <w:sz w:val="21"/>
          <w:szCs w:val="21"/>
          <w:highlight w:val="none"/>
          <w:lang w:eastAsia="zh-CN"/>
        </w:rPr>
        <w:t>）</w:t>
      </w:r>
      <w:r>
        <w:rPr>
          <w:rFonts w:hint="eastAsia" w:ascii="宋体"/>
          <w:color w:val="auto"/>
          <w:sz w:val="21"/>
          <w:szCs w:val="21"/>
          <w:highlight w:val="none"/>
        </w:rPr>
        <w:t>授权委托书和委托代理人身份证正、反面复印件（格式见第六章</w:t>
      </w:r>
      <w:r>
        <w:rPr>
          <w:rFonts w:hint="eastAsia" w:ascii="宋体"/>
          <w:color w:val="auto"/>
          <w:sz w:val="21"/>
          <w:szCs w:val="21"/>
          <w:highlight w:val="none"/>
          <w:lang w:eastAsia="zh-CN"/>
        </w:rPr>
        <w:t>）</w:t>
      </w:r>
      <w:r>
        <w:rPr>
          <w:rFonts w:hint="eastAsia" w:ascii="宋体"/>
          <w:b/>
          <w:color w:val="auto"/>
          <w:sz w:val="21"/>
          <w:szCs w:val="21"/>
          <w:highlight w:val="none"/>
        </w:rPr>
        <w:t>（委托时必须提供）</w:t>
      </w:r>
    </w:p>
    <w:p w14:paraId="4F0CFDB1">
      <w:pPr>
        <w:snapToGrid w:val="0"/>
        <w:spacing w:line="370" w:lineRule="exact"/>
        <w:ind w:firstLine="411" w:firstLineChars="196"/>
        <w:jc w:val="left"/>
        <w:rPr>
          <w:rFonts w:hint="eastAsia" w:ascii="宋体"/>
          <w:color w:val="auto"/>
          <w:sz w:val="21"/>
          <w:szCs w:val="21"/>
          <w:highlight w:val="none"/>
        </w:rPr>
      </w:pPr>
      <w:r>
        <w:rPr>
          <w:rFonts w:hint="eastAsia" w:ascii="宋体"/>
          <w:color w:val="auto"/>
          <w:sz w:val="21"/>
          <w:szCs w:val="21"/>
          <w:highlight w:val="none"/>
        </w:rPr>
        <w:t>（4）法定代表人</w:t>
      </w:r>
      <w:r>
        <w:rPr>
          <w:rFonts w:hint="eastAsia" w:ascii="宋体"/>
          <w:color w:val="auto"/>
          <w:sz w:val="21"/>
          <w:szCs w:val="21"/>
          <w:highlight w:val="none"/>
          <w:lang w:eastAsia="zh-CN"/>
        </w:rPr>
        <w:t>（</w:t>
      </w:r>
      <w:r>
        <w:rPr>
          <w:rFonts w:hint="eastAsia" w:ascii="宋体"/>
          <w:color w:val="auto"/>
          <w:sz w:val="21"/>
          <w:szCs w:val="21"/>
          <w:highlight w:val="none"/>
        </w:rPr>
        <w:t>负责人</w:t>
      </w:r>
      <w:r>
        <w:rPr>
          <w:rFonts w:hint="eastAsia" w:ascii="宋体"/>
          <w:color w:val="auto"/>
          <w:sz w:val="21"/>
          <w:szCs w:val="21"/>
          <w:highlight w:val="none"/>
          <w:lang w:eastAsia="zh-CN"/>
        </w:rPr>
        <w:t>）</w:t>
      </w:r>
      <w:r>
        <w:rPr>
          <w:rFonts w:hint="eastAsia" w:ascii="宋体"/>
          <w:color w:val="auto"/>
          <w:sz w:val="21"/>
          <w:szCs w:val="21"/>
          <w:highlight w:val="none"/>
        </w:rPr>
        <w:t>身份证明书（格式见附件</w:t>
      </w:r>
      <w:r>
        <w:rPr>
          <w:rFonts w:hint="eastAsia" w:ascii="宋体"/>
          <w:color w:val="auto"/>
          <w:sz w:val="21"/>
          <w:szCs w:val="21"/>
          <w:highlight w:val="none"/>
          <w:lang w:eastAsia="zh-CN"/>
        </w:rPr>
        <w:t>）</w:t>
      </w:r>
      <w:r>
        <w:rPr>
          <w:rFonts w:hint="eastAsia" w:ascii="宋体"/>
          <w:color w:val="auto"/>
          <w:sz w:val="21"/>
          <w:szCs w:val="21"/>
          <w:highlight w:val="none"/>
        </w:rPr>
        <w:t>、法定代表人（负责人）有效身份证正反面复印件</w:t>
      </w:r>
      <w:r>
        <w:rPr>
          <w:rFonts w:hint="eastAsia" w:ascii="宋体"/>
          <w:b/>
          <w:color w:val="auto"/>
          <w:sz w:val="21"/>
          <w:szCs w:val="21"/>
          <w:highlight w:val="none"/>
        </w:rPr>
        <w:t>（必须提供）</w:t>
      </w:r>
      <w:r>
        <w:rPr>
          <w:rFonts w:hint="eastAsia" w:ascii="宋体"/>
          <w:color w:val="auto"/>
          <w:sz w:val="21"/>
          <w:szCs w:val="21"/>
          <w:highlight w:val="none"/>
        </w:rPr>
        <w:t xml:space="preserve">； </w:t>
      </w:r>
    </w:p>
    <w:p w14:paraId="0FF9117E">
      <w:pPr>
        <w:snapToGrid w:val="0"/>
        <w:spacing w:line="370" w:lineRule="exact"/>
        <w:ind w:firstLine="411" w:firstLineChars="196"/>
        <w:jc w:val="left"/>
        <w:rPr>
          <w:rFonts w:hint="eastAsia" w:ascii="宋体"/>
          <w:b/>
          <w:color w:val="auto"/>
          <w:sz w:val="21"/>
          <w:szCs w:val="21"/>
          <w:highlight w:val="none"/>
        </w:rPr>
      </w:pPr>
      <w:r>
        <w:rPr>
          <w:rFonts w:hint="eastAsia" w:ascii="宋体"/>
          <w:color w:val="auto"/>
          <w:sz w:val="21"/>
          <w:szCs w:val="21"/>
          <w:highlight w:val="none"/>
        </w:rPr>
        <w:t>（5）商务响应表（格式见第六章）；</w:t>
      </w:r>
      <w:r>
        <w:rPr>
          <w:rFonts w:hint="eastAsia" w:ascii="宋体"/>
          <w:b/>
          <w:color w:val="auto"/>
          <w:sz w:val="21"/>
          <w:szCs w:val="21"/>
          <w:highlight w:val="none"/>
        </w:rPr>
        <w:t>（必须提供）</w:t>
      </w:r>
    </w:p>
    <w:p w14:paraId="55B19826">
      <w:pPr>
        <w:snapToGrid w:val="0"/>
        <w:spacing w:line="370" w:lineRule="exact"/>
        <w:ind w:firstLine="411" w:firstLineChars="196"/>
        <w:jc w:val="left"/>
        <w:rPr>
          <w:rFonts w:hint="eastAsia" w:ascii="宋体"/>
          <w:b/>
          <w:color w:val="auto"/>
          <w:sz w:val="21"/>
          <w:szCs w:val="21"/>
          <w:highlight w:val="none"/>
        </w:rPr>
      </w:pPr>
      <w:r>
        <w:rPr>
          <w:rFonts w:hint="eastAsia" w:ascii="宋体"/>
          <w:color w:val="auto"/>
          <w:sz w:val="21"/>
          <w:szCs w:val="21"/>
          <w:highlight w:val="none"/>
        </w:rPr>
        <w:t>（6）招标项目采购需求中要求必须提供的材料等；</w:t>
      </w:r>
      <w:r>
        <w:rPr>
          <w:rFonts w:hint="eastAsia"/>
          <w:color w:val="auto"/>
          <w:sz w:val="21"/>
          <w:szCs w:val="21"/>
          <w:highlight w:val="none"/>
        </w:rPr>
        <w:t>（招标项目采购需求中要求必须提供的材料，据实提供）</w:t>
      </w:r>
    </w:p>
    <w:p w14:paraId="6571F6FD">
      <w:pPr>
        <w:snapToGrid w:val="0"/>
        <w:spacing w:line="370" w:lineRule="exact"/>
        <w:ind w:firstLine="411" w:firstLineChars="196"/>
        <w:jc w:val="left"/>
        <w:rPr>
          <w:rFonts w:hint="eastAsia" w:ascii="宋体"/>
          <w:b/>
          <w:color w:val="auto"/>
          <w:sz w:val="21"/>
          <w:szCs w:val="21"/>
          <w:highlight w:val="none"/>
        </w:rPr>
      </w:pPr>
      <w:r>
        <w:rPr>
          <w:rFonts w:hint="eastAsia" w:ascii="宋体"/>
          <w:color w:val="auto"/>
          <w:sz w:val="21"/>
          <w:szCs w:val="21"/>
          <w:highlight w:val="none"/>
        </w:rPr>
        <w:t>（7）具备法律、行政法规规定的其他条件的证明材料。</w:t>
      </w:r>
      <w:r>
        <w:rPr>
          <w:rFonts w:hint="eastAsia" w:ascii="宋体"/>
          <w:b/>
          <w:color w:val="auto"/>
          <w:sz w:val="21"/>
          <w:szCs w:val="21"/>
          <w:highlight w:val="none"/>
        </w:rPr>
        <w:t xml:space="preserve"> </w:t>
      </w:r>
      <w:r>
        <w:rPr>
          <w:rFonts w:hint="eastAsia" w:ascii="宋体"/>
          <w:b/>
          <w:color w:val="auto"/>
          <w:sz w:val="21"/>
          <w:szCs w:val="21"/>
          <w:highlight w:val="none"/>
          <w:lang w:eastAsia="zh-CN"/>
        </w:rPr>
        <w:t>（</w:t>
      </w:r>
      <w:r>
        <w:rPr>
          <w:rFonts w:hint="eastAsia" w:ascii="宋体"/>
          <w:b/>
          <w:color w:val="auto"/>
          <w:sz w:val="21"/>
          <w:szCs w:val="21"/>
          <w:highlight w:val="none"/>
        </w:rPr>
        <w:t>如有规定</w:t>
      </w:r>
      <w:r>
        <w:rPr>
          <w:rFonts w:hint="eastAsia" w:ascii="宋体"/>
          <w:b/>
          <w:color w:val="auto"/>
          <w:sz w:val="21"/>
          <w:szCs w:val="21"/>
          <w:highlight w:val="none"/>
          <w:lang w:eastAsia="zh-CN"/>
        </w:rPr>
        <w:t>，</w:t>
      </w:r>
      <w:r>
        <w:rPr>
          <w:rFonts w:hint="eastAsia" w:ascii="宋体"/>
          <w:b/>
          <w:color w:val="auto"/>
          <w:sz w:val="21"/>
          <w:szCs w:val="21"/>
          <w:highlight w:val="none"/>
        </w:rPr>
        <w:t>则必须提供</w:t>
      </w:r>
      <w:r>
        <w:rPr>
          <w:rFonts w:hint="eastAsia" w:ascii="宋体"/>
          <w:b/>
          <w:color w:val="auto"/>
          <w:sz w:val="21"/>
          <w:szCs w:val="21"/>
          <w:highlight w:val="none"/>
          <w:lang w:eastAsia="zh-CN"/>
        </w:rPr>
        <w:t>）</w:t>
      </w:r>
    </w:p>
    <w:p w14:paraId="50AE4959">
      <w:pPr>
        <w:snapToGrid w:val="0"/>
        <w:spacing w:line="370" w:lineRule="exact"/>
        <w:ind w:firstLine="413" w:firstLineChars="196"/>
        <w:jc w:val="left"/>
        <w:rPr>
          <w:rFonts w:hint="eastAsia" w:ascii="宋体"/>
          <w:b/>
          <w:bCs/>
          <w:color w:val="auto"/>
          <w:sz w:val="21"/>
          <w:szCs w:val="21"/>
          <w:highlight w:val="none"/>
        </w:rPr>
      </w:pPr>
      <w:r>
        <w:rPr>
          <w:rFonts w:hint="eastAsia" w:ascii="宋体"/>
          <w:b/>
          <w:bCs/>
          <w:color w:val="auto"/>
          <w:sz w:val="21"/>
          <w:szCs w:val="21"/>
          <w:highlight w:val="none"/>
        </w:rPr>
        <w:t xml:space="preserve">可作为投标人资信评分的资质证明材料（可选）  </w:t>
      </w:r>
    </w:p>
    <w:p w14:paraId="66C78C10">
      <w:pPr>
        <w:snapToGrid w:val="0"/>
        <w:spacing w:line="370" w:lineRule="exact"/>
        <w:ind w:firstLine="411" w:firstLineChars="196"/>
        <w:jc w:val="left"/>
        <w:rPr>
          <w:rFonts w:hint="eastAsia" w:ascii="宋体"/>
          <w:color w:val="auto"/>
          <w:sz w:val="21"/>
          <w:szCs w:val="21"/>
          <w:highlight w:val="none"/>
        </w:rPr>
      </w:pPr>
      <w:r>
        <w:rPr>
          <w:rFonts w:hint="eastAsia" w:ascii="宋体"/>
          <w:color w:val="auto"/>
          <w:sz w:val="21"/>
          <w:szCs w:val="21"/>
          <w:highlight w:val="none"/>
        </w:rPr>
        <w:t>（8）类似成功案例的业绩（投标人同类项目实施情况一览表、合同扫描件等，格式可自行调整）；</w:t>
      </w:r>
    </w:p>
    <w:p w14:paraId="1541F38D">
      <w:pPr>
        <w:snapToGrid w:val="0"/>
        <w:spacing w:line="370" w:lineRule="exact"/>
        <w:ind w:firstLine="411" w:firstLineChars="196"/>
        <w:jc w:val="left"/>
        <w:rPr>
          <w:rFonts w:hint="eastAsia" w:ascii="宋体"/>
          <w:color w:val="auto"/>
          <w:sz w:val="21"/>
          <w:szCs w:val="21"/>
          <w:highlight w:val="none"/>
        </w:rPr>
      </w:pPr>
      <w:r>
        <w:rPr>
          <w:rFonts w:hint="eastAsia" w:ascii="宋体"/>
          <w:color w:val="auto"/>
          <w:sz w:val="21"/>
          <w:szCs w:val="21"/>
          <w:highlight w:val="none"/>
        </w:rPr>
        <w:t>（9）其他特殊资质证书；</w:t>
      </w:r>
    </w:p>
    <w:p w14:paraId="57BB711D">
      <w:pPr>
        <w:snapToGrid w:val="0"/>
        <w:spacing w:line="370" w:lineRule="exact"/>
        <w:ind w:firstLine="411" w:firstLineChars="196"/>
        <w:jc w:val="left"/>
        <w:rPr>
          <w:rFonts w:hint="eastAsia" w:ascii="宋体" w:hAnsi="宋体"/>
          <w:color w:val="auto"/>
          <w:sz w:val="21"/>
          <w:szCs w:val="21"/>
          <w:highlight w:val="none"/>
        </w:rPr>
      </w:pPr>
      <w:r>
        <w:rPr>
          <w:rFonts w:hint="eastAsia" w:ascii="宋体"/>
          <w:color w:val="auto"/>
          <w:sz w:val="21"/>
          <w:szCs w:val="21"/>
          <w:highlight w:val="none"/>
        </w:rPr>
        <w:t>（10）投标</w:t>
      </w:r>
      <w:r>
        <w:rPr>
          <w:rFonts w:hint="eastAsia" w:ascii="宋体" w:hAnsi="宋体"/>
          <w:color w:val="auto"/>
          <w:sz w:val="21"/>
          <w:szCs w:val="21"/>
          <w:highlight w:val="none"/>
        </w:rPr>
        <w:t>人质量管理和质量保证体系等方面的认证证书；</w:t>
      </w:r>
    </w:p>
    <w:p w14:paraId="260D5D8D">
      <w:pPr>
        <w:snapToGrid w:val="0"/>
        <w:spacing w:line="370" w:lineRule="exact"/>
        <w:ind w:firstLine="411" w:firstLineChars="196"/>
        <w:jc w:val="left"/>
        <w:rPr>
          <w:rFonts w:hint="eastAsia" w:ascii="宋体" w:hAnsi="宋体"/>
          <w:color w:val="auto"/>
          <w:sz w:val="21"/>
          <w:szCs w:val="21"/>
          <w:highlight w:val="none"/>
        </w:rPr>
      </w:pPr>
      <w:r>
        <w:rPr>
          <w:rFonts w:hint="eastAsia" w:ascii="宋体" w:hAnsi="宋体"/>
          <w:color w:val="auto"/>
          <w:sz w:val="21"/>
          <w:szCs w:val="21"/>
          <w:highlight w:val="none"/>
        </w:rPr>
        <w:t>（11）投标人认为可以证明其能力或业绩的其他材料；</w:t>
      </w:r>
    </w:p>
    <w:p w14:paraId="0F579E88">
      <w:pPr>
        <w:snapToGrid w:val="0"/>
        <w:spacing w:line="370" w:lineRule="exact"/>
        <w:ind w:firstLine="411" w:firstLineChars="196"/>
        <w:jc w:val="left"/>
        <w:rPr>
          <w:rFonts w:hint="eastAsia" w:ascii="宋体" w:hAnsi="宋体"/>
          <w:color w:val="auto"/>
          <w:sz w:val="21"/>
          <w:szCs w:val="21"/>
          <w:highlight w:val="none"/>
        </w:rPr>
      </w:pPr>
      <w:r>
        <w:rPr>
          <w:rFonts w:hint="eastAsia" w:ascii="宋体" w:hAnsi="宋体"/>
          <w:color w:val="auto"/>
          <w:sz w:val="21"/>
          <w:szCs w:val="21"/>
          <w:highlight w:val="none"/>
        </w:rPr>
        <w:t>（12）投标人关于服务升级以及本单位债务纠纷、违法违规记录等方面的情况（内容见投标声明书）；</w:t>
      </w:r>
    </w:p>
    <w:p w14:paraId="085C3155">
      <w:pPr>
        <w:snapToGrid w:val="0"/>
        <w:spacing w:line="370" w:lineRule="exact"/>
        <w:ind w:firstLine="411" w:firstLineChars="196"/>
        <w:jc w:val="left"/>
        <w:rPr>
          <w:rFonts w:hint="eastAsia" w:ascii="宋体" w:hAnsi="宋体"/>
          <w:color w:val="auto"/>
          <w:sz w:val="21"/>
          <w:szCs w:val="21"/>
          <w:highlight w:val="none"/>
        </w:rPr>
      </w:pPr>
      <w:r>
        <w:rPr>
          <w:rFonts w:hint="eastAsia" w:ascii="宋体" w:hAnsi="宋体"/>
          <w:color w:val="auto"/>
          <w:sz w:val="21"/>
          <w:szCs w:val="21"/>
          <w:highlight w:val="none"/>
        </w:rPr>
        <w:t>（13）投标人情况介绍。</w:t>
      </w:r>
    </w:p>
    <w:p w14:paraId="5018C957">
      <w:pPr>
        <w:snapToGrid w:val="0"/>
        <w:spacing w:line="370" w:lineRule="exact"/>
        <w:ind w:firstLine="411" w:firstLineChars="196"/>
        <w:jc w:val="left"/>
        <w:rPr>
          <w:rFonts w:hint="eastAsia" w:ascii="宋体" w:hAnsi="宋体"/>
          <w:color w:val="auto"/>
          <w:sz w:val="21"/>
          <w:szCs w:val="21"/>
          <w:highlight w:val="none"/>
        </w:rPr>
      </w:pPr>
      <w:r>
        <w:rPr>
          <w:rFonts w:hint="eastAsia" w:ascii="宋体"/>
          <w:color w:val="auto"/>
          <w:sz w:val="21"/>
          <w:szCs w:val="21"/>
          <w:highlight w:val="none"/>
        </w:rPr>
        <w:t>（14）投标人认为需要提供的其他材料。</w:t>
      </w:r>
    </w:p>
    <w:p w14:paraId="65E39716">
      <w:pPr>
        <w:snapToGrid w:val="0"/>
        <w:spacing w:line="370" w:lineRule="exact"/>
        <w:ind w:firstLine="411" w:firstLineChars="196"/>
        <w:jc w:val="left"/>
        <w:rPr>
          <w:rFonts w:hint="eastAsia" w:ascii="宋体" w:hAnsi="宋体"/>
          <w:color w:val="auto"/>
          <w:sz w:val="21"/>
          <w:szCs w:val="21"/>
          <w:highlight w:val="none"/>
        </w:rPr>
      </w:pPr>
      <w:r>
        <w:rPr>
          <w:rFonts w:hint="eastAsia" w:ascii="宋体" w:hAnsi="宋体"/>
          <w:color w:val="auto"/>
          <w:sz w:val="21"/>
          <w:szCs w:val="21"/>
          <w:highlight w:val="none"/>
        </w:rPr>
        <w:t>（15）中小企业声明函。</w:t>
      </w:r>
      <w:r>
        <w:rPr>
          <w:rFonts w:hint="eastAsia" w:ascii="宋体" w:hAnsi="宋体"/>
          <w:b/>
          <w:color w:val="auto"/>
          <w:sz w:val="21"/>
          <w:szCs w:val="21"/>
          <w:highlight w:val="none"/>
        </w:rPr>
        <w:t>（按最新相关政策执行，格式见第六章，如有请提供）</w:t>
      </w:r>
    </w:p>
    <w:p w14:paraId="6907669D">
      <w:pPr>
        <w:snapToGrid w:val="0"/>
        <w:spacing w:line="370" w:lineRule="exact"/>
        <w:ind w:firstLine="413" w:firstLineChars="196"/>
        <w:jc w:val="left"/>
        <w:rPr>
          <w:rFonts w:hint="eastAsia" w:ascii="宋体" w:hAnsi="宋体"/>
          <w:b/>
          <w:bCs/>
          <w:color w:val="auto"/>
          <w:sz w:val="21"/>
          <w:szCs w:val="21"/>
          <w:highlight w:val="none"/>
        </w:rPr>
      </w:pPr>
      <w:r>
        <w:rPr>
          <w:rFonts w:hint="eastAsia" w:ascii="宋体" w:hAnsi="宋体"/>
          <w:b/>
          <w:bCs/>
          <w:color w:val="auto"/>
          <w:sz w:val="21"/>
          <w:szCs w:val="21"/>
          <w:highlight w:val="none"/>
        </w:rPr>
        <w:t>2.2技术文件：</w:t>
      </w:r>
    </w:p>
    <w:p w14:paraId="0752F1A7">
      <w:pPr>
        <w:snapToGrid w:val="0"/>
        <w:spacing w:line="370" w:lineRule="exact"/>
        <w:ind w:firstLine="411" w:firstLineChars="196"/>
        <w:jc w:val="left"/>
        <w:rPr>
          <w:rFonts w:hint="eastAsia" w:ascii="宋体" w:hAnsi="宋体"/>
          <w:color w:val="auto"/>
          <w:sz w:val="21"/>
          <w:szCs w:val="21"/>
          <w:highlight w:val="none"/>
        </w:rPr>
      </w:pPr>
      <w:r>
        <w:rPr>
          <w:rFonts w:hint="eastAsia" w:ascii="宋体" w:hAnsi="宋体"/>
          <w:color w:val="auto"/>
          <w:sz w:val="21"/>
          <w:szCs w:val="21"/>
          <w:highlight w:val="none"/>
        </w:rPr>
        <w:t>（1）服务响应表；</w:t>
      </w:r>
      <w:r>
        <w:rPr>
          <w:rFonts w:hint="eastAsia" w:ascii="宋体" w:hAnsi="宋体"/>
          <w:b/>
          <w:color w:val="auto"/>
          <w:sz w:val="21"/>
          <w:szCs w:val="21"/>
          <w:highlight w:val="none"/>
        </w:rPr>
        <w:t>（必须提供）</w:t>
      </w:r>
    </w:p>
    <w:p w14:paraId="60529E88">
      <w:pPr>
        <w:snapToGrid w:val="0"/>
        <w:spacing w:line="37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（2）服务方案；</w:t>
      </w:r>
      <w:r>
        <w:rPr>
          <w:rFonts w:hint="eastAsia" w:ascii="宋体" w:hAnsi="宋体"/>
          <w:b/>
          <w:color w:val="auto"/>
          <w:sz w:val="21"/>
          <w:szCs w:val="21"/>
          <w:highlight w:val="none"/>
        </w:rPr>
        <w:t>（格式自拟，</w:t>
      </w:r>
      <w:r>
        <w:rPr>
          <w:rFonts w:hint="eastAsia" w:ascii="宋体"/>
          <w:b/>
          <w:color w:val="auto"/>
          <w:sz w:val="21"/>
          <w:szCs w:val="21"/>
          <w:highlight w:val="none"/>
        </w:rPr>
        <w:t>必须提供</w:t>
      </w:r>
      <w:r>
        <w:rPr>
          <w:rFonts w:hint="eastAsia" w:ascii="宋体" w:hAnsi="宋体"/>
          <w:b/>
          <w:color w:val="auto"/>
          <w:sz w:val="21"/>
          <w:szCs w:val="21"/>
          <w:highlight w:val="none"/>
        </w:rPr>
        <w:t>）</w:t>
      </w:r>
    </w:p>
    <w:p w14:paraId="79A28BA0">
      <w:pPr>
        <w:snapToGrid w:val="0"/>
        <w:spacing w:line="37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（3）投标人拥有主要服务设施的情况和现状（格式自拟）及项目实施人员一览表；</w:t>
      </w:r>
    </w:p>
    <w:p w14:paraId="30CB802E">
      <w:pPr>
        <w:snapToGrid w:val="0"/>
        <w:spacing w:line="37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（4）优惠条件：投标人承诺给予招标人的各种优惠条件；</w:t>
      </w:r>
    </w:p>
    <w:p w14:paraId="7CB1CCB3">
      <w:pPr>
        <w:snapToGrid w:val="0"/>
        <w:spacing w:line="37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（5）投标人对本项目的合理化建议和改进措施；</w:t>
      </w:r>
    </w:p>
    <w:p w14:paraId="5A513751">
      <w:pPr>
        <w:snapToGrid w:val="0"/>
        <w:spacing w:line="37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（6）投标人认为需要提供的其他材料；</w:t>
      </w:r>
    </w:p>
    <w:p w14:paraId="06E0B2C0">
      <w:pPr>
        <w:snapToGrid w:val="0"/>
        <w:spacing w:line="37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（7）招标项目采购需求中要求必须提供的材料。（招标项目采购需求中要求必须提供的材料，据实提供）</w:t>
      </w:r>
    </w:p>
    <w:p w14:paraId="3ED94720">
      <w:pPr>
        <w:snapToGrid w:val="0"/>
        <w:spacing w:line="370" w:lineRule="exact"/>
        <w:ind w:firstLine="422" w:firstLineChars="200"/>
        <w:jc w:val="left"/>
        <w:rPr>
          <w:rFonts w:hint="eastAsia" w:ascii="宋体" w:hAnsi="宋体"/>
          <w:b/>
          <w:color w:val="auto"/>
          <w:sz w:val="21"/>
          <w:szCs w:val="21"/>
          <w:highlight w:val="none"/>
        </w:rPr>
      </w:pPr>
      <w:r>
        <w:rPr>
          <w:rFonts w:hint="eastAsia" w:ascii="宋体" w:hAnsi="宋体"/>
          <w:b/>
          <w:color w:val="auto"/>
          <w:sz w:val="21"/>
          <w:szCs w:val="21"/>
          <w:highlight w:val="none"/>
        </w:rPr>
        <w:t>3.报价文件：</w:t>
      </w:r>
    </w:p>
    <w:p w14:paraId="276974AA">
      <w:pPr>
        <w:snapToGrid w:val="0"/>
        <w:spacing w:line="37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（1）投标函（格式见第六章）；</w:t>
      </w:r>
      <w:r>
        <w:rPr>
          <w:rFonts w:hint="eastAsia" w:ascii="宋体" w:hAnsi="宋体"/>
          <w:b/>
          <w:color w:val="auto"/>
          <w:sz w:val="21"/>
          <w:szCs w:val="21"/>
          <w:highlight w:val="none"/>
        </w:rPr>
        <w:t>（必须提供）</w:t>
      </w:r>
    </w:p>
    <w:p w14:paraId="68C29F3C">
      <w:pPr>
        <w:snapToGrid w:val="0"/>
        <w:spacing w:line="37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（2）投标报价明细表（格式见第六章）；</w:t>
      </w:r>
      <w:r>
        <w:rPr>
          <w:rFonts w:hint="eastAsia" w:ascii="宋体" w:hAnsi="宋体"/>
          <w:b/>
          <w:color w:val="auto"/>
          <w:sz w:val="21"/>
          <w:szCs w:val="21"/>
          <w:highlight w:val="none"/>
        </w:rPr>
        <w:t>（必须提供）</w:t>
      </w:r>
    </w:p>
    <w:p w14:paraId="45BF9762">
      <w:pPr>
        <w:snapToGrid w:val="0"/>
        <w:spacing w:line="37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（3）投标人针对报价需要说明的其他文件和说明；（格式自拟）</w:t>
      </w:r>
    </w:p>
    <w:p w14:paraId="083B3530">
      <w:pPr>
        <w:snapToGrid w:val="0"/>
        <w:spacing w:line="37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（4）开标一览表（格式见第六章）。</w:t>
      </w:r>
      <w:r>
        <w:rPr>
          <w:rFonts w:hint="eastAsia" w:ascii="宋体" w:hAnsi="宋体"/>
          <w:b/>
          <w:color w:val="auto"/>
          <w:sz w:val="21"/>
          <w:szCs w:val="21"/>
          <w:highlight w:val="none"/>
        </w:rPr>
        <w:t>（必须提供）</w:t>
      </w:r>
    </w:p>
    <w:p w14:paraId="6F932319">
      <w:pPr>
        <w:tabs>
          <w:tab w:val="left" w:pos="3870"/>
          <w:tab w:val="left" w:pos="4085"/>
        </w:tabs>
        <w:snapToGrid w:val="0"/>
        <w:spacing w:line="370" w:lineRule="exact"/>
        <w:ind w:firstLine="420" w:firstLineChars="200"/>
        <w:jc w:val="left"/>
        <w:rPr>
          <w:rFonts w:hint="eastAsia" w:ascii="宋体" w:hAnsi="宋体"/>
          <w:color w:val="auto"/>
          <w:sz w:val="21"/>
          <w:szCs w:val="21"/>
          <w:highlight w:val="none"/>
        </w:rPr>
      </w:pPr>
      <w:r>
        <w:rPr>
          <w:rFonts w:hint="eastAsia"/>
          <w:color w:val="auto"/>
          <w:sz w:val="21"/>
          <w:szCs w:val="21"/>
          <w:highlight w:val="none"/>
        </w:rPr>
        <w:t>★</w:t>
      </w:r>
      <w:r>
        <w:rPr>
          <w:rFonts w:hint="eastAsia" w:ascii="宋体" w:hAnsi="宋体"/>
          <w:b/>
          <w:bCs/>
          <w:color w:val="auto"/>
          <w:sz w:val="21"/>
          <w:szCs w:val="21"/>
          <w:highlight w:val="none"/>
        </w:rPr>
        <w:t>注：法定代表人</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负责人</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授权委托书、投标声明书、投标函、开标一览表必须按照招标文件格式要求签署和加盖单位公章，否则作投标无效处理。</w:t>
      </w:r>
    </w:p>
    <w:p w14:paraId="4774EEC0">
      <w:pPr>
        <w:spacing w:line="370" w:lineRule="exact"/>
        <w:rPr>
          <w:rFonts w:hint="eastAsia" w:ascii="宋体" w:hAnsi="宋体"/>
          <w:b/>
          <w:color w:val="auto"/>
          <w:sz w:val="21"/>
          <w:szCs w:val="21"/>
          <w:highlight w:val="none"/>
        </w:rPr>
      </w:pPr>
      <w:bookmarkStart w:id="79" w:name="_Toc254970678"/>
      <w:bookmarkStart w:id="80" w:name="_Toc254970537"/>
      <w:r>
        <w:rPr>
          <w:rFonts w:hint="eastAsia" w:ascii="宋体" w:hAnsi="宋体"/>
          <w:b/>
          <w:color w:val="auto"/>
          <w:sz w:val="21"/>
          <w:szCs w:val="21"/>
          <w:highlight w:val="none"/>
        </w:rPr>
        <w:t xml:space="preserve">    （二）投标文件的语言及计量</w:t>
      </w:r>
      <w:bookmarkEnd w:id="79"/>
      <w:bookmarkEnd w:id="80"/>
    </w:p>
    <w:p w14:paraId="502908E0">
      <w:pPr>
        <w:spacing w:line="370" w:lineRule="exact"/>
        <w:rPr>
          <w:rFonts w:hint="eastAsia" w:ascii="宋体" w:hAnsi="宋体"/>
          <w:color w:val="auto"/>
          <w:sz w:val="21"/>
          <w:szCs w:val="21"/>
          <w:highlight w:val="none"/>
        </w:rPr>
      </w:pPr>
      <w:r>
        <w:rPr>
          <w:rFonts w:hint="eastAsia" w:ascii="宋体" w:hAnsi="宋体"/>
          <w:b/>
          <w:color w:val="auto"/>
          <w:sz w:val="21"/>
          <w:szCs w:val="21"/>
          <w:highlight w:val="none"/>
        </w:rPr>
        <w:t xml:space="preserve">    </w:t>
      </w:r>
      <w:r>
        <w:rPr>
          <w:rFonts w:hint="eastAsia"/>
          <w:color w:val="auto"/>
          <w:sz w:val="21"/>
          <w:szCs w:val="21"/>
          <w:highlight w:val="none"/>
        </w:rPr>
        <w:t>★</w:t>
      </w:r>
      <w:r>
        <w:rPr>
          <w:rFonts w:hint="eastAsia" w:ascii="宋体" w:hAnsi="宋体"/>
          <w:color w:val="auto"/>
          <w:sz w:val="21"/>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E7DD770">
      <w:pPr>
        <w:spacing w:line="37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w:t>
      </w:r>
      <w:r>
        <w:rPr>
          <w:rFonts w:hint="eastAsia" w:ascii="宋体" w:hAnsi="宋体"/>
          <w:color w:val="auto"/>
          <w:sz w:val="21"/>
          <w:szCs w:val="21"/>
          <w:highlight w:val="none"/>
        </w:rPr>
        <w:t>2.投标计量单位，招标文件已有明确规定的，使用招标文件规定的计量单位；招标文件没有规定的，应采用中华人民共和国法定计量单位（货币单位：人民币元），否则视同未响应。</w:t>
      </w:r>
      <w:bookmarkStart w:id="81" w:name="_Toc254970538"/>
      <w:bookmarkStart w:id="82" w:name="_Toc254970679"/>
    </w:p>
    <w:p w14:paraId="3830D361">
      <w:pPr>
        <w:spacing w:line="370" w:lineRule="exact"/>
        <w:rPr>
          <w:rFonts w:hint="eastAsia" w:ascii="宋体" w:hAnsi="宋体"/>
          <w:b/>
          <w:color w:val="auto"/>
          <w:sz w:val="21"/>
          <w:szCs w:val="21"/>
          <w:highlight w:val="none"/>
        </w:rPr>
      </w:pPr>
      <w:r>
        <w:rPr>
          <w:rFonts w:hint="eastAsia" w:ascii="宋体" w:hAnsi="宋体"/>
          <w:b/>
          <w:color w:val="auto"/>
          <w:sz w:val="21"/>
          <w:szCs w:val="21"/>
          <w:highlight w:val="none"/>
        </w:rPr>
        <w:t xml:space="preserve">    （三）投标报价</w:t>
      </w:r>
      <w:bookmarkEnd w:id="81"/>
      <w:bookmarkEnd w:id="82"/>
    </w:p>
    <w:p w14:paraId="59E5D613">
      <w:pPr>
        <w:spacing w:line="37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1.投标报价应按招标文件中相关附表格式填写。</w:t>
      </w:r>
    </w:p>
    <w:p w14:paraId="591B6F11">
      <w:pPr>
        <w:spacing w:line="370" w:lineRule="exact"/>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2.投标报价是履行合同的最终价格。</w:t>
      </w:r>
    </w:p>
    <w:p w14:paraId="792CD1D2">
      <w:pPr>
        <w:spacing w:line="370" w:lineRule="exact"/>
        <w:ind w:firstLine="315" w:firstLineChars="150"/>
        <w:rPr>
          <w:rFonts w:hint="eastAsia" w:ascii="宋体" w:hAnsi="宋体"/>
          <w:b/>
          <w:color w:val="auto"/>
          <w:sz w:val="21"/>
          <w:szCs w:val="21"/>
          <w:highlight w:val="none"/>
        </w:rPr>
      </w:pPr>
      <w:r>
        <w:rPr>
          <w:rFonts w:hint="eastAsia" w:ascii="宋体" w:hAnsi="宋体"/>
          <w:color w:val="auto"/>
          <w:sz w:val="21"/>
          <w:szCs w:val="21"/>
          <w:highlight w:val="none"/>
        </w:rPr>
        <w:t>3.投标文件只允许有一个报价，有选择的或有条件的报价将不予接受。</w:t>
      </w:r>
    </w:p>
    <w:p w14:paraId="5F1BD8D6">
      <w:pPr>
        <w:spacing w:line="370" w:lineRule="exact"/>
        <w:ind w:firstLine="315" w:firstLineChars="150"/>
        <w:rPr>
          <w:rFonts w:hint="eastAsia"/>
          <w:b/>
          <w:color w:val="auto"/>
          <w:sz w:val="21"/>
          <w:szCs w:val="21"/>
          <w:highlight w:val="none"/>
        </w:rPr>
      </w:pPr>
      <w:r>
        <w:rPr>
          <w:rFonts w:hint="eastAsia"/>
          <w:color w:val="auto"/>
          <w:sz w:val="21"/>
          <w:szCs w:val="21"/>
          <w:highlight w:val="none"/>
        </w:rPr>
        <w:t>★</w:t>
      </w:r>
      <w:r>
        <w:rPr>
          <w:rFonts w:hint="eastAsia" w:ascii="宋体" w:hAnsi="宋体"/>
          <w:b/>
          <w:color w:val="auto"/>
          <w:sz w:val="21"/>
          <w:szCs w:val="21"/>
          <w:highlight w:val="none"/>
        </w:rPr>
        <w:t>4.</w:t>
      </w:r>
      <w:r>
        <w:rPr>
          <w:rFonts w:hint="eastAsia" w:ascii="宋体" w:hAnsi="宋体"/>
          <w:b/>
          <w:bCs/>
          <w:color w:val="auto"/>
          <w:sz w:val="21"/>
          <w:szCs w:val="21"/>
          <w:highlight w:val="none"/>
        </w:rPr>
        <w:t>评标委员会认为某投标人的报价明显低于其他通过符合性审</w:t>
      </w:r>
      <w:r>
        <w:rPr>
          <w:rFonts w:hint="eastAsia" w:ascii="宋体" w:hAnsi="宋体"/>
          <w:b/>
          <w:bCs/>
          <w:color w:val="auto"/>
          <w:sz w:val="21"/>
          <w:szCs w:val="21"/>
          <w:highlight w:val="none"/>
          <w:lang w:eastAsia="zh-CN"/>
        </w:rPr>
        <w:t>查的</w:t>
      </w:r>
      <w:r>
        <w:rPr>
          <w:rFonts w:hint="eastAsia" w:ascii="宋体" w:hAnsi="宋体"/>
          <w:b/>
          <w:bCs/>
          <w:color w:val="auto"/>
          <w:sz w:val="21"/>
          <w:szCs w:val="21"/>
          <w:highlight w:val="none"/>
        </w:rPr>
        <w:t>投标人的报价，有可能影响产品（服务）质量或者不能诚信履约的，应当要求其在评标现场合理的时间内提供书面说明，必要时提交相关证明材料；投标人不能证明其报价合理性的，评标委员会应当将其作为无效投标处理。</w:t>
      </w:r>
    </w:p>
    <w:p w14:paraId="6CFC4803">
      <w:pPr>
        <w:spacing w:line="370" w:lineRule="exact"/>
        <w:ind w:firstLine="316" w:firstLineChars="150"/>
        <w:rPr>
          <w:rFonts w:hint="eastAsia"/>
          <w:b/>
          <w:color w:val="auto"/>
          <w:sz w:val="21"/>
          <w:szCs w:val="21"/>
          <w:highlight w:val="none"/>
        </w:rPr>
      </w:pPr>
      <w:r>
        <w:rPr>
          <w:rFonts w:hint="eastAsia"/>
          <w:b/>
          <w:color w:val="auto"/>
          <w:sz w:val="21"/>
          <w:szCs w:val="21"/>
          <w:highlight w:val="none"/>
        </w:rPr>
        <w:t>（四）投标文件的有效期</w:t>
      </w:r>
    </w:p>
    <w:p w14:paraId="19F26CA5">
      <w:pPr>
        <w:spacing w:line="370" w:lineRule="exact"/>
        <w:rPr>
          <w:rFonts w:hint="eastAsia"/>
          <w:color w:val="auto"/>
          <w:sz w:val="21"/>
          <w:szCs w:val="21"/>
          <w:highlight w:val="none"/>
        </w:rPr>
      </w:pPr>
      <w:r>
        <w:rPr>
          <w:rFonts w:hint="eastAsia"/>
          <w:b/>
          <w:color w:val="auto"/>
          <w:sz w:val="21"/>
          <w:szCs w:val="21"/>
          <w:highlight w:val="none"/>
        </w:rPr>
        <w:t xml:space="preserve">    </w:t>
      </w:r>
      <w:r>
        <w:rPr>
          <w:rFonts w:hint="eastAsia"/>
          <w:color w:val="auto"/>
          <w:sz w:val="21"/>
          <w:szCs w:val="21"/>
          <w:highlight w:val="none"/>
        </w:rPr>
        <w:t>1.自投标截止日起</w:t>
      </w:r>
      <w:r>
        <w:rPr>
          <w:rFonts w:hint="eastAsia"/>
          <w:color w:val="auto"/>
          <w:sz w:val="21"/>
          <w:szCs w:val="21"/>
          <w:highlight w:val="none"/>
          <w:u w:val="single"/>
        </w:rPr>
        <w:t>60</w:t>
      </w:r>
      <w:r>
        <w:rPr>
          <w:rFonts w:hint="eastAsia"/>
          <w:color w:val="auto"/>
          <w:sz w:val="21"/>
          <w:szCs w:val="21"/>
          <w:highlight w:val="none"/>
        </w:rPr>
        <w:t>日投标文件应保持有效。有效期不足的投标文件将被拒绝。</w:t>
      </w:r>
    </w:p>
    <w:p w14:paraId="63D9429D">
      <w:pPr>
        <w:spacing w:line="370" w:lineRule="exact"/>
        <w:rPr>
          <w:rFonts w:hint="eastAsia"/>
          <w:color w:val="auto"/>
          <w:sz w:val="21"/>
          <w:szCs w:val="21"/>
          <w:highlight w:val="none"/>
        </w:rPr>
      </w:pPr>
      <w:r>
        <w:rPr>
          <w:rFonts w:hint="eastAsia"/>
          <w:color w:val="auto"/>
          <w:sz w:val="21"/>
          <w:szCs w:val="21"/>
          <w:highlight w:val="none"/>
        </w:rPr>
        <w:t xml:space="preserve">    2.在特殊情况下，采购人可与投标人协商延长投标书的有效期，这种要求和答复均以书面形式进行。</w:t>
      </w:r>
      <w:bookmarkStart w:id="83" w:name="_Toc254970539"/>
      <w:bookmarkStart w:id="84" w:name="_Toc254970680"/>
    </w:p>
    <w:p w14:paraId="451C36DE">
      <w:pPr>
        <w:spacing w:line="370" w:lineRule="exact"/>
        <w:rPr>
          <w:rFonts w:hint="eastAsia"/>
          <w:color w:val="auto"/>
          <w:sz w:val="21"/>
          <w:szCs w:val="21"/>
          <w:highlight w:val="none"/>
        </w:rPr>
      </w:pPr>
      <w:r>
        <w:rPr>
          <w:rFonts w:hint="eastAsia"/>
          <w:color w:val="auto"/>
          <w:sz w:val="21"/>
          <w:szCs w:val="21"/>
          <w:highlight w:val="none"/>
        </w:rPr>
        <w:t xml:space="preserve">    3.投标人可拒绝接受延期要求而不会导致投标保证金被没收。同意延长有效期的投标人需要相应延长投标保证金的有效期，但不能修改投标文件。</w:t>
      </w:r>
      <w:bookmarkEnd w:id="83"/>
      <w:bookmarkEnd w:id="84"/>
      <w:r>
        <w:rPr>
          <w:rFonts w:hint="eastAsia"/>
          <w:color w:val="auto"/>
          <w:sz w:val="21"/>
          <w:szCs w:val="21"/>
          <w:highlight w:val="none"/>
        </w:rPr>
        <w:t xml:space="preserve"> </w:t>
      </w:r>
      <w:bookmarkStart w:id="85" w:name="_Toc254970540"/>
      <w:bookmarkStart w:id="86" w:name="_Toc254970681"/>
    </w:p>
    <w:p w14:paraId="4C53F0FC">
      <w:pPr>
        <w:spacing w:line="370" w:lineRule="exact"/>
        <w:rPr>
          <w:rFonts w:hint="eastAsia"/>
          <w:color w:val="auto"/>
          <w:sz w:val="21"/>
          <w:szCs w:val="21"/>
          <w:highlight w:val="none"/>
        </w:rPr>
      </w:pPr>
      <w:r>
        <w:rPr>
          <w:rFonts w:hint="eastAsia"/>
          <w:color w:val="auto"/>
          <w:sz w:val="21"/>
          <w:szCs w:val="21"/>
          <w:highlight w:val="none"/>
        </w:rPr>
        <w:t xml:space="preserve">    4.中标人的投标文件自开标之日起至合同履行完毕止均应保持有效。</w:t>
      </w:r>
      <w:bookmarkEnd w:id="85"/>
      <w:bookmarkEnd w:id="86"/>
      <w:bookmarkStart w:id="87" w:name="_Toc254970682"/>
      <w:bookmarkStart w:id="88" w:name="_Toc254970541"/>
    </w:p>
    <w:p w14:paraId="1753BE9A">
      <w:pPr>
        <w:spacing w:line="370" w:lineRule="exact"/>
        <w:ind w:firstLine="435"/>
        <w:rPr>
          <w:rFonts w:hint="eastAsia"/>
          <w:b/>
          <w:color w:val="auto"/>
          <w:sz w:val="21"/>
          <w:szCs w:val="21"/>
          <w:highlight w:val="none"/>
        </w:rPr>
      </w:pPr>
      <w:r>
        <w:rPr>
          <w:rFonts w:hint="eastAsia"/>
          <w:b/>
          <w:color w:val="auto"/>
          <w:sz w:val="21"/>
          <w:szCs w:val="21"/>
          <w:highlight w:val="none"/>
        </w:rPr>
        <w:t>（五）投标保证金</w:t>
      </w:r>
      <w:bookmarkEnd w:id="87"/>
      <w:bookmarkEnd w:id="88"/>
    </w:p>
    <w:p w14:paraId="5B81F8E7">
      <w:pPr>
        <w:spacing w:line="370" w:lineRule="exact"/>
        <w:ind w:firstLine="435"/>
        <w:rPr>
          <w:rFonts w:hint="eastAsia"/>
          <w:color w:val="auto"/>
          <w:sz w:val="21"/>
          <w:szCs w:val="21"/>
          <w:highlight w:val="none"/>
        </w:rPr>
      </w:pPr>
      <w:r>
        <w:rPr>
          <w:rFonts w:hint="eastAsia"/>
          <w:color w:val="auto"/>
          <w:sz w:val="21"/>
          <w:szCs w:val="21"/>
          <w:highlight w:val="none"/>
        </w:rPr>
        <w:t>1.投标人须按须知前附表的规定提交投标保证金。否则，其投标将被拒绝。</w:t>
      </w:r>
    </w:p>
    <w:p w14:paraId="52CAEBE2">
      <w:pPr>
        <w:spacing w:line="370" w:lineRule="exact"/>
        <w:ind w:firstLine="435"/>
        <w:rPr>
          <w:rFonts w:hint="eastAsia"/>
          <w:color w:val="auto"/>
          <w:sz w:val="21"/>
          <w:szCs w:val="21"/>
          <w:highlight w:val="none"/>
        </w:rPr>
      </w:pPr>
      <w:r>
        <w:rPr>
          <w:rFonts w:hint="eastAsia"/>
          <w:color w:val="auto"/>
          <w:sz w:val="21"/>
          <w:szCs w:val="21"/>
          <w:highlight w:val="none"/>
        </w:rPr>
        <w:t>2.</w:t>
      </w:r>
      <w:r>
        <w:rPr>
          <w:rFonts w:hint="eastAsia" w:cs="Arial"/>
          <w:color w:val="auto"/>
          <w:sz w:val="21"/>
          <w:szCs w:val="21"/>
          <w:highlight w:val="none"/>
        </w:rPr>
        <w:t>投标保证金的交纳方式：详见本项目公开招标公告。</w:t>
      </w:r>
    </w:p>
    <w:p w14:paraId="148A75E8">
      <w:pPr>
        <w:spacing w:line="370" w:lineRule="exact"/>
        <w:ind w:firstLine="435"/>
        <w:rPr>
          <w:rFonts w:hint="eastAsia"/>
          <w:color w:val="auto"/>
          <w:sz w:val="21"/>
          <w:szCs w:val="21"/>
          <w:highlight w:val="none"/>
        </w:rPr>
      </w:pPr>
      <w:r>
        <w:rPr>
          <w:rFonts w:hint="eastAsia"/>
          <w:color w:val="auto"/>
          <w:sz w:val="21"/>
          <w:szCs w:val="21"/>
          <w:highlight w:val="none"/>
        </w:rPr>
        <w:t>3.投标保证金的退还均以转账形式退回到投标人银行账户。</w:t>
      </w:r>
    </w:p>
    <w:p w14:paraId="4115BB6D">
      <w:pPr>
        <w:spacing w:line="370" w:lineRule="exact"/>
        <w:ind w:firstLine="435"/>
        <w:rPr>
          <w:rFonts w:hint="eastAsia"/>
          <w:color w:val="auto"/>
          <w:sz w:val="21"/>
          <w:szCs w:val="21"/>
          <w:highlight w:val="none"/>
        </w:rPr>
      </w:pPr>
      <w:r>
        <w:rPr>
          <w:rFonts w:hint="eastAsia"/>
          <w:color w:val="auto"/>
          <w:sz w:val="21"/>
          <w:szCs w:val="21"/>
          <w:highlight w:val="none"/>
        </w:rPr>
        <w:t>4.未中标人的投标保证金在中标通知书发出后5个工作日内退还。</w:t>
      </w:r>
    </w:p>
    <w:p w14:paraId="1B94DEB5">
      <w:pPr>
        <w:spacing w:line="370" w:lineRule="exact"/>
        <w:ind w:firstLine="435"/>
        <w:rPr>
          <w:rFonts w:hint="eastAsia"/>
          <w:color w:val="auto"/>
          <w:sz w:val="21"/>
          <w:szCs w:val="21"/>
          <w:highlight w:val="none"/>
        </w:rPr>
      </w:pPr>
      <w:r>
        <w:rPr>
          <w:rFonts w:hint="eastAsia"/>
          <w:color w:val="auto"/>
          <w:sz w:val="21"/>
          <w:szCs w:val="21"/>
          <w:highlight w:val="none"/>
        </w:rPr>
        <w:t>5.中标人的投标保证金在合同签订后（合同签订后送达本公司）5个工作日内退还。</w:t>
      </w:r>
    </w:p>
    <w:p w14:paraId="34EA6601">
      <w:pPr>
        <w:spacing w:line="370" w:lineRule="exact"/>
        <w:ind w:firstLine="435"/>
        <w:rPr>
          <w:rFonts w:hint="eastAsia"/>
          <w:color w:val="auto"/>
          <w:sz w:val="21"/>
          <w:szCs w:val="21"/>
          <w:highlight w:val="none"/>
        </w:rPr>
      </w:pPr>
      <w:r>
        <w:rPr>
          <w:rFonts w:hint="eastAsia"/>
          <w:color w:val="auto"/>
          <w:sz w:val="21"/>
          <w:szCs w:val="21"/>
          <w:highlight w:val="none"/>
        </w:rPr>
        <w:t>6.投标保证金不计息。</w:t>
      </w:r>
    </w:p>
    <w:p w14:paraId="1D07B2CC">
      <w:pPr>
        <w:spacing w:line="370" w:lineRule="exact"/>
        <w:rPr>
          <w:rFonts w:hint="eastAsia" w:ascii="宋体"/>
          <w:b/>
          <w:color w:val="auto"/>
          <w:sz w:val="21"/>
          <w:szCs w:val="21"/>
          <w:highlight w:val="none"/>
        </w:rPr>
      </w:pPr>
      <w:r>
        <w:rPr>
          <w:rFonts w:hint="eastAsia" w:ascii="宋体"/>
          <w:b/>
          <w:color w:val="auto"/>
          <w:sz w:val="21"/>
          <w:szCs w:val="21"/>
          <w:highlight w:val="none"/>
        </w:rPr>
        <w:t xml:space="preserve">    注：办理投标保证金手续时，请务必在银行相关票据（非现金）或凭证的用途或空白栏上注明采购项目名称及采购项目编号，分标号（如有），以免耽误投标。        </w:t>
      </w:r>
    </w:p>
    <w:p w14:paraId="44E649C6">
      <w:pPr>
        <w:spacing w:line="370" w:lineRule="exact"/>
        <w:rPr>
          <w:rFonts w:hint="eastAsia"/>
          <w:color w:val="auto"/>
          <w:sz w:val="21"/>
          <w:szCs w:val="21"/>
          <w:highlight w:val="none"/>
        </w:rPr>
      </w:pPr>
      <w:r>
        <w:rPr>
          <w:rFonts w:hint="eastAsia" w:ascii="宋体"/>
          <w:b/>
          <w:color w:val="auto"/>
          <w:sz w:val="21"/>
          <w:szCs w:val="21"/>
          <w:highlight w:val="none"/>
        </w:rPr>
        <w:t xml:space="preserve">    </w:t>
      </w:r>
      <w:r>
        <w:rPr>
          <w:rFonts w:hint="eastAsia"/>
          <w:color w:val="auto"/>
          <w:sz w:val="21"/>
          <w:szCs w:val="21"/>
          <w:highlight w:val="none"/>
        </w:rPr>
        <w:t>7.</w:t>
      </w:r>
      <w:r>
        <w:rPr>
          <w:color w:val="auto"/>
          <w:sz w:val="21"/>
          <w:szCs w:val="21"/>
          <w:highlight w:val="none"/>
        </w:rPr>
        <w:t>中标人应在中标通知书发出</w:t>
      </w:r>
      <w:r>
        <w:rPr>
          <w:rFonts w:hint="eastAsia"/>
          <w:color w:val="auto"/>
          <w:sz w:val="21"/>
          <w:szCs w:val="21"/>
          <w:highlight w:val="none"/>
        </w:rPr>
        <w:t>之日起</w:t>
      </w:r>
      <w:r>
        <w:rPr>
          <w:rFonts w:hint="eastAsia"/>
          <w:color w:val="auto"/>
          <w:sz w:val="21"/>
          <w:szCs w:val="21"/>
          <w:highlight w:val="none"/>
          <w:u w:val="single"/>
        </w:rPr>
        <w:t>25</w:t>
      </w:r>
      <w:r>
        <w:rPr>
          <w:rFonts w:hint="eastAsia"/>
          <w:color w:val="auto"/>
          <w:sz w:val="21"/>
          <w:szCs w:val="21"/>
          <w:highlight w:val="none"/>
        </w:rPr>
        <w:t>日内与采购人签订合同。</w:t>
      </w:r>
    </w:p>
    <w:p w14:paraId="6A4C7BA5">
      <w:pPr>
        <w:spacing w:line="370" w:lineRule="exact"/>
        <w:rPr>
          <w:rFonts w:hint="eastAsia"/>
          <w:b/>
          <w:color w:val="auto"/>
          <w:sz w:val="21"/>
          <w:szCs w:val="21"/>
          <w:highlight w:val="none"/>
        </w:rPr>
      </w:pPr>
      <w:r>
        <w:rPr>
          <w:rFonts w:hint="eastAsia"/>
          <w:b/>
          <w:color w:val="auto"/>
          <w:sz w:val="21"/>
          <w:szCs w:val="21"/>
          <w:highlight w:val="none"/>
        </w:rPr>
        <w:t xml:space="preserve">    6.投标人有下列情形之一的，投标保证金将不予退还：</w:t>
      </w:r>
    </w:p>
    <w:p w14:paraId="7761409E">
      <w:pPr>
        <w:snapToGrid w:val="0"/>
        <w:spacing w:line="370" w:lineRule="exact"/>
        <w:ind w:firstLine="411" w:firstLineChars="196"/>
        <w:jc w:val="left"/>
        <w:rPr>
          <w:rFonts w:hint="eastAsia" w:ascii="宋体"/>
          <w:color w:val="auto"/>
          <w:sz w:val="21"/>
          <w:szCs w:val="21"/>
          <w:highlight w:val="none"/>
        </w:rPr>
      </w:pPr>
      <w:r>
        <w:rPr>
          <w:rFonts w:hint="eastAsia" w:ascii="宋体"/>
          <w:color w:val="auto"/>
          <w:sz w:val="21"/>
          <w:szCs w:val="21"/>
          <w:highlight w:val="none"/>
        </w:rPr>
        <w:t>（1）投标人在投标有效期内撤回投标文件的；</w:t>
      </w:r>
    </w:p>
    <w:p w14:paraId="77BE74E3">
      <w:pPr>
        <w:snapToGrid w:val="0"/>
        <w:spacing w:line="370" w:lineRule="exact"/>
        <w:ind w:firstLine="411" w:firstLineChars="196"/>
        <w:jc w:val="left"/>
        <w:rPr>
          <w:rFonts w:hint="eastAsia" w:ascii="宋体"/>
          <w:color w:val="auto"/>
          <w:sz w:val="21"/>
          <w:szCs w:val="21"/>
          <w:highlight w:val="none"/>
        </w:rPr>
      </w:pPr>
      <w:r>
        <w:rPr>
          <w:rFonts w:hint="eastAsia" w:ascii="宋体"/>
          <w:color w:val="auto"/>
          <w:sz w:val="21"/>
          <w:szCs w:val="21"/>
          <w:highlight w:val="none"/>
        </w:rPr>
        <w:t>（2）投标人在投标过程中弄虚作假，提供虚假材料的；</w:t>
      </w:r>
    </w:p>
    <w:p w14:paraId="1B62DA81">
      <w:pPr>
        <w:snapToGrid w:val="0"/>
        <w:spacing w:line="370" w:lineRule="exact"/>
        <w:ind w:firstLine="411" w:firstLineChars="196"/>
        <w:jc w:val="left"/>
        <w:rPr>
          <w:rFonts w:hint="eastAsia" w:ascii="宋体"/>
          <w:color w:val="auto"/>
          <w:sz w:val="21"/>
          <w:szCs w:val="21"/>
          <w:highlight w:val="none"/>
        </w:rPr>
      </w:pPr>
      <w:r>
        <w:rPr>
          <w:rFonts w:hint="eastAsia" w:ascii="宋体"/>
          <w:color w:val="auto"/>
          <w:sz w:val="21"/>
          <w:szCs w:val="21"/>
          <w:highlight w:val="none"/>
        </w:rPr>
        <w:t>（3）中标人无正当理由不与采购人签订合同的；</w:t>
      </w:r>
    </w:p>
    <w:p w14:paraId="5ABDE496">
      <w:pPr>
        <w:snapToGrid w:val="0"/>
        <w:spacing w:line="370" w:lineRule="exact"/>
        <w:ind w:firstLine="411" w:firstLineChars="196"/>
        <w:rPr>
          <w:rFonts w:hint="eastAsia" w:ascii="宋体"/>
          <w:color w:val="auto"/>
          <w:sz w:val="21"/>
          <w:szCs w:val="21"/>
          <w:highlight w:val="none"/>
        </w:rPr>
      </w:pPr>
      <w:r>
        <w:rPr>
          <w:rFonts w:hint="eastAsia" w:ascii="宋体"/>
          <w:color w:val="auto"/>
          <w:sz w:val="21"/>
          <w:szCs w:val="21"/>
          <w:highlight w:val="none"/>
        </w:rPr>
        <w:t>（4）</w:t>
      </w:r>
      <w:r>
        <w:rPr>
          <w:rFonts w:hint="eastAsia" w:ascii="宋体"/>
          <w:bCs/>
          <w:color w:val="auto"/>
          <w:spacing w:val="-4"/>
          <w:sz w:val="21"/>
          <w:szCs w:val="21"/>
          <w:highlight w:val="none"/>
        </w:rPr>
        <w:t>将中标项目转让给他人或者在投标文件中未说明，且未经采购人同意，将中标项目分包给他人的；</w:t>
      </w:r>
    </w:p>
    <w:p w14:paraId="68C3199C">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（5）其他严重扰乱招投标程序的</w:t>
      </w:r>
      <w:bookmarkStart w:id="89" w:name="_Toc254970542"/>
      <w:bookmarkStart w:id="90" w:name="_Toc254970683"/>
      <w:r>
        <w:rPr>
          <w:rFonts w:hint="eastAsia" w:ascii="宋体"/>
          <w:color w:val="auto"/>
          <w:sz w:val="21"/>
          <w:szCs w:val="21"/>
          <w:highlight w:val="none"/>
        </w:rPr>
        <w:t>；</w:t>
      </w:r>
    </w:p>
    <w:p w14:paraId="7FEC455D">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（6）未按规定提交履约保证金的。</w:t>
      </w:r>
    </w:p>
    <w:p w14:paraId="0914B8A2">
      <w:pPr>
        <w:snapToGrid w:val="0"/>
        <w:spacing w:line="370" w:lineRule="exact"/>
        <w:ind w:firstLine="422" w:firstLineChars="200"/>
        <w:rPr>
          <w:rFonts w:hint="eastAsia" w:ascii="宋体"/>
          <w:b/>
          <w:color w:val="auto"/>
          <w:sz w:val="21"/>
          <w:szCs w:val="21"/>
          <w:highlight w:val="none"/>
        </w:rPr>
      </w:pPr>
      <w:r>
        <w:rPr>
          <w:rFonts w:hint="eastAsia" w:ascii="宋体"/>
          <w:b/>
          <w:color w:val="auto"/>
          <w:sz w:val="21"/>
          <w:szCs w:val="21"/>
          <w:highlight w:val="none"/>
        </w:rPr>
        <w:t>（六）投标文件的签署和份数</w:t>
      </w:r>
      <w:bookmarkEnd w:id="89"/>
      <w:bookmarkEnd w:id="90"/>
    </w:p>
    <w:p w14:paraId="6DE3B9A0">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1.投标人应按本招标文件规定的格式和顺序编制投标文件并标注页码，投标文件内容不完整、编排混乱导致投标文件被误读、漏读或者查找不到相关内容的，是投标人的责任。</w:t>
      </w:r>
    </w:p>
    <w:p w14:paraId="2D5D2F48">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2.投标文件份数：见投标人须知及前附表。</w:t>
      </w:r>
    </w:p>
    <w:p w14:paraId="4275665D">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3.投标文件须由投标人在规定位置盖章并由法定代表人或法定代表人的授权委托人签署，投标人应写全称。</w:t>
      </w:r>
    </w:p>
    <w:p w14:paraId="40E05B4B">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4.投标文件不得涂改，若有修改错漏处，须加盖单位公章或者法定代表人或授权委托人签字或盖章。投标文件因扫描不清晰或乱码或表达不清所引起的后果由投标人负责。</w:t>
      </w:r>
    </w:p>
    <w:p w14:paraId="05683033">
      <w:pPr>
        <w:snapToGrid w:val="0"/>
        <w:spacing w:line="370" w:lineRule="exact"/>
        <w:ind w:firstLine="422" w:firstLineChars="200"/>
        <w:rPr>
          <w:rFonts w:hint="eastAsia" w:ascii="宋体"/>
          <w:b/>
          <w:color w:val="auto"/>
          <w:sz w:val="21"/>
          <w:szCs w:val="21"/>
          <w:highlight w:val="none"/>
        </w:rPr>
      </w:pPr>
      <w:r>
        <w:rPr>
          <w:rFonts w:hint="eastAsia" w:ascii="宋体"/>
          <w:b/>
          <w:color w:val="auto"/>
          <w:sz w:val="21"/>
          <w:szCs w:val="21"/>
          <w:highlight w:val="none"/>
        </w:rPr>
        <w:t>（七）</w:t>
      </w:r>
      <w:r>
        <w:rPr>
          <w:rFonts w:hint="eastAsia"/>
          <w:b/>
          <w:color w:val="auto"/>
          <w:sz w:val="21"/>
          <w:szCs w:val="21"/>
          <w:highlight w:val="none"/>
        </w:rPr>
        <w:t>投标文件的上传、提交、修改、撤回和解密</w:t>
      </w:r>
    </w:p>
    <w:p w14:paraId="69A19D3F">
      <w:pPr>
        <w:snapToGrid w:val="0"/>
        <w:spacing w:line="370" w:lineRule="exact"/>
        <w:ind w:firstLine="420" w:firstLineChars="200"/>
        <w:jc w:val="left"/>
        <w:rPr>
          <w:rFonts w:hint="eastAsia" w:ascii="宋体"/>
          <w:color w:val="auto"/>
          <w:sz w:val="21"/>
          <w:szCs w:val="21"/>
          <w:highlight w:val="none"/>
        </w:rPr>
      </w:pPr>
      <w:bookmarkStart w:id="91" w:name="_Toc254970543"/>
      <w:bookmarkStart w:id="92" w:name="_Toc254970684"/>
      <w:r>
        <w:rPr>
          <w:rFonts w:hint="eastAsia"/>
          <w:color w:val="auto"/>
          <w:sz w:val="21"/>
          <w:szCs w:val="21"/>
          <w:highlight w:val="none"/>
        </w:rPr>
        <w:t>★</w:t>
      </w:r>
      <w:r>
        <w:rPr>
          <w:rFonts w:hint="eastAsia" w:ascii="宋体"/>
          <w:color w:val="auto"/>
          <w:sz w:val="21"/>
          <w:szCs w:val="21"/>
          <w:highlight w:val="none"/>
        </w:rPr>
        <w:t>1. 投标文件的上传、提交：见投标人须知及前附表。</w:t>
      </w:r>
    </w:p>
    <w:p w14:paraId="5CA6BF65">
      <w:pPr>
        <w:snapToGrid w:val="0"/>
        <w:spacing w:line="370" w:lineRule="exact"/>
        <w:ind w:firstLine="420" w:firstLineChars="200"/>
        <w:jc w:val="left"/>
        <w:rPr>
          <w:rFonts w:hint="eastAsia" w:ascii="宋体"/>
          <w:color w:val="auto"/>
          <w:sz w:val="21"/>
          <w:szCs w:val="21"/>
          <w:highlight w:val="none"/>
        </w:rPr>
      </w:pPr>
      <w:r>
        <w:rPr>
          <w:rFonts w:hint="eastAsia" w:ascii="宋体"/>
          <w:color w:val="auto"/>
          <w:sz w:val="21"/>
          <w:szCs w:val="21"/>
          <w:highlight w:val="none"/>
        </w:rPr>
        <w:t>2.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14:paraId="5911D484">
      <w:pPr>
        <w:snapToGrid w:val="0"/>
        <w:spacing w:line="370" w:lineRule="exact"/>
        <w:ind w:firstLine="420" w:firstLineChars="200"/>
        <w:jc w:val="left"/>
        <w:rPr>
          <w:rFonts w:hint="eastAsia" w:ascii="宋体"/>
          <w:color w:val="auto"/>
          <w:sz w:val="21"/>
          <w:szCs w:val="21"/>
          <w:highlight w:val="none"/>
        </w:rPr>
      </w:pPr>
      <w:r>
        <w:rPr>
          <w:rFonts w:hint="eastAsia" w:ascii="宋体"/>
          <w:color w:val="auto"/>
          <w:sz w:val="21"/>
          <w:szCs w:val="21"/>
          <w:highlight w:val="none"/>
        </w:rPr>
        <w:t>3.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1BBD3679">
      <w:pPr>
        <w:snapToGrid w:val="0"/>
        <w:spacing w:line="370" w:lineRule="exact"/>
        <w:ind w:firstLine="420" w:firstLineChars="200"/>
        <w:jc w:val="left"/>
        <w:rPr>
          <w:rFonts w:hint="eastAsia" w:ascii="宋体"/>
          <w:color w:val="auto"/>
          <w:sz w:val="21"/>
          <w:szCs w:val="21"/>
          <w:highlight w:val="none"/>
        </w:rPr>
      </w:pPr>
      <w:r>
        <w:rPr>
          <w:rFonts w:hint="eastAsia" w:ascii="宋体"/>
          <w:color w:val="auto"/>
          <w:sz w:val="21"/>
          <w:szCs w:val="21"/>
          <w:highlight w:val="none"/>
        </w:rPr>
        <w:t>4.投标人已经被推荐为第一中标候选供应商后撤回投标或放弃中标的，其投标保证金将不予退还，并上缴国库，给采购人造成损失的，还应当赔偿损失，并作为不良行为记录在案。</w:t>
      </w:r>
    </w:p>
    <w:p w14:paraId="7D5EF719">
      <w:pPr>
        <w:snapToGrid w:val="0"/>
        <w:spacing w:line="370" w:lineRule="exact"/>
        <w:ind w:firstLine="422" w:firstLineChars="200"/>
        <w:jc w:val="left"/>
        <w:rPr>
          <w:rFonts w:hint="eastAsia" w:ascii="宋体"/>
          <w:b/>
          <w:color w:val="auto"/>
          <w:sz w:val="21"/>
          <w:szCs w:val="21"/>
          <w:highlight w:val="none"/>
        </w:rPr>
      </w:pPr>
      <w:r>
        <w:rPr>
          <w:rFonts w:hint="eastAsia" w:ascii="宋体"/>
          <w:b/>
          <w:color w:val="auto"/>
          <w:sz w:val="21"/>
          <w:szCs w:val="21"/>
          <w:highlight w:val="none"/>
        </w:rPr>
        <w:t>（八）投标无效的情形</w:t>
      </w:r>
      <w:bookmarkEnd w:id="91"/>
      <w:bookmarkEnd w:id="92"/>
    </w:p>
    <w:p w14:paraId="7F65A318">
      <w:pPr>
        <w:snapToGrid w:val="0"/>
        <w:spacing w:line="370" w:lineRule="exact"/>
        <w:ind w:firstLine="420" w:firstLineChars="200"/>
        <w:jc w:val="left"/>
        <w:rPr>
          <w:rFonts w:hint="eastAsia" w:ascii="宋体"/>
          <w:bCs/>
          <w:color w:val="auto"/>
          <w:sz w:val="21"/>
          <w:szCs w:val="21"/>
          <w:highlight w:val="none"/>
        </w:rPr>
      </w:pPr>
      <w:r>
        <w:rPr>
          <w:rFonts w:hint="eastAsia" w:ascii="宋体"/>
          <w:bCs/>
          <w:color w:val="auto"/>
          <w:sz w:val="21"/>
          <w:szCs w:val="21"/>
          <w:highlight w:val="none"/>
        </w:rPr>
        <w:t>实质上没有响应招标文件要求的投标将被视为无效投标。投标人不得通过修正或撤销</w:t>
      </w:r>
      <w:r>
        <w:rPr>
          <w:rFonts w:hint="eastAsia" w:ascii="宋体"/>
          <w:bCs/>
          <w:color w:val="auto"/>
          <w:sz w:val="21"/>
          <w:szCs w:val="21"/>
          <w:highlight w:val="none"/>
          <w:lang w:eastAsia="zh-CN"/>
        </w:rPr>
        <w:t>不符</w:t>
      </w:r>
      <w:r>
        <w:rPr>
          <w:rFonts w:hint="eastAsia" w:ascii="宋体"/>
          <w:bCs/>
          <w:color w:val="auto"/>
          <w:sz w:val="21"/>
          <w:szCs w:val="21"/>
          <w:highlight w:val="none"/>
        </w:rPr>
        <w:t>合要求的偏离或保留从而使其投标成为实质上响应的投标，但经评标委员会认定属于投标人疏忽、笔误所造成的差错，应当允许其在评标结束之前在广西政府采购云平台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25F35E58">
      <w:pPr>
        <w:snapToGrid w:val="0"/>
        <w:spacing w:line="370" w:lineRule="exact"/>
        <w:ind w:firstLine="422" w:firstLineChars="200"/>
        <w:jc w:val="left"/>
        <w:rPr>
          <w:rFonts w:hint="eastAsia" w:ascii="宋体"/>
          <w:b/>
          <w:bCs/>
          <w:color w:val="auto"/>
          <w:sz w:val="21"/>
          <w:szCs w:val="21"/>
          <w:highlight w:val="none"/>
        </w:rPr>
      </w:pPr>
      <w:r>
        <w:rPr>
          <w:rFonts w:hint="eastAsia" w:ascii="宋体"/>
          <w:b/>
          <w:bCs/>
          <w:color w:val="auto"/>
          <w:sz w:val="21"/>
          <w:szCs w:val="21"/>
          <w:highlight w:val="none"/>
        </w:rPr>
        <w:t>1.在资格、符合性审查时，如发现下列情形之一的，投标文件将被视为无效：</w:t>
      </w:r>
    </w:p>
    <w:p w14:paraId="75CBBD03">
      <w:pPr>
        <w:snapToGrid w:val="0"/>
        <w:spacing w:line="370" w:lineRule="exact"/>
        <w:ind w:firstLine="411" w:firstLineChars="196"/>
        <w:rPr>
          <w:rFonts w:hint="eastAsia" w:ascii="宋体"/>
          <w:color w:val="auto"/>
          <w:sz w:val="21"/>
          <w:szCs w:val="21"/>
          <w:highlight w:val="none"/>
        </w:rPr>
      </w:pPr>
      <w:r>
        <w:rPr>
          <w:rFonts w:hint="eastAsia" w:ascii="宋体"/>
          <w:color w:val="auto"/>
          <w:sz w:val="21"/>
          <w:szCs w:val="21"/>
          <w:highlight w:val="none"/>
        </w:rPr>
        <w:t>（1）</w:t>
      </w:r>
      <w:r>
        <w:rPr>
          <w:rFonts w:hint="eastAsia" w:ascii="宋体" w:cs="仿宋_GB2312"/>
          <w:color w:val="auto"/>
          <w:sz w:val="21"/>
          <w:szCs w:val="21"/>
          <w:highlight w:val="none"/>
        </w:rPr>
        <w:t>超越了按照法律法规规定必须获得行政许可或者行政审批的经营范围的</w:t>
      </w:r>
      <w:r>
        <w:rPr>
          <w:rFonts w:hint="eastAsia" w:ascii="宋体"/>
          <w:color w:val="auto"/>
          <w:sz w:val="21"/>
          <w:szCs w:val="21"/>
          <w:highlight w:val="none"/>
        </w:rPr>
        <w:t>；</w:t>
      </w:r>
    </w:p>
    <w:p w14:paraId="1D51DA24">
      <w:pPr>
        <w:snapToGrid w:val="0"/>
        <w:spacing w:line="370" w:lineRule="exact"/>
        <w:ind w:firstLine="411" w:firstLineChars="196"/>
        <w:rPr>
          <w:rFonts w:hint="eastAsia" w:ascii="宋体"/>
          <w:color w:val="auto"/>
          <w:sz w:val="21"/>
          <w:szCs w:val="21"/>
          <w:highlight w:val="none"/>
        </w:rPr>
      </w:pPr>
      <w:r>
        <w:rPr>
          <w:rFonts w:hint="eastAsia" w:ascii="宋体"/>
          <w:color w:val="auto"/>
          <w:sz w:val="21"/>
          <w:szCs w:val="21"/>
          <w:highlight w:val="none"/>
        </w:rPr>
        <w:t>（2）资格证明文件不全的，或者不符合招标文件标明的资格要求的；</w:t>
      </w:r>
    </w:p>
    <w:p w14:paraId="22171F22">
      <w:pPr>
        <w:snapToGrid w:val="0"/>
        <w:spacing w:line="370" w:lineRule="exact"/>
        <w:ind w:firstLine="411" w:firstLineChars="196"/>
        <w:rPr>
          <w:rFonts w:hint="eastAsia" w:ascii="宋体"/>
          <w:bCs/>
          <w:color w:val="auto"/>
          <w:kern w:val="0"/>
          <w:sz w:val="21"/>
          <w:szCs w:val="21"/>
          <w:highlight w:val="none"/>
        </w:rPr>
      </w:pPr>
      <w:r>
        <w:rPr>
          <w:rFonts w:hint="eastAsia" w:ascii="宋体"/>
          <w:color w:val="auto"/>
          <w:sz w:val="21"/>
          <w:szCs w:val="21"/>
          <w:highlight w:val="none"/>
        </w:rPr>
        <w:t>（3）</w:t>
      </w:r>
      <w:r>
        <w:rPr>
          <w:rFonts w:hint="eastAsia" w:ascii="宋体"/>
          <w:color w:val="auto"/>
          <w:spacing w:val="-4"/>
          <w:sz w:val="21"/>
          <w:szCs w:val="21"/>
          <w:highlight w:val="none"/>
        </w:rPr>
        <w:t>投标文件无法定代表人</w:t>
      </w:r>
      <w:r>
        <w:rPr>
          <w:rFonts w:hint="eastAsia" w:ascii="宋体"/>
          <w:color w:val="auto"/>
          <w:spacing w:val="-4"/>
          <w:sz w:val="21"/>
          <w:szCs w:val="21"/>
          <w:highlight w:val="none"/>
          <w:lang w:eastAsia="zh-CN"/>
        </w:rPr>
        <w:t>（</w:t>
      </w:r>
      <w:r>
        <w:rPr>
          <w:rFonts w:hint="eastAsia" w:ascii="宋体"/>
          <w:color w:val="auto"/>
          <w:spacing w:val="-4"/>
          <w:sz w:val="21"/>
          <w:szCs w:val="21"/>
          <w:highlight w:val="none"/>
        </w:rPr>
        <w:t>负责人</w:t>
      </w:r>
      <w:r>
        <w:rPr>
          <w:rFonts w:hint="eastAsia" w:ascii="宋体"/>
          <w:color w:val="auto"/>
          <w:spacing w:val="-4"/>
          <w:sz w:val="21"/>
          <w:szCs w:val="21"/>
          <w:highlight w:val="none"/>
          <w:lang w:eastAsia="zh-CN"/>
        </w:rPr>
        <w:t>）</w:t>
      </w:r>
      <w:r>
        <w:rPr>
          <w:rFonts w:hint="eastAsia" w:ascii="宋体"/>
          <w:color w:val="auto"/>
          <w:spacing w:val="-4"/>
          <w:sz w:val="21"/>
          <w:szCs w:val="21"/>
          <w:highlight w:val="none"/>
        </w:rPr>
        <w:t>或其授权委托代理人签字，或未</w:t>
      </w:r>
      <w:r>
        <w:rPr>
          <w:rFonts w:hint="eastAsia" w:ascii="宋体"/>
          <w:bCs/>
          <w:color w:val="auto"/>
          <w:spacing w:val="-4"/>
          <w:kern w:val="0"/>
          <w:sz w:val="21"/>
          <w:szCs w:val="21"/>
          <w:highlight w:val="none"/>
        </w:rPr>
        <w:t>提供法定代表人</w:t>
      </w:r>
      <w:r>
        <w:rPr>
          <w:rFonts w:hint="eastAsia" w:ascii="宋体"/>
          <w:bCs/>
          <w:color w:val="auto"/>
          <w:spacing w:val="-4"/>
          <w:kern w:val="0"/>
          <w:sz w:val="21"/>
          <w:szCs w:val="21"/>
          <w:highlight w:val="none"/>
          <w:lang w:eastAsia="zh-CN"/>
        </w:rPr>
        <w:t>（</w:t>
      </w:r>
      <w:r>
        <w:rPr>
          <w:rFonts w:hint="eastAsia" w:ascii="宋体"/>
          <w:bCs/>
          <w:color w:val="auto"/>
          <w:spacing w:val="-4"/>
          <w:kern w:val="0"/>
          <w:sz w:val="21"/>
          <w:szCs w:val="21"/>
          <w:highlight w:val="none"/>
        </w:rPr>
        <w:t>负责人</w:t>
      </w:r>
      <w:r>
        <w:rPr>
          <w:rFonts w:hint="eastAsia" w:ascii="宋体"/>
          <w:bCs/>
          <w:color w:val="auto"/>
          <w:spacing w:val="-4"/>
          <w:kern w:val="0"/>
          <w:sz w:val="21"/>
          <w:szCs w:val="21"/>
          <w:highlight w:val="none"/>
          <w:lang w:eastAsia="zh-CN"/>
        </w:rPr>
        <w:t>）</w:t>
      </w:r>
      <w:r>
        <w:rPr>
          <w:rFonts w:hint="eastAsia" w:ascii="宋体"/>
          <w:bCs/>
          <w:color w:val="auto"/>
          <w:spacing w:val="-4"/>
          <w:kern w:val="0"/>
          <w:sz w:val="21"/>
          <w:szCs w:val="21"/>
          <w:highlight w:val="none"/>
        </w:rPr>
        <w:t>授权委托书、投标声明书</w:t>
      </w:r>
      <w:r>
        <w:rPr>
          <w:rFonts w:hint="eastAsia" w:ascii="宋体" w:hAnsi="宋体"/>
          <w:bCs/>
          <w:color w:val="auto"/>
          <w:spacing w:val="-4"/>
          <w:kern w:val="0"/>
          <w:sz w:val="21"/>
          <w:szCs w:val="21"/>
          <w:highlight w:val="none"/>
        </w:rPr>
        <w:t>或者填写内容不齐全</w:t>
      </w:r>
      <w:r>
        <w:rPr>
          <w:rFonts w:hint="eastAsia" w:ascii="宋体"/>
          <w:bCs/>
          <w:color w:val="auto"/>
          <w:spacing w:val="-4"/>
          <w:kern w:val="0"/>
          <w:sz w:val="21"/>
          <w:szCs w:val="21"/>
          <w:highlight w:val="none"/>
        </w:rPr>
        <w:t>的；</w:t>
      </w:r>
    </w:p>
    <w:p w14:paraId="4F3FD49B">
      <w:pPr>
        <w:snapToGrid w:val="0"/>
        <w:spacing w:line="370" w:lineRule="exact"/>
        <w:ind w:firstLine="411" w:firstLineChars="196"/>
        <w:rPr>
          <w:rFonts w:hint="eastAsia" w:ascii="宋体"/>
          <w:color w:val="auto"/>
          <w:sz w:val="21"/>
          <w:szCs w:val="21"/>
          <w:highlight w:val="none"/>
        </w:rPr>
      </w:pPr>
      <w:r>
        <w:rPr>
          <w:rFonts w:hint="eastAsia" w:ascii="宋体"/>
          <w:color w:val="auto"/>
          <w:sz w:val="21"/>
          <w:szCs w:val="21"/>
          <w:highlight w:val="none"/>
        </w:rPr>
        <w:t>（4）投标代表人未能出具身份证明或与法定代表人</w:t>
      </w:r>
      <w:r>
        <w:rPr>
          <w:rFonts w:hint="eastAsia" w:ascii="宋体"/>
          <w:color w:val="auto"/>
          <w:sz w:val="21"/>
          <w:szCs w:val="21"/>
          <w:highlight w:val="none"/>
          <w:lang w:eastAsia="zh-CN"/>
        </w:rPr>
        <w:t>（</w:t>
      </w:r>
      <w:r>
        <w:rPr>
          <w:rFonts w:hint="eastAsia" w:ascii="宋体"/>
          <w:color w:val="auto"/>
          <w:sz w:val="21"/>
          <w:szCs w:val="21"/>
          <w:highlight w:val="none"/>
        </w:rPr>
        <w:t>负责人</w:t>
      </w:r>
      <w:r>
        <w:rPr>
          <w:rFonts w:hint="eastAsia" w:ascii="宋体"/>
          <w:color w:val="auto"/>
          <w:sz w:val="21"/>
          <w:szCs w:val="21"/>
          <w:highlight w:val="none"/>
          <w:lang w:eastAsia="zh-CN"/>
        </w:rPr>
        <w:t>）</w:t>
      </w:r>
      <w:r>
        <w:rPr>
          <w:rFonts w:hint="eastAsia" w:ascii="宋体"/>
          <w:color w:val="auto"/>
          <w:sz w:val="21"/>
          <w:szCs w:val="21"/>
          <w:highlight w:val="none"/>
        </w:rPr>
        <w:t xml:space="preserve">授权委托人身份不符的； </w:t>
      </w:r>
    </w:p>
    <w:p w14:paraId="75B77309">
      <w:pPr>
        <w:pStyle w:val="20"/>
        <w:snapToGrid w:val="0"/>
        <w:spacing w:line="370" w:lineRule="exact"/>
        <w:ind w:firstLine="411" w:firstLineChars="196"/>
        <w:rPr>
          <w:rFonts w:hint="eastAsia" w:ascii="宋体" w:eastAsia="宋体"/>
          <w:snapToGrid w:val="0"/>
          <w:color w:val="auto"/>
          <w:sz w:val="21"/>
          <w:szCs w:val="21"/>
          <w:highlight w:val="none"/>
        </w:rPr>
      </w:pPr>
      <w:r>
        <w:rPr>
          <w:rFonts w:hint="eastAsia" w:ascii="宋体" w:eastAsia="宋体"/>
          <w:color w:val="auto"/>
          <w:sz w:val="21"/>
          <w:szCs w:val="21"/>
          <w:highlight w:val="none"/>
        </w:rPr>
        <w:t>（</w:t>
      </w:r>
      <w:r>
        <w:rPr>
          <w:rFonts w:hint="eastAsia" w:ascii="宋体" w:eastAsia="宋体"/>
          <w:snapToGrid w:val="0"/>
          <w:color w:val="auto"/>
          <w:sz w:val="21"/>
          <w:szCs w:val="21"/>
          <w:highlight w:val="none"/>
        </w:rPr>
        <w:t>5）</w:t>
      </w:r>
      <w:r>
        <w:rPr>
          <w:rFonts w:hint="eastAsia" w:ascii="宋体" w:eastAsia="宋体" w:cs="仿宋_GB2312"/>
          <w:color w:val="auto"/>
          <w:sz w:val="21"/>
          <w:szCs w:val="21"/>
          <w:highlight w:val="none"/>
        </w:rPr>
        <w:t>项目填写不齐全或者内容虚假的</w:t>
      </w:r>
      <w:r>
        <w:rPr>
          <w:rFonts w:hint="eastAsia" w:ascii="宋体" w:eastAsia="宋体"/>
          <w:color w:val="auto"/>
          <w:sz w:val="21"/>
          <w:szCs w:val="21"/>
          <w:highlight w:val="none"/>
        </w:rPr>
        <w:t>；</w:t>
      </w:r>
    </w:p>
    <w:p w14:paraId="5198DF81">
      <w:pPr>
        <w:pStyle w:val="20"/>
        <w:snapToGrid w:val="0"/>
        <w:spacing w:line="370" w:lineRule="exact"/>
        <w:ind w:firstLine="411" w:firstLineChars="196"/>
        <w:rPr>
          <w:rFonts w:hint="eastAsia" w:ascii="宋体" w:eastAsia="宋体"/>
          <w:snapToGrid w:val="0"/>
          <w:color w:val="auto"/>
          <w:sz w:val="21"/>
          <w:szCs w:val="21"/>
          <w:highlight w:val="none"/>
        </w:rPr>
      </w:pPr>
      <w:r>
        <w:rPr>
          <w:rFonts w:hint="eastAsia" w:ascii="宋体" w:eastAsia="宋体"/>
          <w:color w:val="auto"/>
          <w:sz w:val="21"/>
          <w:szCs w:val="21"/>
          <w:highlight w:val="none"/>
        </w:rPr>
        <w:t>（6）</w:t>
      </w:r>
      <w:r>
        <w:rPr>
          <w:rFonts w:hint="eastAsia" w:ascii="宋体" w:eastAsia="宋体" w:cs="仿宋_GB2312"/>
          <w:color w:val="auto"/>
          <w:sz w:val="21"/>
          <w:szCs w:val="21"/>
          <w:highlight w:val="none"/>
        </w:rPr>
        <w:t>投标文件的实质性内容未使用中文表述、意思表述不明确、前后矛盾或者使用计量单位不符合招标文件要求的</w:t>
      </w:r>
      <w:r>
        <w:rPr>
          <w:rFonts w:hint="eastAsia" w:ascii="宋体" w:eastAsia="宋体"/>
          <w:color w:val="auto"/>
          <w:sz w:val="21"/>
          <w:szCs w:val="21"/>
          <w:highlight w:val="none"/>
        </w:rPr>
        <w:t>（经评标委员会认定并允许其当场更正的笔误除外）；</w:t>
      </w:r>
    </w:p>
    <w:p w14:paraId="79BC5867">
      <w:pPr>
        <w:pStyle w:val="20"/>
        <w:snapToGrid w:val="0"/>
        <w:spacing w:line="360" w:lineRule="exact"/>
        <w:ind w:firstLine="411" w:firstLineChars="196"/>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w:t>
      </w:r>
      <w:r>
        <w:rPr>
          <w:rFonts w:hint="eastAsia" w:ascii="宋体" w:hAnsi="宋体" w:eastAsia="宋体"/>
          <w:color w:val="auto"/>
          <w:spacing w:val="-4"/>
          <w:sz w:val="21"/>
          <w:szCs w:val="21"/>
          <w:highlight w:val="none"/>
        </w:rPr>
        <w:t>未实质性响应招标文件要求或者投标文件有招标方不能接受的附加条件的；</w:t>
      </w:r>
    </w:p>
    <w:p w14:paraId="42A2AA1D">
      <w:pPr>
        <w:pStyle w:val="20"/>
        <w:snapToGrid w:val="0"/>
        <w:spacing w:line="360" w:lineRule="exact"/>
        <w:ind w:firstLine="411" w:firstLineChars="196"/>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（8）未按照招标文件的规定提交投标保证金的；（说明：评标时，评标委员会将以本采购代理财务室编制的《项目投标保证金到账信息表》作为评审参考依据）。</w:t>
      </w:r>
    </w:p>
    <w:p w14:paraId="076FE967">
      <w:pPr>
        <w:pStyle w:val="20"/>
        <w:snapToGrid w:val="0"/>
        <w:spacing w:line="360" w:lineRule="exact"/>
        <w:ind w:firstLine="411" w:firstLineChars="196"/>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（9）法律、法规和招标文件规定的其他无效情形。</w:t>
      </w:r>
    </w:p>
    <w:p w14:paraId="6FF5F602">
      <w:pPr>
        <w:pStyle w:val="20"/>
        <w:snapToGrid w:val="0"/>
        <w:spacing w:line="370" w:lineRule="exact"/>
        <w:ind w:firstLine="413" w:firstLineChars="196"/>
        <w:rPr>
          <w:rFonts w:hint="eastAsia" w:ascii="宋体" w:eastAsia="宋体"/>
          <w:b/>
          <w:bCs/>
          <w:color w:val="auto"/>
          <w:sz w:val="21"/>
          <w:szCs w:val="21"/>
          <w:highlight w:val="none"/>
        </w:rPr>
      </w:pPr>
      <w:r>
        <w:rPr>
          <w:rFonts w:hint="eastAsia" w:ascii="宋体" w:eastAsia="宋体"/>
          <w:b/>
          <w:bCs/>
          <w:color w:val="auto"/>
          <w:sz w:val="21"/>
          <w:szCs w:val="21"/>
          <w:highlight w:val="none"/>
        </w:rPr>
        <w:t>2.在商务、技术评审时，如发现下列情形之一的，投标文件将被视为无效：</w:t>
      </w:r>
    </w:p>
    <w:p w14:paraId="652F14A8">
      <w:pPr>
        <w:pStyle w:val="20"/>
        <w:snapToGrid w:val="0"/>
        <w:spacing w:line="370" w:lineRule="exact"/>
        <w:ind w:firstLine="411" w:firstLineChars="196"/>
        <w:rPr>
          <w:rFonts w:hint="eastAsia" w:ascii="宋体" w:eastAsia="宋体"/>
          <w:snapToGrid w:val="0"/>
          <w:color w:val="auto"/>
          <w:sz w:val="21"/>
          <w:szCs w:val="21"/>
          <w:highlight w:val="none"/>
        </w:rPr>
      </w:pPr>
      <w:r>
        <w:rPr>
          <w:rFonts w:hint="eastAsia" w:ascii="宋体" w:eastAsia="宋体"/>
          <w:color w:val="auto"/>
          <w:sz w:val="21"/>
          <w:szCs w:val="21"/>
          <w:highlight w:val="none"/>
        </w:rPr>
        <w:t>（</w:t>
      </w:r>
      <w:r>
        <w:rPr>
          <w:rFonts w:hint="eastAsia" w:ascii="宋体" w:eastAsia="宋体"/>
          <w:snapToGrid w:val="0"/>
          <w:color w:val="auto"/>
          <w:sz w:val="21"/>
          <w:szCs w:val="21"/>
          <w:highlight w:val="none"/>
        </w:rPr>
        <w:t>1）投标有效期等商务条款不能满足招标文件要求的；</w:t>
      </w:r>
    </w:p>
    <w:p w14:paraId="2EBE6A97">
      <w:pPr>
        <w:pStyle w:val="20"/>
        <w:snapToGrid w:val="0"/>
        <w:spacing w:line="370" w:lineRule="exact"/>
        <w:ind w:firstLine="411" w:firstLineChars="196"/>
        <w:rPr>
          <w:rFonts w:hint="eastAsia" w:ascii="宋体" w:eastAsia="宋体"/>
          <w:color w:val="auto"/>
          <w:sz w:val="21"/>
          <w:szCs w:val="21"/>
          <w:highlight w:val="none"/>
        </w:rPr>
      </w:pPr>
      <w:r>
        <w:rPr>
          <w:rFonts w:hint="eastAsia" w:ascii="宋体" w:eastAsia="宋体"/>
          <w:color w:val="auto"/>
          <w:sz w:val="21"/>
          <w:szCs w:val="21"/>
          <w:highlight w:val="none"/>
        </w:rPr>
        <w:t>（2）未实质性响应招标文件要求或者投标文件有采购人不能接受的附加条件的；</w:t>
      </w:r>
    </w:p>
    <w:p w14:paraId="2CE25A6C">
      <w:pPr>
        <w:pStyle w:val="20"/>
        <w:snapToGrid w:val="0"/>
        <w:spacing w:line="370" w:lineRule="exact"/>
        <w:ind w:firstLine="411" w:firstLineChars="196"/>
        <w:rPr>
          <w:rFonts w:hint="eastAsia" w:ascii="宋体" w:eastAsia="宋体"/>
          <w:color w:val="auto"/>
          <w:sz w:val="21"/>
          <w:szCs w:val="21"/>
          <w:highlight w:val="none"/>
        </w:rPr>
      </w:pPr>
      <w:r>
        <w:rPr>
          <w:rFonts w:hint="eastAsia" w:ascii="宋体" w:eastAsia="宋体"/>
          <w:color w:val="auto"/>
          <w:sz w:val="21"/>
          <w:szCs w:val="21"/>
          <w:highlight w:val="none"/>
        </w:rPr>
        <w:t>（3）未提供或未如实提供投标服务的服务承诺，或者投标文件标明的响应或偏离与事实不符或虚假投标的；</w:t>
      </w:r>
    </w:p>
    <w:p w14:paraId="58FFF155">
      <w:pPr>
        <w:pStyle w:val="20"/>
        <w:snapToGrid w:val="0"/>
        <w:spacing w:line="370" w:lineRule="exact"/>
        <w:ind w:firstLine="411" w:firstLineChars="196"/>
        <w:rPr>
          <w:rFonts w:hint="eastAsia" w:ascii="宋体" w:eastAsia="宋体"/>
          <w:snapToGrid w:val="0"/>
          <w:color w:val="auto"/>
          <w:sz w:val="21"/>
          <w:szCs w:val="21"/>
          <w:highlight w:val="none"/>
        </w:rPr>
      </w:pPr>
      <w:r>
        <w:rPr>
          <w:rFonts w:hint="eastAsia" w:ascii="宋体" w:eastAsia="宋体"/>
          <w:color w:val="auto"/>
          <w:sz w:val="21"/>
          <w:szCs w:val="21"/>
          <w:highlight w:val="none"/>
        </w:rPr>
        <w:t>（4）</w:t>
      </w:r>
      <w:r>
        <w:rPr>
          <w:rFonts w:hint="eastAsia" w:ascii="宋体" w:eastAsia="宋体"/>
          <w:snapToGrid w:val="0"/>
          <w:color w:val="auto"/>
          <w:sz w:val="21"/>
          <w:szCs w:val="21"/>
          <w:highlight w:val="none"/>
        </w:rPr>
        <w:t>明显不符合招标文件要求的服务要求，或者与招标文件中标“</w:t>
      </w:r>
      <w:r>
        <w:rPr>
          <w:rFonts w:hint="eastAsia"/>
          <w:color w:val="auto"/>
          <w:sz w:val="21"/>
          <w:szCs w:val="21"/>
          <w:highlight w:val="none"/>
        </w:rPr>
        <w:t>★</w:t>
      </w:r>
      <w:r>
        <w:rPr>
          <w:rFonts w:hint="eastAsia" w:ascii="宋体" w:eastAsia="宋体"/>
          <w:snapToGrid w:val="0"/>
          <w:color w:val="auto"/>
          <w:sz w:val="21"/>
          <w:szCs w:val="21"/>
          <w:highlight w:val="none"/>
        </w:rPr>
        <w:t>”的技术指标、主要功能项目发生实质性负偏离的；</w:t>
      </w:r>
    </w:p>
    <w:p w14:paraId="7B7F9865">
      <w:pPr>
        <w:pStyle w:val="20"/>
        <w:snapToGrid w:val="0"/>
        <w:spacing w:line="370" w:lineRule="exact"/>
        <w:ind w:firstLine="411" w:firstLineChars="196"/>
        <w:rPr>
          <w:rFonts w:hint="eastAsia" w:ascii="宋体" w:eastAsia="宋体"/>
          <w:snapToGrid w:val="0"/>
          <w:color w:val="auto"/>
          <w:sz w:val="21"/>
          <w:szCs w:val="21"/>
          <w:highlight w:val="none"/>
        </w:rPr>
      </w:pPr>
      <w:r>
        <w:rPr>
          <w:rFonts w:hint="eastAsia" w:ascii="宋体" w:eastAsia="宋体"/>
          <w:snapToGrid w:val="0"/>
          <w:color w:val="auto"/>
          <w:sz w:val="21"/>
          <w:szCs w:val="21"/>
          <w:highlight w:val="none"/>
        </w:rPr>
        <w:t>（5）</w:t>
      </w:r>
      <w:r>
        <w:rPr>
          <w:rFonts w:hint="eastAsia" w:ascii="宋体" w:hAnsi="宋体" w:eastAsia="宋体"/>
          <w:color w:val="auto"/>
          <w:sz w:val="21"/>
          <w:szCs w:val="21"/>
          <w:highlight w:val="none"/>
        </w:rPr>
        <w:t>允许偏离的商务、技术、性能指标或者辅助功能项目发生负偏离超出允许的范围以上的</w:t>
      </w:r>
      <w:r>
        <w:rPr>
          <w:rFonts w:hint="eastAsia" w:ascii="宋体" w:hAnsi="宋体" w:eastAsia="宋体"/>
          <w:color w:val="auto"/>
          <w:spacing w:val="-4"/>
          <w:sz w:val="21"/>
          <w:szCs w:val="21"/>
          <w:highlight w:val="none"/>
        </w:rPr>
        <w:t>；</w:t>
      </w:r>
    </w:p>
    <w:p w14:paraId="78C82F22">
      <w:pPr>
        <w:pStyle w:val="20"/>
        <w:snapToGrid w:val="0"/>
        <w:spacing w:line="370" w:lineRule="exact"/>
        <w:ind w:firstLine="411" w:firstLineChars="196"/>
        <w:rPr>
          <w:rFonts w:hint="eastAsia" w:ascii="宋体" w:eastAsia="宋体"/>
          <w:snapToGrid w:val="0"/>
          <w:color w:val="auto"/>
          <w:sz w:val="21"/>
          <w:szCs w:val="21"/>
          <w:highlight w:val="none"/>
        </w:rPr>
      </w:pPr>
      <w:r>
        <w:rPr>
          <w:rFonts w:hint="eastAsia" w:ascii="宋体" w:eastAsia="宋体"/>
          <w:snapToGrid w:val="0"/>
          <w:color w:val="auto"/>
          <w:sz w:val="21"/>
          <w:szCs w:val="21"/>
          <w:highlight w:val="none"/>
        </w:rPr>
        <w:t>（6）投标技术方案不明确，存在一个或一个以上备选（替代）投标方案的；</w:t>
      </w:r>
    </w:p>
    <w:p w14:paraId="1C97B7EE">
      <w:pPr>
        <w:pStyle w:val="20"/>
        <w:snapToGrid w:val="0"/>
        <w:spacing w:line="370" w:lineRule="exact"/>
        <w:ind w:firstLine="411" w:firstLineChars="196"/>
        <w:rPr>
          <w:rFonts w:hint="eastAsia" w:ascii="宋体" w:eastAsia="宋体"/>
          <w:snapToGrid w:val="0"/>
          <w:color w:val="auto"/>
          <w:sz w:val="21"/>
          <w:szCs w:val="21"/>
          <w:highlight w:val="none"/>
        </w:rPr>
      </w:pPr>
      <w:r>
        <w:rPr>
          <w:rFonts w:hint="eastAsia" w:ascii="宋体" w:eastAsia="宋体"/>
          <w:snapToGrid w:val="0"/>
          <w:color w:val="auto"/>
          <w:sz w:val="21"/>
          <w:szCs w:val="21"/>
          <w:highlight w:val="none"/>
        </w:rPr>
        <w:t>（7）与其他参加本次投标供应商的投标文件（技术文件）的文字表述内容差错相同二处以上的；</w:t>
      </w:r>
    </w:p>
    <w:p w14:paraId="18889DE2">
      <w:pPr>
        <w:pStyle w:val="20"/>
        <w:snapToGrid w:val="0"/>
        <w:spacing w:line="370" w:lineRule="exact"/>
        <w:ind w:firstLine="413" w:firstLineChars="196"/>
        <w:rPr>
          <w:rFonts w:hint="eastAsia" w:ascii="宋体" w:eastAsia="宋体"/>
          <w:b/>
          <w:bCs/>
          <w:color w:val="auto"/>
          <w:sz w:val="21"/>
          <w:szCs w:val="21"/>
          <w:highlight w:val="none"/>
        </w:rPr>
      </w:pPr>
      <w:r>
        <w:rPr>
          <w:rFonts w:hint="eastAsia" w:ascii="宋体" w:eastAsia="宋体"/>
          <w:b/>
          <w:bCs/>
          <w:color w:val="auto"/>
          <w:sz w:val="21"/>
          <w:szCs w:val="21"/>
          <w:highlight w:val="none"/>
        </w:rPr>
        <w:t>3.在报价评审时，如发现下列情形之一的，投标文件将被视为无效：</w:t>
      </w:r>
    </w:p>
    <w:p w14:paraId="72599E9B">
      <w:pPr>
        <w:pStyle w:val="20"/>
        <w:snapToGrid w:val="0"/>
        <w:spacing w:line="370" w:lineRule="exact"/>
        <w:ind w:firstLine="411" w:firstLineChars="196"/>
        <w:rPr>
          <w:rFonts w:hint="eastAsia" w:ascii="宋体" w:eastAsia="宋体"/>
          <w:color w:val="auto"/>
          <w:sz w:val="21"/>
          <w:szCs w:val="21"/>
          <w:highlight w:val="none"/>
        </w:rPr>
      </w:pPr>
      <w:r>
        <w:rPr>
          <w:rFonts w:hint="eastAsia" w:ascii="宋体" w:eastAsia="宋体"/>
          <w:color w:val="auto"/>
          <w:sz w:val="21"/>
          <w:szCs w:val="21"/>
          <w:highlight w:val="none"/>
        </w:rPr>
        <w:t>（1）未采用人民币报价或者未按照招标文件标明的币种报价的；</w:t>
      </w:r>
    </w:p>
    <w:p w14:paraId="456F0A1D">
      <w:pPr>
        <w:pStyle w:val="20"/>
        <w:snapToGrid w:val="0"/>
        <w:spacing w:line="370" w:lineRule="exact"/>
        <w:ind w:firstLine="411" w:firstLineChars="196"/>
        <w:rPr>
          <w:rFonts w:hint="eastAsia" w:ascii="宋体" w:eastAsia="宋体"/>
          <w:color w:val="auto"/>
          <w:sz w:val="21"/>
          <w:szCs w:val="21"/>
          <w:highlight w:val="none"/>
        </w:rPr>
      </w:pPr>
      <w:r>
        <w:rPr>
          <w:rFonts w:hint="eastAsia" w:ascii="宋体" w:eastAsia="宋体"/>
          <w:color w:val="auto"/>
          <w:sz w:val="21"/>
          <w:szCs w:val="21"/>
          <w:highlight w:val="none"/>
        </w:rPr>
        <w:t>（2）报价超出最高限价，或者超出采购预算金额，采购人不能支付的；</w:t>
      </w:r>
    </w:p>
    <w:p w14:paraId="49C30FE5">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（3）投标报价具有选择性，或者开标价格与投标文件承诺的优惠（折扣）价格不一致的；</w:t>
      </w:r>
    </w:p>
    <w:p w14:paraId="2CE0D661">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（4）评标委员会认为投标人的报价明显低于其他通过符合性审查投标人的报价，有可能影响产品（服务）质量或者不能诚信履约，投标人不能证明其报价合理性的。</w:t>
      </w:r>
    </w:p>
    <w:p w14:paraId="1A8D78DB">
      <w:pPr>
        <w:pStyle w:val="20"/>
        <w:snapToGrid w:val="0"/>
        <w:spacing w:line="370" w:lineRule="exact"/>
        <w:ind w:firstLine="422" w:firstLineChars="200"/>
        <w:rPr>
          <w:rFonts w:hint="eastAsia" w:ascii="宋体" w:eastAsia="宋体"/>
          <w:b/>
          <w:color w:val="auto"/>
          <w:sz w:val="21"/>
          <w:szCs w:val="21"/>
          <w:highlight w:val="none"/>
        </w:rPr>
      </w:pPr>
      <w:r>
        <w:rPr>
          <w:rFonts w:hint="eastAsia" w:ascii="宋体" w:eastAsia="宋体"/>
          <w:b/>
          <w:color w:val="auto"/>
          <w:sz w:val="21"/>
          <w:szCs w:val="21"/>
          <w:highlight w:val="none"/>
        </w:rPr>
        <w:t>4.有下列情形之一的视为投标人相互串通投标，投标文件将被视为无效：</w:t>
      </w:r>
    </w:p>
    <w:p w14:paraId="013DB05B">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（1）不同投标人的投标文件由同一单位或者个人编制；或不同投标人报名的IP地址一致的；</w:t>
      </w:r>
    </w:p>
    <w:p w14:paraId="4036C3E6">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（2）不同投标人委托同一单位或者个人办理投标事宜；</w:t>
      </w:r>
    </w:p>
    <w:p w14:paraId="760191E0">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（3）不同投标人的投标文件载明的项目管理成员或者联系人员为同一人；</w:t>
      </w:r>
    </w:p>
    <w:p w14:paraId="4D0BBD6F">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（4）不同投标人的投标文件异常一致或投标报价呈规律性差异；</w:t>
      </w:r>
    </w:p>
    <w:p w14:paraId="16AE18E5">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（5）不同投标人的投标文件相互混装；</w:t>
      </w:r>
    </w:p>
    <w:p w14:paraId="661AA6A1">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（6）不同投标人的投标保证金从同一个单位或者个人账户转出。</w:t>
      </w:r>
    </w:p>
    <w:p w14:paraId="7E69E77A">
      <w:pPr>
        <w:pStyle w:val="20"/>
        <w:snapToGrid w:val="0"/>
        <w:spacing w:line="370" w:lineRule="exact"/>
        <w:ind w:firstLine="422" w:firstLineChars="200"/>
        <w:rPr>
          <w:rFonts w:hint="eastAsia" w:ascii="宋体" w:eastAsia="宋体"/>
          <w:b/>
          <w:color w:val="auto"/>
          <w:sz w:val="21"/>
          <w:szCs w:val="21"/>
          <w:highlight w:val="none"/>
        </w:rPr>
      </w:pPr>
      <w:r>
        <w:rPr>
          <w:rFonts w:hint="eastAsia" w:ascii="宋体" w:eastAsia="宋体"/>
          <w:b/>
          <w:color w:val="auto"/>
          <w:sz w:val="21"/>
          <w:szCs w:val="21"/>
          <w:highlight w:val="none"/>
        </w:rPr>
        <w:t>5.其他投标无效的情形：</w:t>
      </w:r>
    </w:p>
    <w:p w14:paraId="44B96373">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（1）投标文件未按招标文件要求签署或CA电子签章的；</w:t>
      </w:r>
    </w:p>
    <w:p w14:paraId="70B07C06">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（2）供应商提交两份或两份以上内容不同的投标文件；</w:t>
      </w:r>
    </w:p>
    <w:p w14:paraId="6FB5C5E6">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（3）投标供应商在线制作投标文件时填写的报价金额与解密后“电子加密投标文件”中《开标一览表》填写的金额不一致并拒绝按招标文件要求接受调整的；</w:t>
      </w:r>
    </w:p>
    <w:p w14:paraId="308905E2">
      <w:pPr>
        <w:pStyle w:val="20"/>
        <w:snapToGrid w:val="0"/>
        <w:spacing w:line="370" w:lineRule="exact"/>
        <w:ind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rPr>
        <w:t>（4）法律、法规和招标文件规定的其他无效情形（或出现重大偏差）。</w:t>
      </w:r>
    </w:p>
    <w:p w14:paraId="6502E8A0">
      <w:pPr>
        <w:pStyle w:val="20"/>
        <w:snapToGrid w:val="0"/>
        <w:spacing w:line="370" w:lineRule="exact"/>
        <w:ind w:firstLine="422" w:firstLineChars="200"/>
        <w:rPr>
          <w:rFonts w:hint="eastAsia" w:ascii="宋体" w:eastAsia="宋体"/>
          <w:b/>
          <w:color w:val="auto"/>
          <w:sz w:val="21"/>
          <w:szCs w:val="21"/>
          <w:highlight w:val="none"/>
        </w:rPr>
      </w:pPr>
      <w:r>
        <w:rPr>
          <w:rFonts w:hint="eastAsia" w:ascii="宋体" w:eastAsia="宋体"/>
          <w:b/>
          <w:color w:val="auto"/>
          <w:sz w:val="21"/>
          <w:szCs w:val="21"/>
          <w:highlight w:val="none"/>
        </w:rPr>
        <w:t>6.被拒绝的投标文件为无效。</w:t>
      </w:r>
    </w:p>
    <w:p w14:paraId="42416216">
      <w:pPr>
        <w:spacing w:line="370" w:lineRule="exact"/>
        <w:rPr>
          <w:rFonts w:hint="eastAsia"/>
          <w:color w:val="auto"/>
          <w:sz w:val="21"/>
          <w:szCs w:val="21"/>
          <w:highlight w:val="none"/>
        </w:rPr>
      </w:pPr>
      <w:bookmarkStart w:id="93" w:name="_Toc254970544"/>
      <w:bookmarkStart w:id="94" w:name="_Toc254970685"/>
    </w:p>
    <w:p w14:paraId="46935817">
      <w:pPr>
        <w:spacing w:line="370" w:lineRule="exact"/>
        <w:jc w:val="center"/>
        <w:rPr>
          <w:rFonts w:hint="eastAsia"/>
          <w:b/>
          <w:color w:val="auto"/>
          <w:sz w:val="21"/>
          <w:szCs w:val="21"/>
          <w:highlight w:val="none"/>
        </w:rPr>
      </w:pPr>
      <w:r>
        <w:rPr>
          <w:rFonts w:hint="eastAsia"/>
          <w:b/>
          <w:color w:val="auto"/>
          <w:sz w:val="21"/>
          <w:szCs w:val="21"/>
          <w:highlight w:val="none"/>
        </w:rPr>
        <w:t>四、开  标</w:t>
      </w:r>
      <w:bookmarkEnd w:id="93"/>
      <w:bookmarkEnd w:id="94"/>
    </w:p>
    <w:p w14:paraId="132EB250">
      <w:pPr>
        <w:spacing w:line="370" w:lineRule="exact"/>
        <w:rPr>
          <w:rFonts w:hint="eastAsia"/>
          <w:b/>
          <w:color w:val="auto"/>
          <w:sz w:val="21"/>
          <w:szCs w:val="21"/>
          <w:highlight w:val="none"/>
        </w:rPr>
      </w:pPr>
      <w:r>
        <w:rPr>
          <w:rFonts w:hint="eastAsia"/>
          <w:color w:val="auto"/>
          <w:sz w:val="21"/>
          <w:szCs w:val="21"/>
          <w:highlight w:val="none"/>
        </w:rPr>
        <w:t xml:space="preserve">    </w:t>
      </w:r>
      <w:r>
        <w:rPr>
          <w:rFonts w:hint="eastAsia"/>
          <w:b/>
          <w:color w:val="auto"/>
          <w:sz w:val="21"/>
          <w:szCs w:val="21"/>
          <w:highlight w:val="none"/>
        </w:rPr>
        <w:t>（一）开标准备</w:t>
      </w:r>
    </w:p>
    <w:p w14:paraId="4BB2BFAD">
      <w:pPr>
        <w:spacing w:line="370" w:lineRule="exact"/>
        <w:ind w:firstLine="435"/>
        <w:rPr>
          <w:rFonts w:hint="eastAsia"/>
          <w:color w:val="auto"/>
          <w:sz w:val="21"/>
          <w:szCs w:val="21"/>
          <w:highlight w:val="none"/>
        </w:rPr>
      </w:pPr>
      <w:r>
        <w:rPr>
          <w:rFonts w:hint="eastAsia"/>
          <w:color w:val="auto"/>
          <w:sz w:val="21"/>
          <w:szCs w:val="21"/>
          <w:highlight w:val="none"/>
        </w:rPr>
        <w:t>采购代理机构将在规定的时间和地点通过“广西政府采购云平台”组织开标、开启投标文件，所有供应商均应当准时在线参加。投标供应商因未在线参加开标而导致投标文件无法按时解密等一切后果由供应商自行承担。</w:t>
      </w:r>
    </w:p>
    <w:p w14:paraId="79FA90E1">
      <w:pPr>
        <w:spacing w:line="370" w:lineRule="exact"/>
        <w:rPr>
          <w:rFonts w:hint="eastAsia"/>
          <w:b/>
          <w:color w:val="auto"/>
          <w:sz w:val="21"/>
          <w:szCs w:val="21"/>
          <w:highlight w:val="none"/>
        </w:rPr>
      </w:pPr>
      <w:r>
        <w:rPr>
          <w:rFonts w:hint="eastAsia"/>
          <w:color w:val="auto"/>
          <w:sz w:val="21"/>
          <w:szCs w:val="21"/>
          <w:highlight w:val="none"/>
        </w:rPr>
        <w:t xml:space="preserve">    </w:t>
      </w:r>
      <w:r>
        <w:rPr>
          <w:rFonts w:hint="eastAsia"/>
          <w:b/>
          <w:color w:val="auto"/>
          <w:sz w:val="21"/>
          <w:szCs w:val="21"/>
          <w:highlight w:val="none"/>
        </w:rPr>
        <w:t>（二）开标程序</w:t>
      </w:r>
    </w:p>
    <w:p w14:paraId="0D9A2A42">
      <w:pPr>
        <w:spacing w:line="370" w:lineRule="exact"/>
        <w:ind w:firstLine="435"/>
        <w:rPr>
          <w:rFonts w:hint="eastAsia" w:ascii="宋体" w:hAnsi="宋体"/>
          <w:color w:val="auto"/>
          <w:sz w:val="21"/>
          <w:szCs w:val="21"/>
          <w:highlight w:val="none"/>
        </w:rPr>
      </w:pPr>
      <w:bookmarkStart w:id="95" w:name="_Toc254970545"/>
      <w:bookmarkStart w:id="96" w:name="_Toc254970686"/>
      <w:r>
        <w:rPr>
          <w:rFonts w:hint="eastAsia" w:ascii="宋体" w:hAnsi="宋体"/>
          <w:color w:val="auto"/>
          <w:sz w:val="21"/>
          <w:szCs w:val="21"/>
          <w:highlight w:val="none"/>
        </w:rPr>
        <w:t>1.电子开标会由本采购代理机构主持。</w:t>
      </w:r>
    </w:p>
    <w:p w14:paraId="00D210FC">
      <w:pPr>
        <w:spacing w:line="370" w:lineRule="exact"/>
        <w:ind w:firstLine="435"/>
        <w:rPr>
          <w:rFonts w:hint="eastAsia" w:ascii="宋体" w:hAnsi="宋体"/>
          <w:color w:val="auto"/>
          <w:sz w:val="21"/>
          <w:szCs w:val="21"/>
          <w:highlight w:val="none"/>
        </w:rPr>
      </w:pPr>
      <w:r>
        <w:rPr>
          <w:rFonts w:hint="eastAsia" w:ascii="宋体" w:hAnsi="宋体"/>
          <w:color w:val="auto"/>
          <w:sz w:val="21"/>
          <w:szCs w:val="21"/>
          <w:highlight w:val="none"/>
        </w:rPr>
        <w:t>2.本采购代理机构工作人员向各投标供应商发出电子加密投标文件【开始解密】通知，由供应商按招标文件规定的时间内自行进行投标文件解密。投标供应商未在规定时间内完成解密的，系统默认自动放弃。</w:t>
      </w:r>
    </w:p>
    <w:p w14:paraId="3BF795F7">
      <w:pPr>
        <w:spacing w:line="370" w:lineRule="exact"/>
        <w:ind w:firstLine="435"/>
        <w:rPr>
          <w:rFonts w:hint="eastAsia" w:ascii="宋体" w:hAnsi="宋体"/>
          <w:color w:val="auto"/>
          <w:sz w:val="21"/>
          <w:szCs w:val="21"/>
          <w:highlight w:val="none"/>
        </w:rPr>
      </w:pPr>
      <w:r>
        <w:rPr>
          <w:rFonts w:hint="eastAsia" w:ascii="宋体" w:hAnsi="宋体"/>
          <w:color w:val="auto"/>
          <w:sz w:val="21"/>
          <w:szCs w:val="21"/>
          <w:highlight w:val="none"/>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65C9C1B4">
      <w:pPr>
        <w:spacing w:line="370" w:lineRule="exact"/>
        <w:ind w:firstLine="435"/>
        <w:rPr>
          <w:rFonts w:hint="eastAsia" w:ascii="宋体" w:hAnsi="宋体"/>
          <w:color w:val="auto"/>
          <w:sz w:val="21"/>
          <w:szCs w:val="21"/>
          <w:highlight w:val="none"/>
        </w:rPr>
      </w:pPr>
      <w:r>
        <w:rPr>
          <w:rFonts w:hint="eastAsia" w:ascii="宋体" w:hAnsi="宋体"/>
          <w:color w:val="auto"/>
          <w:sz w:val="21"/>
          <w:szCs w:val="21"/>
          <w:highlight w:val="none"/>
        </w:rPr>
        <w:t>4.进入资格文件审查环节，采购人、采购代理机构根据双方签订的代理协议约定，依法对投标供应商的资格进行审查。</w:t>
      </w:r>
    </w:p>
    <w:p w14:paraId="20D6BC6C">
      <w:pPr>
        <w:spacing w:line="370" w:lineRule="exact"/>
        <w:ind w:firstLine="435"/>
        <w:rPr>
          <w:rFonts w:hint="eastAsia" w:ascii="宋体" w:hAnsi="宋体"/>
          <w:color w:val="auto"/>
          <w:sz w:val="21"/>
          <w:szCs w:val="21"/>
          <w:highlight w:val="none"/>
        </w:rPr>
      </w:pPr>
      <w:r>
        <w:rPr>
          <w:rFonts w:hint="eastAsia" w:ascii="宋体" w:hAnsi="宋体"/>
          <w:color w:val="auto"/>
          <w:sz w:val="21"/>
          <w:szCs w:val="21"/>
          <w:highlight w:val="none"/>
        </w:rPr>
        <w:t>5.开启资格审查通过的投标供应商的商务技术文件进入符合性审查及商务技术评审。</w:t>
      </w:r>
    </w:p>
    <w:p w14:paraId="3150199E">
      <w:pPr>
        <w:spacing w:line="370" w:lineRule="exact"/>
        <w:ind w:firstLine="435"/>
        <w:rPr>
          <w:rFonts w:hint="eastAsia" w:ascii="宋体" w:hAnsi="宋体"/>
          <w:color w:val="auto"/>
          <w:sz w:val="21"/>
          <w:szCs w:val="21"/>
          <w:highlight w:val="none"/>
        </w:rPr>
      </w:pPr>
      <w:r>
        <w:rPr>
          <w:rFonts w:hint="eastAsia" w:ascii="宋体" w:hAnsi="宋体"/>
          <w:color w:val="auto"/>
          <w:sz w:val="21"/>
          <w:szCs w:val="21"/>
          <w:highlight w:val="none"/>
        </w:rPr>
        <w:t>注：①当整个招标项目的投标人不足3家的不开标，本采购代理机构将按政府采购管理的有关规定处理。</w:t>
      </w:r>
    </w:p>
    <w:p w14:paraId="494ABF92">
      <w:pPr>
        <w:spacing w:line="370" w:lineRule="exact"/>
        <w:ind w:firstLine="435"/>
        <w:rPr>
          <w:rFonts w:hint="eastAsia" w:ascii="宋体" w:hAnsi="宋体"/>
          <w:color w:val="auto"/>
          <w:sz w:val="21"/>
          <w:szCs w:val="21"/>
          <w:highlight w:val="none"/>
        </w:rPr>
      </w:pPr>
      <w:r>
        <w:rPr>
          <w:rFonts w:hint="eastAsia" w:ascii="宋体" w:hAnsi="宋体"/>
          <w:color w:val="auto"/>
          <w:sz w:val="21"/>
          <w:szCs w:val="21"/>
          <w:highlight w:val="none"/>
        </w:rPr>
        <w:t>②开标后，某分标投标人不足3家的，本采购代理机构将按政府采购管理的有关规定处理。</w:t>
      </w:r>
    </w:p>
    <w:p w14:paraId="2EBA3CC6">
      <w:pPr>
        <w:spacing w:line="370" w:lineRule="exact"/>
        <w:ind w:firstLine="435"/>
        <w:rPr>
          <w:rFonts w:hint="eastAsia" w:ascii="宋体" w:hAnsi="宋体"/>
          <w:b/>
          <w:color w:val="auto"/>
          <w:sz w:val="21"/>
          <w:szCs w:val="21"/>
          <w:highlight w:val="none"/>
        </w:rPr>
      </w:pPr>
      <w:r>
        <w:rPr>
          <w:rFonts w:hint="eastAsia" w:ascii="宋体" w:hAnsi="宋体"/>
          <w:b/>
          <w:color w:val="auto"/>
          <w:sz w:val="21"/>
          <w:szCs w:val="21"/>
          <w:highlight w:val="none"/>
        </w:rPr>
        <w:t>特别说明：如遇“广西政府采购云平台”电子化开标或评审程序调整的，按调整后程序执行。</w:t>
      </w:r>
    </w:p>
    <w:p w14:paraId="442159FE">
      <w:pPr>
        <w:spacing w:line="370" w:lineRule="exact"/>
        <w:rPr>
          <w:color w:val="auto"/>
          <w:sz w:val="21"/>
          <w:szCs w:val="21"/>
          <w:highlight w:val="none"/>
        </w:rPr>
      </w:pPr>
    </w:p>
    <w:p w14:paraId="694ED699">
      <w:pPr>
        <w:spacing w:line="360" w:lineRule="exact"/>
        <w:jc w:val="center"/>
        <w:rPr>
          <w:rFonts w:hint="eastAsia"/>
          <w:b/>
          <w:color w:val="auto"/>
          <w:sz w:val="21"/>
          <w:szCs w:val="21"/>
          <w:highlight w:val="none"/>
        </w:rPr>
      </w:pPr>
      <w:r>
        <w:rPr>
          <w:rFonts w:hint="eastAsia"/>
          <w:b/>
          <w:color w:val="auto"/>
          <w:sz w:val="21"/>
          <w:szCs w:val="21"/>
          <w:highlight w:val="none"/>
        </w:rPr>
        <w:t>五、资格审查</w:t>
      </w:r>
    </w:p>
    <w:p w14:paraId="72F36678">
      <w:pPr>
        <w:spacing w:line="360" w:lineRule="exact"/>
        <w:ind w:left="210" w:leftChars="100"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采购人、采购代理机构根据双方签订的代理协议约定，依法对投标人的资格进行审查。合格投标人不足3家的，不得评标。</w:t>
      </w:r>
    </w:p>
    <w:p w14:paraId="2EFC9159">
      <w:pPr>
        <w:spacing w:line="370" w:lineRule="exact"/>
        <w:rPr>
          <w:rFonts w:hint="eastAsia"/>
          <w:color w:val="auto"/>
          <w:sz w:val="21"/>
          <w:szCs w:val="21"/>
          <w:highlight w:val="none"/>
        </w:rPr>
      </w:pPr>
    </w:p>
    <w:p w14:paraId="6A2658C5">
      <w:pPr>
        <w:spacing w:line="370" w:lineRule="exact"/>
        <w:jc w:val="center"/>
        <w:rPr>
          <w:rFonts w:hint="eastAsia"/>
          <w:b/>
          <w:color w:val="auto"/>
          <w:sz w:val="21"/>
          <w:szCs w:val="21"/>
          <w:highlight w:val="none"/>
        </w:rPr>
      </w:pPr>
      <w:r>
        <w:rPr>
          <w:rFonts w:hint="eastAsia"/>
          <w:b/>
          <w:color w:val="auto"/>
          <w:sz w:val="21"/>
          <w:szCs w:val="21"/>
          <w:highlight w:val="none"/>
        </w:rPr>
        <w:t>六、评  标</w:t>
      </w:r>
      <w:bookmarkEnd w:id="95"/>
      <w:bookmarkEnd w:id="96"/>
    </w:p>
    <w:p w14:paraId="4C1DFD58">
      <w:pPr>
        <w:spacing w:line="370" w:lineRule="exact"/>
        <w:rPr>
          <w:rFonts w:hint="eastAsia"/>
          <w:b/>
          <w:color w:val="auto"/>
          <w:sz w:val="21"/>
          <w:szCs w:val="21"/>
          <w:highlight w:val="none"/>
        </w:rPr>
      </w:pPr>
      <w:r>
        <w:rPr>
          <w:rFonts w:hint="eastAsia"/>
          <w:color w:val="auto"/>
          <w:sz w:val="21"/>
          <w:szCs w:val="21"/>
          <w:highlight w:val="none"/>
        </w:rPr>
        <w:t xml:space="preserve">    </w:t>
      </w:r>
      <w:r>
        <w:rPr>
          <w:rFonts w:hint="eastAsia"/>
          <w:b/>
          <w:color w:val="auto"/>
          <w:sz w:val="21"/>
          <w:szCs w:val="21"/>
          <w:highlight w:val="none"/>
        </w:rPr>
        <w:t>（一）组建评标委员会</w:t>
      </w:r>
    </w:p>
    <w:p w14:paraId="21BA9899">
      <w:pPr>
        <w:spacing w:line="370" w:lineRule="exact"/>
        <w:rPr>
          <w:rFonts w:hint="eastAsia"/>
          <w:color w:val="auto"/>
          <w:sz w:val="21"/>
          <w:szCs w:val="21"/>
          <w:highlight w:val="none"/>
        </w:rPr>
      </w:pPr>
      <w:r>
        <w:rPr>
          <w:rFonts w:hint="eastAsia"/>
          <w:color w:val="auto"/>
          <w:sz w:val="21"/>
          <w:szCs w:val="21"/>
          <w:highlight w:val="none"/>
        </w:rPr>
        <w:t xml:space="preserve">    本招标采购项目的评标委员会由采购人代表和评审专家组成，成员人数应当为五人以上单数。其中，评审专家不得少于成员总数的三分之二。</w:t>
      </w:r>
    </w:p>
    <w:p w14:paraId="4080FB36">
      <w:pPr>
        <w:spacing w:line="370" w:lineRule="exact"/>
        <w:rPr>
          <w:rFonts w:hint="eastAsia"/>
          <w:b/>
          <w:color w:val="auto"/>
          <w:sz w:val="21"/>
          <w:szCs w:val="21"/>
          <w:highlight w:val="none"/>
        </w:rPr>
      </w:pPr>
      <w:r>
        <w:rPr>
          <w:rFonts w:hint="eastAsia"/>
          <w:color w:val="auto"/>
          <w:sz w:val="21"/>
          <w:szCs w:val="21"/>
          <w:highlight w:val="none"/>
        </w:rPr>
        <w:t xml:space="preserve">    </w:t>
      </w:r>
      <w:r>
        <w:rPr>
          <w:rFonts w:hint="eastAsia"/>
          <w:b/>
          <w:color w:val="auto"/>
          <w:sz w:val="21"/>
          <w:szCs w:val="21"/>
          <w:highlight w:val="none"/>
        </w:rPr>
        <w:t>（二）评标的方式</w:t>
      </w:r>
    </w:p>
    <w:p w14:paraId="41A9BFAC">
      <w:pPr>
        <w:spacing w:line="370" w:lineRule="exact"/>
        <w:rPr>
          <w:rFonts w:hint="eastAsia"/>
          <w:color w:val="auto"/>
          <w:sz w:val="21"/>
          <w:szCs w:val="21"/>
          <w:highlight w:val="none"/>
        </w:rPr>
      </w:pPr>
      <w:r>
        <w:rPr>
          <w:rFonts w:hint="eastAsia"/>
          <w:color w:val="auto"/>
          <w:sz w:val="21"/>
          <w:szCs w:val="21"/>
          <w:highlight w:val="none"/>
        </w:rPr>
        <w:t xml:space="preserve">    本项目采用不公开方式评标，评标的依据为招标文件和投标文件。</w:t>
      </w:r>
    </w:p>
    <w:p w14:paraId="62634BB2">
      <w:pPr>
        <w:spacing w:line="370" w:lineRule="exact"/>
        <w:ind w:firstLine="435"/>
        <w:rPr>
          <w:b/>
          <w:color w:val="auto"/>
          <w:sz w:val="21"/>
          <w:szCs w:val="21"/>
          <w:highlight w:val="none"/>
        </w:rPr>
      </w:pPr>
      <w:r>
        <w:rPr>
          <w:rFonts w:hint="eastAsia"/>
          <w:b/>
          <w:color w:val="auto"/>
          <w:sz w:val="21"/>
          <w:szCs w:val="21"/>
          <w:highlight w:val="none"/>
        </w:rPr>
        <w:t>（三）评标程序</w:t>
      </w:r>
    </w:p>
    <w:p w14:paraId="7EB26968">
      <w:pPr>
        <w:spacing w:line="370" w:lineRule="exact"/>
        <w:ind w:firstLine="435"/>
        <w:rPr>
          <w:rFonts w:hint="eastAsia" w:ascii="宋体"/>
          <w:b/>
          <w:bCs/>
          <w:color w:val="auto"/>
          <w:sz w:val="21"/>
          <w:szCs w:val="21"/>
          <w:highlight w:val="none"/>
        </w:rPr>
      </w:pPr>
      <w:r>
        <w:rPr>
          <w:rFonts w:hint="eastAsia" w:ascii="宋体"/>
          <w:b/>
          <w:bCs/>
          <w:color w:val="auto"/>
          <w:sz w:val="21"/>
          <w:szCs w:val="21"/>
          <w:highlight w:val="none"/>
        </w:rPr>
        <w:t>实质审查与比较</w:t>
      </w:r>
    </w:p>
    <w:p w14:paraId="72B457FA">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（1）评标委员会审查、评价投标文件是否符合招标文件的商务、技术等实质性要求。</w:t>
      </w:r>
    </w:p>
    <w:p w14:paraId="2E4ECDF4">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（2）评标委员会对投标文件进行评价</w:t>
      </w:r>
      <w:r>
        <w:rPr>
          <w:rFonts w:hint="eastAsia" w:ascii="宋体"/>
          <w:color w:val="auto"/>
          <w:sz w:val="21"/>
          <w:szCs w:val="21"/>
          <w:highlight w:val="none"/>
          <w:lang w:eastAsia="zh-CN"/>
        </w:rPr>
        <w:t>，</w:t>
      </w:r>
      <w:r>
        <w:rPr>
          <w:rFonts w:hint="eastAsia" w:ascii="宋体"/>
          <w:color w:val="auto"/>
          <w:sz w:val="21"/>
          <w:szCs w:val="21"/>
          <w:highlight w:val="none"/>
        </w:rPr>
        <w:t>如有疑问</w:t>
      </w:r>
      <w:r>
        <w:rPr>
          <w:rFonts w:hint="eastAsia" w:ascii="宋体"/>
          <w:color w:val="auto"/>
          <w:sz w:val="21"/>
          <w:szCs w:val="21"/>
          <w:highlight w:val="none"/>
          <w:lang w:eastAsia="zh-CN"/>
        </w:rPr>
        <w:t>，</w:t>
      </w:r>
      <w:r>
        <w:rPr>
          <w:rFonts w:hint="eastAsia" w:ascii="宋体"/>
          <w:color w:val="auto"/>
          <w:sz w:val="21"/>
          <w:szCs w:val="21"/>
          <w:highlight w:val="none"/>
        </w:rPr>
        <w:t>将以电子询标函的形式要求投标人在线对投标文件有关事项作出澄清或者说明。投标人向评标委员会澄清或者说明有关问题</w:t>
      </w:r>
      <w:r>
        <w:rPr>
          <w:rFonts w:hint="eastAsia" w:ascii="宋体"/>
          <w:color w:val="auto"/>
          <w:sz w:val="21"/>
          <w:szCs w:val="21"/>
          <w:highlight w:val="none"/>
          <w:lang w:eastAsia="zh-CN"/>
        </w:rPr>
        <w:t>，</w:t>
      </w:r>
      <w:r>
        <w:rPr>
          <w:rFonts w:hint="eastAsia" w:ascii="宋体"/>
          <w:color w:val="auto"/>
          <w:sz w:val="21"/>
          <w:szCs w:val="21"/>
          <w:highlight w:val="none"/>
        </w:rPr>
        <w:t>并最终以盖章的电子文件进行回复。</w:t>
      </w:r>
    </w:p>
    <w:p w14:paraId="2D38176D">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投标人代表超过规定时间或者拒绝澄清或者澄清的内容改变了投标文件的实质性内容的，评标委员会有权视该投标文件无效。</w:t>
      </w:r>
    </w:p>
    <w:p w14:paraId="4520C638">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（3）各投标人的技术得分为所有评委的有效评分的算术平均数，由指定专人进行计算复核。</w:t>
      </w:r>
    </w:p>
    <w:p w14:paraId="574CB970">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（4）采购代理机构工作人员协助评标委员会根据本项目的评分标准计算各投标人的商务报价得分。</w:t>
      </w:r>
    </w:p>
    <w:p w14:paraId="433B7A96">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（5）评标委员会完成评标后</w:t>
      </w:r>
      <w:r>
        <w:rPr>
          <w:rFonts w:hint="eastAsia" w:ascii="宋体"/>
          <w:color w:val="auto"/>
          <w:sz w:val="21"/>
          <w:szCs w:val="21"/>
          <w:highlight w:val="none"/>
          <w:lang w:eastAsia="zh-CN"/>
        </w:rPr>
        <w:t>，</w:t>
      </w:r>
      <w:r>
        <w:rPr>
          <w:rFonts w:hint="eastAsia" w:ascii="宋体"/>
          <w:color w:val="auto"/>
          <w:sz w:val="21"/>
          <w:szCs w:val="21"/>
          <w:highlight w:val="none"/>
        </w:rPr>
        <w:t>由广西政府采购云平台系统对各部分得分汇总</w:t>
      </w:r>
      <w:r>
        <w:rPr>
          <w:rFonts w:hint="eastAsia" w:ascii="宋体"/>
          <w:color w:val="auto"/>
          <w:sz w:val="21"/>
          <w:szCs w:val="21"/>
          <w:highlight w:val="none"/>
          <w:lang w:eastAsia="zh-CN"/>
        </w:rPr>
        <w:t>，</w:t>
      </w:r>
      <w:r>
        <w:rPr>
          <w:rFonts w:hint="eastAsia" w:ascii="宋体"/>
          <w:color w:val="auto"/>
          <w:sz w:val="21"/>
          <w:szCs w:val="21"/>
          <w:highlight w:val="none"/>
        </w:rPr>
        <w:t>计算出本项目最终得分、评标价等。评标委员会按推荐原则推荐中标候选人同时形成评标报告。评标委员会应当在评标报告上签字，对自己的评标意见承担法律责任。对评标过程中需要共同认定的事项存在争议的，应当按照少数服从多数的原则</w:t>
      </w:r>
      <w:r>
        <w:rPr>
          <w:rFonts w:hint="eastAsia" w:ascii="宋体"/>
          <w:color w:val="auto"/>
          <w:sz w:val="21"/>
          <w:szCs w:val="21"/>
          <w:highlight w:val="none"/>
          <w:lang w:eastAsia="zh-CN"/>
        </w:rPr>
        <w:t>作出</w:t>
      </w:r>
      <w:r>
        <w:rPr>
          <w:rFonts w:hint="eastAsia" w:ascii="宋体"/>
          <w:color w:val="auto"/>
          <w:sz w:val="21"/>
          <w:szCs w:val="21"/>
          <w:highlight w:val="none"/>
        </w:rPr>
        <w:t>结论。持不同意见的评标委员会应当在评标报告上签署不同意见及理由，否则视为同意评标报告。</w:t>
      </w:r>
    </w:p>
    <w:p w14:paraId="1FBE2CD6">
      <w:pPr>
        <w:snapToGrid w:val="0"/>
        <w:spacing w:line="370" w:lineRule="exact"/>
        <w:ind w:firstLine="422" w:firstLineChars="200"/>
        <w:rPr>
          <w:rFonts w:hint="eastAsia" w:ascii="宋体"/>
          <w:b/>
          <w:color w:val="auto"/>
          <w:sz w:val="21"/>
          <w:szCs w:val="21"/>
          <w:highlight w:val="none"/>
        </w:rPr>
      </w:pPr>
      <w:r>
        <w:rPr>
          <w:rFonts w:hint="eastAsia" w:ascii="宋体"/>
          <w:b/>
          <w:color w:val="auto"/>
          <w:sz w:val="21"/>
          <w:szCs w:val="21"/>
          <w:highlight w:val="none"/>
        </w:rPr>
        <w:t>（四）澄清问题的形式</w:t>
      </w:r>
    </w:p>
    <w:p w14:paraId="2DB95393">
      <w:pPr>
        <w:snapToGrid w:val="0"/>
        <w:spacing w:line="370" w:lineRule="exact"/>
        <w:ind w:firstLine="420" w:firstLineChars="200"/>
        <w:rPr>
          <w:rFonts w:hint="eastAsia" w:ascii="宋体"/>
          <w:color w:val="auto"/>
          <w:sz w:val="21"/>
          <w:szCs w:val="21"/>
          <w:highlight w:val="none"/>
        </w:rPr>
      </w:pPr>
      <w:r>
        <w:rPr>
          <w:rFonts w:hint="eastAsia" w:ascii="宋体"/>
          <w:color w:val="auto"/>
          <w:sz w:val="21"/>
          <w:szCs w:val="21"/>
          <w:highlight w:val="none"/>
        </w:rPr>
        <w:t>对投标文件中含义不明确、同类问题表述不一致或者有明显文字和计算错误的内容，评标委员会</w:t>
      </w:r>
      <w:r>
        <w:rPr>
          <w:rFonts w:hint="eastAsia" w:ascii="宋体"/>
          <w:color w:val="auto"/>
          <w:sz w:val="21"/>
          <w:szCs w:val="21"/>
          <w:highlight w:val="none"/>
          <w:lang w:eastAsia="zh-CN"/>
        </w:rPr>
        <w:t>可以</w:t>
      </w:r>
      <w:r>
        <w:rPr>
          <w:rFonts w:hint="eastAsia" w:ascii="宋体"/>
          <w:color w:val="auto"/>
          <w:sz w:val="21"/>
          <w:szCs w:val="21"/>
          <w:highlight w:val="none"/>
        </w:rPr>
        <w:t>要求投标人作出必要的澄清、说明或者纠正。投标人的澄清、说明或者补正应当在电子询标函规定的时间期限内完成，并不得超出投标文件的范围或者改变投标文件的实质性内容。</w:t>
      </w:r>
    </w:p>
    <w:p w14:paraId="2849593D">
      <w:pPr>
        <w:snapToGrid w:val="0"/>
        <w:spacing w:line="370" w:lineRule="exact"/>
        <w:ind w:firstLine="422" w:firstLineChars="200"/>
        <w:rPr>
          <w:rFonts w:hint="eastAsia"/>
          <w:b/>
          <w:color w:val="auto"/>
          <w:sz w:val="21"/>
          <w:szCs w:val="21"/>
          <w:highlight w:val="none"/>
        </w:rPr>
      </w:pPr>
      <w:r>
        <w:rPr>
          <w:rFonts w:hint="eastAsia"/>
          <w:b/>
          <w:color w:val="auto"/>
          <w:sz w:val="21"/>
          <w:szCs w:val="21"/>
          <w:highlight w:val="none"/>
        </w:rPr>
        <w:t>（五）错误修正</w:t>
      </w:r>
    </w:p>
    <w:p w14:paraId="0F0A5F9A">
      <w:pPr>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投标文件如果出现计算或表达上的错误，修正错误的原则如下：</w:t>
      </w:r>
    </w:p>
    <w:p w14:paraId="4E5642D0">
      <w:pPr>
        <w:pStyle w:val="25"/>
        <w:snapToGrid w:val="0"/>
        <w:spacing w:line="360" w:lineRule="exact"/>
        <w:ind w:firstLine="420" w:firstLineChars="200"/>
        <w:rPr>
          <w:rFonts w:hint="eastAsia"/>
          <w:color w:val="auto"/>
          <w:sz w:val="21"/>
          <w:szCs w:val="21"/>
          <w:highlight w:val="none"/>
        </w:rPr>
      </w:pPr>
      <w:r>
        <w:rPr>
          <w:rFonts w:hint="eastAsia"/>
          <w:color w:val="auto"/>
          <w:sz w:val="21"/>
          <w:szCs w:val="21"/>
          <w:highlight w:val="none"/>
        </w:rPr>
        <w:t>1.投标文件中开标一览表（报价表）内容与投标文件中相应内容不一致的，以开标一览表（报价表）为准；</w:t>
      </w:r>
    </w:p>
    <w:p w14:paraId="5F585C4E">
      <w:pPr>
        <w:pStyle w:val="25"/>
        <w:snapToGrid w:val="0"/>
        <w:spacing w:line="360" w:lineRule="exact"/>
        <w:ind w:firstLine="420" w:firstLineChars="200"/>
        <w:rPr>
          <w:rFonts w:hint="eastAsia"/>
          <w:color w:val="auto"/>
          <w:sz w:val="21"/>
          <w:szCs w:val="21"/>
          <w:highlight w:val="none"/>
        </w:rPr>
      </w:pPr>
      <w:r>
        <w:rPr>
          <w:rFonts w:hint="eastAsia"/>
          <w:color w:val="auto"/>
          <w:sz w:val="21"/>
          <w:szCs w:val="21"/>
          <w:highlight w:val="none"/>
        </w:rPr>
        <w:t>2.大写金额和小写金额不一致的，以大写金额为准；</w:t>
      </w:r>
    </w:p>
    <w:p w14:paraId="0D40AD7B">
      <w:pPr>
        <w:pStyle w:val="25"/>
        <w:snapToGrid w:val="0"/>
        <w:spacing w:line="360" w:lineRule="exact"/>
        <w:ind w:firstLine="420" w:firstLineChars="200"/>
        <w:rPr>
          <w:rFonts w:hint="eastAsia"/>
          <w:color w:val="auto"/>
          <w:sz w:val="21"/>
          <w:szCs w:val="21"/>
          <w:highlight w:val="none"/>
        </w:rPr>
      </w:pPr>
      <w:r>
        <w:rPr>
          <w:rFonts w:hint="eastAsia"/>
          <w:color w:val="auto"/>
          <w:sz w:val="21"/>
          <w:szCs w:val="21"/>
          <w:highlight w:val="none"/>
        </w:rPr>
        <w:t>3.单价金额小数点或者百分比有明显错位的，以开标一览表的总价为准，并修改单价；</w:t>
      </w:r>
    </w:p>
    <w:p w14:paraId="38732E8A">
      <w:pPr>
        <w:pStyle w:val="25"/>
        <w:snapToGrid w:val="0"/>
        <w:spacing w:line="360" w:lineRule="exact"/>
        <w:ind w:firstLine="420" w:firstLineChars="200"/>
        <w:rPr>
          <w:rFonts w:hint="eastAsia"/>
          <w:color w:val="auto"/>
          <w:sz w:val="21"/>
          <w:szCs w:val="21"/>
          <w:highlight w:val="none"/>
        </w:rPr>
      </w:pPr>
      <w:r>
        <w:rPr>
          <w:rFonts w:hint="eastAsia"/>
          <w:color w:val="auto"/>
          <w:sz w:val="21"/>
          <w:szCs w:val="21"/>
          <w:highlight w:val="none"/>
        </w:rPr>
        <w:t>4.总价金额与按单价汇总金额不一致的，以单价金额计算结果为准。</w:t>
      </w:r>
    </w:p>
    <w:p w14:paraId="6D4EFE6A">
      <w:pPr>
        <w:pStyle w:val="25"/>
        <w:snapToGrid w:val="0"/>
        <w:spacing w:line="360" w:lineRule="exact"/>
        <w:ind w:firstLine="420" w:firstLineChars="200"/>
        <w:rPr>
          <w:rFonts w:hint="eastAsia"/>
          <w:color w:val="auto"/>
          <w:sz w:val="21"/>
          <w:szCs w:val="21"/>
          <w:highlight w:val="none"/>
        </w:rPr>
      </w:pPr>
      <w:r>
        <w:rPr>
          <w:rFonts w:hint="eastAsia"/>
          <w:color w:val="auto"/>
          <w:sz w:val="21"/>
          <w:szCs w:val="21"/>
          <w:highlight w:val="none"/>
        </w:rPr>
        <w:t>5.对不同文字文本投标文件的解释发生异议的，以中文文本为准。</w:t>
      </w:r>
    </w:p>
    <w:p w14:paraId="0725FCC7">
      <w:pPr>
        <w:pStyle w:val="25"/>
        <w:snapToGrid w:val="0"/>
        <w:spacing w:line="360" w:lineRule="exact"/>
        <w:ind w:firstLine="420" w:firstLineChars="200"/>
        <w:rPr>
          <w:rFonts w:hint="eastAsia" w:hAnsi="宋体"/>
          <w:color w:val="auto"/>
          <w:sz w:val="21"/>
          <w:szCs w:val="21"/>
          <w:highlight w:val="none"/>
        </w:rPr>
      </w:pPr>
      <w:r>
        <w:rPr>
          <w:rFonts w:hint="eastAsia"/>
          <w:color w:val="auto"/>
          <w:sz w:val="21"/>
          <w:szCs w:val="21"/>
          <w:highlight w:val="none"/>
        </w:rPr>
        <w:t>同时出现两种以上不一致的，按照前款规定的顺序修正。</w:t>
      </w:r>
    </w:p>
    <w:p w14:paraId="5A406B0B">
      <w:pPr>
        <w:pStyle w:val="25"/>
        <w:snapToGrid w:val="0"/>
        <w:spacing w:line="370" w:lineRule="exact"/>
        <w:ind w:firstLine="422" w:firstLineChars="200"/>
        <w:rPr>
          <w:b/>
          <w:bCs/>
          <w:color w:val="auto"/>
          <w:sz w:val="21"/>
          <w:szCs w:val="21"/>
          <w:highlight w:val="none"/>
        </w:rPr>
      </w:pPr>
      <w:r>
        <w:rPr>
          <w:rFonts w:hint="eastAsia" w:hAnsi="宋体"/>
          <w:b/>
          <w:bCs/>
          <w:color w:val="auto"/>
          <w:sz w:val="21"/>
          <w:szCs w:val="21"/>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19756F7F">
      <w:pPr>
        <w:pStyle w:val="25"/>
        <w:snapToGrid w:val="0"/>
        <w:spacing w:line="370" w:lineRule="exact"/>
        <w:ind w:firstLine="422" w:firstLineChars="200"/>
        <w:rPr>
          <w:b/>
          <w:color w:val="auto"/>
          <w:sz w:val="21"/>
          <w:szCs w:val="21"/>
          <w:highlight w:val="none"/>
        </w:rPr>
      </w:pPr>
      <w:r>
        <w:rPr>
          <w:rFonts w:hint="eastAsia"/>
          <w:b/>
          <w:color w:val="auto"/>
          <w:sz w:val="21"/>
          <w:szCs w:val="21"/>
          <w:highlight w:val="none"/>
        </w:rPr>
        <w:t>（</w:t>
      </w:r>
      <w:r>
        <w:rPr>
          <w:rFonts w:hint="eastAsia"/>
          <w:b/>
          <w:color w:val="auto"/>
          <w:sz w:val="21"/>
          <w:szCs w:val="21"/>
          <w:highlight w:val="none"/>
          <w:lang w:eastAsia="zh-CN"/>
        </w:rPr>
        <w:t>六</w:t>
      </w:r>
      <w:r>
        <w:rPr>
          <w:rFonts w:hint="eastAsia"/>
          <w:b/>
          <w:color w:val="auto"/>
          <w:sz w:val="21"/>
          <w:szCs w:val="21"/>
          <w:highlight w:val="none"/>
        </w:rPr>
        <w:t>）评委表决</w:t>
      </w:r>
    </w:p>
    <w:p w14:paraId="19EA9C5F">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在评标过程中出现法律法规和招标文件均没有明确规定的情形时，由评标委员会现场协商解决，协商不一致的，由全体评委投票表决，以得票率二分之一以上专家的意见为准。</w:t>
      </w:r>
    </w:p>
    <w:p w14:paraId="0FF71E27">
      <w:pPr>
        <w:pStyle w:val="25"/>
        <w:snapToGrid w:val="0"/>
        <w:spacing w:line="370" w:lineRule="exact"/>
        <w:ind w:firstLine="422" w:firstLineChars="200"/>
        <w:rPr>
          <w:rFonts w:hint="eastAsia"/>
          <w:b/>
          <w:color w:val="auto"/>
          <w:sz w:val="21"/>
          <w:szCs w:val="21"/>
          <w:highlight w:val="none"/>
        </w:rPr>
      </w:pPr>
      <w:r>
        <w:rPr>
          <w:rFonts w:hint="eastAsia"/>
          <w:b/>
          <w:color w:val="auto"/>
          <w:sz w:val="21"/>
          <w:szCs w:val="21"/>
          <w:highlight w:val="none"/>
        </w:rPr>
        <w:t>（</w:t>
      </w:r>
      <w:r>
        <w:rPr>
          <w:rFonts w:hint="eastAsia"/>
          <w:b/>
          <w:color w:val="auto"/>
          <w:sz w:val="21"/>
          <w:szCs w:val="21"/>
          <w:highlight w:val="none"/>
          <w:lang w:eastAsia="zh-CN"/>
        </w:rPr>
        <w:t>七</w:t>
      </w:r>
      <w:r>
        <w:rPr>
          <w:rFonts w:hint="eastAsia"/>
          <w:b/>
          <w:color w:val="auto"/>
          <w:sz w:val="21"/>
          <w:szCs w:val="21"/>
          <w:highlight w:val="none"/>
        </w:rPr>
        <w:t>）评标原则和评标方法</w:t>
      </w:r>
    </w:p>
    <w:p w14:paraId="323050DA">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742D85B">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2.评标方法。本项目评标方法是</w:t>
      </w:r>
      <w:r>
        <w:rPr>
          <w:rFonts w:hint="eastAsia"/>
          <w:b/>
          <w:color w:val="auto"/>
          <w:sz w:val="21"/>
          <w:szCs w:val="21"/>
          <w:highlight w:val="none"/>
          <w:u w:val="single"/>
        </w:rPr>
        <w:t>综合评分法</w:t>
      </w:r>
      <w:r>
        <w:rPr>
          <w:rFonts w:hint="eastAsia"/>
          <w:color w:val="auto"/>
          <w:sz w:val="21"/>
          <w:szCs w:val="21"/>
          <w:highlight w:val="none"/>
        </w:rPr>
        <w:t>，具体评标内容及评分标准等详见第四章：评标方法及评分标准。</w:t>
      </w:r>
    </w:p>
    <w:p w14:paraId="20E6C230">
      <w:pPr>
        <w:pStyle w:val="25"/>
        <w:snapToGrid w:val="0"/>
        <w:spacing w:line="370" w:lineRule="exact"/>
        <w:ind w:firstLine="422" w:firstLineChars="200"/>
        <w:rPr>
          <w:rFonts w:hint="eastAsia"/>
          <w:b/>
          <w:color w:val="auto"/>
          <w:sz w:val="21"/>
          <w:szCs w:val="21"/>
          <w:highlight w:val="none"/>
        </w:rPr>
      </w:pPr>
      <w:r>
        <w:rPr>
          <w:rFonts w:hint="eastAsia"/>
          <w:b/>
          <w:color w:val="auto"/>
          <w:sz w:val="21"/>
          <w:szCs w:val="21"/>
          <w:highlight w:val="none"/>
        </w:rPr>
        <w:t>（</w:t>
      </w:r>
      <w:r>
        <w:rPr>
          <w:rFonts w:hint="eastAsia"/>
          <w:b/>
          <w:color w:val="auto"/>
          <w:sz w:val="21"/>
          <w:szCs w:val="21"/>
          <w:highlight w:val="none"/>
          <w:lang w:eastAsia="zh-CN"/>
        </w:rPr>
        <w:t>八</w:t>
      </w:r>
      <w:r>
        <w:rPr>
          <w:rFonts w:hint="eastAsia"/>
          <w:b/>
          <w:color w:val="auto"/>
          <w:sz w:val="21"/>
          <w:szCs w:val="21"/>
          <w:highlight w:val="none"/>
        </w:rPr>
        <w:t>）评标过程的监控</w:t>
      </w:r>
    </w:p>
    <w:p w14:paraId="063D3855">
      <w:pPr>
        <w:pStyle w:val="25"/>
        <w:snapToGrid w:val="0"/>
        <w:spacing w:line="370" w:lineRule="exact"/>
        <w:ind w:firstLine="420" w:firstLineChars="200"/>
        <w:rPr>
          <w:rFonts w:hint="eastAsia"/>
          <w:color w:val="auto"/>
          <w:sz w:val="21"/>
          <w:szCs w:val="21"/>
          <w:highlight w:val="none"/>
        </w:rPr>
      </w:pPr>
      <w:r>
        <w:rPr>
          <w:rFonts w:hint="eastAsia"/>
          <w:color w:val="auto"/>
          <w:sz w:val="21"/>
          <w:szCs w:val="21"/>
          <w:highlight w:val="none"/>
        </w:rPr>
        <w:t>本项目评标过程实行全程录音、录像监控，投标人在评标过程中所进行的试图影响评标结果的不公正活动，可能导致其投标被拒绝。</w:t>
      </w:r>
      <w:bookmarkStart w:id="97" w:name="_Toc254970687"/>
      <w:bookmarkStart w:id="98" w:name="_Toc254970546"/>
    </w:p>
    <w:p w14:paraId="7498FA8A">
      <w:pPr>
        <w:pStyle w:val="25"/>
        <w:snapToGrid w:val="0"/>
        <w:spacing w:line="370" w:lineRule="exact"/>
        <w:rPr>
          <w:rFonts w:hint="eastAsia"/>
          <w:color w:val="auto"/>
          <w:sz w:val="21"/>
          <w:szCs w:val="21"/>
          <w:highlight w:val="none"/>
        </w:rPr>
      </w:pPr>
    </w:p>
    <w:p w14:paraId="42BF6511">
      <w:pPr>
        <w:pStyle w:val="25"/>
        <w:snapToGrid w:val="0"/>
        <w:spacing w:line="370" w:lineRule="exact"/>
        <w:jc w:val="center"/>
        <w:rPr>
          <w:rFonts w:hint="eastAsia"/>
          <w:b/>
          <w:color w:val="auto"/>
          <w:sz w:val="21"/>
          <w:szCs w:val="21"/>
          <w:highlight w:val="none"/>
        </w:rPr>
      </w:pPr>
      <w:r>
        <w:rPr>
          <w:rFonts w:hint="eastAsia"/>
          <w:b/>
          <w:color w:val="auto"/>
          <w:sz w:val="21"/>
          <w:szCs w:val="21"/>
          <w:highlight w:val="none"/>
          <w:lang w:eastAsia="zh-CN"/>
        </w:rPr>
        <w:t>七</w:t>
      </w:r>
      <w:r>
        <w:rPr>
          <w:rFonts w:hint="eastAsia"/>
          <w:b/>
          <w:color w:val="auto"/>
          <w:sz w:val="21"/>
          <w:szCs w:val="21"/>
          <w:highlight w:val="none"/>
        </w:rPr>
        <w:t>、评标结果</w:t>
      </w:r>
      <w:bookmarkEnd w:id="97"/>
      <w:bookmarkEnd w:id="98"/>
    </w:p>
    <w:p w14:paraId="73514E73">
      <w:pPr>
        <w:pStyle w:val="25"/>
        <w:spacing w:line="370" w:lineRule="exact"/>
        <w:rPr>
          <w:color w:val="auto"/>
          <w:sz w:val="21"/>
          <w:szCs w:val="21"/>
          <w:highlight w:val="none"/>
        </w:rPr>
      </w:pPr>
      <w:r>
        <w:rPr>
          <w:rFonts w:hint="eastAsia"/>
          <w:bCs/>
          <w:color w:val="auto"/>
          <w:sz w:val="21"/>
          <w:szCs w:val="21"/>
          <w:highlight w:val="none"/>
        </w:rPr>
        <w:t xml:space="preserve">   （一）</w:t>
      </w:r>
      <w:r>
        <w:rPr>
          <w:rFonts w:hint="eastAsia"/>
          <w:color w:val="auto"/>
          <w:sz w:val="21"/>
          <w:szCs w:val="21"/>
          <w:highlight w:val="none"/>
        </w:rPr>
        <w:t>本采购代理机构将在评标结束后2个工作日内将评标报告送采购人，采购人在5个工作日内按照评标报告中推荐的中标候选</w:t>
      </w:r>
      <w:r>
        <w:rPr>
          <w:rFonts w:hint="eastAsia"/>
          <w:bCs/>
          <w:color w:val="auto"/>
          <w:sz w:val="21"/>
          <w:szCs w:val="21"/>
          <w:highlight w:val="none"/>
        </w:rPr>
        <w:t>人</w:t>
      </w:r>
      <w:r>
        <w:rPr>
          <w:rFonts w:hint="eastAsia"/>
          <w:color w:val="auto"/>
          <w:sz w:val="21"/>
          <w:szCs w:val="21"/>
          <w:highlight w:val="none"/>
        </w:rPr>
        <w:t>顺序确定中标人。采购人也可以事先授权评标委员会直接确定中标人。</w:t>
      </w:r>
    </w:p>
    <w:p w14:paraId="372F9DF9">
      <w:pPr>
        <w:pStyle w:val="25"/>
        <w:spacing w:line="370" w:lineRule="exact"/>
        <w:ind w:firstLine="420"/>
        <w:rPr>
          <w:color w:val="auto"/>
          <w:sz w:val="21"/>
          <w:szCs w:val="21"/>
          <w:highlight w:val="none"/>
        </w:rPr>
      </w:pPr>
      <w:r>
        <w:rPr>
          <w:rFonts w:hint="eastAsia"/>
          <w:color w:val="auto"/>
          <w:sz w:val="21"/>
          <w:szCs w:val="21"/>
          <w:highlight w:val="none"/>
        </w:rPr>
        <w:t>（二）中标人确定后，采购代理机构在财政部门指定的政府采购信息发布媒体发布中标公告。</w:t>
      </w:r>
    </w:p>
    <w:p w14:paraId="10155434">
      <w:pPr>
        <w:pStyle w:val="25"/>
        <w:spacing w:line="370" w:lineRule="exact"/>
        <w:ind w:firstLine="420"/>
        <w:rPr>
          <w:rFonts w:hint="eastAsia"/>
          <w:color w:val="auto"/>
          <w:sz w:val="21"/>
          <w:szCs w:val="21"/>
          <w:highlight w:val="none"/>
        </w:rPr>
      </w:pPr>
      <w:r>
        <w:rPr>
          <w:rFonts w:hint="eastAsia" w:hAnsi="宋体"/>
          <w:color w:val="auto"/>
          <w:sz w:val="21"/>
          <w:szCs w:val="21"/>
          <w:highlight w:val="none"/>
        </w:rPr>
        <w:t>（三）</w:t>
      </w:r>
      <w:r>
        <w:rPr>
          <w:rFonts w:hint="eastAsia"/>
          <w:color w:val="auto"/>
          <w:sz w:val="21"/>
          <w:szCs w:val="21"/>
          <w:highlight w:val="none"/>
        </w:rPr>
        <w:t>在发布中标公告的同时，采购代理机构向中标人发出中标通知书。</w:t>
      </w:r>
    </w:p>
    <w:p w14:paraId="09B5C155">
      <w:pPr>
        <w:pStyle w:val="25"/>
        <w:spacing w:line="370" w:lineRule="exact"/>
        <w:rPr>
          <w:rFonts w:hint="eastAsia"/>
          <w:bCs/>
          <w:color w:val="auto"/>
          <w:sz w:val="21"/>
          <w:szCs w:val="21"/>
          <w:highlight w:val="none"/>
        </w:rPr>
      </w:pPr>
      <w:r>
        <w:rPr>
          <w:rFonts w:hint="eastAsia"/>
          <w:color w:val="auto"/>
          <w:sz w:val="21"/>
          <w:szCs w:val="21"/>
          <w:highlight w:val="none"/>
        </w:rPr>
        <w:t xml:space="preserve">    （四）</w:t>
      </w:r>
      <w:r>
        <w:rPr>
          <w:rFonts w:hint="eastAsia"/>
          <w:bCs/>
          <w:color w:val="auto"/>
          <w:sz w:val="21"/>
          <w:szCs w:val="21"/>
          <w:highlight w:val="none"/>
        </w:rPr>
        <w:t>投标人认为招标文件、招标过程和中标结果使自己的权益受到损害的，可以在知道或者应知其权益受到损害之日起七个工作日内，以书面形式向采购代理机构提出质疑，并及时索要书面回执。</w:t>
      </w:r>
    </w:p>
    <w:p w14:paraId="7160502B">
      <w:pPr>
        <w:pStyle w:val="25"/>
        <w:spacing w:line="370" w:lineRule="exact"/>
        <w:rPr>
          <w:rFonts w:hint="eastAsia"/>
          <w:bCs/>
          <w:color w:val="auto"/>
          <w:sz w:val="21"/>
          <w:szCs w:val="21"/>
          <w:highlight w:val="none"/>
        </w:rPr>
      </w:pPr>
      <w:r>
        <w:rPr>
          <w:rFonts w:hint="eastAsia"/>
          <w:bCs/>
          <w:color w:val="auto"/>
          <w:sz w:val="21"/>
          <w:szCs w:val="21"/>
          <w:highlight w:val="none"/>
        </w:rPr>
        <w:t xml:space="preserve">    </w:t>
      </w:r>
      <w:r>
        <w:rPr>
          <w:rFonts w:hint="eastAsia"/>
          <w:color w:val="auto"/>
          <w:sz w:val="21"/>
          <w:szCs w:val="21"/>
          <w:highlight w:val="none"/>
        </w:rPr>
        <w:t>（五）</w:t>
      </w:r>
      <w:r>
        <w:rPr>
          <w:rFonts w:hint="eastAsia"/>
          <w:bCs/>
          <w:color w:val="auto"/>
          <w:sz w:val="21"/>
          <w:szCs w:val="21"/>
          <w:highlight w:val="none"/>
        </w:rPr>
        <w:t>采购代理机构应当按照有关规定就采购人委托授权范围内的事项在收到投标人的书面质疑后七个工作日内</w:t>
      </w:r>
      <w:r>
        <w:rPr>
          <w:rFonts w:hint="eastAsia"/>
          <w:bCs/>
          <w:color w:val="auto"/>
          <w:sz w:val="21"/>
          <w:szCs w:val="21"/>
          <w:highlight w:val="none"/>
          <w:lang w:eastAsia="zh-CN"/>
        </w:rPr>
        <w:t>作出</w:t>
      </w:r>
      <w:r>
        <w:rPr>
          <w:rFonts w:hint="eastAsia"/>
          <w:bCs/>
          <w:color w:val="auto"/>
          <w:sz w:val="21"/>
          <w:szCs w:val="21"/>
          <w:highlight w:val="none"/>
        </w:rPr>
        <w:t>答复，但答复的内容不得涉及商业秘密。</w:t>
      </w:r>
    </w:p>
    <w:p w14:paraId="238955F2">
      <w:pPr>
        <w:pStyle w:val="25"/>
        <w:spacing w:line="370" w:lineRule="exact"/>
        <w:rPr>
          <w:rFonts w:hint="eastAsia"/>
          <w:bCs/>
          <w:color w:val="auto"/>
          <w:sz w:val="21"/>
          <w:szCs w:val="21"/>
          <w:highlight w:val="none"/>
        </w:rPr>
      </w:pPr>
    </w:p>
    <w:p w14:paraId="25E4E25B">
      <w:pPr>
        <w:pStyle w:val="25"/>
        <w:spacing w:line="370" w:lineRule="exact"/>
        <w:jc w:val="center"/>
        <w:rPr>
          <w:rFonts w:hint="eastAsia"/>
          <w:b/>
          <w:color w:val="auto"/>
          <w:sz w:val="21"/>
          <w:szCs w:val="21"/>
          <w:highlight w:val="none"/>
        </w:rPr>
      </w:pPr>
      <w:r>
        <w:rPr>
          <w:rFonts w:hint="eastAsia"/>
          <w:b/>
          <w:color w:val="auto"/>
          <w:sz w:val="21"/>
          <w:szCs w:val="21"/>
          <w:highlight w:val="none"/>
          <w:lang w:eastAsia="zh-CN"/>
        </w:rPr>
        <w:t>八</w:t>
      </w:r>
      <w:r>
        <w:rPr>
          <w:rFonts w:hint="eastAsia"/>
          <w:b/>
          <w:color w:val="auto"/>
          <w:sz w:val="21"/>
          <w:szCs w:val="21"/>
          <w:highlight w:val="none"/>
        </w:rPr>
        <w:t>、签订合同</w:t>
      </w:r>
    </w:p>
    <w:p w14:paraId="443C4594">
      <w:pPr>
        <w:spacing w:line="370" w:lineRule="exact"/>
        <w:rPr>
          <w:rFonts w:hint="eastAsia"/>
          <w:b/>
          <w:color w:val="auto"/>
          <w:sz w:val="21"/>
          <w:szCs w:val="21"/>
          <w:highlight w:val="none"/>
        </w:rPr>
      </w:pPr>
      <w:r>
        <w:rPr>
          <w:rFonts w:hint="eastAsia"/>
          <w:color w:val="auto"/>
          <w:sz w:val="21"/>
          <w:szCs w:val="21"/>
          <w:highlight w:val="none"/>
        </w:rPr>
        <w:t xml:space="preserve">   </w:t>
      </w:r>
      <w:r>
        <w:rPr>
          <w:rFonts w:hint="eastAsia"/>
          <w:b/>
          <w:color w:val="auto"/>
          <w:sz w:val="21"/>
          <w:szCs w:val="21"/>
          <w:highlight w:val="none"/>
        </w:rPr>
        <w:t xml:space="preserve"> （一）合同授予标准</w:t>
      </w:r>
    </w:p>
    <w:p w14:paraId="31408CB7">
      <w:pPr>
        <w:spacing w:line="370" w:lineRule="exact"/>
        <w:ind w:firstLine="435"/>
        <w:rPr>
          <w:rFonts w:hint="eastAsia"/>
          <w:color w:val="auto"/>
          <w:sz w:val="21"/>
          <w:szCs w:val="21"/>
          <w:highlight w:val="none"/>
        </w:rPr>
      </w:pPr>
      <w:r>
        <w:rPr>
          <w:rFonts w:hint="eastAsia"/>
          <w:color w:val="auto"/>
          <w:sz w:val="21"/>
          <w:szCs w:val="21"/>
          <w:highlight w:val="none"/>
        </w:rPr>
        <w:t>合同将授予被确定投标文件满足招标文件全部实质性要求，具备履行合同能力，评审得分最高，综合评分排名第一的供应商。</w:t>
      </w:r>
    </w:p>
    <w:p w14:paraId="6B4C950E">
      <w:pPr>
        <w:spacing w:line="370" w:lineRule="exact"/>
        <w:ind w:firstLine="435"/>
        <w:rPr>
          <w:rFonts w:hint="eastAsia"/>
          <w:color w:val="auto"/>
          <w:sz w:val="21"/>
          <w:szCs w:val="21"/>
          <w:highlight w:val="none"/>
        </w:rPr>
      </w:pPr>
      <w:r>
        <w:rPr>
          <w:rFonts w:hint="eastAsia"/>
          <w:b/>
          <w:color w:val="auto"/>
          <w:sz w:val="21"/>
          <w:szCs w:val="21"/>
          <w:highlight w:val="none"/>
        </w:rPr>
        <w:t>（二）履约保证金</w:t>
      </w:r>
    </w:p>
    <w:p w14:paraId="10274B44">
      <w:pPr>
        <w:pStyle w:val="20"/>
        <w:snapToGrid w:val="0"/>
        <w:spacing w:line="36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1.中标人须于签订合同前按本项目关于履约保证金的规定进行办理。否则，不予签订合同。</w:t>
      </w:r>
    </w:p>
    <w:p w14:paraId="7C5A76A3">
      <w:pPr>
        <w:pStyle w:val="20"/>
        <w:snapToGrid w:val="0"/>
        <w:spacing w:line="36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2.签订合同后，如中标人不按双方签订的合同规定履约，则没收其全部履约保证金，履约保证金不足以赔偿损失的，按实际损失赔偿。</w:t>
      </w:r>
    </w:p>
    <w:p w14:paraId="5F51F4AD">
      <w:pPr>
        <w:pStyle w:val="20"/>
        <w:snapToGrid w:val="0"/>
        <w:spacing w:line="36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履约保证金在中标人按合同约定交货验收合格后，由中标人提供《政府采购项目履约保证金退付意见书》及《政府采购项目合同验收报告》（详见附件），履约保证金在收到合格材料后5个工作日内以银行转账方式如数退还（不计利息）。</w:t>
      </w:r>
    </w:p>
    <w:p w14:paraId="1E94201A">
      <w:pPr>
        <w:spacing w:line="370" w:lineRule="exact"/>
        <w:ind w:firstLine="435"/>
        <w:rPr>
          <w:rFonts w:hint="eastAsia"/>
          <w:color w:val="auto"/>
          <w:sz w:val="21"/>
          <w:szCs w:val="21"/>
          <w:highlight w:val="none"/>
        </w:rPr>
      </w:pPr>
      <w:r>
        <w:rPr>
          <w:rFonts w:hint="eastAsia" w:ascii="宋体" w:hAnsi="宋体"/>
          <w:color w:val="auto"/>
          <w:sz w:val="21"/>
          <w:szCs w:val="21"/>
          <w:highlight w:val="none"/>
        </w:rPr>
        <w:t>4.在履约保证金退还日期前，若中标人的开户名称、开户银行、账号有变动的，请以书面形式通知履约保证金收取机构，否则由此产生的后果由中标人自负。</w:t>
      </w:r>
    </w:p>
    <w:p w14:paraId="1F80B6DC">
      <w:pPr>
        <w:spacing w:line="370" w:lineRule="exact"/>
        <w:rPr>
          <w:rFonts w:hint="eastAsia"/>
          <w:b/>
          <w:color w:val="auto"/>
          <w:sz w:val="21"/>
          <w:szCs w:val="21"/>
          <w:highlight w:val="none"/>
        </w:rPr>
      </w:pPr>
      <w:r>
        <w:rPr>
          <w:rFonts w:hint="eastAsia"/>
          <w:color w:val="auto"/>
          <w:sz w:val="21"/>
          <w:szCs w:val="21"/>
          <w:highlight w:val="none"/>
        </w:rPr>
        <w:t xml:space="preserve">    </w:t>
      </w:r>
      <w:r>
        <w:rPr>
          <w:rFonts w:hint="eastAsia"/>
          <w:b/>
          <w:color w:val="auto"/>
          <w:sz w:val="21"/>
          <w:szCs w:val="21"/>
          <w:highlight w:val="none"/>
        </w:rPr>
        <w:t>（三）签订合同</w:t>
      </w:r>
    </w:p>
    <w:p w14:paraId="592B2B06">
      <w:pPr>
        <w:spacing w:line="370" w:lineRule="exact"/>
        <w:rPr>
          <w:rFonts w:hint="eastAsia"/>
          <w:color w:val="auto"/>
          <w:sz w:val="21"/>
          <w:szCs w:val="21"/>
          <w:highlight w:val="none"/>
        </w:rPr>
      </w:pPr>
      <w:r>
        <w:rPr>
          <w:rFonts w:hint="eastAsia"/>
          <w:color w:val="auto"/>
          <w:sz w:val="21"/>
          <w:szCs w:val="21"/>
          <w:highlight w:val="none"/>
        </w:rPr>
        <w:t xml:space="preserve">    （1）投标人接到中标通知书后，应按中标通知书规定的时间、地点与采购人签订合同。中标人无正当理由不得放弃中标。</w:t>
      </w:r>
    </w:p>
    <w:p w14:paraId="45DCA87C">
      <w:pPr>
        <w:spacing w:line="370" w:lineRule="exact"/>
        <w:rPr>
          <w:rFonts w:hint="eastAsia"/>
          <w:color w:val="auto"/>
          <w:sz w:val="21"/>
          <w:szCs w:val="21"/>
          <w:highlight w:val="none"/>
        </w:rPr>
      </w:pPr>
      <w:r>
        <w:rPr>
          <w:rFonts w:hint="eastAsia"/>
          <w:color w:val="auto"/>
          <w:sz w:val="21"/>
          <w:szCs w:val="21"/>
          <w:highlight w:val="none"/>
        </w:rPr>
        <w:t xml:space="preserve">    （2）如中标人不按中标通知书的规定签订合同，则按中标人违约处理，采购代理机构将没收中标人投标的全部投标保证金。</w:t>
      </w:r>
    </w:p>
    <w:p w14:paraId="5CA555DD">
      <w:pPr>
        <w:spacing w:line="370" w:lineRule="exact"/>
        <w:rPr>
          <w:rFonts w:hint="eastAsia"/>
          <w:color w:val="auto"/>
          <w:sz w:val="21"/>
          <w:szCs w:val="21"/>
          <w:highlight w:val="none"/>
        </w:rPr>
      </w:pPr>
      <w:r>
        <w:rPr>
          <w:rFonts w:hint="eastAsia"/>
          <w:color w:val="auto"/>
          <w:sz w:val="21"/>
          <w:szCs w:val="21"/>
          <w:highlight w:val="none"/>
        </w:rPr>
        <w:t xml:space="preserve">    （3）中标人</w:t>
      </w:r>
      <w:r>
        <w:rPr>
          <w:rFonts w:hint="eastAsia"/>
          <w:b/>
          <w:color w:val="auto"/>
          <w:sz w:val="21"/>
          <w:szCs w:val="21"/>
          <w:highlight w:val="none"/>
        </w:rPr>
        <w:t>拒绝与采购人签订合同或</w:t>
      </w:r>
      <w:r>
        <w:rPr>
          <w:rFonts w:hint="eastAsia"/>
          <w:color w:val="auto"/>
          <w:sz w:val="21"/>
          <w:szCs w:val="21"/>
          <w:highlight w:val="none"/>
        </w:rPr>
        <w:t>因不可抗力或者自身原因不能履行采购合同的，采购人可以与中标人之后排名第一的中标候选</w:t>
      </w:r>
      <w:r>
        <w:rPr>
          <w:rFonts w:hint="eastAsia"/>
          <w:bCs/>
          <w:color w:val="auto"/>
          <w:sz w:val="21"/>
          <w:szCs w:val="21"/>
          <w:highlight w:val="none"/>
        </w:rPr>
        <w:t>人</w:t>
      </w:r>
      <w:r>
        <w:rPr>
          <w:rFonts w:hint="eastAsia"/>
          <w:color w:val="auto"/>
          <w:sz w:val="21"/>
          <w:szCs w:val="21"/>
          <w:highlight w:val="none"/>
        </w:rPr>
        <w:t>签订采购合同，以此类推</w:t>
      </w:r>
      <w:r>
        <w:rPr>
          <w:rFonts w:hint="eastAsia"/>
          <w:color w:val="auto"/>
          <w:sz w:val="21"/>
          <w:szCs w:val="21"/>
          <w:highlight w:val="none"/>
          <w:lang w:eastAsia="zh-CN"/>
        </w:rPr>
        <w:t>，</w:t>
      </w:r>
      <w:r>
        <w:rPr>
          <w:rFonts w:hint="eastAsia"/>
          <w:color w:val="auto"/>
          <w:sz w:val="21"/>
          <w:szCs w:val="21"/>
          <w:highlight w:val="none"/>
        </w:rPr>
        <w:t>也可以重新招标。中标人</w:t>
      </w:r>
      <w:r>
        <w:rPr>
          <w:color w:val="auto"/>
          <w:sz w:val="21"/>
          <w:szCs w:val="21"/>
          <w:highlight w:val="none"/>
        </w:rPr>
        <w:t>放弃中标项目，拒绝与采购人签订合同的，其投标保证金</w:t>
      </w:r>
      <w:r>
        <w:rPr>
          <w:rFonts w:hint="eastAsia"/>
          <w:color w:val="auto"/>
          <w:sz w:val="21"/>
          <w:szCs w:val="21"/>
          <w:highlight w:val="none"/>
        </w:rPr>
        <w:t>将不予退还，</w:t>
      </w:r>
      <w:r>
        <w:rPr>
          <w:color w:val="auto"/>
          <w:sz w:val="21"/>
          <w:szCs w:val="21"/>
          <w:highlight w:val="none"/>
        </w:rPr>
        <w:t>并上缴国库，</w:t>
      </w:r>
      <w:r>
        <w:rPr>
          <w:rFonts w:hint="eastAsia"/>
          <w:color w:val="auto"/>
          <w:sz w:val="21"/>
          <w:szCs w:val="21"/>
          <w:highlight w:val="none"/>
        </w:rPr>
        <w:t>给</w:t>
      </w:r>
      <w:r>
        <w:rPr>
          <w:color w:val="auto"/>
          <w:sz w:val="21"/>
          <w:szCs w:val="21"/>
          <w:highlight w:val="none"/>
        </w:rPr>
        <w:t>采购人造成损失的，还应当赔偿损失，并作为不良行为记录在案</w:t>
      </w:r>
      <w:r>
        <w:rPr>
          <w:rFonts w:hint="eastAsia"/>
          <w:color w:val="auto"/>
          <w:sz w:val="21"/>
          <w:szCs w:val="21"/>
          <w:highlight w:val="none"/>
        </w:rPr>
        <w:t>。</w:t>
      </w:r>
    </w:p>
    <w:p w14:paraId="1E10693F">
      <w:pPr>
        <w:spacing w:line="370" w:lineRule="exact"/>
        <w:rPr>
          <w:rFonts w:hint="eastAsia"/>
          <w:color w:val="auto"/>
          <w:sz w:val="21"/>
          <w:szCs w:val="21"/>
          <w:highlight w:val="none"/>
        </w:rPr>
      </w:pPr>
    </w:p>
    <w:p w14:paraId="59C3D0D0">
      <w:pPr>
        <w:pStyle w:val="25"/>
        <w:spacing w:line="370" w:lineRule="exact"/>
        <w:jc w:val="center"/>
        <w:rPr>
          <w:rFonts w:hint="eastAsia"/>
          <w:b/>
          <w:color w:val="auto"/>
          <w:sz w:val="21"/>
          <w:szCs w:val="21"/>
          <w:highlight w:val="none"/>
        </w:rPr>
      </w:pPr>
      <w:r>
        <w:rPr>
          <w:rFonts w:hint="eastAsia"/>
          <w:b/>
          <w:color w:val="auto"/>
          <w:sz w:val="21"/>
          <w:szCs w:val="21"/>
          <w:highlight w:val="none"/>
          <w:lang w:eastAsia="zh-CN"/>
        </w:rPr>
        <w:t>九</w:t>
      </w:r>
      <w:r>
        <w:rPr>
          <w:rFonts w:hint="eastAsia"/>
          <w:b/>
          <w:color w:val="auto"/>
          <w:sz w:val="21"/>
          <w:szCs w:val="21"/>
          <w:highlight w:val="none"/>
        </w:rPr>
        <w:t>、其他事项</w:t>
      </w:r>
    </w:p>
    <w:p w14:paraId="2810E154">
      <w:pPr>
        <w:pStyle w:val="25"/>
        <w:spacing w:line="370" w:lineRule="exact"/>
        <w:rPr>
          <w:rFonts w:hint="eastAsia"/>
          <w:b/>
          <w:color w:val="auto"/>
          <w:sz w:val="21"/>
          <w:szCs w:val="21"/>
          <w:highlight w:val="none"/>
        </w:rPr>
      </w:pPr>
      <w:r>
        <w:rPr>
          <w:rFonts w:hint="eastAsia"/>
          <w:b/>
          <w:color w:val="auto"/>
          <w:sz w:val="21"/>
          <w:szCs w:val="21"/>
          <w:highlight w:val="none"/>
        </w:rPr>
        <w:t xml:space="preserve">    （一）中标服务费</w:t>
      </w:r>
    </w:p>
    <w:p w14:paraId="5A14C28D">
      <w:pPr>
        <w:pStyle w:val="25"/>
        <w:spacing w:line="370" w:lineRule="exact"/>
        <w:ind w:firstLine="435"/>
        <w:rPr>
          <w:rFonts w:hint="eastAsia"/>
          <w:color w:val="auto"/>
          <w:sz w:val="21"/>
          <w:szCs w:val="21"/>
          <w:highlight w:val="none"/>
        </w:rPr>
      </w:pPr>
      <w:r>
        <w:rPr>
          <w:rFonts w:hint="eastAsia"/>
          <w:color w:val="auto"/>
          <w:sz w:val="21"/>
          <w:szCs w:val="21"/>
          <w:highlight w:val="none"/>
        </w:rPr>
        <w:t>（1）采购代理机构按（桂价费 〔2011〕55号）的收费标准下浮</w:t>
      </w:r>
      <w:r>
        <w:rPr>
          <w:rFonts w:hint="eastAsia"/>
          <w:color w:val="auto"/>
          <w:sz w:val="21"/>
          <w:szCs w:val="21"/>
          <w:highlight w:val="none"/>
          <w:lang w:val="en-US" w:eastAsia="zh-CN"/>
        </w:rPr>
        <w:t>2</w:t>
      </w:r>
      <w:r>
        <w:rPr>
          <w:rFonts w:hint="eastAsia"/>
          <w:color w:val="auto"/>
          <w:sz w:val="21"/>
          <w:szCs w:val="21"/>
          <w:highlight w:val="none"/>
        </w:rPr>
        <w:t>0%，</w:t>
      </w:r>
      <w:r>
        <w:rPr>
          <w:rFonts w:hint="eastAsia"/>
          <w:color w:val="auto"/>
          <w:sz w:val="21"/>
          <w:szCs w:val="21"/>
          <w:highlight w:val="none"/>
          <w:lang w:val="en-US" w:eastAsia="zh-CN"/>
        </w:rPr>
        <w:t>根据</w:t>
      </w:r>
      <w:r>
        <w:rPr>
          <w:rFonts w:hint="eastAsia"/>
          <w:color w:val="auto"/>
          <w:sz w:val="21"/>
          <w:szCs w:val="21"/>
          <w:highlight w:val="none"/>
          <w:lang w:eastAsia="zh-CN"/>
        </w:rPr>
        <w:t>（“金课”建设指导服务</w:t>
      </w:r>
      <w:r>
        <w:rPr>
          <w:rFonts w:hint="eastAsia"/>
          <w:color w:val="auto"/>
          <w:sz w:val="21"/>
          <w:szCs w:val="21"/>
          <w:highlight w:val="none"/>
          <w:lang w:val="en-US" w:eastAsia="zh-CN"/>
        </w:rPr>
        <w:t>中标价+“金课”成果转化服务预算费用</w:t>
      </w:r>
      <w:r>
        <w:rPr>
          <w:rFonts w:hint="eastAsia"/>
          <w:color w:val="auto"/>
          <w:sz w:val="21"/>
          <w:szCs w:val="21"/>
          <w:highlight w:val="none"/>
          <w:lang w:eastAsia="zh-CN"/>
        </w:rPr>
        <w:t>）</w:t>
      </w:r>
      <w:r>
        <w:rPr>
          <w:rFonts w:hint="eastAsia"/>
          <w:color w:val="auto"/>
          <w:sz w:val="21"/>
          <w:szCs w:val="21"/>
          <w:highlight w:val="none"/>
          <w:lang w:val="en-US" w:eastAsia="zh-CN"/>
        </w:rPr>
        <w:t>为基准价，按</w:t>
      </w:r>
      <w:r>
        <w:rPr>
          <w:rFonts w:hint="eastAsia"/>
          <w:color w:val="auto"/>
          <w:sz w:val="21"/>
          <w:szCs w:val="21"/>
          <w:highlight w:val="none"/>
        </w:rPr>
        <w:t>差额定率累进法计取中标服务费。</w:t>
      </w:r>
      <w:r>
        <w:rPr>
          <w:rFonts w:hint="eastAsia"/>
          <w:color w:val="auto"/>
          <w:sz w:val="21"/>
          <w:szCs w:val="21"/>
          <w:highlight w:val="none"/>
          <w:lang w:eastAsia="zh-CN"/>
        </w:rPr>
        <w:t>发布中标结果公告后</w:t>
      </w:r>
      <w:r>
        <w:rPr>
          <w:rFonts w:hint="eastAsia"/>
          <w:color w:val="auto"/>
          <w:sz w:val="21"/>
          <w:szCs w:val="21"/>
          <w:highlight w:val="none"/>
        </w:rPr>
        <w:t>，中标人须向广西中吉银工程项目管理有限公司一次付清中标服务费。</w:t>
      </w:r>
    </w:p>
    <w:p w14:paraId="096955EA">
      <w:pPr>
        <w:pStyle w:val="25"/>
        <w:spacing w:line="370" w:lineRule="exact"/>
        <w:ind w:firstLine="435"/>
        <w:rPr>
          <w:rFonts w:hint="eastAsia"/>
          <w:color w:val="auto"/>
          <w:sz w:val="21"/>
          <w:szCs w:val="21"/>
          <w:highlight w:val="none"/>
        </w:rPr>
      </w:pPr>
      <w:r>
        <w:rPr>
          <w:rFonts w:hint="eastAsia"/>
          <w:color w:val="auto"/>
          <w:sz w:val="21"/>
          <w:szCs w:val="21"/>
          <w:highlight w:val="none"/>
        </w:rPr>
        <w:t>（2）代理服务收费标准：</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53F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7CECB9A8">
            <w:pPr>
              <w:rPr>
                <w:rFonts w:hint="eastAsia"/>
                <w:color w:val="auto"/>
                <w:sz w:val="21"/>
                <w:szCs w:val="21"/>
                <w:highlight w:val="none"/>
              </w:rPr>
            </w:pPr>
            <w:r>
              <w:rPr>
                <w:rFonts w:hint="eastAsia"/>
                <w:color w:val="auto"/>
                <w:sz w:val="21"/>
                <w:szCs w:val="21"/>
                <w:highlight w:val="none"/>
              </w:rPr>
              <w:t xml:space="preserve">               费率</w:t>
            </w:r>
          </w:p>
          <w:p w14:paraId="4B8624A1">
            <w:pPr>
              <w:rPr>
                <w:rFonts w:hint="eastAsia"/>
                <w:color w:val="auto"/>
                <w:sz w:val="21"/>
                <w:szCs w:val="21"/>
                <w:highlight w:val="none"/>
              </w:rPr>
            </w:pPr>
            <w:r>
              <w:rPr>
                <w:rFonts w:hint="eastAsia"/>
                <w:color w:val="auto"/>
                <w:sz w:val="21"/>
                <w:szCs w:val="21"/>
                <w:highlight w:val="none"/>
              </w:rPr>
              <w:t>中标金额</w:t>
            </w:r>
          </w:p>
        </w:tc>
        <w:tc>
          <w:tcPr>
            <w:tcW w:w="1659" w:type="dxa"/>
            <w:noWrap w:val="0"/>
            <w:vAlign w:val="center"/>
          </w:tcPr>
          <w:p w14:paraId="3B26823E">
            <w:pPr>
              <w:ind w:firstLine="105" w:firstLineChars="50"/>
              <w:jc w:val="center"/>
              <w:rPr>
                <w:rFonts w:hint="eastAsia"/>
                <w:color w:val="auto"/>
                <w:sz w:val="21"/>
                <w:szCs w:val="21"/>
                <w:highlight w:val="none"/>
              </w:rPr>
            </w:pPr>
            <w:r>
              <w:rPr>
                <w:rFonts w:hint="eastAsia"/>
                <w:color w:val="auto"/>
                <w:sz w:val="21"/>
                <w:szCs w:val="21"/>
                <w:highlight w:val="none"/>
              </w:rPr>
              <w:t>货物招标</w:t>
            </w:r>
          </w:p>
        </w:tc>
        <w:tc>
          <w:tcPr>
            <w:tcW w:w="1687" w:type="dxa"/>
            <w:noWrap w:val="0"/>
            <w:vAlign w:val="center"/>
          </w:tcPr>
          <w:p w14:paraId="00972C60">
            <w:pPr>
              <w:jc w:val="center"/>
              <w:rPr>
                <w:rFonts w:hint="eastAsia"/>
                <w:color w:val="auto"/>
                <w:sz w:val="21"/>
                <w:szCs w:val="21"/>
                <w:highlight w:val="none"/>
              </w:rPr>
            </w:pPr>
            <w:r>
              <w:rPr>
                <w:rFonts w:hint="eastAsia"/>
                <w:color w:val="auto"/>
                <w:sz w:val="21"/>
                <w:szCs w:val="21"/>
                <w:highlight w:val="none"/>
              </w:rPr>
              <w:t>服务招标</w:t>
            </w:r>
          </w:p>
        </w:tc>
        <w:tc>
          <w:tcPr>
            <w:tcW w:w="1659" w:type="dxa"/>
            <w:noWrap w:val="0"/>
            <w:vAlign w:val="center"/>
          </w:tcPr>
          <w:p w14:paraId="2ADC397D">
            <w:pPr>
              <w:jc w:val="center"/>
              <w:rPr>
                <w:rFonts w:hint="eastAsia"/>
                <w:color w:val="auto"/>
                <w:sz w:val="21"/>
                <w:szCs w:val="21"/>
                <w:highlight w:val="none"/>
              </w:rPr>
            </w:pPr>
            <w:r>
              <w:rPr>
                <w:rFonts w:hint="eastAsia"/>
                <w:color w:val="auto"/>
                <w:sz w:val="21"/>
                <w:szCs w:val="21"/>
                <w:highlight w:val="none"/>
              </w:rPr>
              <w:t>工程招标</w:t>
            </w:r>
          </w:p>
        </w:tc>
      </w:tr>
      <w:tr w14:paraId="24C1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03B415E">
            <w:pPr>
              <w:rPr>
                <w:rFonts w:hint="eastAsia" w:ascii="宋体" w:hAnsi="宋体"/>
                <w:color w:val="auto"/>
                <w:sz w:val="21"/>
                <w:szCs w:val="21"/>
                <w:highlight w:val="none"/>
              </w:rPr>
            </w:pPr>
            <w:r>
              <w:rPr>
                <w:rFonts w:hint="eastAsia" w:ascii="宋体" w:hAnsi="宋体"/>
                <w:color w:val="auto"/>
                <w:sz w:val="21"/>
                <w:szCs w:val="21"/>
                <w:highlight w:val="none"/>
              </w:rPr>
              <w:t>100万元以下</w:t>
            </w:r>
          </w:p>
        </w:tc>
        <w:tc>
          <w:tcPr>
            <w:tcW w:w="1659" w:type="dxa"/>
            <w:noWrap w:val="0"/>
            <w:vAlign w:val="top"/>
          </w:tcPr>
          <w:p w14:paraId="2C1500BE">
            <w:pPr>
              <w:rPr>
                <w:rFonts w:ascii="宋体" w:hAnsi="宋体"/>
                <w:color w:val="auto"/>
                <w:sz w:val="21"/>
                <w:szCs w:val="21"/>
                <w:highlight w:val="none"/>
              </w:rPr>
            </w:pPr>
            <w:r>
              <w:rPr>
                <w:rFonts w:hint="eastAsia" w:ascii="宋体" w:hAnsi="宋体" w:cs="宋体"/>
                <w:color w:val="auto"/>
                <w:kern w:val="0"/>
                <w:sz w:val="21"/>
                <w:szCs w:val="21"/>
                <w:highlight w:val="none"/>
              </w:rPr>
              <w:t xml:space="preserve">  1.5%                </w:t>
            </w:r>
          </w:p>
        </w:tc>
        <w:tc>
          <w:tcPr>
            <w:tcW w:w="1687" w:type="dxa"/>
            <w:noWrap w:val="0"/>
            <w:vAlign w:val="top"/>
          </w:tcPr>
          <w:p w14:paraId="146AFF43">
            <w:pPr>
              <w:ind w:firstLine="210" w:firstLineChars="100"/>
              <w:rPr>
                <w:rFonts w:ascii="宋体" w:hAnsi="宋体"/>
                <w:color w:val="auto"/>
                <w:sz w:val="21"/>
                <w:szCs w:val="21"/>
                <w:highlight w:val="none"/>
              </w:rPr>
            </w:pPr>
            <w:r>
              <w:rPr>
                <w:rFonts w:hint="eastAsia" w:ascii="宋体" w:hAnsi="宋体" w:cs="宋体"/>
                <w:color w:val="auto"/>
                <w:kern w:val="0"/>
                <w:sz w:val="21"/>
                <w:szCs w:val="21"/>
                <w:highlight w:val="none"/>
              </w:rPr>
              <w:t>1.5%</w:t>
            </w:r>
          </w:p>
        </w:tc>
        <w:tc>
          <w:tcPr>
            <w:tcW w:w="1659" w:type="dxa"/>
            <w:noWrap w:val="0"/>
            <w:vAlign w:val="top"/>
          </w:tcPr>
          <w:p w14:paraId="32274BB0">
            <w:pPr>
              <w:ind w:firstLine="210" w:firstLineChars="100"/>
              <w:rPr>
                <w:rFonts w:hint="eastAsia" w:ascii="宋体" w:hAnsi="宋体"/>
                <w:color w:val="auto"/>
                <w:sz w:val="21"/>
                <w:szCs w:val="21"/>
                <w:highlight w:val="none"/>
              </w:rPr>
            </w:pPr>
            <w:r>
              <w:rPr>
                <w:rFonts w:hint="eastAsia" w:ascii="宋体" w:hAnsi="宋体" w:cs="宋体"/>
                <w:color w:val="auto"/>
                <w:kern w:val="0"/>
                <w:sz w:val="21"/>
                <w:szCs w:val="21"/>
                <w:highlight w:val="none"/>
              </w:rPr>
              <w:t xml:space="preserve">1.0% </w:t>
            </w:r>
          </w:p>
        </w:tc>
      </w:tr>
      <w:tr w14:paraId="1620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09297A9">
            <w:pPr>
              <w:rPr>
                <w:rFonts w:hint="eastAsia" w:ascii="宋体" w:hAnsi="宋体"/>
                <w:color w:val="auto"/>
                <w:sz w:val="21"/>
                <w:szCs w:val="21"/>
                <w:highlight w:val="none"/>
              </w:rPr>
            </w:pPr>
            <w:r>
              <w:rPr>
                <w:rFonts w:hint="eastAsia" w:ascii="宋体" w:hAnsi="宋体"/>
                <w:color w:val="auto"/>
                <w:sz w:val="21"/>
                <w:szCs w:val="21"/>
                <w:highlight w:val="none"/>
                <w:lang w:eastAsia="zh-CN"/>
              </w:rPr>
              <w:t>100万～500万</w:t>
            </w:r>
            <w:r>
              <w:rPr>
                <w:rFonts w:hint="eastAsia" w:ascii="宋体" w:hAnsi="宋体"/>
                <w:color w:val="auto"/>
                <w:sz w:val="21"/>
                <w:szCs w:val="21"/>
                <w:highlight w:val="none"/>
              </w:rPr>
              <w:t>元</w:t>
            </w:r>
          </w:p>
        </w:tc>
        <w:tc>
          <w:tcPr>
            <w:tcW w:w="1659" w:type="dxa"/>
            <w:noWrap w:val="0"/>
            <w:vAlign w:val="top"/>
          </w:tcPr>
          <w:p w14:paraId="5634FE2A">
            <w:pPr>
              <w:ind w:firstLine="210" w:firstLineChars="100"/>
              <w:rPr>
                <w:rFonts w:ascii="宋体" w:hAnsi="宋体"/>
                <w:color w:val="auto"/>
                <w:sz w:val="21"/>
                <w:szCs w:val="21"/>
                <w:highlight w:val="none"/>
              </w:rPr>
            </w:pPr>
            <w:r>
              <w:rPr>
                <w:rFonts w:hint="eastAsia" w:ascii="宋体" w:hAnsi="宋体" w:cs="宋体"/>
                <w:color w:val="auto"/>
                <w:kern w:val="0"/>
                <w:sz w:val="21"/>
                <w:szCs w:val="21"/>
                <w:highlight w:val="none"/>
              </w:rPr>
              <w:t xml:space="preserve">1.1%                 </w:t>
            </w:r>
          </w:p>
        </w:tc>
        <w:tc>
          <w:tcPr>
            <w:tcW w:w="1687" w:type="dxa"/>
            <w:noWrap w:val="0"/>
            <w:vAlign w:val="top"/>
          </w:tcPr>
          <w:p w14:paraId="4F42918F">
            <w:pPr>
              <w:ind w:firstLine="210" w:firstLineChars="100"/>
              <w:rPr>
                <w:rFonts w:ascii="宋体" w:hAnsi="宋体"/>
                <w:color w:val="auto"/>
                <w:sz w:val="21"/>
                <w:szCs w:val="21"/>
                <w:highlight w:val="none"/>
              </w:rPr>
            </w:pPr>
            <w:r>
              <w:rPr>
                <w:rFonts w:hint="eastAsia" w:ascii="宋体" w:hAnsi="宋体" w:cs="宋体"/>
                <w:color w:val="auto"/>
                <w:kern w:val="0"/>
                <w:sz w:val="21"/>
                <w:szCs w:val="21"/>
                <w:highlight w:val="none"/>
              </w:rPr>
              <w:t>0.8%</w:t>
            </w:r>
          </w:p>
        </w:tc>
        <w:tc>
          <w:tcPr>
            <w:tcW w:w="1659" w:type="dxa"/>
            <w:noWrap w:val="0"/>
            <w:vAlign w:val="top"/>
          </w:tcPr>
          <w:p w14:paraId="724C8390">
            <w:pPr>
              <w:ind w:firstLine="210" w:firstLineChars="100"/>
              <w:rPr>
                <w:rFonts w:hint="eastAsia" w:ascii="宋体" w:hAnsi="宋体"/>
                <w:color w:val="auto"/>
                <w:sz w:val="21"/>
                <w:szCs w:val="21"/>
                <w:highlight w:val="none"/>
              </w:rPr>
            </w:pPr>
            <w:r>
              <w:rPr>
                <w:rFonts w:hint="eastAsia" w:ascii="宋体" w:hAnsi="宋体" w:cs="宋体"/>
                <w:color w:val="auto"/>
                <w:kern w:val="0"/>
                <w:sz w:val="21"/>
                <w:szCs w:val="21"/>
                <w:highlight w:val="none"/>
              </w:rPr>
              <w:t xml:space="preserve">0.7% </w:t>
            </w:r>
          </w:p>
        </w:tc>
      </w:tr>
      <w:tr w14:paraId="6BE0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38193C9">
            <w:pPr>
              <w:rPr>
                <w:rFonts w:hint="eastAsia" w:ascii="宋体" w:hAnsi="宋体"/>
                <w:color w:val="auto"/>
                <w:sz w:val="21"/>
                <w:szCs w:val="21"/>
                <w:highlight w:val="none"/>
              </w:rPr>
            </w:pPr>
            <w:r>
              <w:rPr>
                <w:rFonts w:hint="eastAsia" w:ascii="宋体" w:hAnsi="宋体"/>
                <w:color w:val="auto"/>
                <w:sz w:val="21"/>
                <w:szCs w:val="21"/>
                <w:highlight w:val="none"/>
                <w:lang w:eastAsia="zh-CN"/>
              </w:rPr>
              <w:t>500万～1000万</w:t>
            </w:r>
            <w:r>
              <w:rPr>
                <w:rFonts w:hint="eastAsia" w:ascii="宋体" w:hAnsi="宋体"/>
                <w:color w:val="auto"/>
                <w:sz w:val="21"/>
                <w:szCs w:val="21"/>
                <w:highlight w:val="none"/>
              </w:rPr>
              <w:t>元</w:t>
            </w:r>
          </w:p>
        </w:tc>
        <w:tc>
          <w:tcPr>
            <w:tcW w:w="1659" w:type="dxa"/>
            <w:noWrap w:val="0"/>
            <w:vAlign w:val="top"/>
          </w:tcPr>
          <w:p w14:paraId="4B54700C">
            <w:pPr>
              <w:rPr>
                <w:rFonts w:ascii="宋体" w:hAnsi="宋体"/>
                <w:color w:val="auto"/>
                <w:sz w:val="21"/>
                <w:szCs w:val="21"/>
                <w:highlight w:val="none"/>
              </w:rPr>
            </w:pPr>
            <w:r>
              <w:rPr>
                <w:rFonts w:hint="eastAsia" w:ascii="宋体" w:hAnsi="宋体" w:cs="宋体"/>
                <w:color w:val="auto"/>
                <w:kern w:val="0"/>
                <w:sz w:val="21"/>
                <w:szCs w:val="21"/>
                <w:highlight w:val="none"/>
              </w:rPr>
              <w:t xml:space="preserve">  0.8%                </w:t>
            </w:r>
          </w:p>
        </w:tc>
        <w:tc>
          <w:tcPr>
            <w:tcW w:w="1687" w:type="dxa"/>
            <w:noWrap w:val="0"/>
            <w:vAlign w:val="top"/>
          </w:tcPr>
          <w:p w14:paraId="04D6A120">
            <w:pPr>
              <w:ind w:firstLine="210" w:firstLineChars="100"/>
              <w:rPr>
                <w:rFonts w:ascii="宋体" w:hAnsi="宋体"/>
                <w:color w:val="auto"/>
                <w:sz w:val="21"/>
                <w:szCs w:val="21"/>
                <w:highlight w:val="none"/>
              </w:rPr>
            </w:pPr>
            <w:r>
              <w:rPr>
                <w:rFonts w:hint="eastAsia" w:ascii="宋体" w:hAnsi="宋体" w:cs="宋体"/>
                <w:color w:val="auto"/>
                <w:kern w:val="0"/>
                <w:sz w:val="21"/>
                <w:szCs w:val="21"/>
                <w:highlight w:val="none"/>
              </w:rPr>
              <w:t>0.45%</w:t>
            </w:r>
          </w:p>
        </w:tc>
        <w:tc>
          <w:tcPr>
            <w:tcW w:w="1659" w:type="dxa"/>
            <w:noWrap w:val="0"/>
            <w:vAlign w:val="top"/>
          </w:tcPr>
          <w:p w14:paraId="048DA669">
            <w:pPr>
              <w:ind w:firstLine="210" w:firstLineChars="100"/>
              <w:rPr>
                <w:rFonts w:ascii="宋体" w:hAnsi="宋体"/>
                <w:color w:val="auto"/>
                <w:sz w:val="21"/>
                <w:szCs w:val="21"/>
                <w:highlight w:val="none"/>
              </w:rPr>
            </w:pPr>
            <w:r>
              <w:rPr>
                <w:rFonts w:hint="eastAsia" w:ascii="宋体" w:hAnsi="宋体" w:cs="宋体"/>
                <w:color w:val="auto"/>
                <w:kern w:val="0"/>
                <w:sz w:val="21"/>
                <w:szCs w:val="21"/>
                <w:highlight w:val="none"/>
              </w:rPr>
              <w:t>0.55%</w:t>
            </w:r>
          </w:p>
        </w:tc>
      </w:tr>
      <w:tr w14:paraId="7AA7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DE98FD5">
            <w:pPr>
              <w:rPr>
                <w:rFonts w:hint="eastAsia" w:ascii="宋体" w:hAnsi="宋体"/>
                <w:color w:val="auto"/>
                <w:sz w:val="21"/>
                <w:szCs w:val="21"/>
                <w:highlight w:val="none"/>
              </w:rPr>
            </w:pPr>
            <w:r>
              <w:rPr>
                <w:rFonts w:hint="eastAsia" w:ascii="宋体" w:hAnsi="宋体"/>
                <w:color w:val="auto"/>
                <w:sz w:val="21"/>
                <w:szCs w:val="21"/>
                <w:highlight w:val="none"/>
                <w:lang w:eastAsia="zh-CN"/>
              </w:rPr>
              <w:t>1000万～5000万</w:t>
            </w:r>
            <w:r>
              <w:rPr>
                <w:rFonts w:hint="eastAsia" w:ascii="宋体" w:hAnsi="宋体"/>
                <w:color w:val="auto"/>
                <w:sz w:val="21"/>
                <w:szCs w:val="21"/>
                <w:highlight w:val="none"/>
              </w:rPr>
              <w:t>元</w:t>
            </w:r>
          </w:p>
        </w:tc>
        <w:tc>
          <w:tcPr>
            <w:tcW w:w="1659" w:type="dxa"/>
            <w:noWrap w:val="0"/>
            <w:vAlign w:val="top"/>
          </w:tcPr>
          <w:p w14:paraId="2A2395F3">
            <w:pPr>
              <w:ind w:firstLine="210" w:firstLineChars="100"/>
              <w:rPr>
                <w:rFonts w:ascii="宋体" w:hAnsi="宋体"/>
                <w:color w:val="auto"/>
                <w:sz w:val="21"/>
                <w:szCs w:val="21"/>
                <w:highlight w:val="none"/>
              </w:rPr>
            </w:pPr>
            <w:r>
              <w:rPr>
                <w:rFonts w:hint="eastAsia" w:ascii="宋体" w:hAnsi="宋体" w:cs="宋体"/>
                <w:color w:val="auto"/>
                <w:kern w:val="0"/>
                <w:sz w:val="21"/>
                <w:szCs w:val="21"/>
                <w:highlight w:val="none"/>
              </w:rPr>
              <w:t xml:space="preserve">0.5%                </w:t>
            </w:r>
          </w:p>
        </w:tc>
        <w:tc>
          <w:tcPr>
            <w:tcW w:w="1687" w:type="dxa"/>
            <w:noWrap w:val="0"/>
            <w:vAlign w:val="top"/>
          </w:tcPr>
          <w:p w14:paraId="35068087">
            <w:pPr>
              <w:ind w:firstLine="210" w:firstLineChars="100"/>
              <w:rPr>
                <w:rFonts w:ascii="宋体" w:hAnsi="宋体"/>
                <w:color w:val="auto"/>
                <w:sz w:val="21"/>
                <w:szCs w:val="21"/>
                <w:highlight w:val="none"/>
              </w:rPr>
            </w:pPr>
            <w:r>
              <w:rPr>
                <w:rFonts w:hint="eastAsia" w:ascii="宋体" w:hAnsi="宋体" w:cs="宋体"/>
                <w:color w:val="auto"/>
                <w:kern w:val="0"/>
                <w:sz w:val="21"/>
                <w:szCs w:val="21"/>
                <w:highlight w:val="none"/>
              </w:rPr>
              <w:t>0.25%</w:t>
            </w:r>
          </w:p>
        </w:tc>
        <w:tc>
          <w:tcPr>
            <w:tcW w:w="1659" w:type="dxa"/>
            <w:noWrap w:val="0"/>
            <w:vAlign w:val="top"/>
          </w:tcPr>
          <w:p w14:paraId="0808CBD6">
            <w:pPr>
              <w:ind w:firstLine="210" w:firstLineChars="100"/>
              <w:rPr>
                <w:rFonts w:hint="eastAsia" w:ascii="宋体" w:hAnsi="宋体"/>
                <w:color w:val="auto"/>
                <w:sz w:val="21"/>
                <w:szCs w:val="21"/>
                <w:highlight w:val="none"/>
              </w:rPr>
            </w:pPr>
            <w:r>
              <w:rPr>
                <w:rFonts w:hint="eastAsia" w:ascii="宋体" w:hAnsi="宋体" w:cs="宋体"/>
                <w:color w:val="auto"/>
                <w:kern w:val="0"/>
                <w:sz w:val="21"/>
                <w:szCs w:val="21"/>
                <w:highlight w:val="none"/>
              </w:rPr>
              <w:t xml:space="preserve">0.35% </w:t>
            </w:r>
          </w:p>
        </w:tc>
      </w:tr>
      <w:tr w14:paraId="7DE7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DEA779D">
            <w:pPr>
              <w:rPr>
                <w:rFonts w:hint="eastAsia" w:ascii="宋体" w:hAnsi="宋体"/>
                <w:color w:val="auto"/>
                <w:sz w:val="21"/>
                <w:szCs w:val="21"/>
                <w:highlight w:val="none"/>
              </w:rPr>
            </w:pPr>
            <w:r>
              <w:rPr>
                <w:rFonts w:hint="eastAsia" w:ascii="宋体" w:hAnsi="宋体"/>
                <w:color w:val="auto"/>
                <w:sz w:val="21"/>
                <w:szCs w:val="21"/>
                <w:highlight w:val="none"/>
              </w:rPr>
              <w:t>5000万元～1亿元</w:t>
            </w:r>
          </w:p>
        </w:tc>
        <w:tc>
          <w:tcPr>
            <w:tcW w:w="1659" w:type="dxa"/>
            <w:noWrap w:val="0"/>
            <w:vAlign w:val="top"/>
          </w:tcPr>
          <w:p w14:paraId="2B856360">
            <w:pPr>
              <w:ind w:firstLine="210" w:firstLineChars="100"/>
              <w:rPr>
                <w:rFonts w:hint="eastAsia" w:ascii="宋体" w:hAnsi="宋体"/>
                <w:color w:val="auto"/>
                <w:sz w:val="21"/>
                <w:szCs w:val="21"/>
                <w:highlight w:val="none"/>
              </w:rPr>
            </w:pPr>
            <w:r>
              <w:rPr>
                <w:rFonts w:hint="eastAsia" w:ascii="宋体" w:hAnsi="宋体" w:cs="宋体"/>
                <w:color w:val="auto"/>
                <w:kern w:val="0"/>
                <w:sz w:val="21"/>
                <w:szCs w:val="21"/>
                <w:highlight w:val="none"/>
              </w:rPr>
              <w:t xml:space="preserve">0.25%                 </w:t>
            </w:r>
          </w:p>
        </w:tc>
        <w:tc>
          <w:tcPr>
            <w:tcW w:w="1687" w:type="dxa"/>
            <w:noWrap w:val="0"/>
            <w:vAlign w:val="top"/>
          </w:tcPr>
          <w:p w14:paraId="39A702B9">
            <w:pPr>
              <w:ind w:firstLine="210" w:firstLineChars="100"/>
              <w:rPr>
                <w:rFonts w:ascii="宋体" w:hAnsi="宋体"/>
                <w:color w:val="auto"/>
                <w:sz w:val="21"/>
                <w:szCs w:val="21"/>
                <w:highlight w:val="none"/>
              </w:rPr>
            </w:pPr>
            <w:r>
              <w:rPr>
                <w:rFonts w:hint="eastAsia" w:ascii="宋体" w:hAnsi="宋体" w:cs="宋体"/>
                <w:color w:val="auto"/>
                <w:kern w:val="0"/>
                <w:sz w:val="21"/>
                <w:szCs w:val="21"/>
                <w:highlight w:val="none"/>
              </w:rPr>
              <w:t>0.1%</w:t>
            </w:r>
          </w:p>
        </w:tc>
        <w:tc>
          <w:tcPr>
            <w:tcW w:w="1659" w:type="dxa"/>
            <w:noWrap w:val="0"/>
            <w:vAlign w:val="top"/>
          </w:tcPr>
          <w:p w14:paraId="00BC62D1">
            <w:pPr>
              <w:ind w:firstLine="210" w:firstLineChars="100"/>
              <w:rPr>
                <w:rFonts w:ascii="宋体" w:hAnsi="宋体"/>
                <w:color w:val="auto"/>
                <w:sz w:val="21"/>
                <w:szCs w:val="21"/>
                <w:highlight w:val="none"/>
              </w:rPr>
            </w:pPr>
            <w:r>
              <w:rPr>
                <w:rFonts w:hint="eastAsia" w:ascii="宋体" w:hAnsi="宋体" w:cs="宋体"/>
                <w:color w:val="auto"/>
                <w:kern w:val="0"/>
                <w:sz w:val="21"/>
                <w:szCs w:val="21"/>
                <w:highlight w:val="none"/>
              </w:rPr>
              <w:t>0.2%</w:t>
            </w:r>
          </w:p>
        </w:tc>
      </w:tr>
      <w:tr w14:paraId="42F8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F6AF10B">
            <w:pPr>
              <w:rPr>
                <w:rFonts w:hint="eastAsia" w:ascii="宋体" w:hAnsi="宋体"/>
                <w:color w:val="auto"/>
                <w:sz w:val="21"/>
                <w:szCs w:val="21"/>
                <w:highlight w:val="none"/>
              </w:rPr>
            </w:pPr>
            <w:r>
              <w:rPr>
                <w:rFonts w:hint="eastAsia" w:ascii="宋体" w:hAnsi="宋体"/>
                <w:color w:val="auto"/>
                <w:sz w:val="21"/>
                <w:szCs w:val="21"/>
                <w:highlight w:val="none"/>
                <w:lang w:eastAsia="zh-CN"/>
              </w:rPr>
              <w:t>1亿～5亿</w:t>
            </w:r>
            <w:r>
              <w:rPr>
                <w:rFonts w:hint="eastAsia" w:ascii="宋体" w:hAnsi="宋体"/>
                <w:color w:val="auto"/>
                <w:sz w:val="21"/>
                <w:szCs w:val="21"/>
                <w:highlight w:val="none"/>
              </w:rPr>
              <w:t>元</w:t>
            </w:r>
          </w:p>
        </w:tc>
        <w:tc>
          <w:tcPr>
            <w:tcW w:w="1659" w:type="dxa"/>
            <w:noWrap w:val="0"/>
            <w:vAlign w:val="top"/>
          </w:tcPr>
          <w:p w14:paraId="5FB0998C">
            <w:pPr>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0.05%</w:t>
            </w:r>
          </w:p>
        </w:tc>
        <w:tc>
          <w:tcPr>
            <w:tcW w:w="1687" w:type="dxa"/>
            <w:noWrap w:val="0"/>
            <w:vAlign w:val="top"/>
          </w:tcPr>
          <w:p w14:paraId="34BE6AB4">
            <w:pPr>
              <w:rPr>
                <w:rFonts w:hint="eastAsia" w:ascii="宋体" w:hAnsi="宋体"/>
                <w:color w:val="auto"/>
                <w:sz w:val="21"/>
                <w:szCs w:val="21"/>
                <w:highlight w:val="none"/>
              </w:rPr>
            </w:pPr>
            <w:r>
              <w:rPr>
                <w:rFonts w:hint="eastAsia" w:ascii="宋体" w:hAnsi="宋体"/>
                <w:color w:val="auto"/>
                <w:sz w:val="21"/>
                <w:szCs w:val="21"/>
                <w:highlight w:val="none"/>
              </w:rPr>
              <w:t xml:space="preserve">  0.05%</w:t>
            </w:r>
          </w:p>
        </w:tc>
        <w:tc>
          <w:tcPr>
            <w:tcW w:w="1659" w:type="dxa"/>
            <w:noWrap w:val="0"/>
            <w:vAlign w:val="top"/>
          </w:tcPr>
          <w:p w14:paraId="3054457A">
            <w:pPr>
              <w:rPr>
                <w:rFonts w:hint="eastAsia" w:ascii="宋体" w:hAnsi="宋体"/>
                <w:color w:val="auto"/>
                <w:sz w:val="21"/>
                <w:szCs w:val="21"/>
                <w:highlight w:val="none"/>
              </w:rPr>
            </w:pPr>
            <w:r>
              <w:rPr>
                <w:rFonts w:hint="eastAsia" w:ascii="宋体" w:hAnsi="宋体"/>
                <w:color w:val="auto"/>
                <w:sz w:val="21"/>
                <w:szCs w:val="21"/>
                <w:highlight w:val="none"/>
              </w:rPr>
              <w:t xml:space="preserve">  0.05%</w:t>
            </w:r>
          </w:p>
        </w:tc>
      </w:tr>
      <w:tr w14:paraId="131D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1F07297">
            <w:pPr>
              <w:rPr>
                <w:rFonts w:hint="eastAsia" w:ascii="宋体" w:hAnsi="宋体"/>
                <w:color w:val="auto"/>
                <w:sz w:val="21"/>
                <w:szCs w:val="21"/>
                <w:highlight w:val="none"/>
              </w:rPr>
            </w:pPr>
            <w:r>
              <w:rPr>
                <w:rFonts w:hint="eastAsia" w:ascii="宋体" w:hAnsi="宋体"/>
                <w:color w:val="auto"/>
                <w:sz w:val="21"/>
                <w:szCs w:val="21"/>
                <w:highlight w:val="none"/>
                <w:lang w:eastAsia="zh-CN"/>
              </w:rPr>
              <w:t>5亿～10亿</w:t>
            </w:r>
            <w:r>
              <w:rPr>
                <w:rFonts w:hint="eastAsia" w:ascii="宋体" w:hAnsi="宋体"/>
                <w:color w:val="auto"/>
                <w:sz w:val="21"/>
                <w:szCs w:val="21"/>
                <w:highlight w:val="none"/>
              </w:rPr>
              <w:t>元</w:t>
            </w:r>
          </w:p>
        </w:tc>
        <w:tc>
          <w:tcPr>
            <w:tcW w:w="1659" w:type="dxa"/>
            <w:noWrap w:val="0"/>
            <w:vAlign w:val="top"/>
          </w:tcPr>
          <w:p w14:paraId="6470E60B">
            <w:pPr>
              <w:ind w:firstLine="105" w:firstLineChars="50"/>
              <w:rPr>
                <w:rFonts w:hint="eastAsia" w:ascii="宋体" w:hAnsi="宋体"/>
                <w:color w:val="auto"/>
                <w:sz w:val="21"/>
                <w:szCs w:val="21"/>
                <w:highlight w:val="none"/>
              </w:rPr>
            </w:pPr>
            <w:r>
              <w:rPr>
                <w:rFonts w:hint="eastAsia" w:ascii="宋体" w:hAnsi="宋体"/>
                <w:color w:val="auto"/>
                <w:sz w:val="21"/>
                <w:szCs w:val="21"/>
                <w:highlight w:val="none"/>
              </w:rPr>
              <w:t>0.035%</w:t>
            </w:r>
          </w:p>
        </w:tc>
        <w:tc>
          <w:tcPr>
            <w:tcW w:w="1687" w:type="dxa"/>
            <w:noWrap w:val="0"/>
            <w:vAlign w:val="top"/>
          </w:tcPr>
          <w:p w14:paraId="2CE2387F">
            <w:pPr>
              <w:rPr>
                <w:rFonts w:hint="eastAsia" w:ascii="宋体" w:hAnsi="宋体"/>
                <w:color w:val="auto"/>
                <w:sz w:val="21"/>
                <w:szCs w:val="21"/>
                <w:highlight w:val="none"/>
              </w:rPr>
            </w:pPr>
            <w:r>
              <w:rPr>
                <w:rFonts w:hint="eastAsia" w:ascii="宋体" w:hAnsi="宋体"/>
                <w:color w:val="auto"/>
                <w:sz w:val="21"/>
                <w:szCs w:val="21"/>
                <w:highlight w:val="none"/>
              </w:rPr>
              <w:t xml:space="preserve">  0.035%</w:t>
            </w:r>
          </w:p>
        </w:tc>
        <w:tc>
          <w:tcPr>
            <w:tcW w:w="1659" w:type="dxa"/>
            <w:noWrap w:val="0"/>
            <w:vAlign w:val="top"/>
          </w:tcPr>
          <w:p w14:paraId="32FA4B07">
            <w:pPr>
              <w:ind w:firstLine="105" w:firstLineChars="50"/>
              <w:rPr>
                <w:rFonts w:ascii="宋体" w:hAnsi="宋体"/>
                <w:color w:val="auto"/>
                <w:sz w:val="21"/>
                <w:szCs w:val="21"/>
                <w:highlight w:val="none"/>
              </w:rPr>
            </w:pPr>
            <w:r>
              <w:rPr>
                <w:rFonts w:hint="eastAsia" w:ascii="宋体" w:hAnsi="宋体"/>
                <w:color w:val="auto"/>
                <w:sz w:val="21"/>
                <w:szCs w:val="21"/>
                <w:highlight w:val="none"/>
              </w:rPr>
              <w:t>0.035%</w:t>
            </w:r>
          </w:p>
        </w:tc>
      </w:tr>
      <w:tr w14:paraId="47C1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1A1EA51">
            <w:pPr>
              <w:rPr>
                <w:rFonts w:hint="eastAsia" w:ascii="宋体" w:hAnsi="宋体"/>
                <w:color w:val="auto"/>
                <w:sz w:val="21"/>
                <w:szCs w:val="21"/>
                <w:highlight w:val="none"/>
              </w:rPr>
            </w:pPr>
            <w:r>
              <w:rPr>
                <w:rFonts w:hint="eastAsia" w:ascii="宋体" w:hAnsi="宋体"/>
                <w:color w:val="auto"/>
                <w:sz w:val="21"/>
                <w:szCs w:val="21"/>
                <w:highlight w:val="none"/>
                <w:lang w:eastAsia="zh-CN"/>
              </w:rPr>
              <w:t>10亿～50亿</w:t>
            </w:r>
            <w:r>
              <w:rPr>
                <w:rFonts w:hint="eastAsia" w:ascii="宋体" w:hAnsi="宋体"/>
                <w:color w:val="auto"/>
                <w:sz w:val="21"/>
                <w:szCs w:val="21"/>
                <w:highlight w:val="none"/>
              </w:rPr>
              <w:t>元</w:t>
            </w:r>
          </w:p>
        </w:tc>
        <w:tc>
          <w:tcPr>
            <w:tcW w:w="1659" w:type="dxa"/>
            <w:noWrap w:val="0"/>
            <w:vAlign w:val="top"/>
          </w:tcPr>
          <w:p w14:paraId="7521C8B0">
            <w:pPr>
              <w:ind w:firstLine="105" w:firstLineChars="50"/>
              <w:rPr>
                <w:rFonts w:hint="eastAsia" w:ascii="宋体" w:hAnsi="宋体"/>
                <w:color w:val="auto"/>
                <w:sz w:val="21"/>
                <w:szCs w:val="21"/>
                <w:highlight w:val="none"/>
              </w:rPr>
            </w:pPr>
            <w:r>
              <w:rPr>
                <w:rFonts w:hint="eastAsia" w:ascii="宋体" w:hAnsi="宋体"/>
                <w:color w:val="auto"/>
                <w:sz w:val="21"/>
                <w:szCs w:val="21"/>
                <w:highlight w:val="none"/>
              </w:rPr>
              <w:t>0.008%</w:t>
            </w:r>
          </w:p>
        </w:tc>
        <w:tc>
          <w:tcPr>
            <w:tcW w:w="1687" w:type="dxa"/>
            <w:noWrap w:val="0"/>
            <w:vAlign w:val="top"/>
          </w:tcPr>
          <w:p w14:paraId="2452022A">
            <w:pPr>
              <w:ind w:firstLine="210" w:firstLineChars="100"/>
              <w:rPr>
                <w:rFonts w:ascii="宋体" w:hAnsi="宋体"/>
                <w:color w:val="auto"/>
                <w:sz w:val="21"/>
                <w:szCs w:val="21"/>
                <w:highlight w:val="none"/>
              </w:rPr>
            </w:pPr>
            <w:r>
              <w:rPr>
                <w:rFonts w:hint="eastAsia" w:ascii="宋体" w:hAnsi="宋体"/>
                <w:color w:val="auto"/>
                <w:sz w:val="21"/>
                <w:szCs w:val="21"/>
                <w:highlight w:val="none"/>
              </w:rPr>
              <w:t>0.008%</w:t>
            </w:r>
          </w:p>
        </w:tc>
        <w:tc>
          <w:tcPr>
            <w:tcW w:w="1659" w:type="dxa"/>
            <w:noWrap w:val="0"/>
            <w:vAlign w:val="top"/>
          </w:tcPr>
          <w:p w14:paraId="744760D8">
            <w:pPr>
              <w:ind w:firstLine="105" w:firstLineChars="50"/>
              <w:rPr>
                <w:rFonts w:ascii="宋体" w:hAnsi="宋体"/>
                <w:color w:val="auto"/>
                <w:sz w:val="21"/>
                <w:szCs w:val="21"/>
                <w:highlight w:val="none"/>
              </w:rPr>
            </w:pPr>
            <w:r>
              <w:rPr>
                <w:rFonts w:hint="eastAsia" w:ascii="宋体" w:hAnsi="宋体"/>
                <w:color w:val="auto"/>
                <w:sz w:val="21"/>
                <w:szCs w:val="21"/>
                <w:highlight w:val="none"/>
              </w:rPr>
              <w:t>0.008%</w:t>
            </w:r>
          </w:p>
        </w:tc>
      </w:tr>
      <w:tr w14:paraId="2498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D07AEB8">
            <w:pPr>
              <w:rPr>
                <w:rFonts w:hint="eastAsia" w:ascii="宋体" w:hAnsi="宋体"/>
                <w:color w:val="auto"/>
                <w:sz w:val="21"/>
                <w:szCs w:val="21"/>
                <w:highlight w:val="none"/>
              </w:rPr>
            </w:pPr>
            <w:r>
              <w:rPr>
                <w:rFonts w:hint="eastAsia" w:ascii="宋体" w:hAnsi="宋体"/>
                <w:color w:val="auto"/>
                <w:sz w:val="21"/>
                <w:szCs w:val="21"/>
                <w:highlight w:val="none"/>
                <w:lang w:eastAsia="zh-CN"/>
              </w:rPr>
              <w:t>50亿～100亿</w:t>
            </w:r>
            <w:r>
              <w:rPr>
                <w:rFonts w:hint="eastAsia" w:ascii="宋体" w:hAnsi="宋体"/>
                <w:color w:val="auto"/>
                <w:sz w:val="21"/>
                <w:szCs w:val="21"/>
                <w:highlight w:val="none"/>
              </w:rPr>
              <w:t>元</w:t>
            </w:r>
          </w:p>
        </w:tc>
        <w:tc>
          <w:tcPr>
            <w:tcW w:w="1659" w:type="dxa"/>
            <w:noWrap w:val="0"/>
            <w:vAlign w:val="top"/>
          </w:tcPr>
          <w:p w14:paraId="3F831B3E">
            <w:pPr>
              <w:rPr>
                <w:rFonts w:hint="eastAsia" w:ascii="宋体" w:hAnsi="宋体"/>
                <w:color w:val="auto"/>
                <w:sz w:val="21"/>
                <w:szCs w:val="21"/>
                <w:highlight w:val="none"/>
              </w:rPr>
            </w:pPr>
            <w:r>
              <w:rPr>
                <w:rFonts w:hint="eastAsia" w:ascii="宋体" w:hAnsi="宋体"/>
                <w:color w:val="auto"/>
                <w:sz w:val="21"/>
                <w:szCs w:val="21"/>
                <w:highlight w:val="none"/>
              </w:rPr>
              <w:t xml:space="preserve"> 0.006%</w:t>
            </w:r>
          </w:p>
        </w:tc>
        <w:tc>
          <w:tcPr>
            <w:tcW w:w="1687" w:type="dxa"/>
            <w:noWrap w:val="0"/>
            <w:vAlign w:val="top"/>
          </w:tcPr>
          <w:p w14:paraId="5FA7B695">
            <w:pPr>
              <w:ind w:firstLine="210" w:firstLineChars="100"/>
              <w:rPr>
                <w:rFonts w:ascii="宋体" w:hAnsi="宋体"/>
                <w:color w:val="auto"/>
                <w:sz w:val="21"/>
                <w:szCs w:val="21"/>
                <w:highlight w:val="none"/>
              </w:rPr>
            </w:pPr>
            <w:r>
              <w:rPr>
                <w:rFonts w:hint="eastAsia" w:ascii="宋体" w:hAnsi="宋体"/>
                <w:color w:val="auto"/>
                <w:sz w:val="21"/>
                <w:szCs w:val="21"/>
                <w:highlight w:val="none"/>
              </w:rPr>
              <w:t>0.006%</w:t>
            </w:r>
          </w:p>
        </w:tc>
        <w:tc>
          <w:tcPr>
            <w:tcW w:w="1659" w:type="dxa"/>
            <w:noWrap w:val="0"/>
            <w:vAlign w:val="top"/>
          </w:tcPr>
          <w:p w14:paraId="3C13D94F">
            <w:pPr>
              <w:ind w:firstLine="105" w:firstLineChars="50"/>
              <w:rPr>
                <w:rFonts w:ascii="宋体" w:hAnsi="宋体"/>
                <w:color w:val="auto"/>
                <w:sz w:val="21"/>
                <w:szCs w:val="21"/>
                <w:highlight w:val="none"/>
              </w:rPr>
            </w:pPr>
            <w:r>
              <w:rPr>
                <w:rFonts w:hint="eastAsia" w:ascii="宋体" w:hAnsi="宋体"/>
                <w:color w:val="auto"/>
                <w:sz w:val="21"/>
                <w:szCs w:val="21"/>
                <w:highlight w:val="none"/>
              </w:rPr>
              <w:t>0.006%</w:t>
            </w:r>
          </w:p>
        </w:tc>
      </w:tr>
      <w:tr w14:paraId="7FFC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FD5C3B6">
            <w:pPr>
              <w:rPr>
                <w:rFonts w:hint="eastAsia" w:ascii="宋体" w:hAnsi="宋体"/>
                <w:color w:val="auto"/>
                <w:sz w:val="21"/>
                <w:szCs w:val="21"/>
                <w:highlight w:val="none"/>
              </w:rPr>
            </w:pPr>
            <w:r>
              <w:rPr>
                <w:rFonts w:hint="eastAsia" w:ascii="宋体" w:hAnsi="宋体"/>
                <w:color w:val="auto"/>
                <w:sz w:val="21"/>
                <w:szCs w:val="21"/>
                <w:highlight w:val="none"/>
              </w:rPr>
              <w:t>100亿以上</w:t>
            </w:r>
          </w:p>
        </w:tc>
        <w:tc>
          <w:tcPr>
            <w:tcW w:w="1659" w:type="dxa"/>
            <w:noWrap w:val="0"/>
            <w:vAlign w:val="top"/>
          </w:tcPr>
          <w:p w14:paraId="13B2DE3C">
            <w:pPr>
              <w:rPr>
                <w:rFonts w:hint="eastAsia" w:ascii="宋体" w:hAnsi="宋体"/>
                <w:color w:val="auto"/>
                <w:sz w:val="21"/>
                <w:szCs w:val="21"/>
                <w:highlight w:val="none"/>
              </w:rPr>
            </w:pPr>
            <w:r>
              <w:rPr>
                <w:rFonts w:hint="eastAsia" w:ascii="宋体" w:hAnsi="宋体"/>
                <w:color w:val="auto"/>
                <w:sz w:val="21"/>
                <w:szCs w:val="21"/>
                <w:highlight w:val="none"/>
              </w:rPr>
              <w:t xml:space="preserve"> 0.004%</w:t>
            </w:r>
          </w:p>
        </w:tc>
        <w:tc>
          <w:tcPr>
            <w:tcW w:w="1687" w:type="dxa"/>
            <w:noWrap w:val="0"/>
            <w:vAlign w:val="top"/>
          </w:tcPr>
          <w:p w14:paraId="1A0CDD82">
            <w:pPr>
              <w:ind w:firstLine="210" w:firstLineChars="100"/>
              <w:rPr>
                <w:rFonts w:ascii="宋体" w:hAnsi="宋体"/>
                <w:color w:val="auto"/>
                <w:sz w:val="21"/>
                <w:szCs w:val="21"/>
                <w:highlight w:val="none"/>
              </w:rPr>
            </w:pPr>
            <w:r>
              <w:rPr>
                <w:rFonts w:hint="eastAsia" w:ascii="宋体" w:hAnsi="宋体"/>
                <w:color w:val="auto"/>
                <w:sz w:val="21"/>
                <w:szCs w:val="21"/>
                <w:highlight w:val="none"/>
              </w:rPr>
              <w:t>0.004%</w:t>
            </w:r>
          </w:p>
        </w:tc>
        <w:tc>
          <w:tcPr>
            <w:tcW w:w="1659" w:type="dxa"/>
            <w:noWrap w:val="0"/>
            <w:vAlign w:val="top"/>
          </w:tcPr>
          <w:p w14:paraId="12649028">
            <w:pPr>
              <w:ind w:firstLine="105" w:firstLineChars="50"/>
              <w:rPr>
                <w:rFonts w:ascii="宋体" w:hAnsi="宋体"/>
                <w:color w:val="auto"/>
                <w:sz w:val="21"/>
                <w:szCs w:val="21"/>
                <w:highlight w:val="none"/>
              </w:rPr>
            </w:pPr>
            <w:r>
              <w:rPr>
                <w:rFonts w:hint="eastAsia" w:ascii="宋体" w:hAnsi="宋体"/>
                <w:color w:val="auto"/>
                <w:sz w:val="21"/>
                <w:szCs w:val="21"/>
                <w:highlight w:val="none"/>
              </w:rPr>
              <w:t>0.004%</w:t>
            </w:r>
          </w:p>
        </w:tc>
      </w:tr>
    </w:tbl>
    <w:p w14:paraId="40CD896D">
      <w:pPr>
        <w:pStyle w:val="25"/>
        <w:spacing w:line="370" w:lineRule="exact"/>
        <w:ind w:firstLine="435"/>
        <w:rPr>
          <w:rFonts w:hint="eastAsia"/>
          <w:color w:val="auto"/>
          <w:sz w:val="21"/>
          <w:szCs w:val="21"/>
          <w:highlight w:val="none"/>
        </w:rPr>
      </w:pPr>
      <w:r>
        <w:rPr>
          <w:rFonts w:hint="eastAsia"/>
          <w:color w:val="auto"/>
          <w:sz w:val="21"/>
          <w:szCs w:val="21"/>
          <w:highlight w:val="none"/>
        </w:rPr>
        <w:t>注</w:t>
      </w:r>
      <w:r>
        <w:rPr>
          <w:rFonts w:hint="eastAsia"/>
          <w:color w:val="auto"/>
          <w:sz w:val="21"/>
          <w:szCs w:val="21"/>
          <w:highlight w:val="none"/>
          <w:lang w:eastAsia="zh-CN"/>
        </w:rPr>
        <w:t>：</w:t>
      </w:r>
      <w:r>
        <w:rPr>
          <w:rFonts w:hint="eastAsia"/>
          <w:color w:val="auto"/>
          <w:sz w:val="21"/>
          <w:szCs w:val="21"/>
          <w:highlight w:val="none"/>
        </w:rPr>
        <w:t>招标代理服务收费按差额定率累进法计算。</w:t>
      </w:r>
    </w:p>
    <w:p w14:paraId="2002CBDF">
      <w:pPr>
        <w:pStyle w:val="25"/>
        <w:spacing w:line="370" w:lineRule="exact"/>
        <w:ind w:firstLine="435"/>
        <w:rPr>
          <w:rFonts w:hint="eastAsia"/>
          <w:color w:val="auto"/>
          <w:sz w:val="21"/>
          <w:szCs w:val="21"/>
          <w:highlight w:val="none"/>
        </w:rPr>
      </w:pPr>
      <w:r>
        <w:rPr>
          <w:rFonts w:hint="eastAsia"/>
          <w:color w:val="auto"/>
          <w:sz w:val="21"/>
          <w:szCs w:val="21"/>
          <w:highlight w:val="none"/>
        </w:rPr>
        <w:t>（3）服务费指定银行账户：</w:t>
      </w:r>
    </w:p>
    <w:p w14:paraId="072AEEEE">
      <w:pPr>
        <w:spacing w:line="360" w:lineRule="exact"/>
        <w:ind w:firstLine="420" w:firstLineChars="200"/>
        <w:rPr>
          <w:rFonts w:hint="eastAsia" w:ascii="宋体" w:hAnsi="宋体" w:cs="Courier New"/>
          <w:color w:val="auto"/>
          <w:sz w:val="21"/>
          <w:szCs w:val="21"/>
          <w:highlight w:val="none"/>
        </w:rPr>
      </w:pPr>
      <w:r>
        <w:rPr>
          <w:rFonts w:hint="eastAsia"/>
          <w:color w:val="auto"/>
          <w:sz w:val="21"/>
          <w:szCs w:val="21"/>
          <w:highlight w:val="none"/>
        </w:rPr>
        <w:t>开户名称：</w:t>
      </w:r>
      <w:r>
        <w:rPr>
          <w:rFonts w:hint="eastAsia" w:ascii="宋体" w:hAnsi="宋体" w:cs="Courier New"/>
          <w:color w:val="auto"/>
          <w:sz w:val="21"/>
          <w:szCs w:val="21"/>
          <w:highlight w:val="none"/>
        </w:rPr>
        <w:t>广西中吉银工程项目管理有限公司</w:t>
      </w:r>
    </w:p>
    <w:p w14:paraId="4B80BD3E">
      <w:pPr>
        <w:spacing w:line="360" w:lineRule="exact"/>
        <w:ind w:firstLine="420" w:firstLineChars="200"/>
        <w:rPr>
          <w:rFonts w:hint="eastAsia" w:ascii="宋体" w:hAnsi="宋体" w:cs="Courier New"/>
          <w:color w:val="auto"/>
          <w:sz w:val="21"/>
          <w:szCs w:val="21"/>
          <w:highlight w:val="none"/>
        </w:rPr>
      </w:pPr>
      <w:r>
        <w:rPr>
          <w:rFonts w:hint="eastAsia" w:ascii="宋体" w:hAnsi="宋体" w:cs="Courier New"/>
          <w:color w:val="auto"/>
          <w:sz w:val="21"/>
          <w:szCs w:val="21"/>
          <w:highlight w:val="none"/>
        </w:rPr>
        <w:t xml:space="preserve">开户银行：中国建设银行股份有限公司南宁盘龙路支行 </w:t>
      </w:r>
    </w:p>
    <w:p w14:paraId="44239E21">
      <w:pPr>
        <w:spacing w:line="360" w:lineRule="exact"/>
        <w:ind w:firstLine="420" w:firstLineChars="200"/>
        <w:rPr>
          <w:rFonts w:hint="eastAsia" w:ascii="宋体" w:hAnsi="宋体" w:cs="Courier New"/>
          <w:color w:val="auto"/>
          <w:sz w:val="21"/>
          <w:szCs w:val="21"/>
          <w:highlight w:val="none"/>
        </w:rPr>
      </w:pPr>
      <w:r>
        <w:rPr>
          <w:rFonts w:hint="eastAsia" w:ascii="宋体" w:hAnsi="宋体" w:cs="Courier New"/>
          <w:color w:val="auto"/>
          <w:sz w:val="21"/>
          <w:szCs w:val="21"/>
          <w:highlight w:val="none"/>
        </w:rPr>
        <w:t>银行账号：45050110067300000549</w:t>
      </w:r>
    </w:p>
    <w:p w14:paraId="5D74AFE1">
      <w:pPr>
        <w:pStyle w:val="25"/>
        <w:spacing w:line="370" w:lineRule="exact"/>
        <w:ind w:firstLine="435"/>
        <w:rPr>
          <w:rFonts w:hint="eastAsia" w:ascii="宋体" w:hAnsi="Courier New" w:eastAsia="宋体" w:cs="Times New Roman"/>
          <w:color w:val="auto"/>
          <w:sz w:val="21"/>
          <w:szCs w:val="21"/>
          <w:highlight w:val="none"/>
        </w:rPr>
      </w:pPr>
      <w:r>
        <w:rPr>
          <w:rFonts w:hint="eastAsia" w:ascii="宋体" w:hAnsi="Courier New" w:eastAsia="宋体" w:cs="Times New Roman"/>
          <w:b/>
          <w:bCs/>
          <w:color w:val="auto"/>
          <w:sz w:val="21"/>
          <w:szCs w:val="21"/>
          <w:highlight w:val="none"/>
        </w:rPr>
        <w:t>（二）解释权：</w:t>
      </w:r>
      <w:r>
        <w:rPr>
          <w:rFonts w:hint="eastAsia" w:ascii="宋体" w:hAnsi="Courier New" w:eastAsia="宋体" w:cs="Times New Roman"/>
          <w:color w:val="auto"/>
          <w:sz w:val="21"/>
          <w:szCs w:val="21"/>
          <w:highlight w:val="none"/>
        </w:rPr>
        <w:t>本招标文件解释权属本采购代理机构。</w:t>
      </w:r>
    </w:p>
    <w:p w14:paraId="56036E6F">
      <w:pPr>
        <w:pStyle w:val="25"/>
        <w:spacing w:line="370" w:lineRule="exact"/>
        <w:ind w:firstLine="435"/>
        <w:rPr>
          <w:rFonts w:hint="eastAsia" w:ascii="宋体" w:hAnsi="Courier New" w:eastAsia="宋体" w:cs="Times New Roman"/>
          <w:b/>
          <w:bCs/>
          <w:color w:val="auto"/>
          <w:sz w:val="21"/>
          <w:szCs w:val="21"/>
          <w:highlight w:val="none"/>
        </w:rPr>
      </w:pPr>
      <w:r>
        <w:rPr>
          <w:rFonts w:hint="eastAsia" w:ascii="宋体" w:hAnsi="Courier New" w:eastAsia="宋体" w:cs="Times New Roman"/>
          <w:b/>
          <w:bCs/>
          <w:color w:val="auto"/>
          <w:sz w:val="21"/>
          <w:szCs w:val="21"/>
          <w:highlight w:val="none"/>
          <w:lang w:eastAsia="zh-CN"/>
        </w:rPr>
        <w:t>（</w:t>
      </w:r>
      <w:r>
        <w:rPr>
          <w:rFonts w:hint="eastAsia" w:ascii="宋体" w:hAnsi="Courier New" w:eastAsia="宋体" w:cs="Times New Roman"/>
          <w:b/>
          <w:bCs/>
          <w:color w:val="auto"/>
          <w:sz w:val="21"/>
          <w:szCs w:val="21"/>
          <w:highlight w:val="none"/>
          <w:lang w:val="en-US" w:eastAsia="zh-CN"/>
        </w:rPr>
        <w:t>三</w:t>
      </w:r>
      <w:r>
        <w:rPr>
          <w:rFonts w:hint="eastAsia" w:ascii="宋体" w:hAnsi="Courier New" w:eastAsia="宋体" w:cs="Times New Roman"/>
          <w:b/>
          <w:bCs/>
          <w:color w:val="auto"/>
          <w:sz w:val="21"/>
          <w:szCs w:val="21"/>
          <w:highlight w:val="none"/>
          <w:lang w:eastAsia="zh-CN"/>
        </w:rPr>
        <w:t>）</w:t>
      </w:r>
      <w:r>
        <w:rPr>
          <w:rFonts w:hint="eastAsia" w:ascii="宋体" w:hAnsi="Courier New" w:eastAsia="宋体" w:cs="Times New Roman"/>
          <w:b/>
          <w:bCs/>
          <w:color w:val="auto"/>
          <w:sz w:val="21"/>
          <w:szCs w:val="21"/>
          <w:highlight w:val="none"/>
        </w:rPr>
        <w:t>需要补充的其他内容</w:t>
      </w:r>
    </w:p>
    <w:p w14:paraId="2FCE64BD">
      <w:pPr>
        <w:pStyle w:val="25"/>
        <w:spacing w:line="370" w:lineRule="exact"/>
        <w:ind w:firstLine="435"/>
        <w:rPr>
          <w:rFonts w:hint="eastAsia" w:ascii="宋体" w:hAnsi="Courier New" w:eastAsia="宋体" w:cs="Times New Roman"/>
          <w:color w:val="auto"/>
          <w:sz w:val="21"/>
          <w:szCs w:val="21"/>
          <w:highlight w:val="none"/>
        </w:rPr>
      </w:pPr>
      <w:r>
        <w:rPr>
          <w:rFonts w:hint="eastAsia" w:ascii="宋体" w:hAnsi="Courier New" w:eastAsia="宋体" w:cs="Times New Roman"/>
          <w:color w:val="auto"/>
          <w:sz w:val="21"/>
          <w:szCs w:val="21"/>
          <w:highlight w:val="none"/>
          <w:lang w:eastAsia="zh-CN"/>
        </w:rPr>
        <w:t>（</w:t>
      </w:r>
      <w:r>
        <w:rPr>
          <w:rFonts w:hint="eastAsia" w:ascii="宋体" w:hAnsi="Courier New" w:eastAsia="宋体" w:cs="Times New Roman"/>
          <w:color w:val="auto"/>
          <w:sz w:val="21"/>
          <w:szCs w:val="21"/>
          <w:highlight w:val="none"/>
          <w:lang w:val="en-US" w:eastAsia="zh-CN"/>
        </w:rPr>
        <w:t>1</w:t>
      </w:r>
      <w:r>
        <w:rPr>
          <w:rFonts w:hint="eastAsia" w:ascii="宋体" w:hAnsi="Courier New" w:eastAsia="宋体" w:cs="Times New Roman"/>
          <w:color w:val="auto"/>
          <w:sz w:val="21"/>
          <w:szCs w:val="21"/>
          <w:highlight w:val="none"/>
          <w:lang w:eastAsia="zh-CN"/>
        </w:rPr>
        <w:t>）</w:t>
      </w:r>
      <w:r>
        <w:rPr>
          <w:rFonts w:hint="eastAsia" w:ascii="宋体" w:hAnsi="Courier New" w:eastAsia="宋体" w:cs="Times New Roman"/>
          <w:color w:val="auto"/>
          <w:sz w:val="21"/>
          <w:szCs w:val="21"/>
          <w:highlight w:val="none"/>
        </w:rPr>
        <w:t>本招标文件解释规则详见“投标人须知前附表”。</w:t>
      </w:r>
    </w:p>
    <w:p w14:paraId="3FDFABDB">
      <w:pPr>
        <w:pStyle w:val="25"/>
        <w:spacing w:line="370" w:lineRule="exact"/>
        <w:ind w:firstLine="435"/>
        <w:rPr>
          <w:rFonts w:hint="eastAsia" w:ascii="宋体" w:hAnsi="Courier New" w:eastAsia="宋体" w:cs="Times New Roman"/>
          <w:color w:val="auto"/>
          <w:sz w:val="21"/>
          <w:szCs w:val="21"/>
          <w:highlight w:val="none"/>
        </w:rPr>
      </w:pPr>
      <w:r>
        <w:rPr>
          <w:rFonts w:hint="eastAsia" w:ascii="宋体" w:hAnsi="Courier New" w:eastAsia="宋体" w:cs="Times New Roman"/>
          <w:color w:val="auto"/>
          <w:sz w:val="21"/>
          <w:szCs w:val="21"/>
          <w:highlight w:val="none"/>
          <w:lang w:eastAsia="zh-CN"/>
        </w:rPr>
        <w:t>（</w:t>
      </w:r>
      <w:r>
        <w:rPr>
          <w:rFonts w:hint="eastAsia" w:ascii="宋体" w:hAnsi="Courier New" w:eastAsia="宋体" w:cs="Times New Roman"/>
          <w:color w:val="auto"/>
          <w:sz w:val="21"/>
          <w:szCs w:val="21"/>
          <w:highlight w:val="none"/>
          <w:lang w:val="en-US" w:eastAsia="zh-CN"/>
        </w:rPr>
        <w:t>2</w:t>
      </w:r>
      <w:r>
        <w:rPr>
          <w:rFonts w:hint="eastAsia" w:ascii="宋体" w:hAnsi="Courier New" w:eastAsia="宋体" w:cs="Times New Roman"/>
          <w:color w:val="auto"/>
          <w:sz w:val="21"/>
          <w:szCs w:val="21"/>
          <w:highlight w:val="none"/>
          <w:lang w:eastAsia="zh-CN"/>
        </w:rPr>
        <w:t>）</w:t>
      </w:r>
      <w:r>
        <w:rPr>
          <w:rFonts w:hint="eastAsia" w:ascii="宋体" w:hAnsi="Courier New" w:eastAsia="宋体" w:cs="Times New Roman"/>
          <w:color w:val="auto"/>
          <w:sz w:val="21"/>
          <w:szCs w:val="21"/>
          <w:highlight w:val="none"/>
        </w:rPr>
        <w:t>其他事项详见“投标人须知前附表”。</w:t>
      </w:r>
    </w:p>
    <w:p w14:paraId="19FF589D">
      <w:pPr>
        <w:pStyle w:val="25"/>
        <w:spacing w:line="370" w:lineRule="exact"/>
        <w:ind w:firstLine="435"/>
        <w:rPr>
          <w:rFonts w:hint="eastAsia" w:ascii="宋体" w:hAnsi="Courier New" w:eastAsia="宋体" w:cs="Times New Roman"/>
          <w:color w:val="auto"/>
          <w:sz w:val="21"/>
          <w:szCs w:val="21"/>
          <w:highlight w:val="none"/>
        </w:rPr>
      </w:pPr>
      <w:bookmarkStart w:id="99" w:name="_Hlk65857140"/>
      <w:r>
        <w:rPr>
          <w:rFonts w:hint="eastAsia" w:ascii="宋体" w:hAnsi="Courier New" w:eastAsia="宋体" w:cs="Times New Roman"/>
          <w:color w:val="auto"/>
          <w:sz w:val="21"/>
          <w:szCs w:val="21"/>
          <w:highlight w:val="none"/>
          <w:lang w:eastAsia="zh-CN"/>
        </w:rPr>
        <w:t>（</w:t>
      </w:r>
      <w:r>
        <w:rPr>
          <w:rFonts w:hint="eastAsia" w:ascii="宋体" w:hAnsi="Courier New" w:eastAsia="宋体" w:cs="Times New Roman"/>
          <w:color w:val="auto"/>
          <w:sz w:val="21"/>
          <w:szCs w:val="21"/>
          <w:highlight w:val="none"/>
          <w:lang w:val="en-US" w:eastAsia="zh-CN"/>
        </w:rPr>
        <w:t>3</w:t>
      </w:r>
      <w:r>
        <w:rPr>
          <w:rFonts w:hint="eastAsia" w:ascii="宋体" w:hAnsi="Courier New" w:eastAsia="宋体" w:cs="Times New Roman"/>
          <w:color w:val="auto"/>
          <w:sz w:val="21"/>
          <w:szCs w:val="21"/>
          <w:highlight w:val="none"/>
          <w:lang w:eastAsia="zh-CN"/>
        </w:rPr>
        <w:t>）</w:t>
      </w:r>
      <w:r>
        <w:rPr>
          <w:rFonts w:hint="eastAsia" w:ascii="宋体" w:hAnsi="Courier New" w:eastAsia="宋体" w:cs="Times New Roman"/>
          <w:color w:val="auto"/>
          <w:sz w:val="21"/>
          <w:szCs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1F659B7A">
      <w:pPr>
        <w:pStyle w:val="25"/>
        <w:spacing w:line="370" w:lineRule="exact"/>
        <w:ind w:firstLine="435"/>
        <w:rPr>
          <w:rFonts w:hint="eastAsia" w:ascii="宋体" w:hAnsi="Courier New" w:eastAsia="宋体" w:cs="Times New Roman"/>
          <w:color w:val="auto"/>
          <w:sz w:val="21"/>
          <w:szCs w:val="21"/>
          <w:highlight w:val="none"/>
        </w:rPr>
      </w:pPr>
      <w:r>
        <w:rPr>
          <w:rFonts w:hint="eastAsia" w:ascii="宋体" w:hAnsi="Courier New" w:eastAsia="宋体" w:cs="Times New Roman"/>
          <w:color w:val="auto"/>
          <w:sz w:val="21"/>
          <w:szCs w:val="21"/>
          <w:highlight w:val="none"/>
        </w:rPr>
        <w:t>以联合体形式参加政府采购活动，联合体各方均为中小企业的，联合体视同中小企业。其中，联合体各方均为小微企业的，联合体视同小微企业。</w:t>
      </w:r>
    </w:p>
    <w:p w14:paraId="41ACFC3E">
      <w:pPr>
        <w:pStyle w:val="25"/>
        <w:spacing w:line="370" w:lineRule="exact"/>
        <w:ind w:firstLine="435"/>
        <w:rPr>
          <w:rFonts w:hint="eastAsia" w:ascii="宋体" w:hAnsi="Courier New" w:eastAsia="宋体" w:cs="Times New Roman"/>
          <w:color w:val="auto"/>
          <w:sz w:val="21"/>
          <w:szCs w:val="21"/>
          <w:highlight w:val="none"/>
        </w:rPr>
      </w:pPr>
      <w:r>
        <w:rPr>
          <w:rFonts w:hint="eastAsia" w:ascii="宋体" w:hAnsi="Courier New" w:eastAsia="宋体" w:cs="Times New Roman"/>
          <w:color w:val="auto"/>
          <w:sz w:val="21"/>
          <w:szCs w:val="21"/>
          <w:highlight w:val="none"/>
        </w:rPr>
        <w:t>依据本文件规定享受扶持政策获得政府采购合同的，小微企业不得将合同分包给大中型企业，中型企业不得将合同分包给大型企业。</w:t>
      </w:r>
      <w:bookmarkEnd w:id="99"/>
    </w:p>
    <w:p w14:paraId="3FEBF6EF">
      <w:pPr>
        <w:pStyle w:val="25"/>
        <w:snapToGrid w:val="0"/>
        <w:spacing w:before="120" w:after="120"/>
        <w:ind w:firstLine="400" w:firstLineChars="200"/>
        <w:rPr>
          <w:rFonts w:hint="eastAsia" w:hAnsi="宋体" w:cs="宋体"/>
          <w:color w:val="auto"/>
          <w:highlight w:val="none"/>
        </w:rPr>
      </w:pPr>
      <w:r>
        <w:rPr>
          <w:rFonts w:hint="eastAsia" w:hAnsi="宋体" w:cs="宋体"/>
          <w:color w:val="auto"/>
          <w:highlight w:val="none"/>
        </w:rPr>
        <w:br w:type="page"/>
      </w:r>
      <w:r>
        <w:rPr>
          <w:rFonts w:hint="eastAsia" w:hAnsi="宋体" w:cs="宋体"/>
          <w:color w:val="auto"/>
          <w:highlight w:val="none"/>
        </w:rPr>
        <w:t>附件1：</w:t>
      </w:r>
    </w:p>
    <w:p w14:paraId="6D8090EF">
      <w:pPr>
        <w:shd w:val="clear" w:color="auto" w:fill="FFFFFF"/>
        <w:spacing w:line="480" w:lineRule="atLeast"/>
        <w:jc w:val="center"/>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广西壮族自治区政府采购项目合同验收书（格式）</w:t>
      </w:r>
    </w:p>
    <w:p w14:paraId="494644C8">
      <w:pPr>
        <w:shd w:val="clear" w:color="auto" w:fill="FFFFFF"/>
        <w:spacing w:line="480" w:lineRule="atLeast"/>
        <w:jc w:val="center"/>
        <w:rPr>
          <w:rFonts w:hint="eastAsia" w:ascii="宋体" w:hAnsi="宋体" w:cs="宋体"/>
          <w:color w:val="auto"/>
          <w:kern w:val="0"/>
          <w:sz w:val="32"/>
          <w:szCs w:val="32"/>
          <w:highlight w:val="none"/>
        </w:rPr>
      </w:pPr>
    </w:p>
    <w:p w14:paraId="3AF073C4">
      <w:pPr>
        <w:shd w:val="clear" w:color="auto" w:fill="FFFFFF"/>
        <w:snapToGrid w:val="0"/>
        <w:spacing w:line="320" w:lineRule="atLeast"/>
        <w:ind w:left="210" w:leftChars="100" w:firstLine="268" w:firstLineChars="128"/>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47"/>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4843D7B7">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4DB3392D">
            <w:pPr>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4285318A">
            <w:pPr>
              <w:snapToGrid w:val="0"/>
              <w:spacing w:before="100" w:beforeAutospacing="1" w:after="100" w:afterAutospacing="1" w:line="320" w:lineRule="atLeast"/>
              <w:ind w:firstLine="48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3AC66A5">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F5A8442">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28CFD758">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1AF1309A">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16596D3C">
            <w:pPr>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459544A8">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 额</w:t>
            </w:r>
          </w:p>
        </w:tc>
      </w:tr>
      <w:tr w14:paraId="7D1E5BE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52B06FC">
            <w:pPr>
              <w:spacing w:before="100" w:beforeAutospacing="1" w:after="100" w:afterAutospacing="1" w:line="240" w:lineRule="atLeast"/>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3CDA50B4">
            <w:pPr>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F9F77EF">
            <w:pPr>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7D4109C">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450D8CC">
            <w:pPr>
              <w:spacing w:before="100" w:beforeAutospacing="1" w:after="100" w:afterAutospacing="1" w:line="240" w:lineRule="atLeast"/>
              <w:jc w:val="center"/>
              <w:rPr>
                <w:rFonts w:hint="eastAsia" w:ascii="宋体" w:hAnsi="宋体" w:cs="宋体"/>
                <w:color w:val="auto"/>
                <w:kern w:val="0"/>
                <w:szCs w:val="21"/>
                <w:highlight w:val="none"/>
              </w:rPr>
            </w:pPr>
          </w:p>
        </w:tc>
      </w:tr>
      <w:tr w14:paraId="3CFBB984">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90EF3D6">
            <w:pPr>
              <w:spacing w:before="100" w:beforeAutospacing="1" w:after="100" w:afterAutospacing="1" w:line="240" w:lineRule="atLeast"/>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50F52C02">
            <w:pPr>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71FFF58">
            <w:pPr>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913A859">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D6D0ACD">
            <w:pPr>
              <w:spacing w:before="100" w:beforeAutospacing="1" w:after="100" w:afterAutospacing="1" w:line="240" w:lineRule="atLeast"/>
              <w:jc w:val="center"/>
              <w:rPr>
                <w:rFonts w:hint="eastAsia" w:ascii="宋体" w:hAnsi="宋体" w:cs="宋体"/>
                <w:color w:val="auto"/>
                <w:kern w:val="0"/>
                <w:szCs w:val="21"/>
                <w:highlight w:val="none"/>
              </w:rPr>
            </w:pPr>
          </w:p>
        </w:tc>
      </w:tr>
      <w:tr w14:paraId="2E3BDF1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3E34FA9">
            <w:pPr>
              <w:spacing w:before="100" w:beforeAutospacing="1" w:after="100" w:afterAutospacing="1" w:line="240" w:lineRule="atLeast"/>
              <w:jc w:val="center"/>
              <w:rPr>
                <w:rFonts w:hint="eastAsia"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6EB5538F">
            <w:pPr>
              <w:spacing w:before="100" w:beforeAutospacing="1" w:after="100" w:afterAutospacing="1" w:line="240" w:lineRule="atLeast"/>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51D9E590">
            <w:pPr>
              <w:spacing w:before="100" w:beforeAutospacing="1" w:after="100" w:afterAutospacing="1" w:line="240" w:lineRule="atLeast"/>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115D0EC">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B3D1FD9">
            <w:pPr>
              <w:spacing w:before="100" w:beforeAutospacing="1" w:after="100" w:afterAutospacing="1" w:line="240" w:lineRule="atLeast"/>
              <w:jc w:val="center"/>
              <w:rPr>
                <w:rFonts w:hint="eastAsia" w:ascii="宋体" w:hAnsi="宋体" w:cs="宋体"/>
                <w:color w:val="auto"/>
                <w:kern w:val="0"/>
                <w:szCs w:val="21"/>
                <w:highlight w:val="none"/>
              </w:rPr>
            </w:pPr>
          </w:p>
        </w:tc>
      </w:tr>
      <w:tr w14:paraId="6DA8585F">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065DDA3A">
            <w:pPr>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37651791">
            <w:pPr>
              <w:spacing w:before="100" w:beforeAutospacing="1" w:after="100" w:afterAutospacing="1" w:line="240" w:lineRule="atLeast"/>
              <w:jc w:val="center"/>
              <w:rPr>
                <w:rFonts w:hint="eastAsia"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E6D59CD">
            <w:pPr>
              <w:spacing w:before="100" w:beforeAutospacing="1" w:after="100" w:afterAutospacing="1" w:line="240" w:lineRule="atLeast"/>
              <w:jc w:val="center"/>
              <w:rPr>
                <w:rFonts w:hint="eastAsia" w:ascii="宋体" w:hAnsi="宋体" w:cs="宋体"/>
                <w:color w:val="auto"/>
                <w:kern w:val="0"/>
                <w:szCs w:val="21"/>
                <w:highlight w:val="none"/>
              </w:rPr>
            </w:pPr>
          </w:p>
        </w:tc>
      </w:tr>
      <w:tr w14:paraId="7579524A">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1BA5DCD5">
            <w:pPr>
              <w:snapToGrid w:val="0"/>
              <w:spacing w:before="100" w:beforeAutospacing="1" w:after="100" w:afterAutospacing="1" w:line="320" w:lineRule="atLeas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27785D8B">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207C02A">
            <w:pPr>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4EFC97CF">
            <w:pPr>
              <w:spacing w:before="100" w:beforeAutospacing="1" w:after="100" w:afterAutospacing="1" w:line="240" w:lineRule="atLeast"/>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1E262F2C">
            <w:pPr>
              <w:snapToGrid w:val="0"/>
              <w:spacing w:before="100" w:beforeAutospacing="1" w:after="100" w:afterAutospacing="1" w:line="320" w:lineRule="atLeas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75AD43F2">
            <w:pPr>
              <w:spacing w:before="100" w:beforeAutospacing="1" w:after="100" w:afterAutospacing="1" w:line="240" w:lineRule="atLeast"/>
              <w:jc w:val="center"/>
              <w:rPr>
                <w:rFonts w:hint="eastAsia" w:ascii="宋体" w:hAnsi="宋体" w:cs="宋体"/>
                <w:color w:val="auto"/>
                <w:kern w:val="0"/>
                <w:szCs w:val="21"/>
                <w:highlight w:val="none"/>
              </w:rPr>
            </w:pPr>
          </w:p>
        </w:tc>
      </w:tr>
      <w:tr w14:paraId="41B2FF81">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26BCA">
            <w:pPr>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14BD8F">
            <w:pPr>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r>
              <w:rPr>
                <w:rFonts w:hint="eastAsia" w:ascii="宋体" w:hAnsi="宋体" w:cs="宋体"/>
                <w:color w:val="auto"/>
                <w:kern w:val="0"/>
                <w:szCs w:val="21"/>
                <w:highlight w:val="none"/>
                <w:lang w:eastAsia="zh-CN"/>
              </w:rPr>
              <w:t>）</w:t>
            </w:r>
          </w:p>
        </w:tc>
      </w:tr>
      <w:tr w14:paraId="64264DE8">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25DAF3">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6A634104">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00681363">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141B66DD">
            <w:pPr>
              <w:jc w:val="left"/>
              <w:rPr>
                <w:rFonts w:hint="eastAsia"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4311B804">
            <w:pPr>
              <w:spacing w:before="100" w:beforeAutospacing="1" w:after="100" w:afterAutospacing="1" w:line="320" w:lineRule="atLeast"/>
              <w:ind w:firstLine="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B02744A">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53450BB4">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B5E5D1">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59281FE2">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7DB3B6">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5B50D74B">
            <w:pPr>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0DE36473">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24B19CF4">
            <w:pPr>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中标或者成交人负责人签字或者盖章：</w:t>
            </w:r>
          </w:p>
          <w:p w14:paraId="7D330D74">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528EF6A2">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21DE9A55">
            <w:pPr>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9CB75AD">
      <w:pPr>
        <w:jc w:val="left"/>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附件2：</w:t>
      </w:r>
    </w:p>
    <w:p w14:paraId="2B5E5C18">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640A05FD">
      <w:pPr>
        <w:jc w:val="center"/>
        <w:rPr>
          <w:rFonts w:hint="eastAsia" w:ascii="宋体" w:hAnsi="宋体" w:cs="宋体"/>
          <w:color w:val="auto"/>
          <w:sz w:val="36"/>
          <w:szCs w:val="36"/>
          <w:highlight w:val="none"/>
        </w:rPr>
      </w:pP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396A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1976BCC">
            <w:pPr>
              <w:jc w:val="center"/>
              <w:rPr>
                <w:rFonts w:hint="eastAsia" w:ascii="宋体" w:hAnsi="宋体" w:cs="宋体"/>
                <w:color w:val="auto"/>
                <w:sz w:val="24"/>
                <w:highlight w:val="none"/>
              </w:rPr>
            </w:pPr>
            <w:r>
              <w:rPr>
                <w:rFonts w:hint="eastAsia" w:ascii="宋体" w:hAnsi="宋体" w:cs="宋体"/>
                <w:color w:val="auto"/>
                <w:sz w:val="24"/>
                <w:highlight w:val="none"/>
              </w:rPr>
              <w:t>供</w:t>
            </w:r>
          </w:p>
          <w:p w14:paraId="70D7C065">
            <w:pPr>
              <w:jc w:val="center"/>
              <w:rPr>
                <w:rFonts w:hint="eastAsia" w:ascii="宋体" w:hAnsi="宋体" w:cs="宋体"/>
                <w:color w:val="auto"/>
                <w:sz w:val="24"/>
                <w:highlight w:val="none"/>
              </w:rPr>
            </w:pPr>
            <w:r>
              <w:rPr>
                <w:rFonts w:hint="eastAsia" w:ascii="宋体" w:hAnsi="宋体" w:cs="宋体"/>
                <w:color w:val="auto"/>
                <w:sz w:val="24"/>
                <w:highlight w:val="none"/>
              </w:rPr>
              <w:t>应</w:t>
            </w:r>
          </w:p>
          <w:p w14:paraId="4E9BA8DB">
            <w:pPr>
              <w:jc w:val="center"/>
              <w:rPr>
                <w:rFonts w:hint="eastAsia" w:ascii="宋体" w:hAnsi="宋体" w:cs="宋体"/>
                <w:color w:val="auto"/>
                <w:sz w:val="24"/>
                <w:highlight w:val="none"/>
              </w:rPr>
            </w:pPr>
            <w:r>
              <w:rPr>
                <w:rFonts w:hint="eastAsia" w:ascii="宋体" w:hAnsi="宋体" w:cs="宋体"/>
                <w:color w:val="auto"/>
                <w:sz w:val="24"/>
                <w:highlight w:val="none"/>
              </w:rPr>
              <w:t>商</w:t>
            </w:r>
          </w:p>
          <w:p w14:paraId="72A360DF">
            <w:pPr>
              <w:jc w:val="center"/>
              <w:rPr>
                <w:rFonts w:hint="eastAsia" w:ascii="宋体" w:hAnsi="宋体" w:cs="宋体"/>
                <w:color w:val="auto"/>
                <w:sz w:val="24"/>
                <w:highlight w:val="none"/>
              </w:rPr>
            </w:pPr>
            <w:r>
              <w:rPr>
                <w:rFonts w:hint="eastAsia" w:ascii="宋体" w:hAnsi="宋体" w:cs="宋体"/>
                <w:color w:val="auto"/>
                <w:sz w:val="24"/>
                <w:highlight w:val="none"/>
              </w:rPr>
              <w:t>申</w:t>
            </w:r>
          </w:p>
          <w:p w14:paraId="5219690B">
            <w:pPr>
              <w:jc w:val="center"/>
              <w:rPr>
                <w:rFonts w:hint="eastAsia" w:ascii="宋体" w:hAnsi="宋体" w:cs="宋体"/>
                <w:color w:val="auto"/>
                <w:sz w:val="24"/>
                <w:highlight w:val="none"/>
              </w:rPr>
            </w:pPr>
            <w:r>
              <w:rPr>
                <w:rFonts w:hint="eastAsia" w:ascii="宋体" w:hAnsi="宋体" w:cs="宋体"/>
                <w:color w:val="auto"/>
                <w:sz w:val="24"/>
                <w:highlight w:val="none"/>
              </w:rPr>
              <w:t>请</w:t>
            </w:r>
          </w:p>
        </w:tc>
        <w:tc>
          <w:tcPr>
            <w:tcW w:w="8456" w:type="dxa"/>
            <w:noWrap w:val="0"/>
            <w:vAlign w:val="center"/>
          </w:tcPr>
          <w:p w14:paraId="03C294DE">
            <w:pPr>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4A2F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49AB4996">
            <w:pPr>
              <w:rPr>
                <w:rFonts w:hint="eastAsia" w:ascii="宋体" w:hAnsi="宋体" w:cs="宋体"/>
                <w:color w:val="auto"/>
                <w:sz w:val="24"/>
                <w:highlight w:val="none"/>
              </w:rPr>
            </w:pPr>
          </w:p>
        </w:tc>
        <w:tc>
          <w:tcPr>
            <w:tcW w:w="8456" w:type="dxa"/>
            <w:noWrap w:val="0"/>
            <w:vAlign w:val="center"/>
          </w:tcPr>
          <w:p w14:paraId="0798648E">
            <w:pPr>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43EA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2443346">
            <w:pPr>
              <w:rPr>
                <w:rFonts w:hint="eastAsia" w:ascii="宋体" w:hAnsi="宋体" w:cs="宋体"/>
                <w:color w:val="auto"/>
                <w:sz w:val="24"/>
                <w:highlight w:val="none"/>
              </w:rPr>
            </w:pPr>
          </w:p>
        </w:tc>
        <w:tc>
          <w:tcPr>
            <w:tcW w:w="8456" w:type="dxa"/>
            <w:noWrap w:val="0"/>
            <w:vAlign w:val="top"/>
          </w:tcPr>
          <w:p w14:paraId="655EEBC5">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2BBBCAB">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sz w:val="24"/>
                <w:highlight w:val="none"/>
                <w:lang w:val="en-US" w:eastAsia="zh-CN"/>
              </w:rPr>
              <w:t>分标</w:t>
            </w:r>
            <w:r>
              <w:rPr>
                <w:rFonts w:hint="eastAsia" w:ascii="宋体" w:hAnsi="宋体" w:eastAsia="宋体" w:cs="宋体"/>
                <w:color w:val="auto"/>
                <w:sz w:val="24"/>
                <w:highlight w:val="none"/>
              </w:rPr>
              <w:t>的</w:t>
            </w:r>
            <w:r>
              <w:rPr>
                <w:rFonts w:hint="eastAsia" w:ascii="宋体" w:hAnsi="宋体" w:cs="宋体"/>
                <w:color w:val="auto"/>
                <w:sz w:val="24"/>
                <w:highlight w:val="none"/>
              </w:rPr>
              <w:t>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13C13D5C">
            <w:pPr>
              <w:spacing w:line="4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w:t>
            </w:r>
            <w:r>
              <w:rPr>
                <w:rFonts w:hint="eastAsia" w:ascii="宋体" w:hAnsi="宋体" w:cs="宋体"/>
                <w:color w:val="auto"/>
                <w:sz w:val="24"/>
                <w:highlight w:val="none"/>
                <w:lang w:eastAsia="zh-CN"/>
              </w:rPr>
              <w:t>账户</w:t>
            </w:r>
            <w:r>
              <w:rPr>
                <w:rFonts w:hint="eastAsia" w:ascii="宋体" w:hAnsi="宋体" w:cs="宋体"/>
                <w:color w:val="auto"/>
                <w:sz w:val="24"/>
                <w:highlight w:val="none"/>
              </w:rPr>
              <w:t>。</w:t>
            </w:r>
          </w:p>
          <w:p w14:paraId="44315598">
            <w:pPr>
              <w:spacing w:line="400" w:lineRule="exact"/>
              <w:ind w:firstLine="705"/>
              <w:rPr>
                <w:rFonts w:hint="eastAsia" w:ascii="宋体" w:hAnsi="宋体" w:cs="宋体"/>
                <w:color w:val="auto"/>
                <w:sz w:val="24"/>
                <w:highlight w:val="none"/>
              </w:rPr>
            </w:pPr>
            <w:r>
              <w:rPr>
                <w:rFonts w:hint="eastAsia" w:ascii="宋体" w:hAnsi="宋体" w:cs="宋体"/>
                <w:color w:val="auto"/>
                <w:sz w:val="24"/>
                <w:highlight w:val="none"/>
              </w:rPr>
              <w:t>单位名称：</w:t>
            </w:r>
          </w:p>
          <w:p w14:paraId="42E542DB">
            <w:pPr>
              <w:spacing w:line="400" w:lineRule="exact"/>
              <w:ind w:firstLine="705"/>
              <w:rPr>
                <w:rFonts w:hint="eastAsia" w:ascii="宋体" w:hAnsi="宋体" w:cs="宋体"/>
                <w:color w:val="auto"/>
                <w:sz w:val="24"/>
                <w:highlight w:val="none"/>
              </w:rPr>
            </w:pPr>
            <w:r>
              <w:rPr>
                <w:rFonts w:hint="eastAsia" w:ascii="宋体" w:hAnsi="宋体" w:cs="宋体"/>
                <w:color w:val="auto"/>
                <w:sz w:val="24"/>
                <w:highlight w:val="none"/>
              </w:rPr>
              <w:t>开户银行：</w:t>
            </w:r>
          </w:p>
          <w:p w14:paraId="093216A5">
            <w:pPr>
              <w:spacing w:line="400" w:lineRule="exact"/>
              <w:ind w:firstLine="705"/>
              <w:rPr>
                <w:rFonts w:hint="eastAsia" w:ascii="宋体" w:hAnsi="宋体" w:cs="宋体"/>
                <w:color w:val="auto"/>
                <w:sz w:val="24"/>
                <w:highlight w:val="none"/>
              </w:rPr>
            </w:pP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   号：</w:t>
            </w:r>
          </w:p>
          <w:p w14:paraId="7F96D097">
            <w:pPr>
              <w:spacing w:line="400" w:lineRule="exact"/>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11925697">
            <w:pPr>
              <w:spacing w:line="400" w:lineRule="exact"/>
              <w:rPr>
                <w:rFonts w:hint="eastAsia" w:ascii="宋体" w:hAnsi="宋体" w:cs="宋体"/>
                <w:color w:val="auto"/>
                <w:sz w:val="24"/>
                <w:highlight w:val="none"/>
              </w:rPr>
            </w:pPr>
          </w:p>
          <w:p w14:paraId="22797115">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3FC7A982">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00CD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4FC95EE5">
            <w:pPr>
              <w:jc w:val="center"/>
              <w:rPr>
                <w:rFonts w:hint="eastAsia" w:ascii="宋体" w:hAnsi="宋体" w:cs="宋体"/>
                <w:color w:val="auto"/>
                <w:sz w:val="24"/>
                <w:highlight w:val="none"/>
              </w:rPr>
            </w:pPr>
            <w:r>
              <w:rPr>
                <w:rFonts w:hint="eastAsia" w:ascii="宋体" w:hAnsi="宋体" w:cs="宋体"/>
                <w:color w:val="auto"/>
                <w:sz w:val="24"/>
                <w:highlight w:val="none"/>
              </w:rPr>
              <w:t>采</w:t>
            </w:r>
          </w:p>
          <w:p w14:paraId="2D4C787B">
            <w:pPr>
              <w:jc w:val="center"/>
              <w:rPr>
                <w:rFonts w:hint="eastAsia" w:ascii="宋体" w:hAnsi="宋体" w:cs="宋体"/>
                <w:color w:val="auto"/>
                <w:sz w:val="24"/>
                <w:highlight w:val="none"/>
              </w:rPr>
            </w:pPr>
            <w:r>
              <w:rPr>
                <w:rFonts w:hint="eastAsia" w:ascii="宋体" w:hAnsi="宋体" w:cs="宋体"/>
                <w:color w:val="auto"/>
                <w:sz w:val="24"/>
                <w:highlight w:val="none"/>
              </w:rPr>
              <w:t>购</w:t>
            </w:r>
          </w:p>
          <w:p w14:paraId="3713C968">
            <w:pPr>
              <w:jc w:val="center"/>
              <w:rPr>
                <w:rFonts w:hint="eastAsia" w:ascii="宋体" w:hAnsi="宋体" w:cs="宋体"/>
                <w:color w:val="auto"/>
                <w:sz w:val="24"/>
                <w:highlight w:val="none"/>
              </w:rPr>
            </w:pPr>
            <w:r>
              <w:rPr>
                <w:rFonts w:hint="eastAsia" w:ascii="宋体" w:hAnsi="宋体" w:cs="宋体"/>
                <w:color w:val="auto"/>
                <w:sz w:val="24"/>
                <w:highlight w:val="none"/>
              </w:rPr>
              <w:t>人</w:t>
            </w:r>
          </w:p>
          <w:p w14:paraId="291A9C35">
            <w:pPr>
              <w:jc w:val="center"/>
              <w:rPr>
                <w:rFonts w:hint="eastAsia" w:ascii="宋体" w:hAnsi="宋体" w:cs="宋体"/>
                <w:color w:val="auto"/>
                <w:sz w:val="24"/>
                <w:highlight w:val="none"/>
              </w:rPr>
            </w:pPr>
            <w:r>
              <w:rPr>
                <w:rFonts w:hint="eastAsia" w:ascii="宋体" w:hAnsi="宋体" w:cs="宋体"/>
                <w:color w:val="auto"/>
                <w:sz w:val="24"/>
                <w:highlight w:val="none"/>
              </w:rPr>
              <w:t>意</w:t>
            </w:r>
          </w:p>
          <w:p w14:paraId="2986D292">
            <w:pPr>
              <w:jc w:val="center"/>
              <w:rPr>
                <w:rFonts w:hint="eastAsia" w:ascii="宋体" w:hAnsi="宋体" w:cs="宋体"/>
                <w:color w:val="auto"/>
                <w:sz w:val="24"/>
                <w:highlight w:val="none"/>
              </w:rPr>
            </w:pPr>
            <w:r>
              <w:rPr>
                <w:rFonts w:hint="eastAsia" w:ascii="宋体" w:hAnsi="宋体" w:cs="宋体"/>
                <w:color w:val="auto"/>
                <w:sz w:val="24"/>
                <w:highlight w:val="none"/>
              </w:rPr>
              <w:t>见</w:t>
            </w:r>
          </w:p>
        </w:tc>
        <w:tc>
          <w:tcPr>
            <w:tcW w:w="8456" w:type="dxa"/>
            <w:noWrap w:val="0"/>
            <w:vAlign w:val="top"/>
          </w:tcPr>
          <w:p w14:paraId="25413CD6">
            <w:pPr>
              <w:rPr>
                <w:rFonts w:hint="eastAsia" w:ascii="宋体" w:hAnsi="宋体" w:cs="宋体"/>
                <w:color w:val="auto"/>
                <w:sz w:val="24"/>
                <w:highlight w:val="none"/>
              </w:rPr>
            </w:pPr>
          </w:p>
          <w:p w14:paraId="2AF13C26">
            <w:pPr>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248A88A1">
            <w:pPr>
              <w:rPr>
                <w:rFonts w:hint="eastAsia" w:ascii="宋体" w:hAnsi="宋体" w:cs="宋体"/>
                <w:color w:val="auto"/>
                <w:sz w:val="24"/>
                <w:highlight w:val="none"/>
              </w:rPr>
            </w:pPr>
          </w:p>
          <w:p w14:paraId="4E1590C5">
            <w:pPr>
              <w:rPr>
                <w:rFonts w:hint="eastAsia" w:ascii="宋体" w:hAnsi="宋体" w:cs="宋体"/>
                <w:color w:val="auto"/>
                <w:sz w:val="24"/>
                <w:highlight w:val="none"/>
              </w:rPr>
            </w:pPr>
          </w:p>
          <w:p w14:paraId="4E11BAF6">
            <w:pPr>
              <w:rPr>
                <w:rFonts w:hint="eastAsia" w:ascii="宋体" w:hAnsi="宋体" w:cs="宋体"/>
                <w:color w:val="auto"/>
                <w:sz w:val="24"/>
                <w:highlight w:val="none"/>
              </w:rPr>
            </w:pPr>
          </w:p>
          <w:p w14:paraId="16A0245C">
            <w:pPr>
              <w:rPr>
                <w:rFonts w:hint="eastAsia" w:ascii="宋体" w:hAnsi="宋体" w:cs="宋体"/>
                <w:color w:val="auto"/>
                <w:sz w:val="24"/>
                <w:highlight w:val="none"/>
              </w:rPr>
            </w:pPr>
          </w:p>
          <w:p w14:paraId="486E45D7">
            <w:pPr>
              <w:spacing w:line="520" w:lineRule="exact"/>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7B7FC45B">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2F5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44206BF">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8456" w:type="dxa"/>
            <w:noWrap w:val="0"/>
            <w:vAlign w:val="top"/>
          </w:tcPr>
          <w:p w14:paraId="0492CB16">
            <w:pPr>
              <w:rPr>
                <w:rFonts w:hint="eastAsia" w:ascii="宋体" w:hAnsi="宋体" w:cs="宋体"/>
                <w:color w:val="auto"/>
                <w:sz w:val="24"/>
                <w:highlight w:val="none"/>
              </w:rPr>
            </w:pPr>
          </w:p>
        </w:tc>
      </w:tr>
    </w:tbl>
    <w:p w14:paraId="4C8CBDF2">
      <w:pPr>
        <w:pStyle w:val="19"/>
        <w:ind w:left="420" w:leftChars="114" w:hanging="181" w:hangingChars="100"/>
        <w:rPr>
          <w:rFonts w:hint="eastAsia"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注：投标人凭经采购人审批的退付意见书到保证金收取单位办理履约保证金退付事宜。</w:t>
      </w:r>
    </w:p>
    <w:p w14:paraId="35DFAB89">
      <w:pPr>
        <w:pStyle w:val="25"/>
        <w:snapToGrid w:val="0"/>
        <w:spacing w:before="120" w:after="120"/>
        <w:rPr>
          <w:rFonts w:hint="eastAsia" w:hAnsi="宋体" w:cs="宋体"/>
          <w:color w:val="auto"/>
          <w:highlight w:val="none"/>
        </w:rPr>
      </w:pPr>
    </w:p>
    <w:p w14:paraId="6ED3BB9F">
      <w:pPr>
        <w:spacing w:line="428" w:lineRule="exact"/>
        <w:ind w:left="119"/>
        <w:rPr>
          <w:rFonts w:hint="eastAsia" w:ascii="宋体" w:hAnsi="宋体" w:cs="宋体"/>
          <w:color w:val="auto"/>
          <w:sz w:val="32"/>
          <w:szCs w:val="32"/>
          <w:highlight w:val="none"/>
        </w:rPr>
      </w:pPr>
      <w:r>
        <w:rPr>
          <w:rFonts w:hint="eastAsia" w:hAnsi="宋体" w:cs="宋体"/>
          <w:color w:val="auto"/>
          <w:highlight w:val="none"/>
        </w:rPr>
        <w:br w:type="page"/>
      </w: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t>：</w:t>
      </w:r>
    </w:p>
    <w:p w14:paraId="6012BF78">
      <w:pPr>
        <w:spacing w:before="7"/>
        <w:rPr>
          <w:rFonts w:hint="eastAsia" w:ascii="宋体" w:hAnsi="宋体" w:cs="宋体"/>
          <w:color w:val="auto"/>
          <w:sz w:val="17"/>
          <w:szCs w:val="17"/>
          <w:highlight w:val="none"/>
        </w:rPr>
      </w:pPr>
    </w:p>
    <w:p w14:paraId="4F5560D8">
      <w:pPr>
        <w:spacing w:line="528" w:lineRule="exact"/>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p w14:paraId="0DF9901F">
      <w:pPr>
        <w:rPr>
          <w:rFonts w:hint="eastAsia" w:ascii="宋体" w:hAnsi="宋体" w:cs="宋体"/>
          <w:color w:val="auto"/>
          <w:sz w:val="20"/>
          <w:szCs w:val="20"/>
          <w:highlight w:val="none"/>
        </w:rPr>
      </w:pPr>
    </w:p>
    <w:tbl>
      <w:tblPr>
        <w:tblStyle w:val="47"/>
        <w:tblW w:w="9220" w:type="dxa"/>
        <w:tblInd w:w="93" w:type="dxa"/>
        <w:tblLayout w:type="autofit"/>
        <w:tblCellMar>
          <w:top w:w="0" w:type="dxa"/>
          <w:left w:w="108" w:type="dxa"/>
          <w:bottom w:w="0" w:type="dxa"/>
          <w:right w:w="108" w:type="dxa"/>
        </w:tblCellMar>
      </w:tblPr>
      <w:tblGrid>
        <w:gridCol w:w="631"/>
        <w:gridCol w:w="1161"/>
        <w:gridCol w:w="1581"/>
        <w:gridCol w:w="1615"/>
        <w:gridCol w:w="4232"/>
      </w:tblGrid>
      <w:tr w14:paraId="4CD2DF9E">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75AAA84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328C16F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59A6042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64151C8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BCC7A6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7DB4D7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5DBAC51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702014F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1CC6FF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7630FF4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3EBE60F">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C254941">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3E163AE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221A47D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34F072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4DFBCC2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4DE753E">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9640EE7">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03C3370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465B0A5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12D28B1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7FDA990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E8AB18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874A74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ABCFA7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29CB63D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31D9E73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1E1D774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EF43313">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84ACCC0">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3399CB">
            <w:pPr>
              <w:widowControl/>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3A67D0A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30FCF5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137F147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454943C">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73877AC">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B78C5CE">
            <w:pPr>
              <w:widowControl/>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5ABC9BB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1E65527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7538A68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58886D">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F829AA3">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120DF7C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620EB6B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491405B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317198CF">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2EE9BFA">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FC16942">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4756B30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6224FF3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01D2D70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68B8DF4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7A6728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op w:val="nil"/>
              <w:left w:val="nil"/>
              <w:bottom w:val="single" w:color="000000" w:sz="8" w:space="0"/>
              <w:right w:val="single" w:color="000000" w:sz="8" w:space="0"/>
            </w:tcBorders>
            <w:noWrap w:val="0"/>
            <w:vAlign w:val="center"/>
          </w:tcPr>
          <w:p w14:paraId="35C888F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320" w:type="dxa"/>
            <w:tcBorders>
              <w:top w:val="nil"/>
              <w:left w:val="nil"/>
              <w:bottom w:val="single" w:color="000000" w:sz="8" w:space="0"/>
              <w:right w:val="single" w:color="000000" w:sz="8" w:space="0"/>
            </w:tcBorders>
            <w:noWrap w:val="0"/>
            <w:vAlign w:val="center"/>
          </w:tcPr>
          <w:p w14:paraId="6A87DD5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4B7900F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4963F5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616DD54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CE6870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tcBorders>
              <w:top w:val="nil"/>
              <w:left w:val="nil"/>
              <w:bottom w:val="single" w:color="000000" w:sz="8" w:space="0"/>
              <w:right w:val="single" w:color="000000" w:sz="8" w:space="0"/>
            </w:tcBorders>
            <w:noWrap w:val="0"/>
            <w:vAlign w:val="center"/>
          </w:tcPr>
          <w:p w14:paraId="58B38AB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0EC0DDE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2E11B21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552EB7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54C1973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495824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tcBorders>
              <w:top w:val="nil"/>
              <w:left w:val="nil"/>
              <w:bottom w:val="single" w:color="000000" w:sz="8" w:space="0"/>
              <w:right w:val="single" w:color="000000" w:sz="8" w:space="0"/>
            </w:tcBorders>
            <w:noWrap w:val="0"/>
            <w:vAlign w:val="center"/>
          </w:tcPr>
          <w:p w14:paraId="09C1773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320" w:type="dxa"/>
            <w:tcBorders>
              <w:top w:val="nil"/>
              <w:left w:val="nil"/>
              <w:bottom w:val="single" w:color="000000" w:sz="8" w:space="0"/>
              <w:right w:val="single" w:color="000000" w:sz="8" w:space="0"/>
            </w:tcBorders>
            <w:noWrap w:val="0"/>
            <w:vAlign w:val="center"/>
          </w:tcPr>
          <w:p w14:paraId="54844A8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20" w:type="dxa"/>
            <w:tcBorders>
              <w:top w:val="nil"/>
              <w:left w:val="nil"/>
              <w:bottom w:val="single" w:color="000000" w:sz="8" w:space="0"/>
              <w:right w:val="single" w:color="000000" w:sz="8" w:space="0"/>
            </w:tcBorders>
            <w:noWrap w:val="0"/>
            <w:vAlign w:val="center"/>
          </w:tcPr>
          <w:p w14:paraId="5C4E4AD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6AF85D1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52E0D324">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BFEDD5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78B997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2DA63EA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49F2C7A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540" w:type="dxa"/>
            <w:tcBorders>
              <w:top w:val="nil"/>
              <w:left w:val="nil"/>
              <w:bottom w:val="single" w:color="000000" w:sz="8" w:space="0"/>
              <w:right w:val="single" w:color="000000" w:sz="8" w:space="0"/>
            </w:tcBorders>
            <w:noWrap w:val="0"/>
            <w:vAlign w:val="center"/>
          </w:tcPr>
          <w:p w14:paraId="05E50CB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172C1B3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411FFF">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36C2EF">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50C3AFD">
            <w:pPr>
              <w:widowControl/>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3CE5CD4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540" w:type="dxa"/>
            <w:tcBorders>
              <w:top w:val="nil"/>
              <w:left w:val="nil"/>
              <w:bottom w:val="single" w:color="000000" w:sz="8" w:space="0"/>
              <w:right w:val="single" w:color="000000" w:sz="8" w:space="0"/>
            </w:tcBorders>
            <w:noWrap w:val="0"/>
            <w:vAlign w:val="center"/>
          </w:tcPr>
          <w:p w14:paraId="1C8B477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0D91B9C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685C86">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1F883C1">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69705B5">
            <w:pPr>
              <w:widowControl/>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36782FD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69DB855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76F5CA1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9F06E8">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F51DF8E">
            <w:pPr>
              <w:widowControl/>
              <w:jc w:val="left"/>
              <w:rPr>
                <w:rFonts w:ascii="宋体" w:hAnsi="宋体" w:cs="宋体"/>
                <w:color w:val="auto"/>
                <w:kern w:val="0"/>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5058ED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0C7365C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制冷量&gt;14000W</w:t>
            </w:r>
            <w:r>
              <w:rPr>
                <w:rFonts w:hint="eastAsia" w:ascii="宋体" w:hAnsi="宋体" w:cs="宋体"/>
                <w:color w:val="auto"/>
                <w:kern w:val="0"/>
                <w:szCs w:val="21"/>
                <w:highlight w:val="none"/>
                <w:lang w:eastAsia="zh-CN"/>
              </w:rPr>
              <w:t>）</w:t>
            </w:r>
          </w:p>
        </w:tc>
        <w:tc>
          <w:tcPr>
            <w:tcW w:w="4540" w:type="dxa"/>
            <w:tcBorders>
              <w:top w:val="nil"/>
              <w:left w:val="nil"/>
              <w:bottom w:val="single" w:color="000000" w:sz="8" w:space="0"/>
              <w:right w:val="single" w:color="000000" w:sz="8" w:space="0"/>
            </w:tcBorders>
            <w:noWrap w:val="0"/>
            <w:vAlign w:val="center"/>
          </w:tcPr>
          <w:p w14:paraId="5E67956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3E53718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D6117F">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0C3582F">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C8E42DA">
            <w:pPr>
              <w:widowControl/>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4F6614F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44C069B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590B8BB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3A4F1E">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FB3517">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2E23863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5B39E05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540" w:type="dxa"/>
            <w:tcBorders>
              <w:top w:val="nil"/>
              <w:left w:val="nil"/>
              <w:bottom w:val="single" w:color="000000" w:sz="8" w:space="0"/>
              <w:right w:val="single" w:color="000000" w:sz="8" w:space="0"/>
            </w:tcBorders>
            <w:noWrap w:val="0"/>
            <w:vAlign w:val="center"/>
          </w:tcPr>
          <w:p w14:paraId="3EB49A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4C0E158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C05D64">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1EDFEC">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632BAB2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120D36F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540" w:type="dxa"/>
            <w:tcBorders>
              <w:top w:val="nil"/>
              <w:left w:val="nil"/>
              <w:bottom w:val="single" w:color="000000" w:sz="8" w:space="0"/>
              <w:right w:val="single" w:color="000000" w:sz="8" w:space="0"/>
            </w:tcBorders>
            <w:noWrap w:val="0"/>
            <w:vAlign w:val="center"/>
          </w:tcPr>
          <w:p w14:paraId="43B31C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07FDAF7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0572F4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tcBorders>
              <w:top w:val="nil"/>
              <w:left w:val="nil"/>
              <w:bottom w:val="single" w:color="000000" w:sz="8" w:space="0"/>
              <w:right w:val="single" w:color="000000" w:sz="8" w:space="0"/>
            </w:tcBorders>
            <w:noWrap w:val="0"/>
            <w:vAlign w:val="center"/>
          </w:tcPr>
          <w:p w14:paraId="73A180D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320" w:type="dxa"/>
            <w:tcBorders>
              <w:top w:val="nil"/>
              <w:left w:val="nil"/>
              <w:bottom w:val="single" w:color="000000" w:sz="8" w:space="0"/>
              <w:right w:val="single" w:color="000000" w:sz="8" w:space="0"/>
            </w:tcBorders>
            <w:noWrap w:val="0"/>
            <w:vAlign w:val="center"/>
          </w:tcPr>
          <w:p w14:paraId="5BD0380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6F7C143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68BE880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0D7C8D4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224D31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tcBorders>
              <w:top w:val="nil"/>
              <w:left w:val="nil"/>
              <w:bottom w:val="single" w:color="000000" w:sz="8" w:space="0"/>
              <w:right w:val="single" w:color="000000" w:sz="8" w:space="0"/>
            </w:tcBorders>
            <w:noWrap w:val="0"/>
            <w:vAlign w:val="center"/>
          </w:tcPr>
          <w:p w14:paraId="7047C79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320" w:type="dxa"/>
            <w:tcBorders>
              <w:top w:val="nil"/>
              <w:left w:val="nil"/>
              <w:bottom w:val="single" w:color="000000" w:sz="8" w:space="0"/>
              <w:right w:val="single" w:color="000000" w:sz="8" w:space="0"/>
            </w:tcBorders>
            <w:noWrap w:val="0"/>
            <w:vAlign w:val="center"/>
          </w:tcPr>
          <w:p w14:paraId="01149DA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20" w:type="dxa"/>
            <w:tcBorders>
              <w:top w:val="nil"/>
              <w:left w:val="nil"/>
              <w:bottom w:val="single" w:color="000000" w:sz="8" w:space="0"/>
              <w:right w:val="single" w:color="000000" w:sz="8" w:space="0"/>
            </w:tcBorders>
            <w:noWrap w:val="0"/>
            <w:vAlign w:val="center"/>
          </w:tcPr>
          <w:p w14:paraId="0AB0079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1118F27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02C7DD4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649309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tcBorders>
              <w:top w:val="nil"/>
              <w:left w:val="nil"/>
              <w:bottom w:val="single" w:color="000000" w:sz="8" w:space="0"/>
              <w:right w:val="single" w:color="000000" w:sz="8" w:space="0"/>
            </w:tcBorders>
            <w:noWrap w:val="0"/>
            <w:vAlign w:val="center"/>
          </w:tcPr>
          <w:p w14:paraId="15A0A0A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320" w:type="dxa"/>
            <w:tcBorders>
              <w:top w:val="nil"/>
              <w:left w:val="nil"/>
              <w:bottom w:val="single" w:color="000000" w:sz="8" w:space="0"/>
              <w:right w:val="single" w:color="000000" w:sz="8" w:space="0"/>
            </w:tcBorders>
            <w:noWrap w:val="0"/>
            <w:vAlign w:val="center"/>
          </w:tcPr>
          <w:p w14:paraId="075F492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43FF910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06650A0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2ADAB96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7A3E3D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102AD6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025B935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02CE5A2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1407424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661177FA">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F2127FA">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3551BAD">
            <w:pPr>
              <w:widowControl/>
              <w:jc w:val="left"/>
              <w:rPr>
                <w:rFonts w:ascii="宋体" w:hAnsi="宋体" w:cs="宋体"/>
                <w:color w:val="auto"/>
                <w:kern w:val="0"/>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41D091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4594BAD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1EA5D1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34F9422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08E8909">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627BD3D">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50552F3">
            <w:pPr>
              <w:widowControl/>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5EAD270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534B5FA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29AF317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37A69D">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01A96A">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4679C04">
            <w:pPr>
              <w:widowControl/>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6462934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制冷量≤14000W</w:t>
            </w:r>
            <w:r>
              <w:rPr>
                <w:rFonts w:hint="eastAsia" w:ascii="宋体" w:hAnsi="宋体" w:cs="宋体"/>
                <w:color w:val="auto"/>
                <w:kern w:val="0"/>
                <w:szCs w:val="21"/>
                <w:highlight w:val="none"/>
                <w:lang w:eastAsia="zh-CN"/>
              </w:rPr>
              <w:t>）</w:t>
            </w:r>
          </w:p>
        </w:tc>
        <w:tc>
          <w:tcPr>
            <w:tcW w:w="4540" w:type="dxa"/>
            <w:tcBorders>
              <w:top w:val="nil"/>
              <w:left w:val="nil"/>
              <w:bottom w:val="single" w:color="000000" w:sz="8" w:space="0"/>
              <w:right w:val="single" w:color="000000" w:sz="8" w:space="0"/>
            </w:tcBorders>
            <w:noWrap w:val="0"/>
            <w:vAlign w:val="center"/>
          </w:tcPr>
          <w:p w14:paraId="3600786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0D77ABB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316C7F">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22E0730">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7945AF1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665EAD5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11D968C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39D5BF5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407EF31">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0684221">
            <w:pPr>
              <w:widowControl/>
              <w:jc w:val="left"/>
              <w:rPr>
                <w:rFonts w:ascii="宋体" w:hAnsi="宋体" w:cs="宋体"/>
                <w:color w:val="auto"/>
                <w:kern w:val="0"/>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419A22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20" w:type="dxa"/>
            <w:tcBorders>
              <w:top w:val="nil"/>
              <w:left w:val="nil"/>
              <w:bottom w:val="single" w:color="000000" w:sz="8" w:space="0"/>
              <w:right w:val="single" w:color="000000" w:sz="8" w:space="0"/>
            </w:tcBorders>
            <w:noWrap w:val="0"/>
            <w:vAlign w:val="center"/>
          </w:tcPr>
          <w:p w14:paraId="40D9000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540" w:type="dxa"/>
            <w:tcBorders>
              <w:top w:val="nil"/>
              <w:left w:val="nil"/>
              <w:bottom w:val="single" w:color="000000" w:sz="8" w:space="0"/>
              <w:right w:val="single" w:color="000000" w:sz="8" w:space="0"/>
            </w:tcBorders>
            <w:noWrap w:val="0"/>
            <w:vAlign w:val="center"/>
          </w:tcPr>
          <w:p w14:paraId="5E8C688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6FE75D7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49B09B">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B2F284F">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2A6CC8">
            <w:pPr>
              <w:widowControl/>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4C9140B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540" w:type="dxa"/>
            <w:tcBorders>
              <w:top w:val="nil"/>
              <w:left w:val="nil"/>
              <w:bottom w:val="single" w:color="000000" w:sz="8" w:space="0"/>
              <w:right w:val="single" w:color="000000" w:sz="8" w:space="0"/>
            </w:tcBorders>
            <w:noWrap w:val="0"/>
            <w:vAlign w:val="center"/>
          </w:tcPr>
          <w:p w14:paraId="600E55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6F98D07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79BF19">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F8E12D0">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FFF53F">
            <w:pPr>
              <w:widowControl/>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5F5234E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540" w:type="dxa"/>
            <w:tcBorders>
              <w:top w:val="nil"/>
              <w:left w:val="nil"/>
              <w:bottom w:val="single" w:color="000000" w:sz="8" w:space="0"/>
              <w:right w:val="single" w:color="000000" w:sz="8" w:space="0"/>
            </w:tcBorders>
            <w:noWrap w:val="0"/>
            <w:vAlign w:val="center"/>
          </w:tcPr>
          <w:p w14:paraId="5A3C95E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08E4341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12E93D7">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7FF9474">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25756AE">
            <w:pPr>
              <w:widowControl/>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4ECF1A1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5CC2A06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084C6B7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5FD346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00AAE3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320" w:type="dxa"/>
            <w:tcBorders>
              <w:top w:val="nil"/>
              <w:left w:val="nil"/>
              <w:bottom w:val="single" w:color="000000" w:sz="8" w:space="0"/>
              <w:right w:val="single" w:color="000000" w:sz="8" w:space="0"/>
            </w:tcBorders>
            <w:noWrap w:val="0"/>
            <w:vAlign w:val="center"/>
          </w:tcPr>
          <w:p w14:paraId="53F17D8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20" w:type="dxa"/>
            <w:tcBorders>
              <w:top w:val="nil"/>
              <w:left w:val="nil"/>
              <w:bottom w:val="single" w:color="000000" w:sz="8" w:space="0"/>
              <w:right w:val="single" w:color="000000" w:sz="8" w:space="0"/>
            </w:tcBorders>
            <w:noWrap w:val="0"/>
            <w:vAlign w:val="center"/>
          </w:tcPr>
          <w:p w14:paraId="5CF5D4D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357429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2913035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EC3A231">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EDD80CB">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01E06FF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20" w:type="dxa"/>
            <w:tcBorders>
              <w:top w:val="nil"/>
              <w:left w:val="nil"/>
              <w:bottom w:val="single" w:color="000000" w:sz="8" w:space="0"/>
              <w:right w:val="single" w:color="000000" w:sz="8" w:space="0"/>
            </w:tcBorders>
            <w:noWrap w:val="0"/>
            <w:vAlign w:val="center"/>
          </w:tcPr>
          <w:p w14:paraId="42CCA6D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2CD2209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54548A9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6B07F4">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FE5004F">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051646A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20" w:type="dxa"/>
            <w:tcBorders>
              <w:top w:val="nil"/>
              <w:left w:val="nil"/>
              <w:bottom w:val="single" w:color="000000" w:sz="8" w:space="0"/>
              <w:right w:val="single" w:color="000000" w:sz="8" w:space="0"/>
            </w:tcBorders>
            <w:noWrap w:val="0"/>
            <w:vAlign w:val="center"/>
          </w:tcPr>
          <w:p w14:paraId="0825BC3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0B34B57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2937B18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1DC202D">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BE9667">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36CDA3A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0C6BF26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714E50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4F52DB69">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736610D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tcBorders>
              <w:top w:val="nil"/>
              <w:left w:val="nil"/>
              <w:bottom w:val="single" w:color="000000" w:sz="8" w:space="0"/>
              <w:right w:val="single" w:color="000000" w:sz="8" w:space="0"/>
            </w:tcBorders>
            <w:noWrap w:val="0"/>
            <w:vAlign w:val="center"/>
          </w:tcPr>
          <w:p w14:paraId="7448192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320" w:type="dxa"/>
            <w:tcBorders>
              <w:top w:val="nil"/>
              <w:left w:val="nil"/>
              <w:bottom w:val="single" w:color="000000" w:sz="8" w:space="0"/>
              <w:right w:val="single" w:color="000000" w:sz="8" w:space="0"/>
            </w:tcBorders>
            <w:noWrap w:val="0"/>
            <w:vAlign w:val="center"/>
          </w:tcPr>
          <w:p w14:paraId="7A13E03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20" w:type="dxa"/>
            <w:tcBorders>
              <w:top w:val="nil"/>
              <w:left w:val="nil"/>
              <w:bottom w:val="single" w:color="000000" w:sz="8" w:space="0"/>
              <w:right w:val="single" w:color="000000" w:sz="8" w:space="0"/>
            </w:tcBorders>
            <w:noWrap w:val="0"/>
            <w:vAlign w:val="center"/>
          </w:tcPr>
          <w:p w14:paraId="1144705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74058F3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58880AE3">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588049E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tcBorders>
              <w:top w:val="nil"/>
              <w:left w:val="nil"/>
              <w:bottom w:val="single" w:color="000000" w:sz="8" w:space="0"/>
              <w:right w:val="single" w:color="000000" w:sz="8" w:space="0"/>
            </w:tcBorders>
            <w:noWrap w:val="0"/>
            <w:vAlign w:val="center"/>
          </w:tcPr>
          <w:p w14:paraId="7CF80B9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320" w:type="dxa"/>
            <w:tcBorders>
              <w:top w:val="nil"/>
              <w:left w:val="nil"/>
              <w:bottom w:val="single" w:color="000000" w:sz="8" w:space="0"/>
              <w:right w:val="single" w:color="000000" w:sz="8" w:space="0"/>
            </w:tcBorders>
            <w:noWrap w:val="0"/>
            <w:vAlign w:val="center"/>
          </w:tcPr>
          <w:p w14:paraId="6F69959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20" w:type="dxa"/>
            <w:tcBorders>
              <w:top w:val="nil"/>
              <w:left w:val="nil"/>
              <w:bottom w:val="single" w:color="000000" w:sz="8" w:space="0"/>
              <w:right w:val="single" w:color="000000" w:sz="8" w:space="0"/>
            </w:tcBorders>
            <w:noWrap w:val="0"/>
            <w:vAlign w:val="center"/>
          </w:tcPr>
          <w:p w14:paraId="5030AC5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540" w:type="dxa"/>
            <w:tcBorders>
              <w:top w:val="nil"/>
              <w:left w:val="nil"/>
              <w:bottom w:val="single" w:color="000000" w:sz="8" w:space="0"/>
              <w:right w:val="single" w:color="000000" w:sz="8" w:space="0"/>
            </w:tcBorders>
            <w:noWrap w:val="0"/>
            <w:vAlign w:val="center"/>
          </w:tcPr>
          <w:p w14:paraId="36E414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3BA50B0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07C29F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tcBorders>
              <w:top w:val="nil"/>
              <w:left w:val="nil"/>
              <w:bottom w:val="single" w:color="000000" w:sz="8" w:space="0"/>
              <w:right w:val="single" w:color="000000" w:sz="8" w:space="0"/>
            </w:tcBorders>
            <w:noWrap w:val="0"/>
            <w:vAlign w:val="center"/>
          </w:tcPr>
          <w:p w14:paraId="3B46B1A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320" w:type="dxa"/>
            <w:tcBorders>
              <w:top w:val="nil"/>
              <w:left w:val="nil"/>
              <w:bottom w:val="single" w:color="000000" w:sz="8" w:space="0"/>
              <w:right w:val="single" w:color="000000" w:sz="8" w:space="0"/>
            </w:tcBorders>
            <w:noWrap w:val="0"/>
            <w:vAlign w:val="center"/>
          </w:tcPr>
          <w:p w14:paraId="2E9C922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20" w:type="dxa"/>
            <w:tcBorders>
              <w:top w:val="nil"/>
              <w:left w:val="nil"/>
              <w:bottom w:val="single" w:color="000000" w:sz="8" w:space="0"/>
              <w:right w:val="single" w:color="000000" w:sz="8" w:space="0"/>
            </w:tcBorders>
            <w:noWrap w:val="0"/>
            <w:vAlign w:val="center"/>
          </w:tcPr>
          <w:p w14:paraId="045EE37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745D73D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10A5A30E">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95B00A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110049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320" w:type="dxa"/>
            <w:tcBorders>
              <w:top w:val="nil"/>
              <w:left w:val="nil"/>
              <w:bottom w:val="single" w:color="000000" w:sz="8" w:space="0"/>
              <w:right w:val="single" w:color="000000" w:sz="8" w:space="0"/>
            </w:tcBorders>
            <w:noWrap w:val="0"/>
            <w:vAlign w:val="center"/>
          </w:tcPr>
          <w:p w14:paraId="373CE3F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20" w:type="dxa"/>
            <w:tcBorders>
              <w:top w:val="nil"/>
              <w:left w:val="nil"/>
              <w:bottom w:val="single" w:color="000000" w:sz="8" w:space="0"/>
              <w:right w:val="single" w:color="000000" w:sz="8" w:space="0"/>
            </w:tcBorders>
            <w:noWrap w:val="0"/>
            <w:vAlign w:val="center"/>
          </w:tcPr>
          <w:p w14:paraId="000CBF1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274E216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4401EBF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B4D6D7A">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D20B12">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69CEB29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20" w:type="dxa"/>
            <w:tcBorders>
              <w:top w:val="nil"/>
              <w:left w:val="nil"/>
              <w:bottom w:val="single" w:color="000000" w:sz="8" w:space="0"/>
              <w:right w:val="single" w:color="000000" w:sz="8" w:space="0"/>
            </w:tcBorders>
            <w:noWrap w:val="0"/>
            <w:vAlign w:val="center"/>
          </w:tcPr>
          <w:p w14:paraId="017769C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2F49E3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19A58A3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7B080D">
            <w:pPr>
              <w:widowControl/>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7F4187">
            <w:pPr>
              <w:widowControl/>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3896840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20" w:type="dxa"/>
            <w:tcBorders>
              <w:top w:val="nil"/>
              <w:left w:val="nil"/>
              <w:bottom w:val="single" w:color="000000" w:sz="8" w:space="0"/>
              <w:right w:val="single" w:color="000000" w:sz="8" w:space="0"/>
            </w:tcBorders>
            <w:noWrap w:val="0"/>
            <w:vAlign w:val="center"/>
          </w:tcPr>
          <w:p w14:paraId="48ABF89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33E87A9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1BB741D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8AC05D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tcBorders>
              <w:top w:val="nil"/>
              <w:left w:val="nil"/>
              <w:bottom w:val="single" w:color="000000" w:sz="8" w:space="0"/>
              <w:right w:val="single" w:color="000000" w:sz="8" w:space="0"/>
            </w:tcBorders>
            <w:noWrap w:val="0"/>
            <w:vAlign w:val="center"/>
          </w:tcPr>
          <w:p w14:paraId="4AFD51F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320" w:type="dxa"/>
            <w:tcBorders>
              <w:top w:val="nil"/>
              <w:left w:val="nil"/>
              <w:bottom w:val="single" w:color="000000" w:sz="8" w:space="0"/>
              <w:right w:val="single" w:color="000000" w:sz="8" w:space="0"/>
            </w:tcBorders>
            <w:noWrap w:val="0"/>
            <w:vAlign w:val="center"/>
          </w:tcPr>
          <w:p w14:paraId="24A2D1F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54BA3B9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23D340C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25AB8C1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F4A3D3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tcBorders>
              <w:top w:val="nil"/>
              <w:left w:val="nil"/>
              <w:bottom w:val="single" w:color="000000" w:sz="8" w:space="0"/>
              <w:right w:val="single" w:color="000000" w:sz="8" w:space="0"/>
            </w:tcBorders>
            <w:noWrap w:val="0"/>
            <w:vAlign w:val="center"/>
          </w:tcPr>
          <w:p w14:paraId="7802D84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1AF2B86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1CC3766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618A6E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2E666A9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48CC59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tcBorders>
              <w:top w:val="nil"/>
              <w:left w:val="nil"/>
              <w:bottom w:val="single" w:color="000000" w:sz="8" w:space="0"/>
              <w:right w:val="single" w:color="000000" w:sz="8" w:space="0"/>
            </w:tcBorders>
            <w:noWrap w:val="0"/>
            <w:vAlign w:val="center"/>
          </w:tcPr>
          <w:p w14:paraId="600753C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320" w:type="dxa"/>
            <w:tcBorders>
              <w:top w:val="nil"/>
              <w:left w:val="nil"/>
              <w:bottom w:val="single" w:color="000000" w:sz="8" w:space="0"/>
              <w:right w:val="single" w:color="000000" w:sz="8" w:space="0"/>
            </w:tcBorders>
            <w:noWrap w:val="0"/>
            <w:vAlign w:val="center"/>
          </w:tcPr>
          <w:p w14:paraId="15540FA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2CDB453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33B80A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3E24FC07">
      <w:pPr>
        <w:pStyle w:val="19"/>
        <w:spacing w:line="360" w:lineRule="auto"/>
        <w:rPr>
          <w:rFonts w:hint="eastAsia"/>
          <w:color w:val="auto"/>
          <w:spacing w:val="-3"/>
          <w:sz w:val="21"/>
          <w:szCs w:val="21"/>
          <w:highlight w:val="none"/>
        </w:rPr>
      </w:pPr>
    </w:p>
    <w:p w14:paraId="1CA72D2A">
      <w:pPr>
        <w:pStyle w:val="19"/>
        <w:spacing w:line="360" w:lineRule="auto"/>
        <w:rPr>
          <w:rFonts w:ascii="宋体" w:hAnsi="宋体"/>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节能产品认证应依据相关国家标准的最新版本，依据国家标准中二级能效（水效）</w:t>
      </w:r>
      <w:r>
        <w:rPr>
          <w:rFonts w:hint="eastAsia"/>
          <w:color w:val="auto"/>
          <w:sz w:val="21"/>
          <w:szCs w:val="21"/>
          <w:highlight w:val="none"/>
        </w:rPr>
        <w:t>指标。</w:t>
      </w:r>
    </w:p>
    <w:p w14:paraId="2EF736E1">
      <w:pPr>
        <w:jc w:val="left"/>
        <w:rPr>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5B06C70C">
      <w:pPr>
        <w:pStyle w:val="25"/>
        <w:snapToGrid w:val="0"/>
        <w:spacing w:before="120" w:after="120"/>
        <w:rPr>
          <w:rFonts w:hint="eastAsia" w:hAnsi="宋体" w:cs="宋体"/>
          <w:color w:val="auto"/>
          <w:highlight w:val="none"/>
        </w:rPr>
      </w:pPr>
      <w:r>
        <w:rPr>
          <w:rFonts w:hint="eastAsia" w:hAnsi="宋体" w:cs="宋体"/>
          <w:color w:val="auto"/>
          <w:highlight w:val="none"/>
        </w:rPr>
        <w:br w:type="page"/>
      </w:r>
    </w:p>
    <w:p w14:paraId="0F29ED5E">
      <w:pPr>
        <w:pStyle w:val="25"/>
        <w:snapToGrid w:val="0"/>
        <w:spacing w:before="120" w:after="120"/>
        <w:rPr>
          <w:rFonts w:hint="eastAsia" w:hAnsi="宋体" w:cs="宋体"/>
          <w:color w:val="auto"/>
          <w:highlight w:val="none"/>
        </w:rPr>
      </w:pPr>
    </w:p>
    <w:p w14:paraId="185A0AE8">
      <w:pPr>
        <w:pStyle w:val="25"/>
        <w:snapToGrid w:val="0"/>
        <w:spacing w:before="120" w:after="120"/>
        <w:rPr>
          <w:rFonts w:hint="eastAsia" w:hAnsi="宋体" w:cs="宋体"/>
          <w:color w:val="auto"/>
          <w:highlight w:val="none"/>
        </w:rPr>
      </w:pPr>
    </w:p>
    <w:p w14:paraId="20D9D5CD">
      <w:pPr>
        <w:pStyle w:val="25"/>
        <w:snapToGrid w:val="0"/>
        <w:spacing w:before="120" w:after="120"/>
        <w:rPr>
          <w:rFonts w:hint="eastAsia" w:hAnsi="宋体" w:cs="宋体"/>
          <w:color w:val="auto"/>
          <w:highlight w:val="none"/>
        </w:rPr>
      </w:pPr>
    </w:p>
    <w:p w14:paraId="54FA00E8">
      <w:pPr>
        <w:pStyle w:val="25"/>
        <w:snapToGrid w:val="0"/>
        <w:spacing w:before="120" w:after="120"/>
        <w:rPr>
          <w:rFonts w:hint="eastAsia" w:hAnsi="宋体" w:cs="宋体"/>
          <w:color w:val="auto"/>
          <w:highlight w:val="none"/>
        </w:rPr>
      </w:pPr>
    </w:p>
    <w:p w14:paraId="5B71ACAF">
      <w:pPr>
        <w:pStyle w:val="25"/>
        <w:snapToGrid w:val="0"/>
        <w:spacing w:before="120" w:after="120"/>
        <w:rPr>
          <w:rFonts w:hint="eastAsia" w:hAnsi="宋体" w:cs="宋体"/>
          <w:color w:val="auto"/>
          <w:highlight w:val="none"/>
        </w:rPr>
      </w:pPr>
    </w:p>
    <w:p w14:paraId="6D307CA2">
      <w:pPr>
        <w:pStyle w:val="25"/>
        <w:snapToGrid w:val="0"/>
        <w:spacing w:before="120" w:after="120"/>
        <w:rPr>
          <w:rFonts w:hint="eastAsia" w:hAnsi="宋体" w:cs="宋体"/>
          <w:color w:val="auto"/>
          <w:highlight w:val="none"/>
        </w:rPr>
      </w:pPr>
    </w:p>
    <w:p w14:paraId="245F65A7">
      <w:pPr>
        <w:pStyle w:val="25"/>
        <w:snapToGrid w:val="0"/>
        <w:spacing w:before="120" w:after="120"/>
        <w:rPr>
          <w:rFonts w:hint="eastAsia" w:hAnsi="宋体" w:cs="宋体"/>
          <w:color w:val="auto"/>
          <w:highlight w:val="none"/>
        </w:rPr>
      </w:pPr>
    </w:p>
    <w:p w14:paraId="23A3CC46">
      <w:pPr>
        <w:pStyle w:val="25"/>
        <w:snapToGrid w:val="0"/>
        <w:spacing w:before="120" w:after="120"/>
        <w:rPr>
          <w:rFonts w:hint="eastAsia" w:hAnsi="宋体" w:cs="宋体"/>
          <w:color w:val="auto"/>
          <w:highlight w:val="none"/>
        </w:rPr>
      </w:pPr>
    </w:p>
    <w:p w14:paraId="4F23C5C0">
      <w:pPr>
        <w:pStyle w:val="25"/>
        <w:snapToGrid w:val="0"/>
        <w:spacing w:before="120" w:after="120"/>
        <w:rPr>
          <w:rFonts w:hint="eastAsia" w:hAnsi="宋体" w:cs="宋体"/>
          <w:color w:val="auto"/>
          <w:highlight w:val="none"/>
        </w:rPr>
      </w:pPr>
    </w:p>
    <w:p w14:paraId="7C39DA59">
      <w:pPr>
        <w:pStyle w:val="25"/>
        <w:snapToGrid w:val="0"/>
        <w:spacing w:before="120" w:after="120"/>
        <w:rPr>
          <w:rFonts w:hint="eastAsia" w:hAnsi="宋体" w:cs="宋体"/>
          <w:color w:val="auto"/>
          <w:highlight w:val="none"/>
        </w:rPr>
      </w:pPr>
    </w:p>
    <w:p w14:paraId="50FF994B">
      <w:pPr>
        <w:pStyle w:val="25"/>
        <w:snapToGrid w:val="0"/>
        <w:spacing w:before="120" w:after="120"/>
        <w:rPr>
          <w:rFonts w:hint="eastAsia" w:hAnsi="宋体" w:cs="宋体"/>
          <w:color w:val="auto"/>
          <w:highlight w:val="none"/>
        </w:rPr>
      </w:pPr>
    </w:p>
    <w:p w14:paraId="5489F46C">
      <w:pPr>
        <w:pStyle w:val="25"/>
        <w:snapToGrid w:val="0"/>
        <w:spacing w:before="120" w:after="120"/>
        <w:rPr>
          <w:rFonts w:hint="eastAsia" w:hAnsi="宋体" w:cs="宋体"/>
          <w:color w:val="auto"/>
          <w:highlight w:val="none"/>
        </w:rPr>
      </w:pPr>
    </w:p>
    <w:p w14:paraId="3DFB381B">
      <w:pPr>
        <w:pStyle w:val="25"/>
        <w:snapToGrid w:val="0"/>
        <w:spacing w:before="120" w:after="120"/>
        <w:rPr>
          <w:rFonts w:hint="eastAsia" w:hAnsi="宋体" w:cs="宋体"/>
          <w:color w:val="auto"/>
          <w:highlight w:val="none"/>
        </w:rPr>
      </w:pPr>
    </w:p>
    <w:p w14:paraId="410E546B">
      <w:pPr>
        <w:pStyle w:val="3"/>
        <w:keepNext w:val="0"/>
        <w:keepLines w:val="0"/>
        <w:jc w:val="center"/>
        <w:rPr>
          <w:rFonts w:hint="eastAsia" w:ascii="宋体" w:hAnsi="宋体" w:eastAsia="宋体" w:cs="宋体"/>
          <w:color w:val="auto"/>
          <w:highlight w:val="none"/>
        </w:rPr>
      </w:pPr>
      <w:bookmarkStart w:id="100" w:name="_Toc254970548"/>
      <w:bookmarkStart w:id="101" w:name="_Toc19686832"/>
      <w:bookmarkStart w:id="102" w:name="_Toc330456896"/>
      <w:bookmarkStart w:id="103" w:name="_Toc254970689"/>
      <w:r>
        <w:rPr>
          <w:rFonts w:hint="eastAsia" w:ascii="宋体" w:hAnsi="宋体" w:eastAsia="宋体" w:cs="宋体"/>
          <w:color w:val="auto"/>
          <w:highlight w:val="none"/>
        </w:rPr>
        <w:t>第四章  评标方法及评标标准</w:t>
      </w:r>
      <w:bookmarkEnd w:id="100"/>
      <w:bookmarkEnd w:id="101"/>
      <w:bookmarkEnd w:id="102"/>
      <w:bookmarkEnd w:id="103"/>
    </w:p>
    <w:p w14:paraId="2C464123">
      <w:pPr>
        <w:pStyle w:val="25"/>
        <w:spacing w:before="120" w:after="120"/>
        <w:outlineLvl w:val="0"/>
        <w:rPr>
          <w:rFonts w:hint="eastAsia" w:hAnsi="宋体" w:cs="宋体"/>
          <w:b/>
          <w:color w:val="auto"/>
          <w:highlight w:val="none"/>
        </w:rPr>
      </w:pPr>
      <w:bookmarkStart w:id="104" w:name="_Toc254970690"/>
      <w:bookmarkStart w:id="105" w:name="_Toc254970549"/>
    </w:p>
    <w:bookmarkEnd w:id="104"/>
    <w:bookmarkEnd w:id="105"/>
    <w:p w14:paraId="1C9EF726">
      <w:pPr>
        <w:pStyle w:val="25"/>
        <w:spacing w:before="120" w:after="120"/>
        <w:outlineLvl w:val="0"/>
        <w:rPr>
          <w:rFonts w:hint="eastAsia" w:hAnsi="宋体" w:cs="宋体"/>
          <w:bCs/>
          <w:color w:val="auto"/>
          <w:sz w:val="32"/>
          <w:szCs w:val="32"/>
          <w:highlight w:val="none"/>
        </w:rPr>
      </w:pPr>
    </w:p>
    <w:p w14:paraId="7EB00818">
      <w:pPr>
        <w:pStyle w:val="25"/>
        <w:spacing w:before="120" w:after="120"/>
        <w:outlineLvl w:val="0"/>
        <w:rPr>
          <w:rFonts w:hint="eastAsia" w:hAnsi="宋体" w:cs="宋体"/>
          <w:bCs/>
          <w:color w:val="auto"/>
          <w:sz w:val="32"/>
          <w:szCs w:val="32"/>
          <w:highlight w:val="none"/>
        </w:rPr>
      </w:pPr>
    </w:p>
    <w:p w14:paraId="57E19E72">
      <w:pPr>
        <w:pStyle w:val="25"/>
        <w:spacing w:before="120" w:after="120"/>
        <w:outlineLvl w:val="0"/>
        <w:rPr>
          <w:rFonts w:hint="eastAsia" w:hAnsi="宋体" w:cs="宋体"/>
          <w:bCs/>
          <w:color w:val="auto"/>
          <w:sz w:val="32"/>
          <w:szCs w:val="32"/>
          <w:highlight w:val="none"/>
        </w:rPr>
      </w:pPr>
    </w:p>
    <w:p w14:paraId="2A1656B9">
      <w:pPr>
        <w:spacing w:before="120" w:beforeLines="50" w:after="120" w:afterLines="50" w:line="400" w:lineRule="exact"/>
        <w:rPr>
          <w:rFonts w:hint="eastAsia" w:ascii="宋体" w:hAnsi="宋体" w:cs="宋体"/>
          <w:b/>
          <w:color w:val="auto"/>
          <w:sz w:val="24"/>
          <w:highlight w:val="none"/>
        </w:rPr>
      </w:pPr>
    </w:p>
    <w:p w14:paraId="3F9F9168">
      <w:pPr>
        <w:spacing w:before="120" w:beforeLines="50" w:after="120" w:afterLines="50" w:line="400" w:lineRule="exact"/>
        <w:rPr>
          <w:rFonts w:hint="eastAsia" w:ascii="宋体" w:hAnsi="宋体" w:cs="宋体"/>
          <w:b/>
          <w:color w:val="auto"/>
          <w:sz w:val="24"/>
          <w:highlight w:val="none"/>
        </w:rPr>
      </w:pPr>
    </w:p>
    <w:p w14:paraId="69B96006">
      <w:pPr>
        <w:spacing w:before="120" w:beforeLines="50" w:after="120" w:afterLines="50" w:line="400" w:lineRule="exact"/>
        <w:rPr>
          <w:rFonts w:hint="eastAsia" w:ascii="宋体" w:hAnsi="宋体" w:cs="宋体"/>
          <w:b/>
          <w:color w:val="auto"/>
          <w:sz w:val="24"/>
          <w:highlight w:val="none"/>
        </w:rPr>
      </w:pPr>
    </w:p>
    <w:p w14:paraId="7A6EDED8">
      <w:pPr>
        <w:spacing w:before="120" w:beforeLines="50" w:after="120" w:afterLines="50" w:line="400" w:lineRule="exact"/>
        <w:rPr>
          <w:rFonts w:hint="eastAsia" w:ascii="宋体" w:hAnsi="宋体" w:cs="宋体"/>
          <w:b/>
          <w:color w:val="auto"/>
          <w:sz w:val="24"/>
          <w:highlight w:val="none"/>
        </w:rPr>
      </w:pPr>
    </w:p>
    <w:p w14:paraId="2700186A">
      <w:pPr>
        <w:spacing w:before="120" w:beforeLines="50" w:after="120" w:afterLines="50" w:line="400" w:lineRule="exact"/>
        <w:rPr>
          <w:rFonts w:hint="eastAsia" w:ascii="宋体" w:hAnsi="宋体" w:cs="宋体"/>
          <w:b/>
          <w:color w:val="auto"/>
          <w:sz w:val="24"/>
          <w:highlight w:val="none"/>
        </w:rPr>
      </w:pPr>
    </w:p>
    <w:p w14:paraId="3D69DC53">
      <w:pPr>
        <w:spacing w:before="120" w:beforeLines="50" w:after="120" w:afterLines="50" w:line="400" w:lineRule="exact"/>
        <w:rPr>
          <w:rFonts w:hint="eastAsia" w:ascii="宋体" w:hAnsi="宋体" w:cs="宋体"/>
          <w:b/>
          <w:color w:val="auto"/>
          <w:sz w:val="24"/>
          <w:highlight w:val="none"/>
        </w:rPr>
      </w:pPr>
    </w:p>
    <w:p w14:paraId="10C9E2B0">
      <w:pPr>
        <w:spacing w:before="120" w:beforeLines="50" w:after="120" w:afterLines="50" w:line="400" w:lineRule="exact"/>
        <w:rPr>
          <w:rFonts w:hint="eastAsia" w:ascii="宋体" w:hAnsi="宋体" w:cs="宋体"/>
          <w:b/>
          <w:color w:val="auto"/>
          <w:sz w:val="24"/>
          <w:highlight w:val="none"/>
        </w:rPr>
      </w:pPr>
    </w:p>
    <w:p w14:paraId="3A18C6D8">
      <w:pPr>
        <w:pStyle w:val="25"/>
        <w:spacing w:line="360" w:lineRule="exact"/>
        <w:rPr>
          <w:rFonts w:hint="eastAsia" w:hAnsi="宋体" w:cs="宋体"/>
          <w:b/>
          <w:color w:val="auto"/>
          <w:sz w:val="24"/>
          <w:highlight w:val="none"/>
        </w:rPr>
      </w:pPr>
    </w:p>
    <w:p w14:paraId="1582A8CB">
      <w:pPr>
        <w:pStyle w:val="25"/>
        <w:spacing w:line="360" w:lineRule="exact"/>
        <w:rPr>
          <w:rFonts w:hint="eastAsia" w:hAnsi="宋体" w:cs="宋体"/>
          <w:b/>
          <w:color w:val="auto"/>
          <w:sz w:val="24"/>
          <w:highlight w:val="none"/>
        </w:rPr>
      </w:pPr>
    </w:p>
    <w:p w14:paraId="44CD0FC7">
      <w:pPr>
        <w:pStyle w:val="25"/>
        <w:spacing w:line="360" w:lineRule="exact"/>
        <w:rPr>
          <w:rFonts w:hint="eastAsia" w:hAnsi="宋体" w:cs="宋体"/>
          <w:b/>
          <w:color w:val="auto"/>
          <w:sz w:val="24"/>
          <w:highlight w:val="none"/>
        </w:rPr>
      </w:pPr>
    </w:p>
    <w:p w14:paraId="5D79C55C">
      <w:pPr>
        <w:pStyle w:val="25"/>
        <w:spacing w:line="360" w:lineRule="exact"/>
        <w:rPr>
          <w:rFonts w:hint="eastAsia" w:hAnsi="宋体" w:cs="宋体"/>
          <w:b/>
          <w:color w:val="auto"/>
          <w:sz w:val="24"/>
          <w:highlight w:val="none"/>
        </w:rPr>
      </w:pPr>
    </w:p>
    <w:p w14:paraId="12A7E472">
      <w:pPr>
        <w:pStyle w:val="25"/>
        <w:spacing w:line="360" w:lineRule="exact"/>
        <w:rPr>
          <w:rFonts w:hint="eastAsia" w:hAnsi="宋体" w:cs="宋体"/>
          <w:bCs/>
          <w:color w:val="auto"/>
          <w:highlight w:val="none"/>
        </w:rPr>
      </w:pPr>
      <w:r>
        <w:rPr>
          <w:rFonts w:hint="eastAsia" w:hAnsi="宋体" w:cs="宋体"/>
          <w:bCs/>
          <w:color w:val="auto"/>
          <w:highlight w:val="none"/>
        </w:rPr>
        <w:t xml:space="preserve"> </w:t>
      </w:r>
    </w:p>
    <w:p w14:paraId="6C04897B">
      <w:pPr>
        <w:spacing w:line="560" w:lineRule="exact"/>
        <w:jc w:val="center"/>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评标方法及评分标准</w:t>
      </w:r>
    </w:p>
    <w:p w14:paraId="21BB0D87">
      <w:pPr>
        <w:pStyle w:val="40"/>
        <w:keepNext w:val="0"/>
        <w:keepLines w:val="0"/>
        <w:pageBreakBefore w:val="0"/>
        <w:widowControl w:val="0"/>
        <w:tabs>
          <w:tab w:val="right" w:leader="dot" w:pos="9185"/>
        </w:tabs>
        <w:kinsoku/>
        <w:wordWrap/>
        <w:overflowPunct/>
        <w:topLinePunct w:val="0"/>
        <w:autoSpaceDE/>
        <w:autoSpaceDN/>
        <w:bidi w:val="0"/>
        <w:adjustRightInd/>
        <w:snapToGrid/>
        <w:spacing w:line="340" w:lineRule="exact"/>
        <w:ind w:left="0" w:leftChars="0" w:firstLine="0" w:firstLineChars="0"/>
        <w:textAlignment w:val="auto"/>
        <w:rPr>
          <w:rFonts w:hint="eastAsia"/>
          <w:b/>
          <w:bCs/>
          <w:color w:val="auto"/>
          <w:szCs w:val="21"/>
          <w:highlight w:val="none"/>
        </w:rPr>
      </w:pPr>
      <w:r>
        <w:rPr>
          <w:rFonts w:hint="eastAsia"/>
          <w:b/>
          <w:bCs/>
          <w:color w:val="auto"/>
          <w:szCs w:val="21"/>
          <w:highlight w:val="none"/>
        </w:rPr>
        <w:t>一、评标原则</w:t>
      </w:r>
    </w:p>
    <w:p w14:paraId="54906E35">
      <w:pPr>
        <w:pStyle w:val="40"/>
        <w:keepNext w:val="0"/>
        <w:keepLines w:val="0"/>
        <w:pageBreakBefore w:val="0"/>
        <w:widowControl w:val="0"/>
        <w:tabs>
          <w:tab w:val="right" w:leader="dot" w:pos="9185"/>
        </w:tabs>
        <w:kinsoku/>
        <w:wordWrap/>
        <w:overflowPunct/>
        <w:topLinePunct w:val="0"/>
        <w:autoSpaceDE/>
        <w:autoSpaceDN/>
        <w:bidi w:val="0"/>
        <w:adjustRightInd/>
        <w:snapToGrid/>
        <w:spacing w:line="340" w:lineRule="exact"/>
        <w:ind w:left="0" w:leftChars="0" w:firstLine="0" w:firstLineChars="0"/>
        <w:textAlignment w:val="auto"/>
        <w:rPr>
          <w:rFonts w:hint="eastAsia"/>
          <w:bCs/>
          <w:color w:val="auto"/>
          <w:szCs w:val="21"/>
          <w:highlight w:val="none"/>
        </w:rPr>
      </w:pPr>
      <w:r>
        <w:rPr>
          <w:rFonts w:hint="eastAsia"/>
          <w:bCs/>
          <w:color w:val="auto"/>
          <w:szCs w:val="21"/>
          <w:highlight w:val="none"/>
        </w:rPr>
        <w:t xml:space="preserve">    （一）评委组成：本招标采购项目的评标委员会由采购人代表和评审专家组成，成员人数应当为五人以上单数。其中，评审专家不得少于成员总数的三分之二。</w:t>
      </w:r>
    </w:p>
    <w:p w14:paraId="2726E0EA">
      <w:pPr>
        <w:pStyle w:val="40"/>
        <w:keepNext w:val="0"/>
        <w:keepLines w:val="0"/>
        <w:pageBreakBefore w:val="0"/>
        <w:widowControl w:val="0"/>
        <w:tabs>
          <w:tab w:val="right" w:leader="dot" w:pos="9185"/>
        </w:tabs>
        <w:kinsoku/>
        <w:wordWrap/>
        <w:overflowPunct/>
        <w:topLinePunct w:val="0"/>
        <w:autoSpaceDE/>
        <w:autoSpaceDN/>
        <w:bidi w:val="0"/>
        <w:adjustRightInd/>
        <w:snapToGrid/>
        <w:spacing w:line="340" w:lineRule="exact"/>
        <w:ind w:left="0" w:leftChars="0" w:firstLine="420" w:firstLineChars="0"/>
        <w:textAlignment w:val="auto"/>
        <w:rPr>
          <w:rFonts w:hint="eastAsia"/>
          <w:bCs/>
          <w:color w:val="auto"/>
          <w:szCs w:val="21"/>
          <w:highlight w:val="none"/>
        </w:rPr>
      </w:pPr>
      <w:r>
        <w:rPr>
          <w:rFonts w:hint="eastAsia"/>
          <w:bCs/>
          <w:color w:val="auto"/>
          <w:szCs w:val="21"/>
          <w:highlight w:val="none"/>
        </w:rPr>
        <w:t>（二）评标依据：评委将以招投标文件为评标依据，对投标人的投标文件内容按百分制打分。</w:t>
      </w:r>
    </w:p>
    <w:p w14:paraId="0F3EC1ED">
      <w:pPr>
        <w:pStyle w:val="40"/>
        <w:keepNext w:val="0"/>
        <w:keepLines w:val="0"/>
        <w:pageBreakBefore w:val="0"/>
        <w:widowControl w:val="0"/>
        <w:tabs>
          <w:tab w:val="right" w:leader="dot" w:pos="9185"/>
        </w:tabs>
        <w:kinsoku/>
        <w:wordWrap/>
        <w:overflowPunct/>
        <w:topLinePunct w:val="0"/>
        <w:autoSpaceDE/>
        <w:autoSpaceDN/>
        <w:bidi w:val="0"/>
        <w:adjustRightInd/>
        <w:snapToGrid/>
        <w:spacing w:line="340" w:lineRule="exact"/>
        <w:ind w:left="0" w:leftChars="0" w:firstLine="420" w:firstLineChars="0"/>
        <w:textAlignment w:val="auto"/>
        <w:rPr>
          <w:rFonts w:hint="eastAsia"/>
          <w:bCs/>
          <w:color w:val="auto"/>
          <w:szCs w:val="21"/>
          <w:highlight w:val="none"/>
        </w:rPr>
      </w:pPr>
      <w:r>
        <w:rPr>
          <w:rFonts w:hint="eastAsia"/>
          <w:bCs/>
          <w:color w:val="auto"/>
          <w:szCs w:val="21"/>
          <w:highlight w:val="none"/>
        </w:rPr>
        <w:t>（三）评标方式：以封闭方式进行。</w:t>
      </w:r>
    </w:p>
    <w:p w14:paraId="0CB4DA64">
      <w:pPr>
        <w:pStyle w:val="40"/>
        <w:keepNext w:val="0"/>
        <w:keepLines w:val="0"/>
        <w:pageBreakBefore w:val="0"/>
        <w:widowControl w:val="0"/>
        <w:tabs>
          <w:tab w:val="right" w:leader="dot" w:pos="9185"/>
        </w:tabs>
        <w:kinsoku/>
        <w:wordWrap/>
        <w:overflowPunct/>
        <w:topLinePunct w:val="0"/>
        <w:autoSpaceDE/>
        <w:autoSpaceDN/>
        <w:bidi w:val="0"/>
        <w:adjustRightInd/>
        <w:snapToGrid/>
        <w:spacing w:line="340" w:lineRule="exact"/>
        <w:ind w:left="0" w:leftChars="0" w:firstLine="0" w:firstLineChars="0"/>
        <w:textAlignment w:val="auto"/>
        <w:rPr>
          <w:b/>
          <w:bCs/>
          <w:color w:val="auto"/>
          <w:szCs w:val="21"/>
          <w:highlight w:val="none"/>
        </w:rPr>
      </w:pPr>
      <w:r>
        <w:rPr>
          <w:rFonts w:hint="eastAsia"/>
          <w:b/>
          <w:bCs/>
          <w:color w:val="auto"/>
          <w:szCs w:val="21"/>
          <w:highlight w:val="none"/>
        </w:rPr>
        <w:t>二、评标方法</w:t>
      </w:r>
    </w:p>
    <w:p w14:paraId="5CD05673">
      <w:pPr>
        <w:pStyle w:val="40"/>
        <w:keepNext w:val="0"/>
        <w:keepLines w:val="0"/>
        <w:pageBreakBefore w:val="0"/>
        <w:widowControl w:val="0"/>
        <w:tabs>
          <w:tab w:val="right" w:leader="dot" w:pos="9185"/>
        </w:tabs>
        <w:kinsoku/>
        <w:wordWrap/>
        <w:overflowPunct/>
        <w:topLinePunct w:val="0"/>
        <w:autoSpaceDE/>
        <w:autoSpaceDN/>
        <w:bidi w:val="0"/>
        <w:adjustRightInd/>
        <w:snapToGrid/>
        <w:spacing w:line="340" w:lineRule="exact"/>
        <w:ind w:left="0" w:leftChars="0" w:firstLine="0" w:firstLineChars="0"/>
        <w:textAlignment w:val="auto"/>
        <w:rPr>
          <w:bCs/>
          <w:color w:val="auto"/>
          <w:szCs w:val="21"/>
          <w:highlight w:val="none"/>
        </w:rPr>
      </w:pPr>
      <w:r>
        <w:rPr>
          <w:rFonts w:hint="eastAsia"/>
          <w:bCs/>
          <w:color w:val="auto"/>
          <w:szCs w:val="21"/>
          <w:highlight w:val="none"/>
        </w:rPr>
        <w:t>（一）对进入详评的，采用百分制综合评分法。</w:t>
      </w:r>
    </w:p>
    <w:p w14:paraId="69051B15">
      <w:pPr>
        <w:pStyle w:val="40"/>
        <w:keepNext w:val="0"/>
        <w:keepLines w:val="0"/>
        <w:pageBreakBefore w:val="0"/>
        <w:widowControl w:val="0"/>
        <w:tabs>
          <w:tab w:val="right" w:leader="dot" w:pos="9185"/>
        </w:tabs>
        <w:kinsoku/>
        <w:wordWrap/>
        <w:overflowPunct/>
        <w:topLinePunct w:val="0"/>
        <w:autoSpaceDE/>
        <w:autoSpaceDN/>
        <w:bidi w:val="0"/>
        <w:adjustRightInd/>
        <w:snapToGrid/>
        <w:spacing w:line="340" w:lineRule="exact"/>
        <w:ind w:left="0" w:leftChars="0" w:firstLine="0" w:firstLineChars="0"/>
        <w:textAlignment w:val="auto"/>
        <w:rPr>
          <w:bCs/>
          <w:color w:val="auto"/>
          <w:szCs w:val="21"/>
          <w:highlight w:val="none"/>
        </w:rPr>
      </w:pPr>
      <w:r>
        <w:rPr>
          <w:rFonts w:hint="eastAsia"/>
          <w:bCs/>
          <w:color w:val="auto"/>
          <w:szCs w:val="21"/>
          <w:highlight w:val="none"/>
        </w:rPr>
        <w:t>（二）计分办法（按四舍五入取至百分位）：</w:t>
      </w:r>
    </w:p>
    <w:p w14:paraId="0642C5C5">
      <w:pPr>
        <w:spacing w:line="340" w:lineRule="exact"/>
        <w:rPr>
          <w:b/>
          <w:color w:val="auto"/>
          <w:szCs w:val="21"/>
          <w:highlight w:val="none"/>
        </w:rPr>
      </w:pPr>
      <w:r>
        <w:rPr>
          <w:b/>
          <w:color w:val="auto"/>
          <w:szCs w:val="21"/>
          <w:highlight w:val="none"/>
        </w:rPr>
        <w:t>1</w:t>
      </w:r>
      <w:r>
        <w:rPr>
          <w:rFonts w:hint="eastAsia"/>
          <w:b/>
          <w:color w:val="auto"/>
          <w:szCs w:val="21"/>
          <w:highlight w:val="none"/>
        </w:rPr>
        <w:t>、价格分…………………………………………………………………………………………………</w:t>
      </w:r>
      <w:r>
        <w:rPr>
          <w:rFonts w:hint="eastAsia"/>
          <w:b/>
          <w:color w:val="auto"/>
          <w:szCs w:val="21"/>
          <w:highlight w:val="none"/>
          <w:u w:val="none"/>
          <w:lang w:val="en-US" w:eastAsia="zh-CN"/>
        </w:rPr>
        <w:t>15</w:t>
      </w:r>
      <w:r>
        <w:rPr>
          <w:rFonts w:hint="eastAsia"/>
          <w:b/>
          <w:color w:val="auto"/>
          <w:szCs w:val="21"/>
          <w:highlight w:val="none"/>
        </w:rPr>
        <w:t>分</w:t>
      </w:r>
    </w:p>
    <w:p w14:paraId="0B325EA0">
      <w:pPr>
        <w:pStyle w:val="124"/>
        <w:spacing w:line="340" w:lineRule="exact"/>
        <w:ind w:firstLine="420" w:firstLineChars="200"/>
        <w:rPr>
          <w:rFonts w:hint="eastAsia"/>
          <w:color w:val="auto"/>
          <w:sz w:val="21"/>
          <w:highlight w:val="none"/>
        </w:rPr>
      </w:pPr>
      <w:r>
        <w:rPr>
          <w:rFonts w:hint="eastAsia"/>
          <w:color w:val="auto"/>
          <w:sz w:val="21"/>
          <w:highlight w:val="none"/>
        </w:rPr>
        <w:t>（1）符合《政府采购促进中小企业发展管理办法》（财库〔2020〕46号）的规定条件且按该办法中规定的格式提供了《中小企业声明函》的小型和微型企业，对投标价给予10%的扣除，扣除后的价格为评标价，即评标价=投标价×（1-10%）；除上述情况外，评标价=</w:t>
      </w:r>
      <w:r>
        <w:rPr>
          <w:rFonts w:hint="eastAsia"/>
          <w:b/>
          <w:bCs/>
          <w:color w:val="auto"/>
          <w:sz w:val="21"/>
          <w:szCs w:val="21"/>
          <w:highlight w:val="none"/>
        </w:rPr>
        <w:t>“金课”建设指导服务</w:t>
      </w:r>
      <w:r>
        <w:rPr>
          <w:rFonts w:hint="eastAsia"/>
          <w:color w:val="auto"/>
          <w:sz w:val="21"/>
          <w:szCs w:val="21"/>
          <w:highlight w:val="none"/>
        </w:rPr>
        <w:t>投标</w:t>
      </w:r>
      <w:r>
        <w:rPr>
          <w:rFonts w:hint="eastAsia"/>
          <w:color w:val="auto"/>
          <w:sz w:val="21"/>
          <w:highlight w:val="none"/>
        </w:rPr>
        <w:t>价。</w:t>
      </w:r>
    </w:p>
    <w:p w14:paraId="2BD0A9F5">
      <w:pPr>
        <w:pStyle w:val="124"/>
        <w:spacing w:line="340" w:lineRule="exact"/>
        <w:ind w:firstLine="420" w:firstLineChars="200"/>
        <w:rPr>
          <w:rFonts w:hint="eastAsia"/>
          <w:color w:val="auto"/>
          <w:sz w:val="21"/>
          <w:highlight w:val="none"/>
        </w:rPr>
      </w:pPr>
      <w:r>
        <w:rPr>
          <w:rFonts w:hint="eastAsia"/>
          <w:color w:val="auto"/>
          <w:sz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304295E">
      <w:pPr>
        <w:pStyle w:val="124"/>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sz w:val="21"/>
          <w:highlight w:val="none"/>
        </w:rPr>
      </w:pPr>
      <w:r>
        <w:rPr>
          <w:rFonts w:hint="eastAsia"/>
          <w:color w:val="auto"/>
          <w:sz w:val="21"/>
          <w:highlight w:val="none"/>
        </w:rPr>
        <w:t>按《关于促进残疾人就业政府采购政策的通知》</w:t>
      </w:r>
      <w:r>
        <w:rPr>
          <w:rFonts w:hint="eastAsia"/>
          <w:color w:val="auto"/>
          <w:sz w:val="21"/>
          <w:highlight w:val="none"/>
          <w:lang w:eastAsia="zh-CN"/>
        </w:rPr>
        <w:t>（</w:t>
      </w:r>
      <w:r>
        <w:rPr>
          <w:rFonts w:hint="eastAsia"/>
          <w:color w:val="auto"/>
          <w:sz w:val="21"/>
          <w:highlight w:val="none"/>
        </w:rPr>
        <w:t>财库〔2017〕141号</w:t>
      </w:r>
      <w:r>
        <w:rPr>
          <w:rFonts w:hint="eastAsia"/>
          <w:color w:val="auto"/>
          <w:sz w:val="21"/>
          <w:highlight w:val="none"/>
          <w:lang w:eastAsia="zh-CN"/>
        </w:rPr>
        <w:t>）</w:t>
      </w:r>
      <w:r>
        <w:rPr>
          <w:rFonts w:hint="eastAsia"/>
          <w:color w:val="auto"/>
          <w:sz w:val="21"/>
          <w:highlight w:val="none"/>
        </w:rPr>
        <w:t>认定为残疾人福利性单位的，在政府采购活动中，残疾人福利性单位视同小型、微型企业。残疾人福利性单位参加政府采购活动时，应当提供该通知规定的《残疾人福利性单位声明函》，并对声明的真实性负责。</w:t>
      </w:r>
    </w:p>
    <w:p w14:paraId="402BA4B8">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olor w:val="auto"/>
          <w:szCs w:val="21"/>
          <w:highlight w:val="none"/>
          <w:u w:val="none"/>
        </w:rPr>
      </w:pPr>
      <w:r>
        <w:rPr>
          <w:rFonts w:hint="eastAsia" w:ascii="宋体" w:hAnsi="宋体"/>
          <w:color w:val="auto"/>
          <w:szCs w:val="21"/>
          <w:highlight w:val="none"/>
        </w:rPr>
        <w:t>（2）以进入评标的最低的“金课”建设指导服务评标价</w:t>
      </w:r>
      <w:r>
        <w:rPr>
          <w:rFonts w:hint="eastAsia" w:ascii="宋体" w:hAnsi="宋体"/>
          <w:color w:val="auto"/>
          <w:szCs w:val="21"/>
          <w:highlight w:val="none"/>
          <w:u w:val="none"/>
        </w:rPr>
        <w:t>为</w:t>
      </w:r>
      <w:r>
        <w:rPr>
          <w:rFonts w:hint="eastAsia" w:ascii="宋体" w:hAnsi="宋体"/>
          <w:color w:val="auto"/>
          <w:szCs w:val="21"/>
          <w:highlight w:val="none"/>
          <w:u w:val="none"/>
          <w:lang w:val="en-US" w:eastAsia="zh-CN"/>
        </w:rPr>
        <w:t>15</w:t>
      </w:r>
      <w:r>
        <w:rPr>
          <w:rFonts w:hint="eastAsia" w:ascii="宋体" w:hAnsi="宋体"/>
          <w:color w:val="auto"/>
          <w:szCs w:val="21"/>
          <w:highlight w:val="none"/>
          <w:u w:val="none"/>
        </w:rPr>
        <w:t>分。</w:t>
      </w:r>
    </w:p>
    <w:p w14:paraId="716A8FEA">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olor w:val="auto"/>
          <w:szCs w:val="21"/>
          <w:highlight w:val="none"/>
          <w:u w:val="none"/>
        </w:rPr>
      </w:pPr>
      <w:r>
        <w:rPr>
          <w:rFonts w:hint="eastAsia" w:ascii="宋体" w:hAnsi="宋体"/>
          <w:color w:val="auto"/>
          <w:szCs w:val="21"/>
          <w:highlight w:val="none"/>
          <w:u w:val="none"/>
        </w:rPr>
        <w:t>（3）某投标人价格分</w:t>
      </w:r>
      <w:r>
        <w:rPr>
          <w:rFonts w:ascii="宋体" w:hAnsi="宋体"/>
          <w:color w:val="auto"/>
          <w:szCs w:val="21"/>
          <w:highlight w:val="none"/>
          <w:u w:val="none"/>
        </w:rPr>
        <w:t xml:space="preserve"> = </w:t>
      </w:r>
      <w:r>
        <w:rPr>
          <w:rFonts w:hint="eastAsia" w:ascii="宋体" w:hAnsi="宋体"/>
          <w:bCs/>
          <w:color w:val="auto"/>
          <w:szCs w:val="21"/>
          <w:highlight w:val="none"/>
          <w:u w:val="none"/>
        </w:rPr>
        <w:t>投标人最低</w:t>
      </w:r>
      <w:r>
        <w:rPr>
          <w:rFonts w:hint="eastAsia" w:ascii="宋体" w:hAnsi="宋体"/>
          <w:color w:val="auto"/>
          <w:szCs w:val="21"/>
          <w:highlight w:val="none"/>
          <w:u w:val="none"/>
        </w:rPr>
        <w:t>评标价</w:t>
      </w:r>
      <w:r>
        <w:rPr>
          <w:rFonts w:ascii="宋体" w:hAnsi="宋体"/>
          <w:bCs/>
          <w:color w:val="auto"/>
          <w:szCs w:val="21"/>
          <w:highlight w:val="none"/>
          <w:u w:val="none"/>
        </w:rPr>
        <w:t>/</w:t>
      </w:r>
      <w:r>
        <w:rPr>
          <w:rFonts w:hint="eastAsia" w:ascii="宋体" w:hAnsi="宋体"/>
          <w:bCs/>
          <w:color w:val="auto"/>
          <w:szCs w:val="21"/>
          <w:highlight w:val="none"/>
          <w:u w:val="none"/>
        </w:rPr>
        <w:t>某投标人</w:t>
      </w:r>
      <w:r>
        <w:rPr>
          <w:rFonts w:hint="eastAsia" w:ascii="宋体" w:hAnsi="宋体"/>
          <w:color w:val="auto"/>
          <w:szCs w:val="21"/>
          <w:highlight w:val="none"/>
          <w:u w:val="none"/>
        </w:rPr>
        <w:t>评标价×</w:t>
      </w:r>
      <w:r>
        <w:rPr>
          <w:rFonts w:hint="eastAsia" w:ascii="宋体" w:hAnsi="宋体"/>
          <w:color w:val="auto"/>
          <w:szCs w:val="21"/>
          <w:highlight w:val="none"/>
          <w:u w:val="none"/>
          <w:lang w:val="en-US" w:eastAsia="zh-CN"/>
        </w:rPr>
        <w:t>15</w:t>
      </w:r>
      <w:r>
        <w:rPr>
          <w:rFonts w:hint="eastAsia" w:ascii="宋体" w:hAnsi="宋体"/>
          <w:color w:val="auto"/>
          <w:szCs w:val="21"/>
          <w:highlight w:val="none"/>
          <w:u w:val="none"/>
        </w:rPr>
        <w:t>分</w:t>
      </w:r>
    </w:p>
    <w:p w14:paraId="5E9E48DC">
      <w:pPr>
        <w:keepNext w:val="0"/>
        <w:keepLines w:val="0"/>
        <w:pageBreakBefore w:val="0"/>
        <w:widowControl w:val="0"/>
        <w:kinsoku/>
        <w:wordWrap/>
        <w:overflowPunct/>
        <w:topLinePunct w:val="0"/>
        <w:autoSpaceDE/>
        <w:autoSpaceDN/>
        <w:bidi w:val="0"/>
        <w:adjustRightInd/>
        <w:spacing w:line="340" w:lineRule="exact"/>
        <w:ind w:firstLine="0" w:firstLineChars="0"/>
        <w:textAlignment w:val="auto"/>
        <w:rPr>
          <w:rFonts w:hint="eastAsia" w:hAnsi="宋体" w:cs="仿宋"/>
          <w:b/>
          <w:color w:val="auto"/>
          <w:highlight w:val="none"/>
        </w:rPr>
      </w:pPr>
      <w:r>
        <w:rPr>
          <w:rFonts w:hint="eastAsia" w:hAnsi="宋体" w:cs="仿宋"/>
          <w:b/>
          <w:color w:val="auto"/>
          <w:highlight w:val="none"/>
        </w:rPr>
        <w:t>2、</w:t>
      </w:r>
      <w:r>
        <w:rPr>
          <w:rFonts w:hint="eastAsia" w:hAnsi="宋体" w:cs="仿宋"/>
          <w:b/>
          <w:color w:val="auto"/>
          <w:highlight w:val="none"/>
          <w:lang w:eastAsia="zh-CN"/>
        </w:rPr>
        <w:t>技术响应</w:t>
      </w:r>
      <w:r>
        <w:rPr>
          <w:rFonts w:hint="eastAsia" w:hAnsi="宋体" w:cs="仿宋"/>
          <w:b/>
          <w:color w:val="auto"/>
          <w:highlight w:val="none"/>
          <w:lang w:val="en-US" w:eastAsia="zh-CN"/>
        </w:rPr>
        <w:t>分</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bCs w:val="0"/>
          <w:color w:val="auto"/>
          <w:highlight w:val="none"/>
          <w:u w:val="none"/>
          <w:lang w:val="en-US" w:eastAsia="zh-CN"/>
        </w:rPr>
        <w:t>5</w:t>
      </w:r>
      <w:r>
        <w:rPr>
          <w:rFonts w:hint="eastAsia" w:hAnsi="宋体" w:cs="仿宋"/>
          <w:b/>
          <w:bCs w:val="0"/>
          <w:color w:val="auto"/>
          <w:highlight w:val="none"/>
          <w:u w:val="none"/>
        </w:rPr>
        <w:t>分</w:t>
      </w:r>
    </w:p>
    <w:p w14:paraId="75E16C8A">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hAnsi="宋体" w:cs="仿宋"/>
          <w:b w:val="0"/>
          <w:bCs/>
          <w:color w:val="auto"/>
          <w:highlight w:val="none"/>
          <w:lang w:val="en-US" w:eastAsia="zh-CN"/>
        </w:rPr>
      </w:pPr>
      <w:r>
        <w:rPr>
          <w:rFonts w:hint="eastAsia" w:hAnsi="宋体" w:cs="仿宋"/>
          <w:b w:val="0"/>
          <w:bCs/>
          <w:color w:val="auto"/>
          <w:highlight w:val="none"/>
          <w:lang w:val="en-US" w:eastAsia="zh-CN"/>
        </w:rPr>
        <w:t>单项★号条款不满足要求的为无效投标。</w:t>
      </w:r>
    </w:p>
    <w:p w14:paraId="3112E350">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hAnsi="宋体" w:cs="仿宋"/>
          <w:b w:val="0"/>
          <w:bCs/>
          <w:color w:val="auto"/>
          <w:highlight w:val="none"/>
          <w:lang w:val="en-US" w:eastAsia="zh-CN"/>
        </w:rPr>
      </w:pPr>
      <w:r>
        <w:rPr>
          <w:rFonts w:hint="eastAsia" w:hAnsi="宋体" w:cs="仿宋"/>
          <w:b w:val="0"/>
          <w:bCs/>
          <w:color w:val="auto"/>
          <w:highlight w:val="none"/>
          <w:lang w:val="en-US" w:eastAsia="zh-CN"/>
        </w:rPr>
        <w:t>起评分为5分，一般技术指标参数（即未标注★号条款要求）低于（或不满足）招标文件规定的相应技术指标参数的，每有一项减0.5分，扣完为止。</w:t>
      </w:r>
    </w:p>
    <w:p w14:paraId="47737115">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hAnsi="宋体" w:cs="仿宋"/>
          <w:b w:val="0"/>
          <w:bCs/>
          <w:color w:val="auto"/>
          <w:highlight w:val="none"/>
          <w:lang w:val="en-US" w:eastAsia="zh-CN"/>
        </w:rPr>
      </w:pPr>
      <w:r>
        <w:rPr>
          <w:rFonts w:hint="eastAsia" w:hAnsi="宋体" w:cs="仿宋"/>
          <w:b w:val="0"/>
          <w:bCs/>
          <w:color w:val="auto"/>
          <w:highlight w:val="none"/>
          <w:lang w:val="en-US" w:eastAsia="zh-CN"/>
        </w:rPr>
        <w:t>技术指标参数高于招标文件规定的相应技术指标参数的不加分。</w:t>
      </w:r>
    </w:p>
    <w:p w14:paraId="4C538F27">
      <w:pPr>
        <w:keepNext w:val="0"/>
        <w:keepLines w:val="0"/>
        <w:pageBreakBefore w:val="0"/>
        <w:widowControl w:val="0"/>
        <w:kinsoku/>
        <w:wordWrap/>
        <w:overflowPunct/>
        <w:topLinePunct w:val="0"/>
        <w:autoSpaceDE/>
        <w:autoSpaceDN/>
        <w:bidi w:val="0"/>
        <w:adjustRightInd/>
        <w:spacing w:line="340" w:lineRule="exact"/>
        <w:ind w:firstLine="0" w:firstLineChars="0"/>
        <w:textAlignment w:val="auto"/>
        <w:rPr>
          <w:rFonts w:hint="eastAsia" w:hAnsi="宋体" w:cs="仿宋"/>
          <w:b/>
          <w:color w:val="auto"/>
          <w:highlight w:val="none"/>
        </w:rPr>
      </w:pPr>
      <w:r>
        <w:rPr>
          <w:rFonts w:hint="eastAsia" w:hAnsi="宋体" w:cs="仿宋"/>
          <w:b/>
          <w:color w:val="auto"/>
          <w:highlight w:val="none"/>
          <w:lang w:val="en-US" w:eastAsia="zh-CN"/>
        </w:rPr>
        <w:t>3</w:t>
      </w:r>
      <w:r>
        <w:rPr>
          <w:rFonts w:hint="eastAsia" w:hAnsi="宋体" w:cs="仿宋"/>
          <w:b/>
          <w:color w:val="auto"/>
          <w:highlight w:val="none"/>
        </w:rPr>
        <w:t>、</w:t>
      </w:r>
      <w:r>
        <w:rPr>
          <w:rFonts w:hint="eastAsia" w:hAnsi="宋体" w:cs="仿宋"/>
          <w:b/>
          <w:color w:val="auto"/>
          <w:highlight w:val="none"/>
          <w:lang w:val="en-US" w:eastAsia="zh-CN"/>
        </w:rPr>
        <w:t>项目服务策划方案</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bCs w:val="0"/>
          <w:color w:val="auto"/>
          <w:highlight w:val="none"/>
          <w:u w:val="none"/>
          <w:lang w:val="en-US" w:eastAsia="zh-CN"/>
        </w:rPr>
        <w:t>5</w:t>
      </w:r>
      <w:r>
        <w:rPr>
          <w:rFonts w:hint="eastAsia" w:hAnsi="宋体" w:cs="仿宋"/>
          <w:b/>
          <w:bCs w:val="0"/>
          <w:color w:val="auto"/>
          <w:highlight w:val="none"/>
          <w:u w:val="none"/>
        </w:rPr>
        <w:t>分</w:t>
      </w:r>
    </w:p>
    <w:p w14:paraId="05E044F4">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一档（1分）：投标人根据本项目采购需求和技术服务要求提供了项目服务策划方案，提供了项目策划思路、服务内容、拟投入的软硬件设施设备情况，但方案粗略，不够符合本项目实际要求。</w:t>
      </w:r>
    </w:p>
    <w:p w14:paraId="6CB57EB4">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二档（3分）：投标人根据本项目采购需求和技术服务要求提供详细的项目策划方案，体现课程开发与运行的9道工序能力提升、课程开发流程与标准、课程开发模型与模板、面向东盟国际化教学资源制作、AI智能体辅导训练、教师能力训练平台、“金课”成果转化等方面具体策划服务内容、拟投入的软硬件设施设备情况、项目质量管理方案，培训建设内容、思路清晰，依据科学，并能结合项目需求在策划方案中提供相关课程开发的案例材料。</w:t>
      </w:r>
    </w:p>
    <w:p w14:paraId="49FA4181">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三档（5分）：投标人根据本项目采购需求和技术服务要求提供详细全面的项目策划方案及个性化服务方案，包含但不限于课程开发与运行的9道工序能力提升、课程开发流程与标准、课程开发模型与模板、面向东盟国际化教学资源制作、AI智能体辅导训练、教师能力训练平台、“金课”成果转化等方面的具体策划服务内容、拟投入的软硬件设施设备能为本项目履约实施提供切实保障、项目质量管理保障措施具体，培训建设内容、思路清晰，依据科学，并能结合项目需求在策划方案中提供相关课程开发的案例材料，类型科学，案例恰当符合采购实际。</w:t>
      </w:r>
    </w:p>
    <w:p w14:paraId="61D3D51A">
      <w:pPr>
        <w:keepNext w:val="0"/>
        <w:keepLines w:val="0"/>
        <w:pageBreakBefore w:val="0"/>
        <w:widowControl w:val="0"/>
        <w:kinsoku/>
        <w:wordWrap/>
        <w:overflowPunct/>
        <w:topLinePunct w:val="0"/>
        <w:autoSpaceDE/>
        <w:autoSpaceDN/>
        <w:bidi w:val="0"/>
        <w:adjustRightInd/>
        <w:spacing w:line="340" w:lineRule="exact"/>
        <w:ind w:firstLine="0" w:firstLineChars="0"/>
        <w:textAlignment w:val="auto"/>
        <w:rPr>
          <w:rFonts w:hint="eastAsia" w:hAnsi="宋体" w:cs="仿宋"/>
          <w:b/>
          <w:color w:val="auto"/>
          <w:highlight w:val="none"/>
        </w:rPr>
      </w:pPr>
      <w:r>
        <w:rPr>
          <w:rFonts w:hint="eastAsia" w:hAnsi="宋体" w:cs="仿宋"/>
          <w:b/>
          <w:color w:val="auto"/>
          <w:highlight w:val="none"/>
          <w:lang w:val="en-US" w:eastAsia="zh-CN"/>
        </w:rPr>
        <w:t>4.</w:t>
      </w:r>
      <w:r>
        <w:rPr>
          <w:rFonts w:hint="eastAsia" w:hAnsi="宋体" w:cs="仿宋"/>
          <w:b/>
          <w:color w:val="auto"/>
          <w:highlight w:val="none"/>
        </w:rPr>
        <w:t>数字教材编写出版方案分…………………………</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bCs w:val="0"/>
          <w:color w:val="auto"/>
          <w:highlight w:val="none"/>
          <w:u w:val="none"/>
          <w:lang w:val="en-US" w:eastAsia="zh-CN"/>
        </w:rPr>
        <w:t>5</w:t>
      </w:r>
      <w:r>
        <w:rPr>
          <w:rFonts w:hint="eastAsia" w:hAnsi="宋体" w:cs="仿宋"/>
          <w:b/>
          <w:bCs w:val="0"/>
          <w:color w:val="auto"/>
          <w:highlight w:val="none"/>
          <w:u w:val="none"/>
        </w:rPr>
        <w:t>分</w:t>
      </w:r>
    </w:p>
    <w:p w14:paraId="48D82D5F">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一档（1分）：提供的数字教材指导编写出版方案结合有视频、音频等多媒体元素，有简要的编写流程、标准，能满足本项目的编写及出版要求。</w:t>
      </w:r>
    </w:p>
    <w:p w14:paraId="16818F9E">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二档（3分）：提供有具体的21门金课数字教材指导编写方案，并结合视频、音频、动画等多媒体元素，编写流程、标准规范，符合教学大纲要求，建立内容审核流程，无版权争议，具有良好的数字教材出版渠道（提供承诺函或与相关出版方合作证明等佐证材料），能保障本项目金课数字教材编写及出版要求。</w:t>
      </w:r>
    </w:p>
    <w:p w14:paraId="6F7043E1">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三档（5分）：提供有详细有针对性的21门金课数字教材指导编写方案，结合视频、音频、动画、交互元素，结合前沿技术，提升教材互动性、实用性；编写流程、标准规范，逻辑清晰，符合教学大纲要求，建立有严格的内容审核流程，无版权争议，出版流程计划、管理具体周到，具有专业且与课程属性关联性强的数字教材出版渠道（提供承诺函或与相关出版方合作证明等佐证材料），能充分保障本项目金课数字教材编写及出版质量。</w:t>
      </w:r>
    </w:p>
    <w:p w14:paraId="4DDD4030">
      <w:pPr>
        <w:keepNext w:val="0"/>
        <w:keepLines w:val="0"/>
        <w:pageBreakBefore w:val="0"/>
        <w:widowControl w:val="0"/>
        <w:kinsoku/>
        <w:wordWrap/>
        <w:overflowPunct/>
        <w:topLinePunct w:val="0"/>
        <w:autoSpaceDE/>
        <w:autoSpaceDN/>
        <w:bidi w:val="0"/>
        <w:adjustRightInd/>
        <w:spacing w:line="340" w:lineRule="exact"/>
        <w:ind w:firstLine="0" w:firstLineChars="0"/>
        <w:textAlignment w:val="auto"/>
        <w:rPr>
          <w:rFonts w:hint="eastAsia" w:hAnsi="宋体" w:cs="仿宋"/>
          <w:b/>
          <w:color w:val="auto"/>
          <w:highlight w:val="none"/>
        </w:rPr>
      </w:pPr>
      <w:r>
        <w:rPr>
          <w:rFonts w:hint="eastAsia" w:hAnsi="宋体" w:cs="仿宋"/>
          <w:b/>
          <w:color w:val="auto"/>
          <w:highlight w:val="none"/>
          <w:lang w:val="en-US" w:eastAsia="zh-CN"/>
        </w:rPr>
        <w:t>5</w:t>
      </w:r>
      <w:r>
        <w:rPr>
          <w:rFonts w:hint="eastAsia" w:hAnsi="宋体" w:cs="仿宋"/>
          <w:b/>
          <w:color w:val="auto"/>
          <w:highlight w:val="none"/>
        </w:rPr>
        <w:t>、</w:t>
      </w:r>
      <w:r>
        <w:rPr>
          <w:rFonts w:hint="eastAsia" w:hAnsi="宋体" w:cs="仿宋"/>
          <w:b/>
          <w:color w:val="auto"/>
          <w:highlight w:val="none"/>
          <w:lang w:val="en-US" w:eastAsia="zh-CN"/>
        </w:rPr>
        <w:t>项目实施方案分</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bCs w:val="0"/>
          <w:color w:val="auto"/>
          <w:highlight w:val="none"/>
          <w:u w:val="none"/>
          <w:lang w:val="en-US" w:eastAsia="zh-CN"/>
        </w:rPr>
        <w:t>7</w:t>
      </w:r>
      <w:r>
        <w:rPr>
          <w:rFonts w:hint="eastAsia" w:hAnsi="宋体" w:cs="仿宋"/>
          <w:b/>
          <w:bCs w:val="0"/>
          <w:color w:val="auto"/>
          <w:highlight w:val="none"/>
          <w:u w:val="none"/>
        </w:rPr>
        <w:t>分</w:t>
      </w:r>
    </w:p>
    <w:p w14:paraId="1F099576">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评审内容：对项目进行详细的重难点分析，从项目开展各角度进行分析阐述，提出合理化建议和应对措施。</w:t>
      </w:r>
    </w:p>
    <w:p w14:paraId="6A8D149D">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 xml:space="preserve">一档（3分）：对项目理解合理，技术方案（课程开发团队能力提升方案、课程开发能力提升保障方案）基本满足项目需求，针对“金课”课程开发培训目标、培训内容、培训方式、时间安排、评估标准等方面提出具体项目执行组织措施、项目执行保障措施，实施组织方案合理，方案资料简单，基本满足采购文件要求； </w:t>
      </w:r>
    </w:p>
    <w:p w14:paraId="03AA7DF0">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二档（5分）：对项目理解到位可行，技术方案（课程开发团队能力提升方案、课程开发能力提升保障方案）详细可行，实施组织机构健全，提供各个阶段工作安排及实施进度，针对21支“金课”课程开发培训目标、培训内容、培训方式、时间安排、评估标准等方面提供的项目执行组织措施、项目执行保障措施，详细可行，熟悉项目流程及业务，有项目难点分析及应对措施，方案资料齐全、实施组织方案完善，具有针对性。</w:t>
      </w:r>
    </w:p>
    <w:p w14:paraId="4CBC4F86">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三档（7分）：对项目理解到位可靠，技术方案（课程开发团队能力提升方案、课程开发能力提升保障方案）详细有针对性，实施组织机构健全，有项目组织机构图，详细说明各个阶段工作安排及实施进度，针对21门“金课”课程开发培训目标明确、培训内容全面、培训方式灵活多样、时间安排合理分配均衡、评估标准清晰具体，项目执行组织措施、项目执行保障措施详细可行，熟悉项目流程及业务，针对项目实施阶段不同难点有具体分析并能提出相应措施，</w:t>
      </w:r>
      <w:r>
        <w:rPr>
          <w:rFonts w:hint="eastAsia" w:ascii="宋体" w:hAnsi="宋体" w:cs="仿宋"/>
          <w:bCs/>
          <w:color w:val="auto"/>
          <w:szCs w:val="21"/>
          <w:highlight w:val="none"/>
          <w:lang w:eastAsia="zh-CN"/>
        </w:rPr>
        <w:t>各项</w:t>
      </w:r>
      <w:r>
        <w:rPr>
          <w:rFonts w:hint="eastAsia" w:ascii="宋体" w:hAnsi="宋体" w:cs="仿宋"/>
          <w:bCs/>
          <w:color w:val="auto"/>
          <w:szCs w:val="21"/>
          <w:highlight w:val="none"/>
        </w:rPr>
        <w:t>应对措施基本涵盖本项目实施全过程各环节可能出现的情况，方案资料齐全、图文并茂，实施组织方案全面周到，针对性可行性操作性强。</w:t>
      </w:r>
    </w:p>
    <w:p w14:paraId="3DFF96C4">
      <w:pPr>
        <w:keepNext w:val="0"/>
        <w:keepLines w:val="0"/>
        <w:pageBreakBefore w:val="0"/>
        <w:widowControl w:val="0"/>
        <w:kinsoku/>
        <w:wordWrap/>
        <w:overflowPunct/>
        <w:topLinePunct w:val="0"/>
        <w:autoSpaceDE/>
        <w:autoSpaceDN/>
        <w:bidi w:val="0"/>
        <w:adjustRightInd/>
        <w:spacing w:line="340" w:lineRule="exact"/>
        <w:ind w:firstLine="0" w:firstLineChars="0"/>
        <w:textAlignment w:val="auto"/>
        <w:rPr>
          <w:rFonts w:hint="eastAsia" w:hAnsi="宋体" w:cs="仿宋"/>
          <w:b/>
          <w:color w:val="auto"/>
          <w:highlight w:val="none"/>
        </w:rPr>
      </w:pPr>
      <w:r>
        <w:rPr>
          <w:rFonts w:hint="eastAsia" w:hAnsi="宋体" w:cs="仿宋"/>
          <w:b/>
          <w:color w:val="auto"/>
          <w:highlight w:val="none"/>
          <w:lang w:val="en-US" w:eastAsia="zh-CN"/>
        </w:rPr>
        <w:t>6</w:t>
      </w:r>
      <w:r>
        <w:rPr>
          <w:rFonts w:hint="eastAsia" w:hAnsi="宋体" w:cs="仿宋"/>
          <w:b/>
          <w:color w:val="auto"/>
          <w:highlight w:val="none"/>
        </w:rPr>
        <w:t>、</w:t>
      </w:r>
      <w:r>
        <w:rPr>
          <w:rFonts w:hint="eastAsia" w:hAnsi="宋体" w:cs="仿宋"/>
          <w:b/>
          <w:color w:val="auto"/>
          <w:highlight w:val="none"/>
          <w:lang w:val="en-US" w:eastAsia="zh-CN"/>
        </w:rPr>
        <w:t>演示分</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bCs w:val="0"/>
          <w:color w:val="auto"/>
          <w:highlight w:val="none"/>
          <w:u w:val="none"/>
          <w:lang w:val="en-US" w:eastAsia="zh-CN"/>
        </w:rPr>
        <w:t>3</w:t>
      </w:r>
      <w:r>
        <w:rPr>
          <w:rFonts w:hint="eastAsia" w:hAnsi="宋体" w:cs="仿宋"/>
          <w:b/>
          <w:bCs w:val="0"/>
          <w:color w:val="auto"/>
          <w:highlight w:val="none"/>
          <w:u w:val="none"/>
        </w:rPr>
        <w:t>分</w:t>
      </w:r>
    </w:p>
    <w:p w14:paraId="21461D4E">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注：供应商提供3个系统平台演示，演示时间</w:t>
      </w:r>
      <w:r>
        <w:rPr>
          <w:rFonts w:hint="eastAsia" w:ascii="宋体" w:hAnsi="宋体"/>
          <w:color w:val="auto"/>
          <w:kern w:val="2"/>
          <w:sz w:val="21"/>
          <w:szCs w:val="21"/>
          <w:highlight w:val="none"/>
          <w:lang w:val="en-US" w:eastAsia="zh-CN" w:bidi="ar-SA"/>
        </w:rPr>
        <w:t>约20</w:t>
      </w:r>
      <w:r>
        <w:rPr>
          <w:rFonts w:hint="eastAsia" w:ascii="宋体" w:hAnsi="宋体" w:cs="仿宋"/>
          <w:bCs/>
          <w:color w:val="auto"/>
          <w:szCs w:val="21"/>
          <w:highlight w:val="none"/>
        </w:rPr>
        <w:t>分钟。演示须采用真实产品演示，对学校后续使用不造成风险，不得采用临时搭建的demo 环境、截图、视频等演示，否则</w:t>
      </w:r>
      <w:r>
        <w:rPr>
          <w:rFonts w:hint="eastAsia" w:ascii="宋体" w:hAnsi="宋体" w:cs="仿宋"/>
          <w:bCs/>
          <w:color w:val="auto"/>
          <w:szCs w:val="21"/>
          <w:highlight w:val="none"/>
          <w:lang w:val="en-US" w:eastAsia="zh-CN"/>
        </w:rPr>
        <w:t>演示分为0分</w:t>
      </w:r>
      <w:r>
        <w:rPr>
          <w:rFonts w:hint="eastAsia" w:ascii="宋体" w:hAnsi="宋体" w:cs="仿宋"/>
          <w:bCs/>
          <w:color w:val="auto"/>
          <w:szCs w:val="21"/>
          <w:highlight w:val="none"/>
        </w:rPr>
        <w:t>。</w:t>
      </w:r>
    </w:p>
    <w:p w14:paraId="60E8912C">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cs="仿宋"/>
          <w:b/>
          <w:bCs w:val="0"/>
          <w:color w:val="auto"/>
          <w:szCs w:val="21"/>
          <w:highlight w:val="none"/>
        </w:rPr>
      </w:pPr>
      <w:r>
        <w:rPr>
          <w:rFonts w:hint="eastAsia" w:ascii="宋体" w:hAnsi="宋体" w:cs="仿宋"/>
          <w:b/>
          <w:bCs w:val="0"/>
          <w:color w:val="auto"/>
          <w:szCs w:val="21"/>
          <w:highlight w:val="none"/>
        </w:rPr>
        <w:t>6.1数字人建设与应用主要功能演示（1分）</w:t>
      </w:r>
    </w:p>
    <w:p w14:paraId="3EB012E5">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演示1：支持在线完成真人数字教师的形象和声音克隆，数据采集方式包括但不限于微信小程序、网页端工具、音视频采集工具等；</w:t>
      </w:r>
    </w:p>
    <w:p w14:paraId="4E763AE4">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演示2：教学PPT课件结合AI技术快速制作微课视频，支持将老师的教学PPT课件（本地上传和在线生成），自动转换为授课视频；AI智能生成逐字稿，并可对逐字稿进行AI改写、润色、扩写、精简、语气改写和英文翻译。支持在使用office软件编辑PPT时，直接插入数字人图片。上传平台后自动识别数字人。并可通过平台生成AI微课。在PPT任意页面的任何位置插入数字教师，数字教师可调整任意尺寸，并可一键应用到所有页面，针对教学内容</w:t>
      </w:r>
      <w:r>
        <w:rPr>
          <w:rFonts w:hint="eastAsia" w:ascii="宋体" w:hAnsi="宋体" w:cs="仿宋"/>
          <w:bCs/>
          <w:color w:val="auto"/>
          <w:szCs w:val="21"/>
          <w:highlight w:val="none"/>
          <w:lang w:eastAsia="zh-CN"/>
        </w:rPr>
        <w:t>音频</w:t>
      </w:r>
      <w:r>
        <w:rPr>
          <w:rFonts w:hint="eastAsia" w:ascii="宋体" w:hAnsi="宋体" w:cs="仿宋"/>
          <w:bCs/>
          <w:color w:val="auto"/>
          <w:szCs w:val="21"/>
          <w:highlight w:val="none"/>
        </w:rPr>
        <w:t>发音和读法的要求：系统支持多音字正确发音；数码、数值、比分、分数、电话等特殊读法保障；教学音频对于停顿、灵活短句功能，满足教学视频展示的需求。包含AI工具包，提供做课过程中需要的一系列工具包。包含且不限于AI出题、AI文本编辑、AI思政、AI生成图片等功能。</w:t>
      </w:r>
    </w:p>
    <w:p w14:paraId="1EA34E4A">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演示3：提供交互式课件制作系统；要求元素与页面，能有类似于PPT（考虑到传播与兼容性，谢绝采用PPT直接做课件）的入场、出场、强调等动画元素；课件中能够支持长页面，以解决智能手机中学习时屏幕大小的限制；支持测试、Office文档浏览、Scorm课件导入等交互性组件；课件中的元素，支持事件触发机制，以及能够对触发结果进行绑定。</w:t>
      </w:r>
    </w:p>
    <w:p w14:paraId="47F380B4">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演示4：支持分配建设任务和安排，并可在线跟进各建设任务的进展；支持在线审核数字资源，可按时间点打点批注，提出质量修改意见。</w:t>
      </w:r>
    </w:p>
    <w:p w14:paraId="0A4402B9">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上述功能每满足一项得0.25分，满足四项最高得1分，未演示不得分。</w:t>
      </w:r>
    </w:p>
    <w:p w14:paraId="45D90C4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仿宋"/>
          <w:b/>
          <w:bCs w:val="0"/>
          <w:color w:val="auto"/>
          <w:szCs w:val="21"/>
          <w:highlight w:val="none"/>
        </w:rPr>
      </w:pPr>
      <w:r>
        <w:rPr>
          <w:rFonts w:hint="eastAsia" w:ascii="宋体" w:hAnsi="宋体" w:cs="仿宋"/>
          <w:b/>
          <w:bCs w:val="0"/>
          <w:color w:val="auto"/>
          <w:szCs w:val="21"/>
          <w:highlight w:val="none"/>
        </w:rPr>
        <w:t>6.</w:t>
      </w:r>
      <w:r>
        <w:rPr>
          <w:rFonts w:hint="eastAsia" w:ascii="宋体" w:hAnsi="宋体" w:cs="仿宋"/>
          <w:b/>
          <w:bCs w:val="0"/>
          <w:color w:val="auto"/>
          <w:szCs w:val="21"/>
          <w:highlight w:val="none"/>
          <w:lang w:val="en-US" w:eastAsia="zh-CN"/>
        </w:rPr>
        <w:t>2</w:t>
      </w:r>
      <w:r>
        <w:rPr>
          <w:rFonts w:hint="eastAsia" w:ascii="宋体" w:hAnsi="宋体" w:cs="仿宋"/>
          <w:b/>
          <w:bCs w:val="0"/>
          <w:color w:val="auto"/>
          <w:szCs w:val="21"/>
          <w:highlight w:val="none"/>
        </w:rPr>
        <w:t xml:space="preserve"> AI智能体辅助训练平台（1分）</w:t>
      </w:r>
    </w:p>
    <w:p w14:paraId="24615E9B">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b/>
          <w:bCs/>
          <w:color w:val="auto"/>
          <w:highlight w:val="none"/>
        </w:rPr>
      </w:pPr>
      <w:r>
        <w:rPr>
          <w:rFonts w:hint="eastAsia"/>
          <w:b/>
          <w:bCs/>
          <w:color w:val="auto"/>
          <w:highlight w:val="none"/>
        </w:rPr>
        <w:t>①AI智能体辅助课程设计系统：（满分0.5分）</w:t>
      </w:r>
    </w:p>
    <w:p w14:paraId="5FFF102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rPr>
      </w:pPr>
      <w:r>
        <w:rPr>
          <w:rFonts w:hint="eastAsia"/>
          <w:color w:val="auto"/>
          <w:highlight w:val="none"/>
        </w:rPr>
        <w:t>演示1：AI生成教师课程知识库：支持教师生成个性化课程，促进知识共享与协作。</w:t>
      </w:r>
    </w:p>
    <w:p w14:paraId="1A21B611">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rPr>
      </w:pPr>
      <w:r>
        <w:rPr>
          <w:rFonts w:hint="eastAsia"/>
          <w:color w:val="auto"/>
          <w:highlight w:val="none"/>
        </w:rPr>
        <w:t>演示2：AI生成专家知识库与数字分身：自动生成专家知识库，创建24小时在线辅导专家分身。</w:t>
      </w:r>
    </w:p>
    <w:p w14:paraId="59EAF25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rPr>
      </w:pPr>
      <w:r>
        <w:rPr>
          <w:rFonts w:hint="eastAsia"/>
          <w:color w:val="auto"/>
          <w:highlight w:val="none"/>
        </w:rPr>
        <w:t>上述功能每满足一项得0.25分，满足两项最高得0.5分，未演示不得分。</w:t>
      </w:r>
    </w:p>
    <w:p w14:paraId="5AC917BD">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b/>
          <w:bCs/>
          <w:color w:val="auto"/>
          <w:highlight w:val="none"/>
        </w:rPr>
      </w:pPr>
      <w:r>
        <w:rPr>
          <w:rFonts w:hint="eastAsia"/>
          <w:b/>
          <w:bCs/>
          <w:color w:val="auto"/>
          <w:highlight w:val="none"/>
        </w:rPr>
        <w:t>②AI智能体训练平台：（满分0.5分）</w:t>
      </w:r>
    </w:p>
    <w:p w14:paraId="63C09EE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rPr>
      </w:pPr>
      <w:r>
        <w:rPr>
          <w:rFonts w:hint="eastAsia"/>
          <w:color w:val="auto"/>
          <w:highlight w:val="none"/>
        </w:rPr>
        <w:t>演示1：通过平台用户可自主创</w:t>
      </w:r>
      <w:r>
        <w:rPr>
          <w:rFonts w:hint="eastAsia"/>
          <w:color w:val="auto"/>
          <w:highlight w:val="none"/>
          <w:lang w:eastAsia="zh-CN"/>
        </w:rPr>
        <w:t>建</w:t>
      </w:r>
      <w:r>
        <w:rPr>
          <w:rFonts w:hint="eastAsia"/>
          <w:color w:val="auto"/>
          <w:highlight w:val="none"/>
        </w:rPr>
        <w:t>智能体及AI知识库，AI知识库支持上传各类知识材料，如word、pdf和txt等类型，提供知识库管理，支持创建多个知识库；并每个知识库支持关联多个智能体；</w:t>
      </w:r>
    </w:p>
    <w:p w14:paraId="78200953">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rPr>
      </w:pPr>
      <w:r>
        <w:rPr>
          <w:rFonts w:hint="eastAsia"/>
          <w:color w:val="auto"/>
          <w:highlight w:val="none"/>
        </w:rPr>
        <w:t>演示2：平台内置覆盖智能做课、教师助教、学生助学、产教融合、学术课题、教学比赛、教师成长、日常工作等多场景的共享智能体，每个类别不少于10个智能体，总数不少于200个，并支持老师直接使用；</w:t>
      </w:r>
    </w:p>
    <w:p w14:paraId="57143910">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rPr>
      </w:pPr>
      <w:r>
        <w:rPr>
          <w:rFonts w:hint="eastAsia"/>
          <w:color w:val="auto"/>
          <w:highlight w:val="none"/>
        </w:rPr>
        <w:t>演示3：通过平台可一句话创建智能体，实时预览智能体效果；并由AI自动填充智能体配置信息包含智能体封面、名称、简介、人设与回复逻辑、开场白等，并支持AI一键生成与优化；支持数据分析，包括对话次数、使用次数、对话记录等；</w:t>
      </w:r>
    </w:p>
    <w:p w14:paraId="62F81DF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rPr>
      </w:pPr>
      <w:r>
        <w:rPr>
          <w:rFonts w:hint="eastAsia"/>
          <w:color w:val="auto"/>
          <w:highlight w:val="none"/>
        </w:rPr>
        <w:t>演示4：提供教学设计助手，支持输入文本和上传文件生成，支持基于OBE、STEAM等多种教学理念，支持基于BOPPPS、5E、ADDIE等多种教学模式生成教学设计，并可以直接生成文档。</w:t>
      </w:r>
    </w:p>
    <w:p w14:paraId="6ADB537A">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rPr>
        <w:t>上述功能每满足两项及以上得0.25分，满足四项最高得0.5分，未演示不得分</w:t>
      </w:r>
      <w:r>
        <w:rPr>
          <w:rFonts w:hint="eastAsia"/>
          <w:color w:val="auto"/>
          <w:highlight w:val="none"/>
          <w:lang w:eastAsia="zh-CN"/>
        </w:rPr>
        <w:t>。</w:t>
      </w:r>
    </w:p>
    <w:p w14:paraId="2D70AB1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b/>
          <w:bCs/>
          <w:color w:val="auto"/>
          <w:highlight w:val="none"/>
          <w:lang w:eastAsia="zh-CN"/>
        </w:rPr>
      </w:pPr>
      <w:r>
        <w:rPr>
          <w:rFonts w:hint="eastAsia"/>
          <w:b/>
          <w:bCs/>
          <w:color w:val="auto"/>
          <w:highlight w:val="none"/>
          <w:lang w:eastAsia="zh-CN"/>
        </w:rPr>
        <w:t>6.</w:t>
      </w:r>
      <w:r>
        <w:rPr>
          <w:rFonts w:hint="eastAsia"/>
          <w:b/>
          <w:bCs/>
          <w:color w:val="auto"/>
          <w:highlight w:val="none"/>
          <w:lang w:val="en-US" w:eastAsia="zh-CN"/>
        </w:rPr>
        <w:t>3</w:t>
      </w:r>
      <w:r>
        <w:rPr>
          <w:rFonts w:hint="eastAsia"/>
          <w:b/>
          <w:bCs/>
          <w:color w:val="auto"/>
          <w:highlight w:val="none"/>
          <w:lang w:eastAsia="zh-CN"/>
        </w:rPr>
        <w:t xml:space="preserve"> 教师能力训练平台（1分）</w:t>
      </w:r>
    </w:p>
    <w:p w14:paraId="4E8716C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演示1：系统化训练流程模块</w:t>
      </w:r>
    </w:p>
    <w:p w14:paraId="5BD69400">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能记录和再现在课程标准设计、课程整体设计、课程单元设计、课程教案设计、单元评价方案设计、资源制作、规范施教、质量评价、持续改进教学等9个环节学习、提交作业、专家阅批反馈、团队修改定稿的全流程，同时具备拓展至校内所有教师的功能。</w:t>
      </w:r>
    </w:p>
    <w:p w14:paraId="156C672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演示2：教师能力发展在线学习模块</w:t>
      </w:r>
    </w:p>
    <w:p w14:paraId="776DE419">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能够支持受训教师线上登录访问学习，能够保存学习进度，记录学习者学习时间。平台需要内置超过100门以上各类课程。建立知识库管理机制，提供本校及外校的最佳实践</w:t>
      </w:r>
      <w:r>
        <w:rPr>
          <w:rFonts w:hint="eastAsia"/>
          <w:color w:val="auto"/>
          <w:highlight w:val="none"/>
          <w:lang w:val="en-US" w:eastAsia="zh-CN"/>
        </w:rPr>
        <w:t>案例</w:t>
      </w:r>
      <w:r>
        <w:rPr>
          <w:rFonts w:hint="eastAsia"/>
          <w:color w:val="auto"/>
          <w:highlight w:val="none"/>
          <w:lang w:eastAsia="zh-CN"/>
        </w:rPr>
        <w:t>。整合国内外先进教学理念，提供案例分享、专家讲座等资源，拓宽教师视野。</w:t>
      </w:r>
    </w:p>
    <w:p w14:paraId="3A3FD5A1">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演示3：课程设计支持模块</w:t>
      </w:r>
    </w:p>
    <w:p w14:paraId="1451F17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具有课标设计工具、教学资源库；基于课标设计与教学资源，智能生成教案模板，支持教师自定义修改与优化。</w:t>
      </w:r>
    </w:p>
    <w:p w14:paraId="6BA58F3A">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演示4：AI智能辅助模块</w:t>
      </w:r>
    </w:p>
    <w:p w14:paraId="20BD885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具有提出个性化学习建议功能，并基于历史数据，预测教案实施效果，为教师提供调整建议。</w:t>
      </w:r>
    </w:p>
    <w:p w14:paraId="6CC91468">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演示5：教学能力评估模块</w:t>
      </w:r>
    </w:p>
    <w:p w14:paraId="6CC4CAD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具有教师端、专家评审端、管理端。</w:t>
      </w:r>
    </w:p>
    <w:p w14:paraId="70B80E0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演示6：AI教学评价分析模块</w:t>
      </w:r>
    </w:p>
    <w:p w14:paraId="5D848E0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具有多模态数据分析、前瞻性评价、生成详细的优化建议报告等评价分析功能。</w:t>
      </w:r>
    </w:p>
    <w:p w14:paraId="2099BB4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lang w:eastAsia="zh-CN"/>
        </w:rPr>
      </w:pPr>
      <w:r>
        <w:rPr>
          <w:rFonts w:hint="eastAsia"/>
          <w:color w:val="auto"/>
          <w:highlight w:val="none"/>
          <w:lang w:eastAsia="zh-CN"/>
        </w:rPr>
        <w:t>上述功能每满足三项及以上得0.5分，满足六项最高得1分，未演示不得分。</w:t>
      </w:r>
    </w:p>
    <w:p w14:paraId="15D28A7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hAnsi="宋体" w:cs="仿宋"/>
          <w:b/>
          <w:color w:val="auto"/>
          <w:highlight w:val="none"/>
        </w:rPr>
      </w:pPr>
      <w:r>
        <w:rPr>
          <w:rFonts w:hint="eastAsia" w:hAnsi="宋体" w:cs="仿宋"/>
          <w:b/>
          <w:color w:val="auto"/>
          <w:highlight w:val="none"/>
          <w:lang w:val="en-US" w:eastAsia="zh-CN"/>
        </w:rPr>
        <w:t>7.</w:t>
      </w:r>
      <w:r>
        <w:rPr>
          <w:rFonts w:hint="eastAsia" w:hAnsi="宋体" w:cs="仿宋"/>
          <w:b/>
          <w:color w:val="auto"/>
          <w:highlight w:val="none"/>
          <w:lang w:eastAsia="zh-CN"/>
        </w:rPr>
        <w:t>拟投入本项目</w:t>
      </w:r>
      <w:r>
        <w:rPr>
          <w:rFonts w:hint="eastAsia" w:hAnsi="宋体" w:cs="仿宋"/>
          <w:b/>
          <w:color w:val="auto"/>
          <w:highlight w:val="none"/>
        </w:rPr>
        <w:t>实施团队</w:t>
      </w:r>
      <w:r>
        <w:rPr>
          <w:rFonts w:hint="eastAsia" w:hAnsi="宋体" w:cs="仿宋"/>
          <w:b/>
          <w:color w:val="auto"/>
          <w:highlight w:val="none"/>
          <w:lang w:val="en-US" w:eastAsia="zh-CN"/>
        </w:rPr>
        <w:t>分</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val="0"/>
          <w:bCs/>
          <w:color w:val="auto"/>
          <w:highlight w:val="none"/>
          <w:u w:val="none"/>
          <w:lang w:val="en-US" w:eastAsia="zh-CN"/>
        </w:rPr>
        <w:t>45</w:t>
      </w:r>
      <w:r>
        <w:rPr>
          <w:rFonts w:hint="eastAsia" w:hAnsi="宋体" w:cs="仿宋"/>
          <w:b/>
          <w:color w:val="auto"/>
          <w:highlight w:val="none"/>
          <w:u w:val="none"/>
        </w:rPr>
        <w:t>分</w:t>
      </w:r>
    </w:p>
    <w:p w14:paraId="7AE61DE6">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（1）拟投入本项目的21门“金课”一对一专家具备以下国家级荣誉或职务（每满足1项计0.5分，每人累计最高2分，本项满分42分）：</w:t>
      </w:r>
    </w:p>
    <w:p w14:paraId="0BF6D59A">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①国家级教学成果奖第一完成人（需提供教育部公示文件）</w:t>
      </w:r>
    </w:p>
    <w:p w14:paraId="2D99813F">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②国家级教材建设奖第一完成人（需提供教育部/国家教材委证书）</w:t>
      </w:r>
    </w:p>
    <w:p w14:paraId="1D0C35AF">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③全国高校黄大年式教师团队负责人（需提供教育部认定文件）</w:t>
      </w:r>
    </w:p>
    <w:p w14:paraId="1FC99A3D">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④国家级职业教育教师教学创新团队负责人（需提供教育部认定文件）</w:t>
      </w:r>
    </w:p>
    <w:p w14:paraId="44D1B460">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⑤国家级规划教材第一主编（需提供教材封面及出版署CIP数据核字号）</w:t>
      </w:r>
    </w:p>
    <w:p w14:paraId="04C36F05">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⑥国家级专业教学资源库主持人（需提供教育部立项/结题文件）</w:t>
      </w:r>
    </w:p>
    <w:p w14:paraId="686D81F4">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⑦全国职业院校技能大赛教学能力比赛一等奖第一完成人（需提供教育部盖章证书）</w:t>
      </w:r>
    </w:p>
    <w:p w14:paraId="4848EA79">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（2）行业/企业专家</w:t>
      </w:r>
      <w:r>
        <w:rPr>
          <w:rFonts w:hint="eastAsia" w:ascii="宋体" w:hAnsi="宋体" w:cs="仿宋"/>
          <w:bCs/>
          <w:color w:val="auto"/>
          <w:szCs w:val="21"/>
          <w:highlight w:val="none"/>
          <w:lang w:val="en-US" w:eastAsia="zh-CN"/>
        </w:rPr>
        <w:t>能</w:t>
      </w:r>
      <w:r>
        <w:rPr>
          <w:rFonts w:hint="eastAsia" w:ascii="宋体" w:hAnsi="宋体" w:cs="仿宋"/>
          <w:bCs/>
          <w:color w:val="auto"/>
          <w:szCs w:val="21"/>
          <w:highlight w:val="none"/>
        </w:rPr>
        <w:t>提供近三年</w:t>
      </w:r>
      <w:r>
        <w:rPr>
          <w:rFonts w:hint="eastAsia" w:ascii="宋体" w:hAnsi="宋体" w:cs="仿宋"/>
          <w:bCs/>
          <w:color w:val="auto"/>
          <w:szCs w:val="21"/>
          <w:highlight w:val="none"/>
          <w:lang w:eastAsia="zh-CN"/>
        </w:rPr>
        <w:t>（</w:t>
      </w:r>
      <w:r>
        <w:rPr>
          <w:rFonts w:hint="eastAsia" w:ascii="宋体" w:hAnsi="宋体" w:cs="仿宋"/>
          <w:bCs/>
          <w:color w:val="auto"/>
          <w:szCs w:val="21"/>
          <w:highlight w:val="none"/>
          <w:lang w:val="en-US" w:eastAsia="zh-CN"/>
        </w:rPr>
        <w:t>2022年7月以来</w:t>
      </w:r>
      <w:r>
        <w:rPr>
          <w:rFonts w:hint="eastAsia" w:ascii="宋体" w:hAnsi="宋体" w:cs="仿宋"/>
          <w:bCs/>
          <w:color w:val="auto"/>
          <w:szCs w:val="21"/>
          <w:highlight w:val="none"/>
          <w:lang w:eastAsia="zh-CN"/>
        </w:rPr>
        <w:t>）</w:t>
      </w:r>
      <w:r>
        <w:rPr>
          <w:rFonts w:hint="eastAsia" w:ascii="宋体" w:hAnsi="宋体" w:cs="仿宋"/>
          <w:bCs/>
          <w:color w:val="auto"/>
          <w:szCs w:val="21"/>
          <w:highlight w:val="none"/>
        </w:rPr>
        <w:t>与课程开发相关的岗位标准/行业标准文档</w:t>
      </w:r>
      <w:r>
        <w:rPr>
          <w:rFonts w:hint="eastAsia" w:ascii="宋体" w:hAnsi="宋体" w:cs="仿宋"/>
          <w:bCs/>
          <w:color w:val="auto"/>
          <w:szCs w:val="21"/>
          <w:highlight w:val="none"/>
          <w:lang w:eastAsia="zh-CN"/>
        </w:rPr>
        <w:t>的</w:t>
      </w:r>
      <w:r>
        <w:rPr>
          <w:rFonts w:hint="eastAsia" w:ascii="宋体" w:hAnsi="宋体" w:cs="仿宋"/>
          <w:bCs/>
          <w:color w:val="auto"/>
          <w:szCs w:val="21"/>
          <w:highlight w:val="none"/>
        </w:rPr>
        <w:t>（每提供</w:t>
      </w:r>
      <w:r>
        <w:rPr>
          <w:rFonts w:hint="eastAsia" w:ascii="宋体" w:hAnsi="宋体" w:cs="仿宋"/>
          <w:bCs/>
          <w:color w:val="auto"/>
          <w:szCs w:val="21"/>
          <w:highlight w:val="none"/>
          <w:lang w:val="en-US" w:eastAsia="zh-CN"/>
        </w:rPr>
        <w:t>下述①或②中</w:t>
      </w:r>
      <w:r>
        <w:rPr>
          <w:rFonts w:hint="eastAsia" w:ascii="宋体" w:hAnsi="宋体" w:cs="仿宋"/>
          <w:bCs/>
          <w:color w:val="auto"/>
          <w:szCs w:val="21"/>
          <w:highlight w:val="none"/>
        </w:rPr>
        <w:t>1份有效文档</w:t>
      </w:r>
      <w:r>
        <w:rPr>
          <w:rFonts w:hint="eastAsia" w:ascii="宋体" w:hAnsi="宋体" w:cs="仿宋"/>
          <w:bCs/>
          <w:color w:val="auto"/>
          <w:szCs w:val="21"/>
          <w:highlight w:val="none"/>
          <w:lang w:eastAsia="zh-CN"/>
        </w:rPr>
        <w:t>的</w:t>
      </w:r>
      <w:r>
        <w:rPr>
          <w:rFonts w:hint="eastAsia" w:ascii="宋体" w:hAnsi="宋体" w:cs="仿宋"/>
          <w:bCs/>
          <w:color w:val="auto"/>
          <w:szCs w:val="21"/>
          <w:highlight w:val="none"/>
        </w:rPr>
        <w:t>计0.5分，本项总分3分）：</w:t>
      </w:r>
    </w:p>
    <w:p w14:paraId="033F03EE">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①企业盖章的岗位能力模型文件：由企业正式盖章确认，详细描述该岗位所需的能力模型、技能要求、知识结构等。</w:t>
      </w:r>
    </w:p>
    <w:p w14:paraId="1087D90B">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②行业标准</w:t>
      </w:r>
      <w:r>
        <w:rPr>
          <w:rFonts w:hint="eastAsia" w:ascii="宋体" w:hAnsi="宋体" w:cs="仿宋"/>
          <w:bCs/>
          <w:color w:val="auto"/>
          <w:szCs w:val="21"/>
          <w:highlight w:val="none"/>
          <w:lang w:val="en-US" w:eastAsia="zh-CN"/>
        </w:rPr>
        <w:t>文件：</w:t>
      </w:r>
      <w:r>
        <w:rPr>
          <w:rFonts w:hint="eastAsia" w:ascii="宋体" w:hAnsi="宋体" w:cs="仿宋"/>
          <w:bCs/>
          <w:color w:val="auto"/>
          <w:szCs w:val="21"/>
          <w:highlight w:val="none"/>
        </w:rPr>
        <w:t>提供行业主管部门发</w:t>
      </w:r>
      <w:r>
        <w:rPr>
          <w:rFonts w:hint="eastAsia" w:ascii="宋体" w:hAnsi="宋体" w:cs="仿宋"/>
          <w:bCs/>
          <w:color w:val="auto"/>
          <w:szCs w:val="21"/>
          <w:highlight w:val="none"/>
          <w:lang w:eastAsia="zh-CN"/>
        </w:rPr>
        <w:t>布的</w:t>
      </w:r>
      <w:r>
        <w:rPr>
          <w:rFonts w:hint="eastAsia" w:ascii="宋体" w:hAnsi="宋体" w:cs="仿宋"/>
          <w:bCs/>
          <w:color w:val="auto"/>
          <w:szCs w:val="21"/>
          <w:highlight w:val="none"/>
        </w:rPr>
        <w:t>文件或龙头企业应用证明，证明该标准在行业内的权威性和应用情况。</w:t>
      </w:r>
    </w:p>
    <w:p w14:paraId="7EFFF6CF">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同一企业提供的多份文档按1份计分</w:t>
      </w:r>
    </w:p>
    <w:p w14:paraId="3F360880">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[注：以上材料需提供复印件加盖投标人公章，原件备查]。</w:t>
      </w:r>
    </w:p>
    <w:p w14:paraId="71C97E4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hAnsi="宋体" w:cs="仿宋"/>
          <w:b/>
          <w:color w:val="auto"/>
          <w:highlight w:val="none"/>
        </w:rPr>
      </w:pPr>
      <w:r>
        <w:rPr>
          <w:rFonts w:hint="eastAsia" w:hAnsi="宋体" w:cs="仿宋"/>
          <w:b/>
          <w:color w:val="auto"/>
          <w:highlight w:val="none"/>
          <w:lang w:val="en-US" w:eastAsia="zh-CN"/>
        </w:rPr>
        <w:t>8</w:t>
      </w:r>
      <w:r>
        <w:rPr>
          <w:rFonts w:hint="eastAsia" w:hAnsi="宋体" w:cs="仿宋"/>
          <w:b/>
          <w:color w:val="auto"/>
          <w:highlight w:val="none"/>
        </w:rPr>
        <w:t>、</w:t>
      </w:r>
      <w:r>
        <w:rPr>
          <w:rFonts w:hint="eastAsia" w:hAnsi="宋体" w:cs="仿宋"/>
          <w:b/>
          <w:color w:val="auto"/>
          <w:highlight w:val="none"/>
          <w:lang w:val="en-US" w:eastAsia="zh-CN"/>
        </w:rPr>
        <w:t>管理投入分</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val="0"/>
          <w:bCs/>
          <w:color w:val="auto"/>
          <w:highlight w:val="none"/>
          <w:u w:val="none"/>
          <w:lang w:val="en-US" w:eastAsia="zh-CN"/>
        </w:rPr>
        <w:t>2</w:t>
      </w:r>
      <w:r>
        <w:rPr>
          <w:rFonts w:hint="eastAsia" w:hAnsi="宋体" w:cs="仿宋"/>
          <w:b/>
          <w:color w:val="auto"/>
          <w:highlight w:val="none"/>
          <w:u w:val="none"/>
        </w:rPr>
        <w:t>分</w:t>
      </w:r>
    </w:p>
    <w:p w14:paraId="6440A62D">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rPr>
      </w:pPr>
      <w:r>
        <w:rPr>
          <w:rFonts w:hint="eastAsia" w:ascii="宋体" w:hAnsi="宋体" w:cs="仿宋"/>
          <w:bCs/>
          <w:color w:val="auto"/>
          <w:szCs w:val="21"/>
          <w:highlight w:val="none"/>
        </w:rPr>
        <w:t>一档（1分）：具备良好的组织措施，设立项目协调岗位人员1人</w:t>
      </w:r>
      <w:r>
        <w:rPr>
          <w:rFonts w:hint="eastAsia" w:ascii="宋体" w:hAnsi="宋体" w:cs="仿宋"/>
          <w:bCs/>
          <w:color w:val="auto"/>
          <w:szCs w:val="21"/>
          <w:highlight w:val="none"/>
          <w:lang w:val="en-US" w:eastAsia="zh-CN"/>
        </w:rPr>
        <w:t>及</w:t>
      </w:r>
      <w:r>
        <w:rPr>
          <w:rFonts w:hint="eastAsia" w:ascii="宋体" w:hAnsi="宋体" w:cs="仿宋"/>
          <w:bCs/>
          <w:color w:val="auto"/>
          <w:szCs w:val="21"/>
          <w:highlight w:val="none"/>
        </w:rPr>
        <w:t>以上，具有大学本科及以上学历，中级及以上职称，负责处理项目实施过程中的协调问题，定期组织召开项目进度汇报会、专题研讨会以及不定期的即时沟通渠道。</w:t>
      </w:r>
    </w:p>
    <w:p w14:paraId="077A16E0">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ascii="宋体" w:hAnsi="宋体" w:cs="仿宋"/>
          <w:bCs/>
          <w:color w:val="auto"/>
          <w:szCs w:val="21"/>
          <w:highlight w:val="none"/>
          <w:lang w:eastAsia="zh-CN"/>
        </w:rPr>
      </w:pPr>
      <w:r>
        <w:rPr>
          <w:rFonts w:hint="eastAsia" w:ascii="宋体" w:hAnsi="宋体" w:cs="仿宋"/>
          <w:bCs/>
          <w:color w:val="auto"/>
          <w:szCs w:val="21"/>
          <w:highlight w:val="none"/>
        </w:rPr>
        <w:t>二档（2分）：具备完善的组织措施：设立专门的项目管理机构，负责项目的整体规划、协调和监督，</w:t>
      </w:r>
      <w:r>
        <w:rPr>
          <w:rFonts w:hint="eastAsia" w:ascii="宋体" w:hAnsi="宋体" w:cs="仿宋"/>
          <w:bCs/>
          <w:color w:val="auto"/>
          <w:szCs w:val="21"/>
          <w:highlight w:val="none"/>
          <w:lang w:val="en-US" w:eastAsia="zh-CN"/>
        </w:rPr>
        <w:t>为本项目</w:t>
      </w:r>
      <w:r>
        <w:rPr>
          <w:rFonts w:hint="eastAsia" w:ascii="宋体" w:hAnsi="宋体" w:cs="仿宋"/>
          <w:bCs/>
          <w:color w:val="auto"/>
          <w:szCs w:val="21"/>
          <w:highlight w:val="none"/>
        </w:rPr>
        <w:t>配备专业的项目管理人员2人及以上，其中具有大学本科及以上学历、副高及以上职称、3年以上的项目管理经验1人</w:t>
      </w:r>
      <w:r>
        <w:rPr>
          <w:rFonts w:hint="eastAsia" w:ascii="宋体" w:hAnsi="宋体" w:cs="仿宋"/>
          <w:bCs/>
          <w:color w:val="auto"/>
          <w:szCs w:val="21"/>
          <w:highlight w:val="none"/>
          <w:lang w:val="en-US" w:eastAsia="zh-CN"/>
        </w:rPr>
        <w:t>及</w:t>
      </w:r>
      <w:r>
        <w:rPr>
          <w:rFonts w:hint="eastAsia" w:ascii="宋体" w:hAnsi="宋体" w:cs="仿宋"/>
          <w:bCs/>
          <w:color w:val="auto"/>
          <w:szCs w:val="21"/>
          <w:highlight w:val="none"/>
        </w:rPr>
        <w:t>以上，具有良好的沟通协调能力。构建团队沟通体系，包括定期的项目进度汇报会、专题研讨会以及不定期的即时沟通渠道，确保团队成员之间信息传递及时、准确、全面。同时，建立有效的风险预警和应对机制，能够及时发现并解决项目实施过程中出现的问题，提供风险预警案例及应对方案</w:t>
      </w:r>
      <w:r>
        <w:rPr>
          <w:rFonts w:hint="eastAsia" w:ascii="宋体" w:hAnsi="宋体" w:cs="仿宋"/>
          <w:bCs/>
          <w:color w:val="auto"/>
          <w:szCs w:val="21"/>
          <w:highlight w:val="none"/>
          <w:lang w:eastAsia="zh-CN"/>
        </w:rPr>
        <w:t>。</w:t>
      </w:r>
    </w:p>
    <w:p w14:paraId="0161754D">
      <w:pPr>
        <w:keepNext w:val="0"/>
        <w:keepLines w:val="0"/>
        <w:pageBreakBefore w:val="0"/>
        <w:widowControl w:val="0"/>
        <w:kinsoku/>
        <w:wordWrap/>
        <w:overflowPunct/>
        <w:topLinePunct w:val="0"/>
        <w:autoSpaceDE/>
        <w:autoSpaceDN/>
        <w:bidi w:val="0"/>
        <w:adjustRightInd/>
        <w:spacing w:line="340" w:lineRule="exact"/>
        <w:textAlignment w:val="auto"/>
        <w:rPr>
          <w:rFonts w:hint="eastAsia" w:hAnsi="宋体" w:cs="仿宋"/>
          <w:b/>
          <w:color w:val="auto"/>
          <w:highlight w:val="none"/>
        </w:rPr>
      </w:pPr>
      <w:r>
        <w:rPr>
          <w:rFonts w:hint="eastAsia" w:hAnsi="宋体" w:cs="仿宋"/>
          <w:b/>
          <w:color w:val="auto"/>
          <w:highlight w:val="none"/>
          <w:lang w:val="en-US" w:eastAsia="zh-CN"/>
        </w:rPr>
        <w:t>9</w:t>
      </w:r>
      <w:r>
        <w:rPr>
          <w:rFonts w:hint="eastAsia" w:hAnsi="宋体" w:cs="仿宋"/>
          <w:b/>
          <w:color w:val="auto"/>
          <w:highlight w:val="none"/>
        </w:rPr>
        <w:t>、售后服务方案分…………………………………</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color w:val="auto"/>
          <w:highlight w:val="none"/>
          <w:lang w:eastAsia="zh-CN"/>
        </w:rPr>
        <w:t>……</w:t>
      </w:r>
      <w:r>
        <w:rPr>
          <w:rFonts w:hint="eastAsia" w:hAnsi="宋体" w:cs="仿宋"/>
          <w:b/>
          <w:color w:val="auto"/>
          <w:highlight w:val="none"/>
        </w:rPr>
        <w:t>……………………………………</w:t>
      </w:r>
      <w:r>
        <w:rPr>
          <w:rFonts w:hint="eastAsia" w:hAnsi="宋体" w:cs="仿宋"/>
          <w:b/>
          <w:bCs w:val="0"/>
          <w:color w:val="auto"/>
          <w:highlight w:val="none"/>
          <w:u w:val="none"/>
          <w:lang w:val="en-US" w:eastAsia="zh-CN"/>
        </w:rPr>
        <w:t>5</w:t>
      </w:r>
      <w:r>
        <w:rPr>
          <w:rFonts w:hint="eastAsia" w:ascii="宋体" w:hAnsi="宋体" w:cs="仿宋"/>
          <w:b/>
          <w:bCs w:val="0"/>
          <w:color w:val="auto"/>
          <w:szCs w:val="21"/>
          <w:highlight w:val="none"/>
        </w:rPr>
        <w:t>分</w:t>
      </w:r>
    </w:p>
    <w:p w14:paraId="7B2E260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olor w:val="auto"/>
          <w:highlight w:val="none"/>
        </w:rPr>
      </w:pPr>
      <w:r>
        <w:rPr>
          <w:rFonts w:hint="eastAsia" w:ascii="宋体" w:hAnsi="宋体"/>
          <w:color w:val="auto"/>
          <w:highlight w:val="none"/>
        </w:rPr>
        <w:t>一档（1分）：售后服务方案具体，有基本的服务流程说明、安排，承诺出现问题能在24小时内解决问题，如因问题复杂无法在规定时间内解决的，制定具体解决方案和时间节点，有简要服务保障措施及服务质量保证，包括维护期的技术支持和维护能力情况，为本项目配置提供售后服务人员≥3人。</w:t>
      </w:r>
    </w:p>
    <w:p w14:paraId="6B05CE5A">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highlight w:val="none"/>
        </w:rPr>
      </w:pPr>
      <w:r>
        <w:rPr>
          <w:rFonts w:hint="eastAsia" w:ascii="宋体" w:hAnsi="宋体"/>
          <w:color w:val="auto"/>
          <w:highlight w:val="none"/>
        </w:rPr>
        <w:t>二档（3分）：售后服务方案具体且周到，服务流程说明、安排具体，承诺出现问题能在24小时内解决问题，如因问题复杂无法在规定时间内解决的，制定具体解决方案和时间节点，有服务保障措施及服务质量保证，包括维护期的技术支持和维护能力情况，</w:t>
      </w:r>
      <w:r>
        <w:rPr>
          <w:rFonts w:hint="eastAsia" w:ascii="宋体" w:hAnsi="宋体"/>
          <w:color w:val="auto"/>
          <w:highlight w:val="none"/>
          <w:lang w:eastAsia="zh-CN"/>
        </w:rPr>
        <w:t>提供</w:t>
      </w:r>
      <w:r>
        <w:rPr>
          <w:rFonts w:hint="eastAsia" w:ascii="宋体" w:hAnsi="宋体" w:eastAsia="宋体" w:cs="宋体"/>
          <w:color w:val="auto"/>
          <w:highlight w:val="none"/>
        </w:rPr>
        <w:t>具体故障解决方案，应急预案和措施，为本项目配置提供售后服务人员≥6人且服务期内提供</w:t>
      </w:r>
      <w:r>
        <w:rPr>
          <w:rFonts w:hint="eastAsia" w:ascii="宋体" w:hAnsi="宋体" w:eastAsia="宋体" w:cs="宋体"/>
          <w:i w:val="0"/>
          <w:iCs w:val="0"/>
          <w:caps w:val="0"/>
          <w:color w:val="auto"/>
          <w:spacing w:val="0"/>
          <w:sz w:val="21"/>
          <w:szCs w:val="21"/>
          <w:highlight w:val="none"/>
          <w:shd w:val="clear" w:color="auto" w:fill="FFFFFF"/>
          <w:lang w:val="en-US" w:eastAsia="zh-CN"/>
        </w:rPr>
        <w:t>不少于1名</w:t>
      </w:r>
      <w:r>
        <w:rPr>
          <w:rFonts w:hint="eastAsia" w:ascii="宋体" w:hAnsi="宋体" w:eastAsia="宋体" w:cs="宋体"/>
          <w:i w:val="0"/>
          <w:iCs w:val="0"/>
          <w:caps w:val="0"/>
          <w:color w:val="auto"/>
          <w:spacing w:val="0"/>
          <w:sz w:val="21"/>
          <w:szCs w:val="21"/>
          <w:highlight w:val="none"/>
          <w:u w:val="none"/>
          <w:shd w:val="clear" w:color="auto" w:fill="FFFFFF"/>
        </w:rPr>
        <w:fldChar w:fldCharType="begin"/>
      </w:r>
      <w:r>
        <w:rPr>
          <w:rFonts w:hint="eastAsia" w:ascii="宋体" w:hAnsi="宋体" w:eastAsia="宋体" w:cs="宋体"/>
          <w:i w:val="0"/>
          <w:iCs w:val="0"/>
          <w:caps w:val="0"/>
          <w:color w:val="auto"/>
          <w:spacing w:val="0"/>
          <w:sz w:val="21"/>
          <w:szCs w:val="21"/>
          <w:highlight w:val="none"/>
          <w:u w:val="none"/>
          <w:shd w:val="clear" w:color="auto" w:fill="FFFFFF"/>
        </w:rPr>
        <w:instrText xml:space="preserve"> HYPERLINK "https://baike.baidu.com/item/%E7%B3%BB%E7%BB%9F%E9%9B%86%E6%88%90%E9%A1%B9%E7%9B%AE%E7%AE%A1%E7%90%86%E5%B7%A5%E7%A8%8B%E5%B8%88/9490958?fromModule=lemma_inlink" \t "https://baike.baidu.com/item/%E4%BF%A1%E6%81%AF%E7%B3%BB%E7%BB%9F%E9%A1%B9%E7%9B%AE%E7%AE%A1%E7%90%86%E5%B7%A5%E7%A8%8B%E5%B8%88/_blank" </w:instrText>
      </w:r>
      <w:r>
        <w:rPr>
          <w:rFonts w:hint="eastAsia" w:ascii="宋体" w:hAnsi="宋体" w:eastAsia="宋体" w:cs="宋体"/>
          <w:i w:val="0"/>
          <w:iCs w:val="0"/>
          <w:caps w:val="0"/>
          <w:color w:val="auto"/>
          <w:spacing w:val="0"/>
          <w:sz w:val="21"/>
          <w:szCs w:val="21"/>
          <w:highlight w:val="none"/>
          <w:u w:val="none"/>
          <w:shd w:val="clear" w:color="auto" w:fill="FFFFFF"/>
        </w:rPr>
        <w:fldChar w:fldCharType="separate"/>
      </w:r>
      <w:r>
        <w:rPr>
          <w:rStyle w:val="54"/>
          <w:rFonts w:hint="eastAsia" w:ascii="宋体" w:hAnsi="宋体" w:eastAsia="宋体" w:cs="宋体"/>
          <w:i w:val="0"/>
          <w:iCs w:val="0"/>
          <w:caps w:val="0"/>
          <w:color w:val="auto"/>
          <w:spacing w:val="0"/>
          <w:sz w:val="21"/>
          <w:szCs w:val="21"/>
          <w:highlight w:val="none"/>
          <w:u w:val="none"/>
          <w:shd w:val="clear" w:color="auto" w:fill="FFFFFF"/>
        </w:rPr>
        <w:t>系统集成项目管理工程师</w:t>
      </w:r>
      <w:r>
        <w:rPr>
          <w:rFonts w:hint="eastAsia" w:ascii="宋体" w:hAnsi="宋体" w:eastAsia="宋体" w:cs="宋体"/>
          <w:i w:val="0"/>
          <w:iCs w:val="0"/>
          <w:caps w:val="0"/>
          <w:color w:val="auto"/>
          <w:spacing w:val="0"/>
          <w:sz w:val="21"/>
          <w:szCs w:val="21"/>
          <w:highlight w:val="none"/>
          <w:u w:val="none"/>
          <w:shd w:val="clear" w:color="auto" w:fill="FFFFFF"/>
        </w:rPr>
        <w:fldChar w:fldCharType="end"/>
      </w:r>
      <w:r>
        <w:rPr>
          <w:rFonts w:hint="eastAsia" w:ascii="宋体" w:hAnsi="宋体" w:eastAsia="宋体" w:cs="宋体"/>
          <w:i w:val="0"/>
          <w:iCs w:val="0"/>
          <w:caps w:val="0"/>
          <w:color w:val="auto"/>
          <w:spacing w:val="0"/>
          <w:sz w:val="21"/>
          <w:szCs w:val="21"/>
          <w:highlight w:val="none"/>
          <w:u w:val="none"/>
          <w:shd w:val="clear" w:color="auto" w:fill="FFFFFF"/>
          <w:lang w:val="en-US" w:eastAsia="zh-CN"/>
        </w:rPr>
        <w:t>或</w:t>
      </w:r>
      <w:r>
        <w:rPr>
          <w:rFonts w:hint="eastAsia" w:ascii="宋体" w:hAnsi="宋体" w:eastAsia="宋体" w:cs="宋体"/>
          <w:i w:val="0"/>
          <w:iCs w:val="0"/>
          <w:caps w:val="0"/>
          <w:color w:val="auto"/>
          <w:spacing w:val="0"/>
          <w:sz w:val="21"/>
          <w:szCs w:val="21"/>
          <w:highlight w:val="none"/>
          <w:u w:val="none"/>
          <w:shd w:val="clear" w:color="auto" w:fill="FFFFFF"/>
        </w:rPr>
        <w:fldChar w:fldCharType="begin"/>
      </w:r>
      <w:r>
        <w:rPr>
          <w:rFonts w:hint="eastAsia" w:ascii="宋体" w:hAnsi="宋体" w:eastAsia="宋体" w:cs="宋体"/>
          <w:i w:val="0"/>
          <w:iCs w:val="0"/>
          <w:caps w:val="0"/>
          <w:color w:val="auto"/>
          <w:spacing w:val="0"/>
          <w:sz w:val="21"/>
          <w:szCs w:val="21"/>
          <w:highlight w:val="none"/>
          <w:u w:val="none"/>
          <w:shd w:val="clear" w:color="auto" w:fill="FFFFFF"/>
        </w:rPr>
        <w:instrText xml:space="preserve"> HYPERLINK "https://baike.baidu.com/item/%E4%BF%A1%E6%81%AF%E7%B3%BB%E7%BB%9F%E9%A1%B9%E7%9B%AE%E7%AE%A1%E7%90%86%E5%B8%88/4672304?fromModule=lemma_inlink" \t "https://baike.baidu.com/item/%E4%BF%A1%E6%81%AF%E7%B3%BB%E7%BB%9F%E9%A1%B9%E7%9B%AE%E7%AE%A1%E7%90%86%E5%B7%A5%E7%A8%8B%E5%B8%88/_blank" </w:instrText>
      </w:r>
      <w:r>
        <w:rPr>
          <w:rFonts w:hint="eastAsia" w:ascii="宋体" w:hAnsi="宋体" w:eastAsia="宋体" w:cs="宋体"/>
          <w:i w:val="0"/>
          <w:iCs w:val="0"/>
          <w:caps w:val="0"/>
          <w:color w:val="auto"/>
          <w:spacing w:val="0"/>
          <w:sz w:val="21"/>
          <w:szCs w:val="21"/>
          <w:highlight w:val="none"/>
          <w:u w:val="none"/>
          <w:shd w:val="clear" w:color="auto" w:fill="FFFFFF"/>
        </w:rPr>
        <w:fldChar w:fldCharType="separate"/>
      </w:r>
      <w:r>
        <w:rPr>
          <w:rStyle w:val="54"/>
          <w:rFonts w:hint="eastAsia" w:ascii="宋体" w:hAnsi="宋体" w:eastAsia="宋体" w:cs="宋体"/>
          <w:i w:val="0"/>
          <w:iCs w:val="0"/>
          <w:caps w:val="0"/>
          <w:color w:val="auto"/>
          <w:spacing w:val="0"/>
          <w:sz w:val="21"/>
          <w:szCs w:val="21"/>
          <w:highlight w:val="none"/>
          <w:u w:val="none"/>
          <w:shd w:val="clear" w:color="auto" w:fill="FFFFFF"/>
        </w:rPr>
        <w:t>信息系统项目管理师</w:t>
      </w:r>
      <w:r>
        <w:rPr>
          <w:rFonts w:hint="eastAsia" w:ascii="宋体" w:hAnsi="宋体" w:eastAsia="宋体" w:cs="宋体"/>
          <w:i w:val="0"/>
          <w:iCs w:val="0"/>
          <w:caps w:val="0"/>
          <w:color w:val="auto"/>
          <w:spacing w:val="0"/>
          <w:sz w:val="21"/>
          <w:szCs w:val="21"/>
          <w:highlight w:val="none"/>
          <w:u w:val="none"/>
          <w:shd w:val="clear" w:color="auto" w:fill="FFFFFF"/>
        </w:rPr>
        <w:fldChar w:fldCharType="end"/>
      </w:r>
      <w:r>
        <w:rPr>
          <w:rFonts w:hint="eastAsia" w:ascii="宋体" w:hAnsi="宋体" w:eastAsia="宋体" w:cs="宋体"/>
          <w:i w:val="0"/>
          <w:iCs w:val="0"/>
          <w:caps w:val="0"/>
          <w:color w:val="auto"/>
          <w:spacing w:val="0"/>
          <w:sz w:val="21"/>
          <w:szCs w:val="21"/>
          <w:highlight w:val="none"/>
          <w:shd w:val="clear" w:color="auto" w:fill="FFFFFF"/>
          <w:lang w:val="en-US" w:eastAsia="zh-CN"/>
        </w:rPr>
        <w:t>，</w:t>
      </w:r>
      <w:r>
        <w:rPr>
          <w:rFonts w:hint="eastAsia" w:ascii="宋体" w:hAnsi="宋体" w:eastAsia="宋体" w:cs="宋体"/>
          <w:color w:val="auto"/>
          <w:highlight w:val="none"/>
        </w:rPr>
        <w:t>负责本项目系统对接及系统开发（方案中能提供人员证书复印件）。</w:t>
      </w:r>
    </w:p>
    <w:p w14:paraId="1A8B7DAD">
      <w:pPr>
        <w:keepNext w:val="0"/>
        <w:keepLines w:val="0"/>
        <w:pageBreakBefore w:val="0"/>
        <w:kinsoku/>
        <w:wordWrap/>
        <w:overflowPunct/>
        <w:topLinePunct w:val="0"/>
        <w:autoSpaceDE/>
        <w:autoSpaceDN/>
        <w:bidi w:val="0"/>
        <w:spacing w:line="360" w:lineRule="exact"/>
        <w:ind w:firstLine="420" w:firstLineChars="200"/>
        <w:rPr>
          <w:rFonts w:hint="eastAsia" w:ascii="宋体" w:hAnsi="宋体"/>
          <w:color w:val="auto"/>
          <w:highlight w:val="none"/>
        </w:rPr>
      </w:pPr>
      <w:r>
        <w:rPr>
          <w:rFonts w:hint="eastAsia" w:ascii="宋体" w:hAnsi="宋体" w:eastAsia="宋体" w:cs="宋体"/>
          <w:color w:val="auto"/>
          <w:highlight w:val="none"/>
        </w:rPr>
        <w:t>三档（5分）：售后服务承诺、售后培训方案清晰、具体、目标明</w:t>
      </w:r>
      <w:r>
        <w:rPr>
          <w:rFonts w:hint="eastAsia" w:ascii="宋体" w:hAnsi="宋体"/>
          <w:color w:val="auto"/>
          <w:highlight w:val="none"/>
        </w:rPr>
        <w:t>确、考虑全面，服务流程说明、安排具体，售后服务体系完善，承诺出现问题能在24小时内解决问题，如因问题复杂无法在规定时间内解决的，制定具体解决方案和时间节点，有服务保障措施及服务质量保证，包括维护期的技术支持和维护能力情况，</w:t>
      </w:r>
      <w:r>
        <w:rPr>
          <w:rFonts w:hint="eastAsia" w:ascii="宋体" w:hAnsi="宋体"/>
          <w:color w:val="auto"/>
          <w:highlight w:val="none"/>
          <w:lang w:eastAsia="zh-CN"/>
        </w:rPr>
        <w:t>提供</w:t>
      </w:r>
      <w:r>
        <w:rPr>
          <w:rFonts w:hint="eastAsia" w:ascii="宋体" w:hAnsi="宋体"/>
          <w:color w:val="auto"/>
          <w:highlight w:val="none"/>
        </w:rPr>
        <w:t>具体故障解决方案</w:t>
      </w:r>
      <w:r>
        <w:rPr>
          <w:rFonts w:hint="eastAsia" w:ascii="宋体" w:hAnsi="宋体" w:eastAsia="宋体" w:cs="宋体"/>
          <w:color w:val="auto"/>
          <w:highlight w:val="none"/>
        </w:rPr>
        <w:t>，服务保障应急预案和措施，后续服</w:t>
      </w:r>
      <w:r>
        <w:rPr>
          <w:rFonts w:hint="eastAsia" w:ascii="宋体" w:hAnsi="宋体" w:cs="宋体"/>
          <w:color w:val="auto"/>
          <w:highlight w:val="none"/>
          <w:lang w:eastAsia="zh-CN"/>
        </w:rPr>
        <w:t>务和</w:t>
      </w:r>
      <w:r>
        <w:rPr>
          <w:rFonts w:hint="eastAsia" w:ascii="宋体" w:hAnsi="宋体" w:eastAsia="宋体" w:cs="宋体"/>
          <w:color w:val="auto"/>
          <w:highlight w:val="none"/>
        </w:rPr>
        <w:t>技术支持，为本项目配置提供售后服务人员≥6人且服务期内提供不少于</w:t>
      </w:r>
      <w:r>
        <w:rPr>
          <w:rFonts w:hint="eastAsia" w:ascii="宋体" w:hAnsi="宋体" w:eastAsia="宋体" w:cs="宋体"/>
          <w:i w:val="0"/>
          <w:iCs w:val="0"/>
          <w:caps w:val="0"/>
          <w:color w:val="auto"/>
          <w:spacing w:val="0"/>
          <w:sz w:val="21"/>
          <w:szCs w:val="21"/>
          <w:highlight w:val="none"/>
          <w:shd w:val="clear" w:color="auto" w:fill="FFFFFF"/>
          <w:lang w:val="en-US" w:eastAsia="zh-CN"/>
        </w:rPr>
        <w:t>3名</w:t>
      </w:r>
      <w:r>
        <w:rPr>
          <w:rFonts w:hint="eastAsia" w:ascii="宋体" w:hAnsi="宋体" w:eastAsia="宋体" w:cs="宋体"/>
          <w:i w:val="0"/>
          <w:iCs w:val="0"/>
          <w:caps w:val="0"/>
          <w:color w:val="auto"/>
          <w:spacing w:val="0"/>
          <w:sz w:val="21"/>
          <w:szCs w:val="21"/>
          <w:highlight w:val="none"/>
          <w:u w:val="none"/>
          <w:shd w:val="clear" w:color="auto" w:fill="FFFFFF"/>
        </w:rPr>
        <w:fldChar w:fldCharType="begin"/>
      </w:r>
      <w:r>
        <w:rPr>
          <w:rFonts w:hint="eastAsia" w:ascii="宋体" w:hAnsi="宋体" w:eastAsia="宋体" w:cs="宋体"/>
          <w:i w:val="0"/>
          <w:iCs w:val="0"/>
          <w:caps w:val="0"/>
          <w:color w:val="auto"/>
          <w:spacing w:val="0"/>
          <w:sz w:val="21"/>
          <w:szCs w:val="21"/>
          <w:highlight w:val="none"/>
          <w:u w:val="none"/>
          <w:shd w:val="clear" w:color="auto" w:fill="FFFFFF"/>
        </w:rPr>
        <w:instrText xml:space="preserve"> HYPERLINK "https://baike.baidu.com/item/%E7%B3%BB%E7%BB%9F%E9%9B%86%E6%88%90%E9%A1%B9%E7%9B%AE%E7%AE%A1%E7%90%86%E5%B7%A5%E7%A8%8B%E5%B8%88/9490958?fromModule=lemma_inlink" \t "https://baike.baidu.com/item/%E4%BF%A1%E6%81%AF%E7%B3%BB%E7%BB%9F%E9%A1%B9%E7%9B%AE%E7%AE%A1%E7%90%86%E5%B7%A5%E7%A8%8B%E5%B8%88/_blank" </w:instrText>
      </w:r>
      <w:r>
        <w:rPr>
          <w:rFonts w:hint="eastAsia" w:ascii="宋体" w:hAnsi="宋体" w:eastAsia="宋体" w:cs="宋体"/>
          <w:i w:val="0"/>
          <w:iCs w:val="0"/>
          <w:caps w:val="0"/>
          <w:color w:val="auto"/>
          <w:spacing w:val="0"/>
          <w:sz w:val="21"/>
          <w:szCs w:val="21"/>
          <w:highlight w:val="none"/>
          <w:u w:val="none"/>
          <w:shd w:val="clear" w:color="auto" w:fill="FFFFFF"/>
        </w:rPr>
        <w:fldChar w:fldCharType="separate"/>
      </w:r>
      <w:r>
        <w:rPr>
          <w:rStyle w:val="54"/>
          <w:rFonts w:hint="eastAsia" w:ascii="宋体" w:hAnsi="宋体" w:eastAsia="宋体" w:cs="宋体"/>
          <w:i w:val="0"/>
          <w:iCs w:val="0"/>
          <w:caps w:val="0"/>
          <w:color w:val="auto"/>
          <w:spacing w:val="0"/>
          <w:sz w:val="21"/>
          <w:szCs w:val="21"/>
          <w:highlight w:val="none"/>
          <w:u w:val="none"/>
          <w:shd w:val="clear" w:color="auto" w:fill="FFFFFF"/>
        </w:rPr>
        <w:t>系统集成项目管理工程师</w:t>
      </w:r>
      <w:r>
        <w:rPr>
          <w:rFonts w:hint="eastAsia" w:ascii="宋体" w:hAnsi="宋体" w:eastAsia="宋体" w:cs="宋体"/>
          <w:i w:val="0"/>
          <w:iCs w:val="0"/>
          <w:caps w:val="0"/>
          <w:color w:val="auto"/>
          <w:spacing w:val="0"/>
          <w:sz w:val="21"/>
          <w:szCs w:val="21"/>
          <w:highlight w:val="none"/>
          <w:u w:val="none"/>
          <w:shd w:val="clear" w:color="auto" w:fill="FFFFFF"/>
        </w:rPr>
        <w:fldChar w:fldCharType="end"/>
      </w:r>
      <w:r>
        <w:rPr>
          <w:rFonts w:hint="eastAsia" w:ascii="宋体" w:hAnsi="宋体" w:eastAsia="宋体" w:cs="宋体"/>
          <w:i w:val="0"/>
          <w:iCs w:val="0"/>
          <w:caps w:val="0"/>
          <w:color w:val="auto"/>
          <w:spacing w:val="0"/>
          <w:sz w:val="21"/>
          <w:szCs w:val="21"/>
          <w:highlight w:val="none"/>
          <w:u w:val="none"/>
          <w:shd w:val="clear" w:color="auto" w:fill="FFFFFF"/>
          <w:lang w:val="en-US" w:eastAsia="zh-CN"/>
        </w:rPr>
        <w:t>或</w:t>
      </w:r>
      <w:r>
        <w:rPr>
          <w:rFonts w:hint="eastAsia" w:ascii="宋体" w:hAnsi="宋体" w:eastAsia="宋体" w:cs="宋体"/>
          <w:i w:val="0"/>
          <w:iCs w:val="0"/>
          <w:caps w:val="0"/>
          <w:color w:val="auto"/>
          <w:spacing w:val="0"/>
          <w:sz w:val="21"/>
          <w:szCs w:val="21"/>
          <w:highlight w:val="none"/>
          <w:u w:val="none"/>
          <w:shd w:val="clear" w:color="auto" w:fill="FFFFFF"/>
        </w:rPr>
        <w:fldChar w:fldCharType="begin"/>
      </w:r>
      <w:r>
        <w:rPr>
          <w:rFonts w:hint="eastAsia" w:ascii="宋体" w:hAnsi="宋体" w:eastAsia="宋体" w:cs="宋体"/>
          <w:i w:val="0"/>
          <w:iCs w:val="0"/>
          <w:caps w:val="0"/>
          <w:color w:val="auto"/>
          <w:spacing w:val="0"/>
          <w:sz w:val="21"/>
          <w:szCs w:val="21"/>
          <w:highlight w:val="none"/>
          <w:u w:val="none"/>
          <w:shd w:val="clear" w:color="auto" w:fill="FFFFFF"/>
        </w:rPr>
        <w:instrText xml:space="preserve"> HYPERLINK "https://baike.baidu.com/item/%E4%BF%A1%E6%81%AF%E7%B3%BB%E7%BB%9F%E9%A1%B9%E7%9B%AE%E7%AE%A1%E7%90%86%E5%B8%88/4672304?fromModule=lemma_inlink" \t "https://baike.baidu.com/item/%E4%BF%A1%E6%81%AF%E7%B3%BB%E7%BB%9F%E9%A1%B9%E7%9B%AE%E7%AE%A1%E7%90%86%E5%B7%A5%E7%A8%8B%E5%B8%88/_blank" </w:instrText>
      </w:r>
      <w:r>
        <w:rPr>
          <w:rFonts w:hint="eastAsia" w:ascii="宋体" w:hAnsi="宋体" w:eastAsia="宋体" w:cs="宋体"/>
          <w:i w:val="0"/>
          <w:iCs w:val="0"/>
          <w:caps w:val="0"/>
          <w:color w:val="auto"/>
          <w:spacing w:val="0"/>
          <w:sz w:val="21"/>
          <w:szCs w:val="21"/>
          <w:highlight w:val="none"/>
          <w:u w:val="none"/>
          <w:shd w:val="clear" w:color="auto" w:fill="FFFFFF"/>
        </w:rPr>
        <w:fldChar w:fldCharType="separate"/>
      </w:r>
      <w:r>
        <w:rPr>
          <w:rStyle w:val="54"/>
          <w:rFonts w:hint="eastAsia" w:ascii="宋体" w:hAnsi="宋体" w:eastAsia="宋体" w:cs="宋体"/>
          <w:i w:val="0"/>
          <w:iCs w:val="0"/>
          <w:caps w:val="0"/>
          <w:color w:val="auto"/>
          <w:spacing w:val="0"/>
          <w:sz w:val="21"/>
          <w:szCs w:val="21"/>
          <w:highlight w:val="none"/>
          <w:u w:val="none"/>
          <w:shd w:val="clear" w:color="auto" w:fill="FFFFFF"/>
        </w:rPr>
        <w:t>信息系统项目管理师</w:t>
      </w:r>
      <w:r>
        <w:rPr>
          <w:rFonts w:hint="eastAsia" w:ascii="宋体" w:hAnsi="宋体" w:eastAsia="宋体" w:cs="宋体"/>
          <w:i w:val="0"/>
          <w:iCs w:val="0"/>
          <w:caps w:val="0"/>
          <w:color w:val="auto"/>
          <w:spacing w:val="0"/>
          <w:sz w:val="21"/>
          <w:szCs w:val="21"/>
          <w:highlight w:val="none"/>
          <w:u w:val="none"/>
          <w:shd w:val="clear" w:color="auto" w:fill="FFFFFF"/>
        </w:rPr>
        <w:fldChar w:fldCharType="end"/>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负责本项目系统对接及系统开发（方案中能提供人员证书复印件）</w:t>
      </w:r>
      <w:r>
        <w:rPr>
          <w:rFonts w:hint="eastAsia" w:ascii="宋体" w:hAnsi="宋体"/>
          <w:color w:val="auto"/>
          <w:highlight w:val="none"/>
          <w:lang w:val="en-US" w:eastAsia="zh-CN"/>
        </w:rPr>
        <w:t>。</w:t>
      </w:r>
    </w:p>
    <w:p w14:paraId="30909CEE">
      <w:pPr>
        <w:pStyle w:val="25"/>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outlineLvl w:val="1"/>
        <w:rPr>
          <w:rFonts w:hint="eastAsia" w:ascii="宋体" w:hAnsi="宋体" w:eastAsia="宋体" w:cs="仿宋"/>
          <w:b/>
          <w:bCs w:val="0"/>
          <w:color w:val="auto"/>
          <w:kern w:val="2"/>
          <w:sz w:val="21"/>
          <w:szCs w:val="21"/>
          <w:highlight w:val="none"/>
          <w:lang w:val="en-US" w:eastAsia="zh-CN" w:bidi="ar-SA"/>
        </w:rPr>
      </w:pPr>
      <w:r>
        <w:rPr>
          <w:rFonts w:hint="eastAsia" w:ascii="宋体" w:hAnsi="宋体" w:eastAsia="宋体" w:cs="仿宋"/>
          <w:b/>
          <w:bCs w:val="0"/>
          <w:color w:val="auto"/>
          <w:kern w:val="2"/>
          <w:sz w:val="21"/>
          <w:szCs w:val="21"/>
          <w:highlight w:val="none"/>
          <w:lang w:val="en-US" w:eastAsia="zh-CN" w:bidi="ar-SA"/>
        </w:rPr>
        <w:t>10、综合实力分……………………………………………………………………………………………8分</w:t>
      </w:r>
    </w:p>
    <w:p w14:paraId="6B900D78">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宋体" w:hAnsi="宋体" w:eastAsia="宋体" w:cs="仿宋"/>
          <w:bCs/>
          <w:color w:val="auto"/>
          <w:kern w:val="2"/>
          <w:sz w:val="21"/>
          <w:szCs w:val="21"/>
          <w:highlight w:val="none"/>
          <w:lang w:val="en-US" w:eastAsia="zh-CN" w:bidi="ar-SA"/>
        </w:rPr>
      </w:pPr>
      <w:r>
        <w:rPr>
          <w:rFonts w:hint="eastAsia" w:ascii="宋体" w:hAnsi="宋体" w:eastAsia="宋体" w:cs="仿宋"/>
          <w:bCs/>
          <w:color w:val="auto"/>
          <w:kern w:val="2"/>
          <w:sz w:val="21"/>
          <w:szCs w:val="21"/>
          <w:highlight w:val="none"/>
          <w:lang w:val="en-US" w:eastAsia="zh-CN" w:bidi="ar-SA"/>
        </w:rPr>
        <w:t>10.1服务能力分（满分2分）</w:t>
      </w:r>
    </w:p>
    <w:p w14:paraId="5F70D756">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highlight w:val="none"/>
        </w:rPr>
      </w:pPr>
      <w:r>
        <w:rPr>
          <w:rFonts w:hint="eastAsia"/>
          <w:color w:val="auto"/>
          <w:highlight w:val="none"/>
        </w:rPr>
        <w:t>投标人具有自有平台可为“国家精品开放课程项目”提供支持服务（具体包括国家精品开放课程技术标准、申报遴选系统、国家精品开放课程资源库建设），得2分；投标人承诺能为“国家精品开放课程项目”提供平台支持服务（具体包括国家精品开放课程技术标准、申报遴选系统、国家精品开放课程资源库建设），得1分；（注：提供平台网页截图、教育部相关文件或承诺函证明材料，否则不计分）</w:t>
      </w:r>
    </w:p>
    <w:p w14:paraId="33A7103C">
      <w:pPr>
        <w:keepNext w:val="0"/>
        <w:keepLines w:val="0"/>
        <w:pageBreakBefore w:val="0"/>
        <w:widowControl w:val="0"/>
        <w:kinsoku/>
        <w:wordWrap/>
        <w:overflowPunct/>
        <w:topLinePunct w:val="0"/>
        <w:autoSpaceDE/>
        <w:autoSpaceDN/>
        <w:bidi w:val="0"/>
        <w:adjustRightInd/>
        <w:spacing w:line="340" w:lineRule="exact"/>
        <w:textAlignment w:val="auto"/>
        <w:rPr>
          <w:rFonts w:hint="eastAsia"/>
          <w:color w:val="auto"/>
          <w:highlight w:val="none"/>
        </w:rPr>
      </w:pPr>
      <w:r>
        <w:rPr>
          <w:rFonts w:hint="eastAsia"/>
          <w:color w:val="auto"/>
          <w:highlight w:val="none"/>
        </w:rPr>
        <w:t>10.2同类业绩分（满分6分）</w:t>
      </w:r>
    </w:p>
    <w:p w14:paraId="4243BE69">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highlight w:val="none"/>
        </w:rPr>
      </w:pPr>
      <w:r>
        <w:rPr>
          <w:rFonts w:hint="eastAsia"/>
          <w:color w:val="auto"/>
          <w:highlight w:val="none"/>
        </w:rPr>
        <w:t>自2021年1月以来，投标人具有同类项目业绩的，每个得1分，满分</w:t>
      </w:r>
      <w:r>
        <w:rPr>
          <w:rFonts w:hint="eastAsia"/>
          <w:color w:val="auto"/>
          <w:highlight w:val="none"/>
          <w:lang w:val="en-US" w:eastAsia="zh-CN"/>
        </w:rPr>
        <w:t>6</w:t>
      </w:r>
      <w:r>
        <w:rPr>
          <w:rFonts w:hint="eastAsia"/>
          <w:color w:val="auto"/>
          <w:highlight w:val="none"/>
        </w:rPr>
        <w:t xml:space="preserve"> 分。[注：提供合同证明复印件加盖投标人公章（须体现同类项目业绩明细），原件备查]。</w:t>
      </w:r>
    </w:p>
    <w:p w14:paraId="0F742A7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b/>
          <w:color w:val="auto"/>
          <w:szCs w:val="21"/>
          <w:highlight w:val="none"/>
        </w:rPr>
      </w:pPr>
      <w:r>
        <w:rPr>
          <w:rFonts w:hint="eastAsia" w:ascii="宋体" w:hAnsi="宋体"/>
          <w:b/>
          <w:color w:val="auto"/>
          <w:szCs w:val="21"/>
          <w:highlight w:val="none"/>
        </w:rPr>
        <w:t>（三）总得分</w:t>
      </w:r>
      <w:r>
        <w:rPr>
          <w:rFonts w:ascii="宋体" w:hAnsi="宋体"/>
          <w:b/>
          <w:color w:val="auto"/>
          <w:szCs w:val="21"/>
          <w:highlight w:val="none"/>
        </w:rPr>
        <w:t xml:space="preserve">=1 + 2 + 3 + 4 + 5 + </w:t>
      </w:r>
      <w:r>
        <w:rPr>
          <w:rFonts w:hint="eastAsia" w:ascii="宋体" w:hAnsi="宋体"/>
          <w:b/>
          <w:color w:val="auto"/>
          <w:szCs w:val="21"/>
          <w:highlight w:val="none"/>
          <w:lang w:val="en-US" w:eastAsia="zh-CN"/>
        </w:rPr>
        <w:t>6</w:t>
      </w:r>
      <w:r>
        <w:rPr>
          <w:rFonts w:ascii="宋体" w:hAnsi="宋体"/>
          <w:b/>
          <w:color w:val="auto"/>
          <w:szCs w:val="21"/>
          <w:highlight w:val="none"/>
        </w:rPr>
        <w:t xml:space="preserve"> + </w:t>
      </w:r>
      <w:r>
        <w:rPr>
          <w:rFonts w:hint="eastAsia" w:ascii="宋体" w:hAnsi="宋体"/>
          <w:b/>
          <w:color w:val="auto"/>
          <w:szCs w:val="21"/>
          <w:highlight w:val="none"/>
          <w:lang w:val="en-US" w:eastAsia="zh-CN"/>
        </w:rPr>
        <w:t>7</w:t>
      </w:r>
      <w:r>
        <w:rPr>
          <w:rFonts w:ascii="宋体" w:hAnsi="宋体"/>
          <w:b/>
          <w:color w:val="auto"/>
          <w:szCs w:val="21"/>
          <w:highlight w:val="none"/>
        </w:rPr>
        <w:t xml:space="preserve"> + </w:t>
      </w:r>
      <w:r>
        <w:rPr>
          <w:rFonts w:hint="eastAsia" w:ascii="宋体" w:hAnsi="宋体"/>
          <w:b/>
          <w:color w:val="auto"/>
          <w:szCs w:val="21"/>
          <w:highlight w:val="none"/>
          <w:lang w:val="en-US" w:eastAsia="zh-CN"/>
        </w:rPr>
        <w:t>8</w:t>
      </w:r>
      <w:r>
        <w:rPr>
          <w:rFonts w:ascii="宋体" w:hAnsi="宋体"/>
          <w:b/>
          <w:color w:val="auto"/>
          <w:szCs w:val="21"/>
          <w:highlight w:val="none"/>
        </w:rPr>
        <w:t xml:space="preserve"> + </w:t>
      </w:r>
      <w:r>
        <w:rPr>
          <w:rFonts w:hint="eastAsia" w:ascii="宋体" w:hAnsi="宋体"/>
          <w:b/>
          <w:color w:val="auto"/>
          <w:szCs w:val="21"/>
          <w:highlight w:val="none"/>
          <w:lang w:val="en-US" w:eastAsia="zh-CN"/>
        </w:rPr>
        <w:t>9</w:t>
      </w:r>
      <w:r>
        <w:rPr>
          <w:rFonts w:ascii="宋体" w:hAnsi="宋体"/>
          <w:b/>
          <w:color w:val="auto"/>
          <w:szCs w:val="21"/>
          <w:highlight w:val="none"/>
        </w:rPr>
        <w:t xml:space="preserve"> + </w:t>
      </w:r>
      <w:r>
        <w:rPr>
          <w:rFonts w:hint="eastAsia" w:ascii="宋体" w:hAnsi="宋体"/>
          <w:b/>
          <w:color w:val="auto"/>
          <w:szCs w:val="21"/>
          <w:highlight w:val="none"/>
          <w:lang w:val="en-US" w:eastAsia="zh-CN"/>
        </w:rPr>
        <w:t>10</w:t>
      </w:r>
      <w:r>
        <w:rPr>
          <w:rFonts w:hint="eastAsia" w:ascii="宋体" w:hAnsi="宋体"/>
          <w:b/>
          <w:color w:val="auto"/>
          <w:szCs w:val="21"/>
          <w:highlight w:val="none"/>
        </w:rPr>
        <w:t>。</w:t>
      </w:r>
    </w:p>
    <w:p w14:paraId="57E8D12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三、中标候选供应商推荐原则</w:t>
      </w:r>
    </w:p>
    <w:p w14:paraId="3B5C88C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bCs/>
          <w:color w:val="auto"/>
          <w:highlight w:val="none"/>
        </w:rPr>
      </w:pPr>
      <w:r>
        <w:rPr>
          <w:rFonts w:hint="eastAsia" w:ascii="宋体" w:hAnsi="宋体"/>
          <w:bCs/>
          <w:color w:val="auto"/>
          <w:szCs w:val="21"/>
          <w:highlight w:val="none"/>
        </w:rPr>
        <w:t>（一）</w:t>
      </w:r>
      <w:r>
        <w:rPr>
          <w:rFonts w:hint="eastAsia" w:ascii="宋体" w:hAnsi="宋体"/>
          <w:bCs/>
          <w:color w:val="auto"/>
          <w:highlight w:val="none"/>
        </w:rPr>
        <w:t>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D2EA2B7">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bCs/>
          <w:color w:val="auto"/>
          <w:highlight w:val="none"/>
        </w:rPr>
      </w:pPr>
      <w:r>
        <w:rPr>
          <w:rFonts w:hint="eastAsia" w:ascii="宋体" w:hAnsi="宋体"/>
          <w:bCs/>
          <w:color w:val="auto"/>
          <w:highlight w:val="none"/>
        </w:rPr>
        <w:t>采购人应当确定评审委员会推荐排名第一的中标候选人为</w:t>
      </w:r>
      <w:r>
        <w:rPr>
          <w:rFonts w:hint="eastAsia" w:ascii="宋体" w:hAnsi="宋体"/>
          <w:color w:val="auto"/>
          <w:highlight w:val="none"/>
        </w:rPr>
        <w:t>中标人</w:t>
      </w:r>
      <w:r>
        <w:rPr>
          <w:rFonts w:hint="eastAsia" w:ascii="宋体" w:hAnsi="宋体"/>
          <w:bCs/>
          <w:color w:val="auto"/>
          <w:highlight w:val="none"/>
        </w:rPr>
        <w:t>。排名第一的中标候选人放弃中标、因不可抗力或者自身原因提出不能履行合同，采购人可以确定排名第二的中标候选人为</w:t>
      </w:r>
      <w:r>
        <w:rPr>
          <w:rFonts w:hint="eastAsia" w:ascii="宋体" w:hAnsi="宋体"/>
          <w:color w:val="auto"/>
          <w:highlight w:val="none"/>
        </w:rPr>
        <w:t>中标人</w:t>
      </w:r>
      <w:r>
        <w:rPr>
          <w:rFonts w:hint="eastAsia" w:ascii="宋体" w:hAnsi="宋体"/>
          <w:bCs/>
          <w:color w:val="auto"/>
          <w:highlight w:val="none"/>
        </w:rPr>
        <w:t>。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7912CF7B">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color w:val="auto"/>
          <w:highlight w:val="none"/>
        </w:rPr>
      </w:pPr>
      <w:r>
        <w:rPr>
          <w:rFonts w:hint="eastAsia"/>
          <w:bCs/>
          <w:color w:val="auto"/>
          <w:highlight w:val="none"/>
        </w:rPr>
        <w:t>（二）评标委员会认为投标人的报价明显低于其他通过符合性审</w:t>
      </w:r>
      <w:r>
        <w:rPr>
          <w:rFonts w:hint="eastAsia"/>
          <w:bCs/>
          <w:color w:val="auto"/>
          <w:highlight w:val="none"/>
          <w:lang w:eastAsia="zh-CN"/>
        </w:rPr>
        <w:t>查的</w:t>
      </w:r>
      <w:r>
        <w:rPr>
          <w:rFonts w:hint="eastAsia"/>
          <w:bCs/>
          <w:color w:val="auto"/>
          <w:highlight w:val="none"/>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A6DD22">
      <w:pPr>
        <w:tabs>
          <w:tab w:val="right" w:leader="dot" w:pos="9185"/>
        </w:tabs>
        <w:adjustRightInd w:val="0"/>
        <w:spacing w:line="380" w:lineRule="exact"/>
        <w:ind w:firstLine="420" w:firstLineChars="200"/>
        <w:textAlignment w:val="baseline"/>
        <w:rPr>
          <w:rFonts w:hint="eastAsia" w:ascii="宋体" w:hAnsi="宋体"/>
          <w:bCs/>
          <w:color w:val="auto"/>
          <w:kern w:val="0"/>
          <w:szCs w:val="20"/>
          <w:highlight w:val="none"/>
        </w:rPr>
      </w:pPr>
    </w:p>
    <w:p w14:paraId="2D482F6B">
      <w:pPr>
        <w:pStyle w:val="25"/>
        <w:spacing w:line="360" w:lineRule="auto"/>
        <w:ind w:firstLine="400" w:firstLineChars="200"/>
        <w:rPr>
          <w:rFonts w:hint="eastAsia" w:hAnsi="宋体" w:cs="宋体"/>
          <w:color w:val="auto"/>
          <w:highlight w:val="none"/>
        </w:rPr>
      </w:pPr>
    </w:p>
    <w:p w14:paraId="4E700482">
      <w:pPr>
        <w:spacing w:line="360" w:lineRule="auto"/>
        <w:contextualSpacing/>
        <w:rPr>
          <w:rFonts w:hint="eastAsia" w:ascii="宋体" w:hAnsi="宋体" w:cs="宋体"/>
          <w:b/>
          <w:color w:val="auto"/>
          <w:sz w:val="24"/>
          <w:highlight w:val="none"/>
        </w:rPr>
      </w:pPr>
      <w:r>
        <w:rPr>
          <w:rFonts w:hint="eastAsia" w:ascii="宋体" w:hAnsi="宋体" w:cs="宋体"/>
          <w:b/>
          <w:color w:val="auto"/>
          <w:sz w:val="24"/>
          <w:highlight w:val="none"/>
        </w:rPr>
        <w:br w:type="page"/>
      </w:r>
    </w:p>
    <w:p w14:paraId="714C7CFA">
      <w:pPr>
        <w:spacing w:before="120" w:beforeLines="50" w:after="120" w:afterLines="50" w:line="400" w:lineRule="exact"/>
        <w:rPr>
          <w:rFonts w:hint="eastAsia" w:ascii="宋体" w:hAnsi="宋体" w:cs="宋体"/>
          <w:b/>
          <w:color w:val="auto"/>
          <w:sz w:val="24"/>
          <w:highlight w:val="none"/>
        </w:rPr>
      </w:pPr>
    </w:p>
    <w:p w14:paraId="39FDB3D6">
      <w:pPr>
        <w:spacing w:before="120" w:beforeLines="50" w:after="120" w:afterLines="50" w:line="400" w:lineRule="exact"/>
        <w:rPr>
          <w:rFonts w:hint="eastAsia" w:ascii="宋体" w:hAnsi="宋体" w:cs="宋体"/>
          <w:b/>
          <w:color w:val="auto"/>
          <w:sz w:val="24"/>
          <w:highlight w:val="none"/>
        </w:rPr>
      </w:pPr>
    </w:p>
    <w:p w14:paraId="513C1E01">
      <w:pPr>
        <w:spacing w:before="120" w:beforeLines="50" w:after="120" w:afterLines="50" w:line="400" w:lineRule="exact"/>
        <w:rPr>
          <w:rFonts w:hint="eastAsia" w:ascii="宋体" w:hAnsi="宋体" w:cs="宋体"/>
          <w:b/>
          <w:color w:val="auto"/>
          <w:sz w:val="24"/>
          <w:highlight w:val="none"/>
        </w:rPr>
      </w:pPr>
    </w:p>
    <w:p w14:paraId="5B62CA1D">
      <w:pPr>
        <w:spacing w:before="120" w:beforeLines="50" w:after="120" w:afterLines="50" w:line="400" w:lineRule="exact"/>
        <w:rPr>
          <w:rFonts w:hint="eastAsia" w:ascii="宋体" w:hAnsi="宋体" w:cs="宋体"/>
          <w:b/>
          <w:color w:val="auto"/>
          <w:sz w:val="24"/>
          <w:highlight w:val="none"/>
        </w:rPr>
      </w:pPr>
    </w:p>
    <w:p w14:paraId="5D06CE75">
      <w:pPr>
        <w:spacing w:before="120" w:beforeLines="50" w:after="120" w:afterLines="50" w:line="400" w:lineRule="exact"/>
        <w:rPr>
          <w:rFonts w:hint="eastAsia" w:ascii="宋体" w:hAnsi="宋体" w:cs="宋体"/>
          <w:b/>
          <w:color w:val="auto"/>
          <w:sz w:val="24"/>
          <w:highlight w:val="none"/>
        </w:rPr>
      </w:pPr>
    </w:p>
    <w:p w14:paraId="778ED482">
      <w:pPr>
        <w:spacing w:before="120" w:beforeLines="50" w:after="120" w:afterLines="50" w:line="400" w:lineRule="exact"/>
        <w:rPr>
          <w:rFonts w:hint="eastAsia" w:ascii="宋体" w:hAnsi="宋体" w:cs="宋体"/>
          <w:b/>
          <w:color w:val="auto"/>
          <w:sz w:val="24"/>
          <w:highlight w:val="none"/>
        </w:rPr>
      </w:pPr>
    </w:p>
    <w:p w14:paraId="4D6E9F1B">
      <w:pPr>
        <w:spacing w:before="120" w:beforeLines="50" w:after="120" w:afterLines="50" w:line="400" w:lineRule="exact"/>
        <w:rPr>
          <w:rFonts w:hint="eastAsia" w:ascii="宋体" w:hAnsi="宋体" w:cs="宋体"/>
          <w:b/>
          <w:color w:val="auto"/>
          <w:sz w:val="24"/>
          <w:highlight w:val="none"/>
        </w:rPr>
      </w:pPr>
    </w:p>
    <w:p w14:paraId="6C876665">
      <w:pPr>
        <w:spacing w:before="120" w:beforeLines="50" w:after="120" w:afterLines="50" w:line="400" w:lineRule="exact"/>
        <w:rPr>
          <w:rFonts w:hint="eastAsia" w:ascii="宋体" w:hAnsi="宋体" w:cs="宋体"/>
          <w:b/>
          <w:color w:val="auto"/>
          <w:sz w:val="24"/>
          <w:highlight w:val="none"/>
        </w:rPr>
      </w:pPr>
    </w:p>
    <w:p w14:paraId="1BDF57A8">
      <w:pPr>
        <w:spacing w:before="120" w:beforeLines="50" w:after="120" w:afterLines="50" w:line="400" w:lineRule="exact"/>
        <w:rPr>
          <w:rFonts w:hint="eastAsia" w:ascii="宋体" w:hAnsi="宋体" w:cs="宋体"/>
          <w:b/>
          <w:color w:val="auto"/>
          <w:sz w:val="24"/>
          <w:highlight w:val="none"/>
        </w:rPr>
      </w:pPr>
    </w:p>
    <w:p w14:paraId="5ED57831">
      <w:pPr>
        <w:spacing w:before="120" w:beforeLines="50" w:after="120" w:afterLines="50" w:line="400" w:lineRule="exact"/>
        <w:rPr>
          <w:rFonts w:hint="eastAsia" w:ascii="宋体" w:hAnsi="宋体" w:cs="宋体"/>
          <w:b/>
          <w:color w:val="auto"/>
          <w:sz w:val="24"/>
          <w:highlight w:val="none"/>
        </w:rPr>
      </w:pPr>
    </w:p>
    <w:p w14:paraId="388993AC">
      <w:pPr>
        <w:pStyle w:val="3"/>
        <w:keepNext w:val="0"/>
        <w:keepLines w:val="0"/>
        <w:jc w:val="center"/>
        <w:rPr>
          <w:rFonts w:hint="eastAsia" w:ascii="宋体" w:hAnsi="宋体" w:eastAsia="宋体" w:cs="宋体"/>
          <w:color w:val="auto"/>
          <w:highlight w:val="none"/>
        </w:rPr>
      </w:pPr>
      <w:bookmarkStart w:id="106" w:name="_Toc19686833"/>
      <w:r>
        <w:rPr>
          <w:rFonts w:hint="eastAsia" w:ascii="宋体" w:hAnsi="宋体" w:eastAsia="宋体" w:cs="宋体"/>
          <w:color w:val="auto"/>
          <w:highlight w:val="none"/>
        </w:rPr>
        <w:t xml:space="preserve">第五章  </w:t>
      </w:r>
      <w:bookmarkEnd w:id="106"/>
      <w:r>
        <w:rPr>
          <w:rFonts w:hint="eastAsia" w:ascii="宋体" w:hAnsi="宋体" w:eastAsia="宋体" w:cs="宋体"/>
          <w:color w:val="auto"/>
          <w:highlight w:val="none"/>
        </w:rPr>
        <w:t>政府采购合同主要条款</w:t>
      </w:r>
    </w:p>
    <w:p w14:paraId="22C04153">
      <w:pPr>
        <w:snapToGrid w:val="0"/>
        <w:jc w:val="center"/>
        <w:rPr>
          <w:rFonts w:hint="eastAsia" w:ascii="宋体" w:hAnsi="宋体" w:cs="宋体"/>
          <w:bCs/>
          <w:color w:val="auto"/>
          <w:sz w:val="32"/>
          <w:szCs w:val="32"/>
          <w:highlight w:val="none"/>
        </w:rPr>
      </w:pPr>
    </w:p>
    <w:p w14:paraId="1E2508AC">
      <w:pPr>
        <w:snapToGrid w:val="0"/>
        <w:jc w:val="center"/>
        <w:rPr>
          <w:rFonts w:hint="eastAsia" w:ascii="宋体" w:hAnsi="宋体" w:cs="宋体"/>
          <w:bCs/>
          <w:color w:val="auto"/>
          <w:sz w:val="32"/>
          <w:szCs w:val="32"/>
          <w:highlight w:val="none"/>
        </w:rPr>
      </w:pPr>
    </w:p>
    <w:p w14:paraId="5805B32C">
      <w:pPr>
        <w:snapToGrid w:val="0"/>
        <w:jc w:val="center"/>
        <w:rPr>
          <w:rFonts w:hint="eastAsia" w:ascii="宋体" w:hAnsi="宋体" w:cs="宋体"/>
          <w:bCs/>
          <w:color w:val="auto"/>
          <w:sz w:val="32"/>
          <w:szCs w:val="32"/>
          <w:highlight w:val="none"/>
        </w:rPr>
      </w:pPr>
    </w:p>
    <w:p w14:paraId="28A6F691">
      <w:pPr>
        <w:snapToGrid w:val="0"/>
        <w:jc w:val="center"/>
        <w:rPr>
          <w:rFonts w:hint="eastAsia" w:ascii="宋体" w:hAnsi="宋体" w:cs="宋体"/>
          <w:bCs/>
          <w:color w:val="auto"/>
          <w:sz w:val="32"/>
          <w:szCs w:val="32"/>
          <w:highlight w:val="none"/>
        </w:rPr>
      </w:pPr>
    </w:p>
    <w:p w14:paraId="6C773E6F">
      <w:pPr>
        <w:snapToGrid w:val="0"/>
        <w:jc w:val="center"/>
        <w:rPr>
          <w:rFonts w:hint="eastAsia" w:ascii="宋体" w:hAnsi="宋体" w:cs="宋体"/>
          <w:bCs/>
          <w:color w:val="auto"/>
          <w:sz w:val="32"/>
          <w:szCs w:val="32"/>
          <w:highlight w:val="none"/>
        </w:rPr>
      </w:pPr>
    </w:p>
    <w:p w14:paraId="634FBFFC">
      <w:pPr>
        <w:snapToGrid w:val="0"/>
        <w:jc w:val="center"/>
        <w:rPr>
          <w:rFonts w:hint="eastAsia" w:ascii="宋体" w:hAnsi="宋体" w:cs="宋体"/>
          <w:bCs/>
          <w:color w:val="auto"/>
          <w:sz w:val="32"/>
          <w:szCs w:val="32"/>
          <w:highlight w:val="none"/>
        </w:rPr>
      </w:pPr>
    </w:p>
    <w:p w14:paraId="0878562E">
      <w:pPr>
        <w:snapToGrid w:val="0"/>
        <w:jc w:val="center"/>
        <w:rPr>
          <w:rFonts w:hint="eastAsia" w:ascii="宋体" w:hAnsi="宋体" w:cs="宋体"/>
          <w:bCs/>
          <w:color w:val="auto"/>
          <w:sz w:val="32"/>
          <w:szCs w:val="32"/>
          <w:highlight w:val="none"/>
        </w:rPr>
      </w:pPr>
    </w:p>
    <w:p w14:paraId="4D33A133">
      <w:pPr>
        <w:snapToGrid w:val="0"/>
        <w:jc w:val="center"/>
        <w:rPr>
          <w:rFonts w:hint="eastAsia" w:ascii="宋体" w:hAnsi="宋体" w:cs="宋体"/>
          <w:bCs/>
          <w:color w:val="auto"/>
          <w:sz w:val="32"/>
          <w:szCs w:val="32"/>
          <w:highlight w:val="none"/>
        </w:rPr>
      </w:pPr>
    </w:p>
    <w:p w14:paraId="3A3C91C1">
      <w:pPr>
        <w:snapToGrid w:val="0"/>
        <w:jc w:val="center"/>
        <w:rPr>
          <w:rFonts w:hint="eastAsia" w:ascii="宋体" w:hAnsi="宋体" w:cs="宋体"/>
          <w:bCs/>
          <w:color w:val="auto"/>
          <w:sz w:val="32"/>
          <w:szCs w:val="32"/>
          <w:highlight w:val="none"/>
        </w:rPr>
      </w:pPr>
    </w:p>
    <w:p w14:paraId="0792586E">
      <w:pPr>
        <w:snapToGrid w:val="0"/>
        <w:jc w:val="center"/>
        <w:rPr>
          <w:rFonts w:hint="eastAsia" w:ascii="宋体" w:hAnsi="宋体" w:cs="宋体"/>
          <w:bCs/>
          <w:color w:val="auto"/>
          <w:sz w:val="32"/>
          <w:szCs w:val="32"/>
          <w:highlight w:val="none"/>
        </w:rPr>
      </w:pPr>
    </w:p>
    <w:p w14:paraId="5ECFEA63">
      <w:pPr>
        <w:snapToGrid w:val="0"/>
        <w:jc w:val="center"/>
        <w:rPr>
          <w:rFonts w:hint="eastAsia" w:ascii="宋体" w:hAnsi="宋体" w:cs="宋体"/>
          <w:bCs/>
          <w:color w:val="auto"/>
          <w:sz w:val="32"/>
          <w:szCs w:val="32"/>
          <w:highlight w:val="none"/>
        </w:rPr>
      </w:pPr>
    </w:p>
    <w:p w14:paraId="4A6E20BF">
      <w:pPr>
        <w:snapToGrid w:val="0"/>
        <w:jc w:val="center"/>
        <w:rPr>
          <w:rFonts w:hint="eastAsia" w:ascii="宋体" w:hAnsi="宋体" w:cs="宋体"/>
          <w:bCs/>
          <w:color w:val="auto"/>
          <w:sz w:val="32"/>
          <w:szCs w:val="32"/>
          <w:highlight w:val="none"/>
        </w:rPr>
      </w:pPr>
    </w:p>
    <w:p w14:paraId="1B596C96">
      <w:pPr>
        <w:snapToGrid w:val="0"/>
        <w:jc w:val="center"/>
        <w:rPr>
          <w:rFonts w:hint="eastAsia" w:ascii="宋体" w:hAnsi="宋体" w:cs="宋体"/>
          <w:bCs/>
          <w:color w:val="auto"/>
          <w:sz w:val="32"/>
          <w:szCs w:val="32"/>
          <w:highlight w:val="none"/>
        </w:rPr>
      </w:pPr>
    </w:p>
    <w:p w14:paraId="0561E7E5">
      <w:pPr>
        <w:snapToGrid w:val="0"/>
        <w:jc w:val="center"/>
        <w:rPr>
          <w:rFonts w:hint="eastAsia" w:ascii="宋体" w:hAnsi="宋体" w:cs="宋体"/>
          <w:bCs/>
          <w:color w:val="auto"/>
          <w:sz w:val="32"/>
          <w:szCs w:val="32"/>
          <w:highlight w:val="none"/>
        </w:rPr>
      </w:pPr>
    </w:p>
    <w:p w14:paraId="7D76F814">
      <w:pPr>
        <w:snapToGrid w:val="0"/>
        <w:spacing w:line="360" w:lineRule="exact"/>
        <w:jc w:val="center"/>
        <w:rPr>
          <w:rFonts w:hint="eastAsia"/>
          <w:b/>
          <w:bCs/>
          <w:color w:val="auto"/>
          <w:sz w:val="32"/>
          <w:szCs w:val="32"/>
          <w:highlight w:val="none"/>
        </w:rPr>
      </w:pPr>
      <w:r>
        <w:rPr>
          <w:rFonts w:hint="eastAsia" w:ascii="宋体" w:hAnsi="宋体" w:cs="宋体"/>
          <w:bCs/>
          <w:color w:val="auto"/>
          <w:sz w:val="32"/>
          <w:szCs w:val="32"/>
          <w:highlight w:val="none"/>
        </w:rPr>
        <w:br w:type="page"/>
      </w:r>
      <w:bookmarkStart w:id="107" w:name="_Hlk55381736"/>
      <w:r>
        <w:rPr>
          <w:rFonts w:hint="eastAsia"/>
          <w:b/>
          <w:bCs/>
          <w:color w:val="auto"/>
          <w:sz w:val="32"/>
          <w:szCs w:val="32"/>
          <w:highlight w:val="none"/>
        </w:rPr>
        <w:t>广西壮族自治区政府采购合同（格式）</w:t>
      </w:r>
    </w:p>
    <w:p w14:paraId="2391E941">
      <w:pPr>
        <w:jc w:val="center"/>
        <w:rPr>
          <w:rFonts w:hint="eastAsia" w:ascii="宋体" w:hAnsi="宋体"/>
          <w:bCs/>
          <w:color w:val="auto"/>
          <w:szCs w:val="21"/>
          <w:highlight w:val="none"/>
        </w:rPr>
      </w:pPr>
    </w:p>
    <w:p w14:paraId="46CA8DBE">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223E3546">
      <w:pPr>
        <w:snapToGrid w:val="0"/>
        <w:spacing w:line="360" w:lineRule="exact"/>
        <w:rPr>
          <w:rFonts w:hint="eastAsia" w:ascii="宋体" w:hAnsi="宋体"/>
          <w:color w:val="auto"/>
          <w:szCs w:val="21"/>
          <w:highlight w:val="none"/>
        </w:rPr>
      </w:pPr>
    </w:p>
    <w:p w14:paraId="1A192B92">
      <w:pPr>
        <w:snapToGrid w:val="0"/>
        <w:spacing w:line="34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412E27A4">
      <w:pPr>
        <w:snapToGrid w:val="0"/>
        <w:spacing w:line="34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项目名称编号</w:t>
      </w:r>
      <w:r>
        <w:rPr>
          <w:rFonts w:hint="eastAsia" w:ascii="宋体" w:hAnsi="宋体"/>
          <w:color w:val="auto"/>
          <w:szCs w:val="21"/>
          <w:highlight w:val="none"/>
          <w:u w:val="single"/>
        </w:rPr>
        <w:t xml:space="preserve">                       </w:t>
      </w:r>
    </w:p>
    <w:p w14:paraId="59CCB168">
      <w:pPr>
        <w:snapToGrid w:val="0"/>
        <w:spacing w:line="34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签 订 时 间</w:t>
      </w:r>
      <w:r>
        <w:rPr>
          <w:rFonts w:hint="eastAsia" w:ascii="宋体" w:hAnsi="宋体"/>
          <w:color w:val="auto"/>
          <w:szCs w:val="21"/>
          <w:highlight w:val="none"/>
          <w:u w:val="single"/>
        </w:rPr>
        <w:t xml:space="preserve">                       </w:t>
      </w:r>
    </w:p>
    <w:p w14:paraId="3BA7E64C">
      <w:pPr>
        <w:snapToGrid w:val="0"/>
        <w:spacing w:line="340" w:lineRule="exact"/>
        <w:ind w:firstLine="420" w:firstLineChars="200"/>
        <w:rPr>
          <w:rFonts w:hint="eastAsia" w:ascii="宋体" w:hAnsi="宋体"/>
          <w:color w:val="auto"/>
          <w:szCs w:val="21"/>
          <w:highlight w:val="none"/>
        </w:rPr>
      </w:pPr>
    </w:p>
    <w:p w14:paraId="4FE3F342">
      <w:pPr>
        <w:pStyle w:val="124"/>
        <w:spacing w:line="340" w:lineRule="exact"/>
        <w:ind w:firstLine="420" w:firstLineChars="200"/>
        <w:rPr>
          <w:rFonts w:hint="eastAsia"/>
          <w:color w:val="auto"/>
          <w:sz w:val="21"/>
          <w:highlight w:val="none"/>
        </w:rPr>
      </w:pPr>
      <w:r>
        <w:rPr>
          <w:rFonts w:hint="eastAsia"/>
          <w:color w:val="auto"/>
          <w:sz w:val="21"/>
          <w:highlight w:val="none"/>
        </w:rPr>
        <w:t>根据《中华人民共和国政府采购法》、《中华人民共和国民法典》等法律、法规规定，按照招标文件规定条款和中标人投标文件及其承诺，甲乙双方签订本合同。</w:t>
      </w:r>
    </w:p>
    <w:p w14:paraId="68B71582">
      <w:pPr>
        <w:numPr>
          <w:ilvl w:val="0"/>
          <w:numId w:val="5"/>
        </w:numPr>
        <w:snapToGrid w:val="0"/>
        <w:spacing w:line="340" w:lineRule="exact"/>
        <w:outlineLvl w:val="0"/>
        <w:rPr>
          <w:rFonts w:hint="eastAsia" w:ascii="宋体" w:hAnsi="宋体"/>
          <w:b/>
          <w:color w:val="auto"/>
          <w:szCs w:val="21"/>
          <w:highlight w:val="none"/>
        </w:rPr>
      </w:pPr>
      <w:r>
        <w:rPr>
          <w:rFonts w:hint="eastAsia" w:ascii="宋体" w:hAnsi="宋体"/>
          <w:b/>
          <w:color w:val="auto"/>
          <w:szCs w:val="21"/>
          <w:highlight w:val="none"/>
        </w:rPr>
        <w:t>合同标的</w:t>
      </w:r>
    </w:p>
    <w:p w14:paraId="0BE444CA">
      <w:pPr>
        <w:snapToGrid w:val="0"/>
        <w:spacing w:line="340" w:lineRule="exact"/>
        <w:ind w:firstLine="422" w:firstLineChars="200"/>
        <w:outlineLvl w:val="0"/>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1.</w:t>
      </w:r>
      <w:r>
        <w:rPr>
          <w:rFonts w:hint="eastAsia" w:ascii="宋体" w:hAnsi="宋体"/>
          <w:b/>
          <w:color w:val="auto"/>
          <w:szCs w:val="21"/>
          <w:highlight w:val="none"/>
        </w:rPr>
        <w:t>服务名称</w:t>
      </w:r>
      <w:r>
        <w:rPr>
          <w:rFonts w:hint="eastAsia" w:ascii="宋体" w:hAnsi="宋体"/>
          <w:b/>
          <w:color w:val="auto"/>
          <w:szCs w:val="21"/>
          <w:highlight w:val="none"/>
          <w:lang w:eastAsia="zh-CN"/>
        </w:rPr>
        <w:t>：</w:t>
      </w:r>
    </w:p>
    <w:p w14:paraId="4C0D8725">
      <w:pPr>
        <w:snapToGrid w:val="0"/>
        <w:spacing w:line="340" w:lineRule="exact"/>
        <w:ind w:firstLine="422" w:firstLineChars="200"/>
        <w:outlineLvl w:val="0"/>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2.</w:t>
      </w:r>
      <w:r>
        <w:rPr>
          <w:rFonts w:hint="eastAsia" w:ascii="宋体" w:hAnsi="宋体"/>
          <w:b/>
          <w:color w:val="auto"/>
          <w:szCs w:val="21"/>
          <w:highlight w:val="none"/>
        </w:rPr>
        <w:t>服务数量</w:t>
      </w:r>
      <w:r>
        <w:rPr>
          <w:rFonts w:hint="eastAsia" w:ascii="宋体" w:hAnsi="宋体"/>
          <w:b/>
          <w:color w:val="auto"/>
          <w:szCs w:val="21"/>
          <w:highlight w:val="none"/>
          <w:lang w:eastAsia="zh-CN"/>
        </w:rPr>
        <w:t>：</w:t>
      </w:r>
    </w:p>
    <w:p w14:paraId="6E85C065">
      <w:pPr>
        <w:snapToGrid w:val="0"/>
        <w:spacing w:line="340" w:lineRule="exact"/>
        <w:ind w:firstLine="422" w:firstLineChars="200"/>
        <w:outlineLvl w:val="0"/>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3.</w:t>
      </w:r>
      <w:r>
        <w:rPr>
          <w:rFonts w:hint="eastAsia" w:ascii="宋体" w:hAnsi="宋体"/>
          <w:b/>
          <w:color w:val="auto"/>
          <w:szCs w:val="21"/>
          <w:highlight w:val="none"/>
        </w:rPr>
        <w:t>服务内容</w:t>
      </w:r>
      <w:r>
        <w:rPr>
          <w:rFonts w:hint="eastAsia" w:ascii="宋体" w:hAnsi="宋体"/>
          <w:b/>
          <w:color w:val="auto"/>
          <w:szCs w:val="21"/>
          <w:highlight w:val="none"/>
          <w:lang w:eastAsia="zh-CN"/>
        </w:rPr>
        <w:t>：</w:t>
      </w:r>
    </w:p>
    <w:p w14:paraId="2CAD13BB">
      <w:pPr>
        <w:snapToGrid w:val="0"/>
        <w:spacing w:line="340" w:lineRule="exact"/>
        <w:ind w:firstLine="422" w:firstLineChars="200"/>
        <w:rPr>
          <w:rFonts w:ascii="宋体" w:hAnsi="宋体"/>
          <w:b/>
          <w:color w:val="auto"/>
          <w:szCs w:val="21"/>
          <w:highlight w:val="none"/>
        </w:rPr>
      </w:pPr>
      <w:r>
        <w:rPr>
          <w:rFonts w:hint="eastAsia" w:ascii="宋体" w:hAnsi="宋体"/>
          <w:b/>
          <w:color w:val="auto"/>
          <w:szCs w:val="21"/>
          <w:highlight w:val="none"/>
        </w:rPr>
        <w:t>第二条　合同金额</w:t>
      </w:r>
    </w:p>
    <w:p w14:paraId="7AD3C01E">
      <w:pPr>
        <w:snapToGrid w:val="0"/>
        <w:spacing w:line="34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本项目合同金额</w:t>
      </w:r>
      <w:r>
        <w:rPr>
          <w:rFonts w:hint="eastAsia" w:ascii="宋体" w:hAnsi="宋体"/>
          <w:b/>
          <w:color w:val="auto"/>
          <w:szCs w:val="21"/>
          <w:highlight w:val="none"/>
          <w:lang w:eastAsia="zh-CN"/>
        </w:rPr>
        <w:t>（</w:t>
      </w:r>
      <w:r>
        <w:rPr>
          <w:rFonts w:hint="eastAsia" w:ascii="宋体" w:hAnsi="宋体"/>
          <w:b/>
          <w:color w:val="auto"/>
          <w:szCs w:val="21"/>
          <w:highlight w:val="none"/>
        </w:rPr>
        <w:t>大写</w:t>
      </w:r>
      <w:r>
        <w:rPr>
          <w:rFonts w:hint="eastAsia" w:ascii="宋体" w:hAnsi="宋体"/>
          <w:b/>
          <w:color w:val="auto"/>
          <w:szCs w:val="21"/>
          <w:highlight w:val="none"/>
          <w:lang w:eastAsia="zh-CN"/>
        </w:rPr>
        <w:t>）</w:t>
      </w:r>
      <w:r>
        <w:rPr>
          <w:rFonts w:hint="eastAsia" w:ascii="宋体" w:hAnsi="宋体"/>
          <w:b/>
          <w:color w:val="auto"/>
          <w:szCs w:val="21"/>
          <w:highlight w:val="none"/>
        </w:rPr>
        <w:t>人民币_________________(</w:t>
      </w:r>
      <w:r>
        <w:rPr>
          <w:rFonts w:hint="eastAsia" w:ascii="宋体" w:hAnsi="宋体"/>
          <w:color w:val="auto"/>
          <w:szCs w:val="21"/>
          <w:highlight w:val="none"/>
        </w:rPr>
        <w:t>¥</w:t>
      </w:r>
      <w:r>
        <w:rPr>
          <w:rFonts w:hint="eastAsia" w:ascii="宋体" w:hAnsi="宋体"/>
          <w:color w:val="auto"/>
          <w:szCs w:val="21"/>
          <w:highlight w:val="none"/>
          <w:u w:val="single"/>
        </w:rPr>
        <w:t xml:space="preserve">           元 </w:t>
      </w:r>
      <w:r>
        <w:rPr>
          <w:rFonts w:hint="eastAsia" w:ascii="宋体" w:hAnsi="宋体"/>
          <w:color w:val="auto"/>
          <w:szCs w:val="21"/>
          <w:highlight w:val="none"/>
          <w:u w:val="single"/>
          <w:lang w:eastAsia="zh-CN"/>
        </w:rPr>
        <w:t>）</w:t>
      </w:r>
      <w:r>
        <w:rPr>
          <w:rFonts w:hint="eastAsia" w:ascii="宋体" w:hAnsi="宋体"/>
          <w:color w:val="auto"/>
          <w:szCs w:val="21"/>
          <w:highlight w:val="none"/>
        </w:rPr>
        <w:t>。</w:t>
      </w:r>
    </w:p>
    <w:p w14:paraId="7651D3F8">
      <w:pPr>
        <w:snapToGrid w:val="0"/>
        <w:spacing w:line="340" w:lineRule="exact"/>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第三条　服务时间及地点</w:t>
      </w:r>
    </w:p>
    <w:p w14:paraId="3213BE01">
      <w:pPr>
        <w:snapToGrid w:val="0"/>
        <w:spacing w:line="340" w:lineRule="exact"/>
        <w:ind w:firstLine="422" w:firstLineChars="200"/>
        <w:outlineLvl w:val="0"/>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1.</w:t>
      </w:r>
      <w:r>
        <w:rPr>
          <w:rFonts w:hint="eastAsia" w:ascii="宋体" w:hAnsi="宋体"/>
          <w:b/>
          <w:color w:val="auto"/>
          <w:szCs w:val="21"/>
          <w:highlight w:val="none"/>
        </w:rPr>
        <w:t>服务时间</w:t>
      </w:r>
      <w:r>
        <w:rPr>
          <w:rFonts w:hint="eastAsia" w:ascii="宋体" w:hAnsi="宋体"/>
          <w:b/>
          <w:color w:val="auto"/>
          <w:szCs w:val="21"/>
          <w:highlight w:val="none"/>
          <w:lang w:eastAsia="zh-CN"/>
        </w:rPr>
        <w:t>：</w:t>
      </w:r>
    </w:p>
    <w:p w14:paraId="13B2E550">
      <w:pPr>
        <w:snapToGrid w:val="0"/>
        <w:spacing w:line="340" w:lineRule="exact"/>
        <w:ind w:firstLine="422" w:firstLineChars="200"/>
        <w:outlineLvl w:val="0"/>
        <w:rPr>
          <w:rFonts w:hint="eastAsia" w:ascii="宋体" w:hAnsi="宋体" w:eastAsia="宋体"/>
          <w:color w:val="auto"/>
          <w:szCs w:val="21"/>
          <w:highlight w:val="none"/>
          <w:lang w:eastAsia="zh-CN"/>
        </w:rPr>
      </w:pPr>
      <w:r>
        <w:rPr>
          <w:rFonts w:hint="eastAsia" w:ascii="宋体" w:hAnsi="宋体"/>
          <w:b/>
          <w:color w:val="auto"/>
          <w:szCs w:val="21"/>
          <w:highlight w:val="none"/>
          <w:lang w:eastAsia="zh-CN"/>
        </w:rPr>
        <w:t>2.</w:t>
      </w:r>
      <w:r>
        <w:rPr>
          <w:rFonts w:hint="eastAsia" w:ascii="宋体" w:hAnsi="宋体"/>
          <w:b/>
          <w:color w:val="auto"/>
          <w:szCs w:val="21"/>
          <w:highlight w:val="none"/>
        </w:rPr>
        <w:t>服务地点</w:t>
      </w:r>
      <w:r>
        <w:rPr>
          <w:rFonts w:hint="eastAsia" w:ascii="宋体" w:hAnsi="宋体"/>
          <w:b/>
          <w:color w:val="auto"/>
          <w:szCs w:val="21"/>
          <w:highlight w:val="none"/>
          <w:lang w:eastAsia="zh-CN"/>
        </w:rPr>
        <w:t>：</w:t>
      </w:r>
    </w:p>
    <w:p w14:paraId="5853D634">
      <w:pPr>
        <w:snapToGrid w:val="0"/>
        <w:spacing w:line="340" w:lineRule="exact"/>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第四条　售后服务、质保期</w:t>
      </w:r>
    </w:p>
    <w:p w14:paraId="2837BDE8">
      <w:pPr>
        <w:snapToGrid w:val="0"/>
        <w:spacing w:line="3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乙方所提供的服务必须与招投标文件和承诺相一致且符合相应的服务规范及标准。</w:t>
      </w:r>
    </w:p>
    <w:p w14:paraId="0A78FAF9">
      <w:pPr>
        <w:snapToGrid w:val="0"/>
        <w:spacing w:line="340" w:lineRule="exact"/>
        <w:ind w:firstLine="422" w:firstLineChars="200"/>
        <w:outlineLvl w:val="0"/>
        <w:rPr>
          <w:rFonts w:hint="eastAsia" w:ascii="宋体" w:hAnsi="宋体"/>
          <w:color w:val="auto"/>
          <w:szCs w:val="21"/>
          <w:highlight w:val="none"/>
        </w:rPr>
      </w:pPr>
      <w:r>
        <w:rPr>
          <w:rFonts w:hint="eastAsia" w:ascii="宋体" w:hAnsi="宋体"/>
          <w:b/>
          <w:color w:val="auto"/>
          <w:szCs w:val="21"/>
          <w:highlight w:val="none"/>
        </w:rPr>
        <w:t>第五条　付款方式</w:t>
      </w:r>
    </w:p>
    <w:p w14:paraId="4083D5DF">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rPr>
        <w:t>按本项目付款条件规定进行缴纳。</w:t>
      </w:r>
    </w:p>
    <w:p w14:paraId="6F355E7F">
      <w:pPr>
        <w:snapToGrid w:val="0"/>
        <w:spacing w:line="340" w:lineRule="exact"/>
        <w:ind w:left="-61" w:leftChars="-29" w:firstLine="422" w:firstLineChars="200"/>
        <w:rPr>
          <w:rFonts w:ascii="宋体" w:hAnsi="宋体" w:cs="Courier New"/>
          <w:b/>
          <w:color w:val="auto"/>
          <w:szCs w:val="21"/>
          <w:highlight w:val="none"/>
        </w:rPr>
      </w:pPr>
      <w:r>
        <w:rPr>
          <w:rFonts w:hint="eastAsia" w:ascii="宋体" w:hAnsi="宋体" w:cs="Courier New"/>
          <w:b/>
          <w:color w:val="auto"/>
          <w:szCs w:val="21"/>
          <w:highlight w:val="none"/>
        </w:rPr>
        <w:t>第六条　履约保证金：</w:t>
      </w:r>
    </w:p>
    <w:p w14:paraId="7E6F61C8">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rPr>
        <w:t>按本项目履约保证金规定比例缴纳。</w:t>
      </w:r>
    </w:p>
    <w:p w14:paraId="63941353">
      <w:pPr>
        <w:snapToGrid w:val="0"/>
        <w:spacing w:line="340" w:lineRule="exact"/>
        <w:ind w:left="-61" w:leftChars="-29" w:firstLine="422" w:firstLineChars="200"/>
        <w:rPr>
          <w:rFonts w:ascii="宋体" w:hAnsi="宋体"/>
          <w:b/>
          <w:color w:val="auto"/>
          <w:szCs w:val="21"/>
          <w:highlight w:val="none"/>
        </w:rPr>
      </w:pPr>
      <w:r>
        <w:rPr>
          <w:rFonts w:hint="eastAsia" w:ascii="宋体" w:hAnsi="宋体"/>
          <w:b/>
          <w:color w:val="auto"/>
          <w:szCs w:val="21"/>
          <w:highlight w:val="none"/>
        </w:rPr>
        <w:t>第七条  税费本合同执行中相关的一切税费均由乙方负担。</w:t>
      </w:r>
    </w:p>
    <w:p w14:paraId="79838F68">
      <w:pPr>
        <w:snapToGrid w:val="0"/>
        <w:spacing w:line="340" w:lineRule="exact"/>
        <w:ind w:left="-61" w:leftChars="-29" w:firstLine="422" w:firstLineChars="200"/>
        <w:rPr>
          <w:b/>
          <w:color w:val="auto"/>
          <w:highlight w:val="none"/>
        </w:rPr>
      </w:pPr>
      <w:r>
        <w:rPr>
          <w:rFonts w:hint="eastAsia"/>
          <w:b/>
          <w:color w:val="auto"/>
          <w:highlight w:val="none"/>
        </w:rPr>
        <w:t>第八条  验收</w:t>
      </w:r>
    </w:p>
    <w:p w14:paraId="65E49F03">
      <w:pPr>
        <w:snapToGrid w:val="0"/>
        <w:spacing w:line="340" w:lineRule="exact"/>
        <w:ind w:left="-61" w:leftChars="-29" w:firstLine="420" w:firstLineChars="200"/>
        <w:rPr>
          <w:color w:val="auto"/>
          <w:highlight w:val="none"/>
        </w:rPr>
      </w:pPr>
      <w:r>
        <w:rPr>
          <w:rFonts w:hint="eastAsia"/>
          <w:color w:val="auto"/>
          <w:highlight w:val="none"/>
        </w:rPr>
        <w:t>1. 甲方对乙方提交的服务依据招标文件上的服务要求和国家有关质量标准进行现场初步验收，符合招标文件技术要求的，给予签收，初步验收不合格的不予签收。</w:t>
      </w:r>
      <w:r>
        <w:rPr>
          <w:rFonts w:hint="eastAsia"/>
          <w:bCs/>
          <w:color w:val="auto"/>
          <w:highlight w:val="none"/>
        </w:rPr>
        <w:t>甲方应当</w:t>
      </w:r>
      <w:r>
        <w:rPr>
          <w:rFonts w:hint="eastAsia"/>
          <w:bCs/>
          <w:color w:val="auto"/>
          <w:highlight w:val="none"/>
          <w:lang w:eastAsia="zh-CN"/>
        </w:rPr>
        <w:t>在</w:t>
      </w:r>
      <w:r>
        <w:rPr>
          <w:rFonts w:hint="eastAsia"/>
          <w:bCs/>
          <w:color w:val="auto"/>
          <w:highlight w:val="none"/>
        </w:rPr>
        <w:t>中标人的服务成果提交后七个工作日内进行验收</w:t>
      </w:r>
      <w:r>
        <w:rPr>
          <w:rFonts w:hint="eastAsia"/>
          <w:color w:val="auto"/>
          <w:highlight w:val="none"/>
        </w:rPr>
        <w:t>。</w:t>
      </w:r>
    </w:p>
    <w:p w14:paraId="0635597D">
      <w:pPr>
        <w:snapToGrid w:val="0"/>
        <w:spacing w:line="340" w:lineRule="exact"/>
        <w:ind w:left="-61" w:leftChars="-29" w:firstLine="420" w:firstLineChars="200"/>
        <w:rPr>
          <w:color w:val="auto"/>
          <w:highlight w:val="none"/>
        </w:rPr>
      </w:pPr>
      <w:r>
        <w:rPr>
          <w:rFonts w:hint="eastAsia"/>
          <w:color w:val="auto"/>
          <w:highlight w:val="none"/>
        </w:rPr>
        <w:t>2. 乙方提交服务成果前应对提交的服务成果作出全面检查和对验收文件进行整理，并列出清单，作为甲方验收和使用的技术条件依据，检验的结果应随服务成果交给甲方。</w:t>
      </w:r>
    </w:p>
    <w:p w14:paraId="445333B1">
      <w:pPr>
        <w:snapToGrid w:val="0"/>
        <w:spacing w:line="340" w:lineRule="exact"/>
        <w:ind w:left="-61" w:leftChars="-29" w:firstLine="420" w:firstLineChars="200"/>
        <w:rPr>
          <w:color w:val="auto"/>
          <w:highlight w:val="none"/>
        </w:rPr>
      </w:pPr>
      <w:r>
        <w:rPr>
          <w:rFonts w:hint="eastAsia"/>
          <w:color w:val="auto"/>
          <w:highlight w:val="none"/>
        </w:rPr>
        <w:t>3. 对技术复杂的服务，甲方应请国家认可的专业检测机构参与初步验收及最终验收，并由其出具质量检测报告。</w:t>
      </w:r>
    </w:p>
    <w:p w14:paraId="7BF67005">
      <w:pPr>
        <w:snapToGrid w:val="0"/>
        <w:spacing w:line="340" w:lineRule="exact"/>
        <w:ind w:left="-61" w:leftChars="-29" w:firstLine="420" w:firstLineChars="200"/>
        <w:rPr>
          <w:color w:val="auto"/>
          <w:highlight w:val="none"/>
        </w:rPr>
      </w:pPr>
      <w:r>
        <w:rPr>
          <w:rFonts w:hint="eastAsia"/>
          <w:color w:val="auto"/>
          <w:highlight w:val="none"/>
        </w:rPr>
        <w:t>4. 验收时乙方必须在现场，验收完毕后作出验收结果报告；验收费用由乙方负责。</w:t>
      </w:r>
    </w:p>
    <w:p w14:paraId="0CE573F4">
      <w:pPr>
        <w:snapToGrid w:val="0"/>
        <w:spacing w:line="340" w:lineRule="exact"/>
        <w:ind w:left="-61" w:leftChars="-29" w:firstLine="422" w:firstLineChars="200"/>
        <w:rPr>
          <w:rFonts w:ascii="宋体" w:hAnsi="宋体"/>
          <w:b/>
          <w:color w:val="auto"/>
          <w:szCs w:val="21"/>
          <w:highlight w:val="none"/>
        </w:rPr>
      </w:pPr>
      <w:r>
        <w:rPr>
          <w:rFonts w:hint="eastAsia" w:ascii="宋体" w:hAnsi="宋体"/>
          <w:b/>
          <w:color w:val="auto"/>
          <w:szCs w:val="21"/>
          <w:highlight w:val="none"/>
        </w:rPr>
        <w:t>第九条　违约责任</w:t>
      </w:r>
    </w:p>
    <w:p w14:paraId="72A04DB2">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乙方所提供的服务成果质量不合格的，应及时更换，更换不及时的按逾期提交服务成果</w:t>
      </w:r>
      <w:r>
        <w:rPr>
          <w:rFonts w:hint="eastAsia" w:ascii="宋体" w:hAnsi="宋体"/>
          <w:color w:val="auto"/>
          <w:szCs w:val="21"/>
          <w:highlight w:val="none"/>
          <w:lang w:val="en-US" w:eastAsia="zh-CN"/>
        </w:rPr>
        <w:t>处理</w:t>
      </w:r>
      <w:r>
        <w:rPr>
          <w:rFonts w:hint="eastAsia" w:ascii="宋体" w:hAnsi="宋体"/>
          <w:color w:val="auto"/>
          <w:szCs w:val="21"/>
          <w:highlight w:val="none"/>
        </w:rPr>
        <w:t>；因质量问题甲方不同意接收的或特殊情况甲方同意接收的，乙方应向甲方支付违约服务成果款额 5%违约金并赔偿甲方经济损失。</w:t>
      </w:r>
    </w:p>
    <w:p w14:paraId="2B68947D">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甲方无故延期接收服务成果、乙方逾期提交服务成果的，每天向对方偿付违约服务成果款额3‰违约金，超过</w:t>
      </w:r>
      <w:r>
        <w:rPr>
          <w:rFonts w:hint="eastAsia" w:ascii="宋体" w:hAnsi="宋体"/>
          <w:color w:val="auto"/>
          <w:highlight w:val="none"/>
          <w:u w:val="single"/>
        </w:rPr>
        <w:t xml:space="preserve">     </w:t>
      </w:r>
      <w:r>
        <w:rPr>
          <w:rFonts w:hint="eastAsia" w:ascii="宋体" w:hAnsi="宋体"/>
          <w:color w:val="auto"/>
          <w:szCs w:val="21"/>
          <w:highlight w:val="none"/>
        </w:rPr>
        <w:t>天对方有权解除合同，违约方承担因此给对方造</w:t>
      </w:r>
      <w:r>
        <w:rPr>
          <w:rFonts w:hint="eastAsia" w:ascii="宋体" w:hAnsi="宋体"/>
          <w:color w:val="auto"/>
          <w:szCs w:val="21"/>
          <w:highlight w:val="none"/>
          <w:lang w:eastAsia="zh-CN"/>
        </w:rPr>
        <w:t>成的</w:t>
      </w:r>
      <w:r>
        <w:rPr>
          <w:rFonts w:hint="eastAsia" w:ascii="宋体" w:hAnsi="宋体"/>
          <w:color w:val="auto"/>
          <w:szCs w:val="21"/>
          <w:highlight w:val="none"/>
        </w:rPr>
        <w:t>经济损失。</w:t>
      </w:r>
    </w:p>
    <w:p w14:paraId="1DDDBA4D">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乙方未按本合同和投标文件中规定的服务承诺提供售后服务的，乙方应按本合同合计金额</w:t>
      </w:r>
      <w:r>
        <w:rPr>
          <w:rFonts w:hint="eastAsia" w:ascii="宋体" w:hAnsi="宋体"/>
          <w:color w:val="auto"/>
          <w:szCs w:val="21"/>
          <w:highlight w:val="none"/>
          <w:u w:val="single"/>
        </w:rPr>
        <w:t xml:space="preserve"> 5%</w:t>
      </w:r>
      <w:r>
        <w:rPr>
          <w:rFonts w:hint="eastAsia" w:ascii="宋体" w:hAnsi="宋体"/>
          <w:color w:val="auto"/>
          <w:szCs w:val="21"/>
          <w:highlight w:val="none"/>
        </w:rPr>
        <w:t>向甲方支付违约金。</w:t>
      </w:r>
    </w:p>
    <w:p w14:paraId="6D00B449">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乙方提供的服务成果在质量保证期内，因投标人和</w:t>
      </w:r>
      <w:r>
        <w:rPr>
          <w:rFonts w:hint="eastAsia" w:ascii="宋体" w:hAnsi="宋体"/>
          <w:color w:val="auto"/>
          <w:szCs w:val="21"/>
          <w:highlight w:val="none"/>
          <w:lang w:eastAsia="zh-CN"/>
        </w:rPr>
        <w:t>其他</w:t>
      </w:r>
      <w:r>
        <w:rPr>
          <w:rFonts w:hint="eastAsia" w:ascii="宋体" w:hAnsi="宋体"/>
          <w:color w:val="auto"/>
          <w:szCs w:val="21"/>
          <w:highlight w:val="none"/>
        </w:rPr>
        <w:t>质量原因造成的问题，由乙方负责。</w:t>
      </w:r>
    </w:p>
    <w:p w14:paraId="67F38348">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5.其他</w:t>
      </w:r>
      <w:r>
        <w:rPr>
          <w:rFonts w:hint="eastAsia" w:ascii="宋体" w:hAnsi="宋体"/>
          <w:color w:val="auto"/>
          <w:szCs w:val="21"/>
          <w:highlight w:val="none"/>
        </w:rPr>
        <w:t>违约行为按违约服务成果款额5%收取违约金。</w:t>
      </w:r>
    </w:p>
    <w:p w14:paraId="2B0FD965">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乙方支付的违约金不足以弥补甲方损失的，还应承担赔偿责任。</w:t>
      </w:r>
    </w:p>
    <w:p w14:paraId="08F63933">
      <w:pPr>
        <w:snapToGrid w:val="0"/>
        <w:spacing w:line="340" w:lineRule="exact"/>
        <w:ind w:left="-61" w:leftChars="-29" w:firstLine="422" w:firstLineChars="200"/>
        <w:rPr>
          <w:b/>
          <w:color w:val="auto"/>
          <w:highlight w:val="none"/>
        </w:rPr>
      </w:pPr>
      <w:r>
        <w:rPr>
          <w:rFonts w:hint="eastAsia"/>
          <w:b/>
          <w:color w:val="auto"/>
          <w:highlight w:val="none"/>
        </w:rPr>
        <w:t>第十条 不可抗力事件处理</w:t>
      </w:r>
    </w:p>
    <w:p w14:paraId="2B80F5EB">
      <w:pPr>
        <w:snapToGrid w:val="0"/>
        <w:spacing w:line="340" w:lineRule="exact"/>
        <w:ind w:left="-61" w:leftChars="-29" w:firstLine="420" w:firstLineChars="200"/>
        <w:rPr>
          <w:color w:val="auto"/>
          <w:highlight w:val="none"/>
        </w:rPr>
      </w:pPr>
      <w:r>
        <w:rPr>
          <w:rFonts w:hint="eastAsia"/>
          <w:color w:val="auto"/>
          <w:highlight w:val="none"/>
        </w:rPr>
        <w:t>1. 在合同有效期内，任何一方因不可抗力事件导致不能履行合同，则合同履行期可延长，其延长期与不可抗力影响期相同。</w:t>
      </w:r>
    </w:p>
    <w:p w14:paraId="2D435B00">
      <w:pPr>
        <w:snapToGrid w:val="0"/>
        <w:spacing w:line="340" w:lineRule="exact"/>
        <w:ind w:left="-61" w:leftChars="-29" w:firstLine="420" w:firstLineChars="200"/>
        <w:rPr>
          <w:color w:val="auto"/>
          <w:highlight w:val="none"/>
        </w:rPr>
      </w:pPr>
      <w:r>
        <w:rPr>
          <w:rFonts w:hint="eastAsia"/>
          <w:color w:val="auto"/>
          <w:highlight w:val="none"/>
        </w:rPr>
        <w:t>2. 不可抗力事件发生后，应立即通知对方，并寄送有关权威机构出具的证明。</w:t>
      </w:r>
    </w:p>
    <w:p w14:paraId="2EB00983">
      <w:pPr>
        <w:snapToGrid w:val="0"/>
        <w:spacing w:line="340" w:lineRule="exact"/>
        <w:ind w:left="-61" w:leftChars="-29" w:firstLine="420" w:firstLineChars="200"/>
        <w:rPr>
          <w:color w:val="auto"/>
          <w:highlight w:val="none"/>
        </w:rPr>
      </w:pPr>
      <w:r>
        <w:rPr>
          <w:rFonts w:hint="eastAsia"/>
          <w:color w:val="auto"/>
          <w:highlight w:val="none"/>
        </w:rPr>
        <w:t>3. 不可抗力事件延续一百二十天以上，双方应通过友好协商，确定是否继续履行合同。</w:t>
      </w:r>
    </w:p>
    <w:p w14:paraId="0D6D3DC9">
      <w:pPr>
        <w:snapToGrid w:val="0"/>
        <w:spacing w:line="340" w:lineRule="exact"/>
        <w:ind w:left="-61" w:leftChars="-29" w:firstLine="422" w:firstLineChars="200"/>
        <w:rPr>
          <w:rFonts w:ascii="宋体" w:hAnsi="宋体"/>
          <w:b/>
          <w:color w:val="auto"/>
          <w:szCs w:val="21"/>
          <w:highlight w:val="none"/>
        </w:rPr>
      </w:pPr>
      <w:r>
        <w:rPr>
          <w:rFonts w:hint="eastAsia" w:ascii="宋体" w:hAnsi="宋体"/>
          <w:b/>
          <w:color w:val="auto"/>
          <w:szCs w:val="21"/>
          <w:highlight w:val="none"/>
        </w:rPr>
        <w:t>第十一条  合同争议解决</w:t>
      </w:r>
    </w:p>
    <w:p w14:paraId="2818AF3A">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因服务成果质量问题发生争议的，应邀请国家认可的质量检测机构对服务成果质量进行鉴定。服务成果符合标准的，鉴定费由甲方承担；服务成果不符合标准的，鉴定费由乙方承担。</w:t>
      </w:r>
    </w:p>
    <w:p w14:paraId="3B78C908">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因履行本合同引起的或与本合同有关的争议，甲乙双方应首先通过友好协商解决，如果协商不能解决，向甲方所在地人民法院提起诉讼。</w:t>
      </w:r>
    </w:p>
    <w:p w14:paraId="794D16AD">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诉讼期间，本合同继续履行。</w:t>
      </w:r>
    </w:p>
    <w:p w14:paraId="3EC1F804">
      <w:pPr>
        <w:snapToGrid w:val="0"/>
        <w:spacing w:line="340" w:lineRule="exact"/>
        <w:ind w:left="-61" w:leftChars="-29" w:firstLine="422" w:firstLineChars="200"/>
        <w:rPr>
          <w:b/>
          <w:color w:val="auto"/>
          <w:highlight w:val="none"/>
        </w:rPr>
      </w:pPr>
      <w:r>
        <w:rPr>
          <w:rFonts w:hint="eastAsia"/>
          <w:b/>
          <w:color w:val="auto"/>
          <w:highlight w:val="none"/>
        </w:rPr>
        <w:t>第十二条 合同生效及其它</w:t>
      </w:r>
    </w:p>
    <w:p w14:paraId="7BAE3F88">
      <w:pPr>
        <w:snapToGrid w:val="0"/>
        <w:spacing w:line="340" w:lineRule="exact"/>
        <w:ind w:left="-61" w:leftChars="-29" w:firstLine="422" w:firstLineChars="200"/>
        <w:rPr>
          <w:b/>
          <w:color w:val="auto"/>
          <w:highlight w:val="none"/>
        </w:rPr>
      </w:pPr>
      <w:r>
        <w:rPr>
          <w:rFonts w:hint="eastAsia"/>
          <w:b/>
          <w:color w:val="auto"/>
          <w:highlight w:val="none"/>
          <w:lang w:eastAsia="zh-CN"/>
        </w:rPr>
        <w:t>1.</w:t>
      </w:r>
      <w:r>
        <w:rPr>
          <w:rFonts w:hint="eastAsia"/>
          <w:b/>
          <w:color w:val="auto"/>
          <w:highlight w:val="none"/>
        </w:rPr>
        <w:t>合同经双方法定代表人</w:t>
      </w:r>
      <w:r>
        <w:rPr>
          <w:rFonts w:hint="eastAsia"/>
          <w:b/>
          <w:color w:val="auto"/>
          <w:highlight w:val="none"/>
          <w:lang w:eastAsia="zh-CN"/>
        </w:rPr>
        <w:t>（</w:t>
      </w:r>
      <w:r>
        <w:rPr>
          <w:rFonts w:hint="eastAsia"/>
          <w:b/>
          <w:color w:val="auto"/>
          <w:highlight w:val="none"/>
        </w:rPr>
        <w:t>负责人</w:t>
      </w:r>
      <w:r>
        <w:rPr>
          <w:rFonts w:hint="eastAsia"/>
          <w:b/>
          <w:color w:val="auto"/>
          <w:highlight w:val="none"/>
          <w:lang w:eastAsia="zh-CN"/>
        </w:rPr>
        <w:t>）</w:t>
      </w:r>
      <w:r>
        <w:rPr>
          <w:rFonts w:hint="eastAsia"/>
          <w:b/>
          <w:color w:val="auto"/>
          <w:highlight w:val="none"/>
        </w:rPr>
        <w:t>或授权代表签字并加盖单位公章后生效。</w:t>
      </w:r>
    </w:p>
    <w:p w14:paraId="292E637A">
      <w:pPr>
        <w:snapToGrid w:val="0"/>
        <w:spacing w:line="340" w:lineRule="exact"/>
        <w:ind w:left="-61" w:leftChars="-29" w:firstLine="422" w:firstLineChars="200"/>
        <w:rPr>
          <w:b/>
          <w:color w:val="auto"/>
          <w:highlight w:val="none"/>
        </w:rPr>
      </w:pPr>
      <w:r>
        <w:rPr>
          <w:rFonts w:hint="eastAsia"/>
          <w:b/>
          <w:color w:val="auto"/>
          <w:highlight w:val="none"/>
          <w:lang w:eastAsia="zh-CN"/>
        </w:rPr>
        <w:t>2.</w:t>
      </w:r>
      <w:r>
        <w:rPr>
          <w:rFonts w:hint="eastAsia"/>
          <w:b/>
          <w:color w:val="auto"/>
          <w:highlight w:val="none"/>
        </w:rPr>
        <w:t>合同执行中涉及采购资金和采购内容修改或补充的，须</w:t>
      </w:r>
      <w:r>
        <w:rPr>
          <w:rFonts w:hint="eastAsia"/>
          <w:b/>
          <w:color w:val="auto"/>
          <w:highlight w:val="none"/>
          <w:lang w:eastAsia="zh-CN"/>
        </w:rPr>
        <w:t>签订</w:t>
      </w:r>
      <w:r>
        <w:rPr>
          <w:rFonts w:hint="eastAsia"/>
          <w:b/>
          <w:color w:val="auto"/>
          <w:highlight w:val="none"/>
        </w:rPr>
        <w:t>书面补充协议报财政部门备案，方可作为主合同不可分割的一部分。</w:t>
      </w:r>
    </w:p>
    <w:p w14:paraId="28FC5C34">
      <w:pPr>
        <w:snapToGrid w:val="0"/>
        <w:spacing w:line="340" w:lineRule="exact"/>
        <w:ind w:left="-61" w:leftChars="-29" w:firstLine="422" w:firstLineChars="200"/>
        <w:rPr>
          <w:b/>
          <w:color w:val="auto"/>
          <w:highlight w:val="none"/>
        </w:rPr>
      </w:pPr>
      <w:r>
        <w:rPr>
          <w:rFonts w:hint="eastAsia"/>
          <w:b/>
          <w:color w:val="auto"/>
          <w:highlight w:val="none"/>
          <w:lang w:eastAsia="zh-CN"/>
        </w:rPr>
        <w:t>3.</w:t>
      </w:r>
      <w:r>
        <w:rPr>
          <w:rFonts w:hint="eastAsia"/>
          <w:b/>
          <w:color w:val="auto"/>
          <w:highlight w:val="none"/>
        </w:rPr>
        <w:t>本合同未尽事宜，遵照《中华人民共和国民法典》有关条文执行。</w:t>
      </w:r>
    </w:p>
    <w:p w14:paraId="312F57D0">
      <w:pPr>
        <w:snapToGrid w:val="0"/>
        <w:spacing w:line="340" w:lineRule="exact"/>
        <w:ind w:left="-61" w:leftChars="-29" w:firstLine="422" w:firstLineChars="200"/>
        <w:rPr>
          <w:rFonts w:ascii="宋体" w:hAnsi="宋体"/>
          <w:b/>
          <w:color w:val="auto"/>
          <w:szCs w:val="21"/>
          <w:highlight w:val="none"/>
        </w:rPr>
      </w:pPr>
      <w:r>
        <w:rPr>
          <w:rFonts w:hint="eastAsia" w:ascii="宋体" w:hAnsi="宋体"/>
          <w:b/>
          <w:color w:val="auto"/>
          <w:szCs w:val="21"/>
          <w:highlight w:val="none"/>
        </w:rPr>
        <w:t>第十三条　合同的变更、终止与转让</w:t>
      </w:r>
    </w:p>
    <w:p w14:paraId="7669833D">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除《中华人民共和国政府采购法》第五十条规定的情形外，本合同一经签订，甲乙双方不得擅自变更、中止或终止。</w:t>
      </w:r>
    </w:p>
    <w:p w14:paraId="649B3794">
      <w:pPr>
        <w:snapToGrid w:val="0"/>
        <w:spacing w:line="340" w:lineRule="exact"/>
        <w:ind w:left="-61" w:leftChars="-29" w:firstLine="420" w:firstLineChars="200"/>
        <w:rPr>
          <w:color w:val="auto"/>
          <w:highlight w:val="none"/>
        </w:rPr>
      </w:pPr>
      <w:r>
        <w:rPr>
          <w:rFonts w:hint="eastAsia" w:ascii="宋体" w:hAnsi="宋体"/>
          <w:color w:val="auto"/>
          <w:highlight w:val="none"/>
          <w:lang w:eastAsia="zh-CN"/>
        </w:rPr>
        <w:t>2.</w:t>
      </w:r>
      <w:r>
        <w:rPr>
          <w:rFonts w:hint="eastAsia" w:ascii="宋体" w:hAnsi="宋体"/>
          <w:color w:val="auto"/>
          <w:highlight w:val="none"/>
        </w:rPr>
        <w:t>乙方不得擅自转让其应</w:t>
      </w:r>
      <w:r>
        <w:rPr>
          <w:rFonts w:hint="eastAsia"/>
          <w:color w:val="auto"/>
          <w:highlight w:val="none"/>
        </w:rPr>
        <w:t>履行的合同义务。</w:t>
      </w:r>
    </w:p>
    <w:p w14:paraId="0DB556C6">
      <w:pPr>
        <w:snapToGrid w:val="0"/>
        <w:spacing w:line="340" w:lineRule="exact"/>
        <w:ind w:left="-61" w:leftChars="-29" w:firstLine="422" w:firstLineChars="200"/>
        <w:rPr>
          <w:rFonts w:ascii="宋体" w:hAnsi="宋体"/>
          <w:b/>
          <w:color w:val="auto"/>
          <w:szCs w:val="21"/>
          <w:highlight w:val="none"/>
        </w:rPr>
      </w:pPr>
      <w:r>
        <w:rPr>
          <w:rFonts w:hint="eastAsia" w:ascii="宋体" w:hAnsi="宋体"/>
          <w:b/>
          <w:color w:val="auto"/>
          <w:szCs w:val="21"/>
          <w:highlight w:val="none"/>
        </w:rPr>
        <w:t>第十四条　签订本合同依据</w:t>
      </w:r>
    </w:p>
    <w:p w14:paraId="75778A2E">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政府采购招标文件</w:t>
      </w:r>
    </w:p>
    <w:p w14:paraId="4323340B">
      <w:pPr>
        <w:snapToGrid w:val="0"/>
        <w:spacing w:line="340" w:lineRule="exact"/>
        <w:ind w:left="-61" w:leftChars="-29" w:firstLine="420" w:firstLineChars="200"/>
        <w:rPr>
          <w:rFonts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乙方提供的投标文件</w:t>
      </w:r>
    </w:p>
    <w:p w14:paraId="55D40986">
      <w:pPr>
        <w:snapToGrid w:val="0"/>
        <w:spacing w:line="340" w:lineRule="exact"/>
        <w:ind w:left="-61" w:leftChars="-29"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3.</w:t>
      </w:r>
      <w:r>
        <w:rPr>
          <w:rFonts w:hint="eastAsia" w:ascii="宋体" w:hAnsi="宋体"/>
          <w:color w:val="auto"/>
          <w:szCs w:val="21"/>
          <w:highlight w:val="none"/>
        </w:rPr>
        <w:t>中标通知书</w:t>
      </w:r>
    </w:p>
    <w:p w14:paraId="74F2627D">
      <w:pPr>
        <w:snapToGrid w:val="0"/>
        <w:spacing w:line="340" w:lineRule="exact"/>
        <w:ind w:left="-61" w:leftChars="-29" w:firstLine="422" w:firstLineChars="200"/>
        <w:rPr>
          <w:rFonts w:hint="eastAsia" w:ascii="宋体" w:hAnsi="宋体"/>
          <w:color w:val="auto"/>
          <w:szCs w:val="21"/>
          <w:highlight w:val="none"/>
        </w:rPr>
      </w:pPr>
      <w:r>
        <w:rPr>
          <w:rFonts w:hint="eastAsia" w:ascii="宋体" w:hAnsi="宋体"/>
          <w:b/>
          <w:color w:val="auto"/>
          <w:szCs w:val="21"/>
          <w:highlight w:val="none"/>
        </w:rPr>
        <w:t>第十五条　</w:t>
      </w:r>
      <w:r>
        <w:rPr>
          <w:rFonts w:hint="eastAsia" w:ascii="宋体" w:hAnsi="宋体"/>
          <w:color w:val="auto"/>
          <w:szCs w:val="21"/>
          <w:highlight w:val="none"/>
        </w:rPr>
        <w:t>本合同一式</w:t>
      </w:r>
      <w:r>
        <w:rPr>
          <w:rFonts w:hint="eastAsia" w:ascii="宋体" w:hAnsi="宋体"/>
          <w:color w:val="auto"/>
          <w:szCs w:val="21"/>
          <w:highlight w:val="none"/>
          <w:lang w:val="en-US" w:eastAsia="zh-CN"/>
        </w:rPr>
        <w:t>七</w:t>
      </w:r>
      <w:r>
        <w:rPr>
          <w:rFonts w:hint="eastAsia" w:ascii="宋体" w:hAnsi="宋体"/>
          <w:color w:val="auto"/>
          <w:szCs w:val="21"/>
          <w:highlight w:val="none"/>
        </w:rPr>
        <w:t>份，具有同等法律效力，</w:t>
      </w:r>
      <w:r>
        <w:rPr>
          <w:rFonts w:hint="eastAsia" w:ascii="宋体" w:hAnsi="宋体"/>
          <w:color w:val="auto"/>
          <w:spacing w:val="4"/>
          <w:szCs w:val="21"/>
          <w:highlight w:val="none"/>
        </w:rPr>
        <w:t>广西壮族自治区财政厅政府采购监督管理处、采购代理机构</w:t>
      </w:r>
      <w:r>
        <w:rPr>
          <w:rFonts w:hint="eastAsia" w:ascii="宋体" w:hAnsi="宋体"/>
          <w:color w:val="auto"/>
          <w:szCs w:val="21"/>
          <w:highlight w:val="none"/>
        </w:rPr>
        <w:t>各一份，甲方三份（其中一份采用活页装订）</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乙方二份</w:t>
      </w:r>
      <w:r>
        <w:rPr>
          <w:rFonts w:hint="eastAsia" w:ascii="宋体" w:hAnsi="宋体"/>
          <w:color w:val="auto"/>
          <w:szCs w:val="21"/>
          <w:highlight w:val="none"/>
        </w:rPr>
        <w:t>。</w:t>
      </w:r>
    </w:p>
    <w:p w14:paraId="28673F5D">
      <w:pPr>
        <w:snapToGrid w:val="0"/>
        <w:spacing w:line="340" w:lineRule="exact"/>
        <w:ind w:left="-61" w:leftChars="-29" w:firstLine="420" w:firstLineChars="200"/>
        <w:rPr>
          <w:rFonts w:hint="eastAsia" w:ascii="宋体" w:hAnsi="宋体" w:eastAsia="宋体" w:cs="宋体"/>
          <w:color w:val="auto"/>
          <w:kern w:val="2"/>
          <w:sz w:val="21"/>
          <w:szCs w:val="21"/>
          <w:highlight w:val="none"/>
          <w:u w:val="none"/>
          <w:lang w:val="en-US" w:eastAsia="zh-CN" w:bidi="ar-SA"/>
        </w:rPr>
      </w:pPr>
      <w:r>
        <w:rPr>
          <w:rFonts w:hint="eastAsia" w:ascii="宋体" w:hAnsi="宋体"/>
          <w:color w:val="auto"/>
          <w:szCs w:val="21"/>
          <w:highlight w:val="none"/>
        </w:rPr>
        <w:t>本合同甲乙双方签字盖章后生效，自签订之日起7个工作日内，采购人应当将合同副本报</w:t>
      </w:r>
      <w:r>
        <w:rPr>
          <w:rFonts w:hint="eastAsia" w:ascii="宋体" w:hAnsi="宋体"/>
          <w:color w:val="auto"/>
          <w:spacing w:val="4"/>
          <w:szCs w:val="21"/>
          <w:highlight w:val="none"/>
        </w:rPr>
        <w:t>同级政府采购监督管理部门和有关部门</w:t>
      </w:r>
      <w:r>
        <w:rPr>
          <w:rFonts w:hint="eastAsia" w:ascii="宋体" w:hAnsi="宋体"/>
          <w:color w:val="auto"/>
          <w:szCs w:val="21"/>
          <w:highlight w:val="none"/>
        </w:rPr>
        <w:t>备案，并应当自签订之日起2个工作日内，将政府采购合同在省级以上人民政府财政部门指定的媒体上公告</w:t>
      </w:r>
      <w:r>
        <w:rPr>
          <w:rFonts w:hint="eastAsia" w:ascii="宋体" w:hAnsi="宋体" w:eastAsia="宋体" w:cs="宋体"/>
          <w:color w:val="auto"/>
          <w:kern w:val="2"/>
          <w:sz w:val="21"/>
          <w:szCs w:val="21"/>
          <w:highlight w:val="none"/>
          <w:u w:val="none"/>
          <w:lang w:val="en-US" w:eastAsia="zh-CN" w:bidi="ar-SA"/>
        </w:rPr>
        <w:t>。</w:t>
      </w:r>
    </w:p>
    <w:tbl>
      <w:tblPr>
        <w:tblStyle w:val="4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1"/>
        <w:gridCol w:w="4808"/>
      </w:tblGrid>
      <w:tr w14:paraId="3ABC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4551" w:type="dxa"/>
            <w:noWrap w:val="0"/>
            <w:vAlign w:val="top"/>
          </w:tcPr>
          <w:p w14:paraId="511E4678">
            <w:pPr>
              <w:snapToGrid w:val="0"/>
              <w:spacing w:line="360" w:lineRule="exact"/>
              <w:rPr>
                <w:rFonts w:hint="eastAsia" w:ascii="宋体"/>
                <w:color w:val="auto"/>
                <w:szCs w:val="21"/>
                <w:highlight w:val="none"/>
              </w:rPr>
            </w:pPr>
            <w:r>
              <w:rPr>
                <w:rFonts w:hint="eastAsia" w:ascii="宋体"/>
                <w:color w:val="auto"/>
                <w:szCs w:val="21"/>
                <w:highlight w:val="none"/>
              </w:rPr>
              <w:t xml:space="preserve">甲方（章）           </w:t>
            </w:r>
          </w:p>
          <w:p w14:paraId="52E981C0">
            <w:pPr>
              <w:snapToGrid w:val="0"/>
              <w:spacing w:line="360" w:lineRule="exact"/>
              <w:rPr>
                <w:rFonts w:hint="eastAsia" w:ascii="宋体"/>
                <w:color w:val="auto"/>
                <w:szCs w:val="21"/>
                <w:highlight w:val="none"/>
              </w:rPr>
            </w:pPr>
          </w:p>
          <w:p w14:paraId="7D9CC886">
            <w:pPr>
              <w:snapToGrid w:val="0"/>
              <w:spacing w:line="360" w:lineRule="exact"/>
              <w:rPr>
                <w:rFonts w:hint="eastAsia" w:ascii="宋体"/>
                <w:color w:val="auto"/>
                <w:szCs w:val="21"/>
                <w:highlight w:val="none"/>
              </w:rPr>
            </w:pPr>
          </w:p>
          <w:p w14:paraId="7F391973">
            <w:pPr>
              <w:snapToGrid w:val="0"/>
              <w:spacing w:line="360" w:lineRule="exact"/>
              <w:ind w:firstLine="945" w:firstLineChars="450"/>
              <w:rPr>
                <w:rFonts w:hint="eastAsia" w:ascii="宋体"/>
                <w:color w:val="auto"/>
                <w:szCs w:val="21"/>
                <w:highlight w:val="none"/>
              </w:rPr>
            </w:pPr>
            <w:r>
              <w:rPr>
                <w:rFonts w:hint="eastAsia" w:ascii="宋体"/>
                <w:color w:val="auto"/>
                <w:szCs w:val="21"/>
                <w:highlight w:val="none"/>
              </w:rPr>
              <w:t xml:space="preserve">                 年   月   日</w:t>
            </w:r>
          </w:p>
        </w:tc>
        <w:tc>
          <w:tcPr>
            <w:tcW w:w="4808" w:type="dxa"/>
            <w:noWrap w:val="0"/>
            <w:vAlign w:val="top"/>
          </w:tcPr>
          <w:p w14:paraId="4CADA159">
            <w:pPr>
              <w:snapToGrid w:val="0"/>
              <w:spacing w:line="360" w:lineRule="exact"/>
              <w:rPr>
                <w:rFonts w:hint="eastAsia" w:ascii="宋体"/>
                <w:color w:val="auto"/>
                <w:szCs w:val="21"/>
                <w:highlight w:val="none"/>
              </w:rPr>
            </w:pPr>
            <w:r>
              <w:rPr>
                <w:rFonts w:hint="eastAsia" w:ascii="宋体"/>
                <w:color w:val="auto"/>
                <w:szCs w:val="21"/>
                <w:highlight w:val="none"/>
              </w:rPr>
              <w:t xml:space="preserve">乙方（章）              </w:t>
            </w:r>
          </w:p>
          <w:p w14:paraId="07227725">
            <w:pPr>
              <w:snapToGrid w:val="0"/>
              <w:spacing w:line="360" w:lineRule="exact"/>
              <w:rPr>
                <w:rFonts w:hint="eastAsia" w:ascii="宋体"/>
                <w:color w:val="auto"/>
                <w:szCs w:val="21"/>
                <w:highlight w:val="none"/>
              </w:rPr>
            </w:pPr>
          </w:p>
          <w:p w14:paraId="715A0EB1">
            <w:pPr>
              <w:snapToGrid w:val="0"/>
              <w:spacing w:line="360" w:lineRule="exact"/>
              <w:rPr>
                <w:rFonts w:hint="eastAsia" w:ascii="宋体"/>
                <w:color w:val="auto"/>
                <w:szCs w:val="21"/>
                <w:highlight w:val="none"/>
              </w:rPr>
            </w:pPr>
          </w:p>
          <w:p w14:paraId="045F7BF0">
            <w:pPr>
              <w:snapToGrid w:val="0"/>
              <w:spacing w:line="360" w:lineRule="exact"/>
              <w:rPr>
                <w:rFonts w:hint="eastAsia" w:ascii="宋体"/>
                <w:color w:val="auto"/>
                <w:szCs w:val="21"/>
                <w:highlight w:val="none"/>
              </w:rPr>
            </w:pPr>
            <w:r>
              <w:rPr>
                <w:rFonts w:hint="eastAsia" w:ascii="宋体"/>
                <w:color w:val="auto"/>
                <w:szCs w:val="21"/>
                <w:highlight w:val="none"/>
              </w:rPr>
              <w:t xml:space="preserve">                             年   月   日</w:t>
            </w:r>
          </w:p>
        </w:tc>
      </w:tr>
      <w:tr w14:paraId="6FC5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4551" w:type="dxa"/>
            <w:noWrap w:val="0"/>
            <w:vAlign w:val="top"/>
          </w:tcPr>
          <w:p w14:paraId="3340660F">
            <w:pPr>
              <w:snapToGrid w:val="0"/>
              <w:spacing w:line="360" w:lineRule="exact"/>
              <w:rPr>
                <w:rFonts w:hint="eastAsia" w:ascii="宋体"/>
                <w:color w:val="auto"/>
                <w:szCs w:val="21"/>
                <w:highlight w:val="none"/>
              </w:rPr>
            </w:pPr>
            <w:r>
              <w:rPr>
                <w:rFonts w:hint="eastAsia" w:ascii="宋体"/>
                <w:color w:val="auto"/>
                <w:szCs w:val="21"/>
                <w:highlight w:val="none"/>
              </w:rPr>
              <w:t>单位地址：</w:t>
            </w:r>
          </w:p>
        </w:tc>
        <w:tc>
          <w:tcPr>
            <w:tcW w:w="4808" w:type="dxa"/>
            <w:noWrap w:val="0"/>
            <w:vAlign w:val="top"/>
          </w:tcPr>
          <w:p w14:paraId="53A99AF8">
            <w:pPr>
              <w:snapToGrid w:val="0"/>
              <w:spacing w:line="360" w:lineRule="exact"/>
              <w:rPr>
                <w:rFonts w:hint="eastAsia" w:ascii="宋体"/>
                <w:color w:val="auto"/>
                <w:szCs w:val="21"/>
                <w:highlight w:val="none"/>
              </w:rPr>
            </w:pPr>
            <w:r>
              <w:rPr>
                <w:rFonts w:hint="eastAsia" w:ascii="宋体"/>
                <w:color w:val="auto"/>
                <w:szCs w:val="21"/>
                <w:highlight w:val="none"/>
              </w:rPr>
              <w:t>单位地址：</w:t>
            </w:r>
          </w:p>
        </w:tc>
      </w:tr>
      <w:tr w14:paraId="740F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4551" w:type="dxa"/>
            <w:noWrap w:val="0"/>
            <w:vAlign w:val="top"/>
          </w:tcPr>
          <w:p w14:paraId="6B8ABD48">
            <w:pPr>
              <w:snapToGrid w:val="0"/>
              <w:spacing w:line="360" w:lineRule="exact"/>
              <w:rPr>
                <w:rFonts w:hint="eastAsia" w:ascii="宋体"/>
                <w:color w:val="auto"/>
                <w:szCs w:val="21"/>
                <w:highlight w:val="none"/>
              </w:rPr>
            </w:pPr>
            <w:r>
              <w:rPr>
                <w:rFonts w:hint="eastAsia" w:ascii="宋体"/>
                <w:color w:val="auto"/>
                <w:szCs w:val="21"/>
                <w:highlight w:val="none"/>
              </w:rPr>
              <w:t>法定代表人</w:t>
            </w:r>
            <w:r>
              <w:rPr>
                <w:rFonts w:hint="eastAsia" w:ascii="宋体"/>
                <w:color w:val="auto"/>
                <w:szCs w:val="21"/>
                <w:highlight w:val="none"/>
                <w:lang w:eastAsia="zh-CN"/>
              </w:rPr>
              <w:t>（</w:t>
            </w:r>
            <w:r>
              <w:rPr>
                <w:rFonts w:hint="eastAsia" w:ascii="宋体"/>
                <w:color w:val="auto"/>
                <w:szCs w:val="21"/>
                <w:highlight w:val="none"/>
              </w:rPr>
              <w:t>负责人</w:t>
            </w:r>
            <w:r>
              <w:rPr>
                <w:rFonts w:hint="eastAsia" w:ascii="宋体"/>
                <w:color w:val="auto"/>
                <w:szCs w:val="21"/>
                <w:highlight w:val="none"/>
                <w:lang w:eastAsia="zh-CN"/>
              </w:rPr>
              <w:t>）</w:t>
            </w:r>
            <w:r>
              <w:rPr>
                <w:rFonts w:hint="eastAsia" w:ascii="宋体"/>
                <w:color w:val="auto"/>
                <w:szCs w:val="21"/>
                <w:highlight w:val="none"/>
              </w:rPr>
              <w:t>：</w:t>
            </w:r>
          </w:p>
        </w:tc>
        <w:tc>
          <w:tcPr>
            <w:tcW w:w="4808" w:type="dxa"/>
            <w:noWrap w:val="0"/>
            <w:vAlign w:val="top"/>
          </w:tcPr>
          <w:p w14:paraId="46CBCCF4">
            <w:pPr>
              <w:snapToGrid w:val="0"/>
              <w:spacing w:line="360" w:lineRule="exact"/>
              <w:rPr>
                <w:rFonts w:hint="eastAsia" w:ascii="宋体"/>
                <w:color w:val="auto"/>
                <w:szCs w:val="21"/>
                <w:highlight w:val="none"/>
              </w:rPr>
            </w:pPr>
            <w:r>
              <w:rPr>
                <w:rFonts w:hint="eastAsia" w:ascii="宋体"/>
                <w:color w:val="auto"/>
                <w:szCs w:val="21"/>
                <w:highlight w:val="none"/>
              </w:rPr>
              <w:t>法定代表人</w:t>
            </w:r>
            <w:r>
              <w:rPr>
                <w:rFonts w:hint="eastAsia" w:ascii="宋体"/>
                <w:color w:val="auto"/>
                <w:szCs w:val="21"/>
                <w:highlight w:val="none"/>
                <w:lang w:eastAsia="zh-CN"/>
              </w:rPr>
              <w:t>（</w:t>
            </w:r>
            <w:r>
              <w:rPr>
                <w:rFonts w:hint="eastAsia" w:ascii="宋体"/>
                <w:color w:val="auto"/>
                <w:szCs w:val="21"/>
                <w:highlight w:val="none"/>
              </w:rPr>
              <w:t>负责人</w:t>
            </w:r>
            <w:r>
              <w:rPr>
                <w:rFonts w:hint="eastAsia" w:ascii="宋体"/>
                <w:color w:val="auto"/>
                <w:szCs w:val="21"/>
                <w:highlight w:val="none"/>
                <w:lang w:eastAsia="zh-CN"/>
              </w:rPr>
              <w:t>）</w:t>
            </w:r>
            <w:r>
              <w:rPr>
                <w:rFonts w:hint="eastAsia" w:ascii="宋体"/>
                <w:color w:val="auto"/>
                <w:szCs w:val="21"/>
                <w:highlight w:val="none"/>
              </w:rPr>
              <w:t>：</w:t>
            </w:r>
          </w:p>
        </w:tc>
      </w:tr>
      <w:tr w14:paraId="5C1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4551" w:type="dxa"/>
            <w:noWrap w:val="0"/>
            <w:vAlign w:val="top"/>
          </w:tcPr>
          <w:p w14:paraId="7FDBB422">
            <w:pPr>
              <w:snapToGrid w:val="0"/>
              <w:spacing w:line="360" w:lineRule="exact"/>
              <w:rPr>
                <w:rFonts w:hint="eastAsia" w:ascii="宋体"/>
                <w:color w:val="auto"/>
                <w:szCs w:val="21"/>
                <w:highlight w:val="none"/>
              </w:rPr>
            </w:pPr>
            <w:r>
              <w:rPr>
                <w:rFonts w:hint="eastAsia" w:ascii="宋体"/>
                <w:color w:val="auto"/>
                <w:szCs w:val="21"/>
                <w:highlight w:val="none"/>
              </w:rPr>
              <w:t>委托代理人：</w:t>
            </w:r>
          </w:p>
        </w:tc>
        <w:tc>
          <w:tcPr>
            <w:tcW w:w="4808" w:type="dxa"/>
            <w:noWrap w:val="0"/>
            <w:vAlign w:val="top"/>
          </w:tcPr>
          <w:p w14:paraId="2EA9656C">
            <w:pPr>
              <w:snapToGrid w:val="0"/>
              <w:spacing w:line="360" w:lineRule="exact"/>
              <w:rPr>
                <w:rFonts w:hint="eastAsia" w:ascii="宋体"/>
                <w:color w:val="auto"/>
                <w:szCs w:val="21"/>
                <w:highlight w:val="none"/>
              </w:rPr>
            </w:pPr>
            <w:r>
              <w:rPr>
                <w:rFonts w:hint="eastAsia" w:ascii="宋体"/>
                <w:color w:val="auto"/>
                <w:szCs w:val="21"/>
                <w:highlight w:val="none"/>
              </w:rPr>
              <w:t>委托代理人：</w:t>
            </w:r>
          </w:p>
        </w:tc>
      </w:tr>
      <w:tr w14:paraId="2082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551" w:type="dxa"/>
            <w:noWrap w:val="0"/>
            <w:vAlign w:val="top"/>
          </w:tcPr>
          <w:p w14:paraId="1A17F6C3">
            <w:pPr>
              <w:snapToGrid w:val="0"/>
              <w:spacing w:line="360" w:lineRule="exact"/>
              <w:rPr>
                <w:rFonts w:hint="eastAsia" w:ascii="宋体"/>
                <w:color w:val="auto"/>
                <w:szCs w:val="21"/>
                <w:highlight w:val="none"/>
              </w:rPr>
            </w:pPr>
            <w:r>
              <w:rPr>
                <w:rFonts w:hint="eastAsia" w:ascii="宋体"/>
                <w:color w:val="auto"/>
                <w:szCs w:val="21"/>
                <w:highlight w:val="none"/>
              </w:rPr>
              <w:t>电话：</w:t>
            </w:r>
          </w:p>
        </w:tc>
        <w:tc>
          <w:tcPr>
            <w:tcW w:w="4808" w:type="dxa"/>
            <w:noWrap w:val="0"/>
            <w:vAlign w:val="top"/>
          </w:tcPr>
          <w:p w14:paraId="264ACD19">
            <w:pPr>
              <w:snapToGrid w:val="0"/>
              <w:spacing w:line="360" w:lineRule="exact"/>
              <w:rPr>
                <w:rFonts w:hint="eastAsia" w:ascii="宋体"/>
                <w:color w:val="auto"/>
                <w:szCs w:val="21"/>
                <w:highlight w:val="none"/>
              </w:rPr>
            </w:pPr>
            <w:r>
              <w:rPr>
                <w:rFonts w:hint="eastAsia" w:ascii="宋体"/>
                <w:color w:val="auto"/>
                <w:szCs w:val="21"/>
                <w:highlight w:val="none"/>
              </w:rPr>
              <w:t>电话：</w:t>
            </w:r>
          </w:p>
        </w:tc>
      </w:tr>
      <w:tr w14:paraId="5E5E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4551" w:type="dxa"/>
            <w:noWrap w:val="0"/>
            <w:vAlign w:val="top"/>
          </w:tcPr>
          <w:p w14:paraId="28C512BA">
            <w:pPr>
              <w:snapToGrid w:val="0"/>
              <w:spacing w:line="360" w:lineRule="exact"/>
              <w:rPr>
                <w:rFonts w:hint="eastAsia" w:ascii="宋体"/>
                <w:color w:val="auto"/>
                <w:szCs w:val="21"/>
                <w:highlight w:val="none"/>
              </w:rPr>
            </w:pPr>
            <w:r>
              <w:rPr>
                <w:rFonts w:hint="eastAsia" w:ascii="宋体"/>
                <w:color w:val="auto"/>
                <w:szCs w:val="21"/>
                <w:highlight w:val="none"/>
              </w:rPr>
              <w:t>电子邮箱：</w:t>
            </w:r>
          </w:p>
        </w:tc>
        <w:tc>
          <w:tcPr>
            <w:tcW w:w="4808" w:type="dxa"/>
            <w:noWrap w:val="0"/>
            <w:vAlign w:val="top"/>
          </w:tcPr>
          <w:p w14:paraId="02F8E7FC">
            <w:pPr>
              <w:snapToGrid w:val="0"/>
              <w:spacing w:line="360" w:lineRule="exact"/>
              <w:rPr>
                <w:rFonts w:hint="eastAsia" w:ascii="宋体"/>
                <w:color w:val="auto"/>
                <w:szCs w:val="21"/>
                <w:highlight w:val="none"/>
              </w:rPr>
            </w:pPr>
            <w:r>
              <w:rPr>
                <w:rFonts w:hint="eastAsia" w:ascii="宋体"/>
                <w:color w:val="auto"/>
                <w:szCs w:val="21"/>
                <w:highlight w:val="none"/>
              </w:rPr>
              <w:t>电子邮箱：</w:t>
            </w:r>
          </w:p>
        </w:tc>
      </w:tr>
      <w:tr w14:paraId="53F7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4551" w:type="dxa"/>
            <w:noWrap w:val="0"/>
            <w:vAlign w:val="top"/>
          </w:tcPr>
          <w:p w14:paraId="33D11972">
            <w:pPr>
              <w:snapToGrid w:val="0"/>
              <w:spacing w:line="360" w:lineRule="exact"/>
              <w:rPr>
                <w:rFonts w:hint="eastAsia" w:ascii="宋体"/>
                <w:color w:val="auto"/>
                <w:szCs w:val="21"/>
                <w:highlight w:val="none"/>
              </w:rPr>
            </w:pPr>
            <w:r>
              <w:rPr>
                <w:rFonts w:hint="eastAsia" w:ascii="宋体"/>
                <w:color w:val="auto"/>
                <w:szCs w:val="21"/>
                <w:highlight w:val="none"/>
              </w:rPr>
              <w:t>开户银行：</w:t>
            </w:r>
          </w:p>
        </w:tc>
        <w:tc>
          <w:tcPr>
            <w:tcW w:w="4808" w:type="dxa"/>
            <w:noWrap w:val="0"/>
            <w:vAlign w:val="top"/>
          </w:tcPr>
          <w:p w14:paraId="17BB72B2">
            <w:pPr>
              <w:snapToGrid w:val="0"/>
              <w:spacing w:line="360" w:lineRule="exact"/>
              <w:rPr>
                <w:rFonts w:hint="eastAsia" w:ascii="宋体"/>
                <w:color w:val="auto"/>
                <w:szCs w:val="21"/>
                <w:highlight w:val="none"/>
              </w:rPr>
            </w:pPr>
            <w:r>
              <w:rPr>
                <w:rFonts w:hint="eastAsia" w:ascii="宋体"/>
                <w:color w:val="auto"/>
                <w:szCs w:val="21"/>
                <w:highlight w:val="none"/>
              </w:rPr>
              <w:t>开户银行：</w:t>
            </w:r>
          </w:p>
        </w:tc>
      </w:tr>
      <w:tr w14:paraId="4C6E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4551" w:type="dxa"/>
            <w:noWrap w:val="0"/>
            <w:vAlign w:val="top"/>
          </w:tcPr>
          <w:p w14:paraId="4C814419">
            <w:pPr>
              <w:snapToGrid w:val="0"/>
              <w:spacing w:line="360" w:lineRule="exact"/>
              <w:rPr>
                <w:rFonts w:hint="eastAsia" w:ascii="宋体"/>
                <w:color w:val="auto"/>
                <w:szCs w:val="21"/>
                <w:highlight w:val="none"/>
              </w:rPr>
            </w:pPr>
            <w:r>
              <w:rPr>
                <w:rFonts w:hint="eastAsia" w:ascii="宋体"/>
                <w:color w:val="auto"/>
                <w:szCs w:val="21"/>
                <w:highlight w:val="none"/>
              </w:rPr>
              <w:t>账号：</w:t>
            </w:r>
          </w:p>
        </w:tc>
        <w:tc>
          <w:tcPr>
            <w:tcW w:w="4808" w:type="dxa"/>
            <w:noWrap w:val="0"/>
            <w:vAlign w:val="top"/>
          </w:tcPr>
          <w:p w14:paraId="50AD28FC">
            <w:pPr>
              <w:snapToGrid w:val="0"/>
              <w:spacing w:line="360" w:lineRule="exact"/>
              <w:rPr>
                <w:rFonts w:hint="eastAsia" w:ascii="宋体"/>
                <w:color w:val="auto"/>
                <w:szCs w:val="21"/>
                <w:highlight w:val="none"/>
              </w:rPr>
            </w:pPr>
            <w:r>
              <w:rPr>
                <w:rFonts w:hint="eastAsia" w:ascii="宋体"/>
                <w:color w:val="auto"/>
                <w:szCs w:val="21"/>
                <w:highlight w:val="none"/>
              </w:rPr>
              <w:t>账号：</w:t>
            </w:r>
          </w:p>
        </w:tc>
      </w:tr>
      <w:tr w14:paraId="76A3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4551" w:type="dxa"/>
            <w:noWrap w:val="0"/>
            <w:vAlign w:val="top"/>
          </w:tcPr>
          <w:p w14:paraId="77242A55">
            <w:pPr>
              <w:snapToGrid w:val="0"/>
              <w:spacing w:line="360" w:lineRule="exact"/>
              <w:rPr>
                <w:rFonts w:hint="eastAsia" w:ascii="宋体"/>
                <w:color w:val="auto"/>
                <w:szCs w:val="21"/>
                <w:highlight w:val="none"/>
              </w:rPr>
            </w:pPr>
            <w:r>
              <w:rPr>
                <w:rFonts w:hint="eastAsia" w:ascii="宋体"/>
                <w:color w:val="auto"/>
                <w:szCs w:val="21"/>
                <w:highlight w:val="none"/>
              </w:rPr>
              <w:t>邮政编码：</w:t>
            </w:r>
          </w:p>
        </w:tc>
        <w:tc>
          <w:tcPr>
            <w:tcW w:w="4808" w:type="dxa"/>
            <w:noWrap w:val="0"/>
            <w:vAlign w:val="top"/>
          </w:tcPr>
          <w:p w14:paraId="4E551FB1">
            <w:pPr>
              <w:snapToGrid w:val="0"/>
              <w:spacing w:line="360" w:lineRule="exact"/>
              <w:rPr>
                <w:rFonts w:hint="eastAsia" w:ascii="宋体"/>
                <w:color w:val="auto"/>
                <w:szCs w:val="21"/>
                <w:highlight w:val="none"/>
              </w:rPr>
            </w:pPr>
            <w:r>
              <w:rPr>
                <w:rFonts w:hint="eastAsia" w:ascii="宋体"/>
                <w:color w:val="auto"/>
                <w:szCs w:val="21"/>
                <w:highlight w:val="none"/>
              </w:rPr>
              <w:t>邮政编码：</w:t>
            </w:r>
          </w:p>
        </w:tc>
      </w:tr>
      <w:tr w14:paraId="3F94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9359" w:type="dxa"/>
            <w:gridSpan w:val="2"/>
            <w:noWrap w:val="0"/>
            <w:vAlign w:val="top"/>
          </w:tcPr>
          <w:p w14:paraId="7AECF7CC">
            <w:pPr>
              <w:snapToGrid w:val="0"/>
              <w:spacing w:line="360" w:lineRule="exact"/>
              <w:rPr>
                <w:rFonts w:hint="eastAsia" w:ascii="宋体"/>
                <w:color w:val="auto"/>
                <w:szCs w:val="21"/>
                <w:highlight w:val="none"/>
              </w:rPr>
            </w:pPr>
            <w:r>
              <w:rPr>
                <w:rFonts w:hint="eastAsia" w:ascii="宋体"/>
                <w:color w:val="auto"/>
                <w:szCs w:val="21"/>
                <w:highlight w:val="none"/>
              </w:rPr>
              <w:t>经办人：</w:t>
            </w:r>
          </w:p>
          <w:p w14:paraId="4B30A5FC">
            <w:pPr>
              <w:snapToGrid w:val="0"/>
              <w:spacing w:line="360" w:lineRule="exact"/>
              <w:rPr>
                <w:rFonts w:hint="eastAsia" w:ascii="宋体"/>
                <w:color w:val="auto"/>
                <w:szCs w:val="21"/>
                <w:highlight w:val="none"/>
              </w:rPr>
            </w:pPr>
          </w:p>
          <w:p w14:paraId="1F8296DD">
            <w:pPr>
              <w:snapToGrid w:val="0"/>
              <w:spacing w:line="360" w:lineRule="exact"/>
              <w:ind w:firstLine="630" w:firstLineChars="300"/>
              <w:jc w:val="right"/>
              <w:rPr>
                <w:rFonts w:hint="eastAsia" w:ascii="宋体"/>
                <w:color w:val="auto"/>
                <w:szCs w:val="21"/>
                <w:highlight w:val="none"/>
              </w:rPr>
            </w:pPr>
            <w:r>
              <w:rPr>
                <w:rFonts w:hint="eastAsia" w:ascii="宋体"/>
                <w:color w:val="auto"/>
                <w:szCs w:val="21"/>
                <w:highlight w:val="none"/>
              </w:rPr>
              <w:t>年    月    日</w:t>
            </w:r>
          </w:p>
        </w:tc>
      </w:tr>
    </w:tbl>
    <w:p w14:paraId="122E0CDB">
      <w:pPr>
        <w:jc w:val="center"/>
        <w:rPr>
          <w:rFonts w:hint="eastAsia"/>
          <w:b/>
          <w:bCs/>
          <w:color w:val="auto"/>
          <w:sz w:val="32"/>
          <w:szCs w:val="40"/>
          <w:highlight w:val="none"/>
        </w:rPr>
      </w:pPr>
    </w:p>
    <w:p w14:paraId="77E4EF30">
      <w:pPr>
        <w:jc w:val="center"/>
        <w:rPr>
          <w:rFonts w:hint="eastAsia"/>
          <w:b/>
          <w:bCs/>
          <w:color w:val="auto"/>
          <w:sz w:val="32"/>
          <w:szCs w:val="40"/>
          <w:highlight w:val="none"/>
        </w:rPr>
      </w:pPr>
      <w:r>
        <w:rPr>
          <w:rFonts w:hint="eastAsia"/>
          <w:b/>
          <w:bCs/>
          <w:color w:val="auto"/>
          <w:sz w:val="32"/>
          <w:szCs w:val="40"/>
          <w:highlight w:val="none"/>
        </w:rPr>
        <w:t>合 同 附 件</w:t>
      </w:r>
    </w:p>
    <w:tbl>
      <w:tblPr>
        <w:tblStyle w:val="47"/>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680"/>
      </w:tblGrid>
      <w:tr w14:paraId="012E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460" w:type="dxa"/>
            <w:gridSpan w:val="2"/>
            <w:tcBorders>
              <w:top w:val="single" w:color="auto" w:sz="4" w:space="0"/>
              <w:left w:val="single" w:color="auto" w:sz="4" w:space="0"/>
              <w:right w:val="single" w:color="auto" w:sz="4" w:space="0"/>
            </w:tcBorders>
            <w:noWrap w:val="0"/>
            <w:vAlign w:val="top"/>
          </w:tcPr>
          <w:p w14:paraId="62461652">
            <w:pPr>
              <w:snapToGrid w:val="0"/>
              <w:spacing w:line="360" w:lineRule="exact"/>
              <w:rPr>
                <w:rFonts w:hint="eastAsia"/>
                <w:color w:val="auto"/>
                <w:szCs w:val="21"/>
                <w:highlight w:val="none"/>
              </w:rPr>
            </w:pPr>
            <w:r>
              <w:rPr>
                <w:rFonts w:hint="eastAsia"/>
                <w:color w:val="auto"/>
                <w:szCs w:val="21"/>
                <w:highlight w:val="none"/>
                <w:lang w:eastAsia="zh-CN"/>
              </w:rPr>
              <w:t>1.</w:t>
            </w:r>
            <w:r>
              <w:rPr>
                <w:rFonts w:hint="eastAsia"/>
                <w:color w:val="auto"/>
                <w:szCs w:val="21"/>
                <w:highlight w:val="none"/>
              </w:rPr>
              <w:t>供应商承诺具体事项：</w:t>
            </w:r>
          </w:p>
        </w:tc>
      </w:tr>
      <w:tr w14:paraId="6A24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460" w:type="dxa"/>
            <w:gridSpan w:val="2"/>
            <w:tcBorders>
              <w:top w:val="single" w:color="auto" w:sz="4" w:space="0"/>
              <w:left w:val="single" w:color="auto" w:sz="4" w:space="0"/>
              <w:right w:val="single" w:color="auto" w:sz="4" w:space="0"/>
            </w:tcBorders>
            <w:noWrap w:val="0"/>
            <w:vAlign w:val="top"/>
          </w:tcPr>
          <w:p w14:paraId="5C53F0D5">
            <w:pPr>
              <w:snapToGrid w:val="0"/>
              <w:spacing w:line="360" w:lineRule="exact"/>
              <w:rPr>
                <w:rFonts w:hint="eastAsia"/>
                <w:color w:val="auto"/>
                <w:szCs w:val="21"/>
                <w:highlight w:val="none"/>
              </w:rPr>
            </w:pPr>
            <w:r>
              <w:rPr>
                <w:rFonts w:hint="eastAsia"/>
                <w:color w:val="auto"/>
                <w:szCs w:val="21"/>
                <w:highlight w:val="none"/>
                <w:lang w:eastAsia="zh-CN"/>
              </w:rPr>
              <w:t>2.</w:t>
            </w:r>
            <w:r>
              <w:rPr>
                <w:rFonts w:hint="eastAsia"/>
                <w:color w:val="auto"/>
                <w:szCs w:val="21"/>
                <w:highlight w:val="none"/>
              </w:rPr>
              <w:t>售后服务具体事项：</w:t>
            </w:r>
          </w:p>
        </w:tc>
      </w:tr>
      <w:tr w14:paraId="4105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460" w:type="dxa"/>
            <w:gridSpan w:val="2"/>
            <w:tcBorders>
              <w:top w:val="single" w:color="auto" w:sz="4" w:space="0"/>
              <w:left w:val="single" w:color="auto" w:sz="4" w:space="0"/>
              <w:right w:val="single" w:color="auto" w:sz="4" w:space="0"/>
            </w:tcBorders>
            <w:noWrap w:val="0"/>
            <w:vAlign w:val="top"/>
          </w:tcPr>
          <w:p w14:paraId="6AA017EF">
            <w:pPr>
              <w:snapToGrid w:val="0"/>
              <w:spacing w:line="360" w:lineRule="exact"/>
              <w:rPr>
                <w:rFonts w:hint="eastAsia"/>
                <w:color w:val="auto"/>
                <w:szCs w:val="21"/>
                <w:highlight w:val="none"/>
              </w:rPr>
            </w:pPr>
            <w:r>
              <w:rPr>
                <w:rFonts w:hint="eastAsia"/>
                <w:color w:val="auto"/>
                <w:szCs w:val="21"/>
                <w:highlight w:val="none"/>
                <w:lang w:eastAsia="zh-CN"/>
              </w:rPr>
              <w:t>3.</w:t>
            </w:r>
            <w:r>
              <w:rPr>
                <w:rFonts w:hint="eastAsia"/>
                <w:color w:val="auto"/>
                <w:szCs w:val="21"/>
                <w:highlight w:val="none"/>
              </w:rPr>
              <w:t>保修期责任：</w:t>
            </w:r>
          </w:p>
        </w:tc>
      </w:tr>
      <w:tr w14:paraId="2C99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460" w:type="dxa"/>
            <w:gridSpan w:val="2"/>
            <w:tcBorders>
              <w:top w:val="single" w:color="auto" w:sz="4" w:space="0"/>
              <w:left w:val="single" w:color="auto" w:sz="4" w:space="0"/>
              <w:right w:val="single" w:color="auto" w:sz="4" w:space="0"/>
            </w:tcBorders>
            <w:noWrap w:val="0"/>
            <w:vAlign w:val="top"/>
          </w:tcPr>
          <w:p w14:paraId="7B9C945A">
            <w:pPr>
              <w:snapToGrid w:val="0"/>
              <w:spacing w:line="360" w:lineRule="exact"/>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其他具体事项：</w:t>
            </w:r>
          </w:p>
        </w:tc>
      </w:tr>
      <w:tr w14:paraId="735A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4780" w:type="dxa"/>
            <w:tcBorders>
              <w:top w:val="single" w:color="auto" w:sz="4" w:space="0"/>
              <w:left w:val="single" w:color="auto" w:sz="4" w:space="0"/>
              <w:bottom w:val="single" w:color="auto" w:sz="4" w:space="0"/>
              <w:right w:val="single" w:color="auto" w:sz="4" w:space="0"/>
            </w:tcBorders>
            <w:noWrap w:val="0"/>
            <w:vAlign w:val="top"/>
          </w:tcPr>
          <w:p w14:paraId="7EF03766">
            <w:pPr>
              <w:snapToGrid w:val="0"/>
              <w:spacing w:line="360" w:lineRule="exact"/>
              <w:jc w:val="both"/>
              <w:rPr>
                <w:rFonts w:hint="eastAsia"/>
                <w:color w:val="auto"/>
                <w:szCs w:val="21"/>
                <w:highlight w:val="none"/>
              </w:rPr>
            </w:pPr>
            <w:r>
              <w:rPr>
                <w:rFonts w:hint="eastAsia"/>
                <w:color w:val="auto"/>
                <w:szCs w:val="21"/>
                <w:highlight w:val="none"/>
              </w:rPr>
              <w:t>甲方（章）</w:t>
            </w:r>
          </w:p>
          <w:p w14:paraId="2DD5CB8B">
            <w:pPr>
              <w:snapToGrid w:val="0"/>
              <w:spacing w:line="360" w:lineRule="exact"/>
              <w:ind w:firstLine="422"/>
              <w:jc w:val="both"/>
              <w:rPr>
                <w:rFonts w:hint="eastAsia"/>
                <w:color w:val="auto"/>
                <w:szCs w:val="21"/>
                <w:highlight w:val="none"/>
              </w:rPr>
            </w:pPr>
          </w:p>
          <w:p w14:paraId="1D7EE5F9">
            <w:pPr>
              <w:snapToGrid w:val="0"/>
              <w:spacing w:line="360" w:lineRule="exact"/>
              <w:ind w:firstLine="422"/>
              <w:jc w:val="both"/>
              <w:rPr>
                <w:rFonts w:hint="eastAsia"/>
                <w:color w:val="auto"/>
                <w:szCs w:val="21"/>
                <w:highlight w:val="none"/>
              </w:rPr>
            </w:pPr>
          </w:p>
          <w:p w14:paraId="56A31968">
            <w:pPr>
              <w:snapToGrid w:val="0"/>
              <w:spacing w:line="360" w:lineRule="exact"/>
              <w:ind w:firstLine="422"/>
              <w:jc w:val="both"/>
              <w:rPr>
                <w:rFonts w:hint="eastAsia"/>
                <w:color w:val="auto"/>
                <w:szCs w:val="21"/>
                <w:highlight w:val="none"/>
              </w:rPr>
            </w:pPr>
            <w:r>
              <w:rPr>
                <w:rFonts w:hint="eastAsia"/>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top"/>
          </w:tcPr>
          <w:p w14:paraId="10D1553A">
            <w:pPr>
              <w:snapToGrid w:val="0"/>
              <w:spacing w:line="360" w:lineRule="exact"/>
              <w:jc w:val="both"/>
              <w:rPr>
                <w:rFonts w:hint="eastAsia"/>
                <w:color w:val="auto"/>
                <w:szCs w:val="21"/>
                <w:highlight w:val="none"/>
              </w:rPr>
            </w:pPr>
            <w:r>
              <w:rPr>
                <w:rFonts w:hint="eastAsia"/>
                <w:color w:val="auto"/>
                <w:szCs w:val="21"/>
                <w:highlight w:val="none"/>
              </w:rPr>
              <w:t>乙方（章）</w:t>
            </w:r>
          </w:p>
          <w:p w14:paraId="25117874">
            <w:pPr>
              <w:snapToGrid w:val="0"/>
              <w:spacing w:line="360" w:lineRule="exact"/>
              <w:ind w:firstLine="422"/>
              <w:jc w:val="both"/>
              <w:rPr>
                <w:rFonts w:hint="eastAsia"/>
                <w:color w:val="auto"/>
                <w:szCs w:val="21"/>
                <w:highlight w:val="none"/>
              </w:rPr>
            </w:pPr>
          </w:p>
          <w:p w14:paraId="06111E65">
            <w:pPr>
              <w:snapToGrid w:val="0"/>
              <w:spacing w:line="360" w:lineRule="exact"/>
              <w:ind w:firstLine="422"/>
              <w:jc w:val="both"/>
              <w:rPr>
                <w:rFonts w:hint="eastAsia"/>
                <w:color w:val="auto"/>
                <w:szCs w:val="21"/>
                <w:highlight w:val="none"/>
              </w:rPr>
            </w:pPr>
          </w:p>
          <w:p w14:paraId="41F1689D">
            <w:pPr>
              <w:snapToGrid w:val="0"/>
              <w:spacing w:line="360" w:lineRule="exact"/>
              <w:ind w:firstLine="422"/>
              <w:jc w:val="both"/>
              <w:rPr>
                <w:rFonts w:hint="eastAsia"/>
                <w:color w:val="auto"/>
                <w:szCs w:val="21"/>
                <w:highlight w:val="none"/>
              </w:rPr>
            </w:pPr>
            <w:r>
              <w:rPr>
                <w:rFonts w:hint="eastAsia"/>
                <w:color w:val="auto"/>
                <w:szCs w:val="21"/>
                <w:highlight w:val="none"/>
              </w:rPr>
              <w:t xml:space="preserve">                       年   月   日</w:t>
            </w:r>
          </w:p>
        </w:tc>
      </w:tr>
    </w:tbl>
    <w:p w14:paraId="5F9E6D29">
      <w:pPr>
        <w:snapToGrid w:val="0"/>
        <w:spacing w:line="360" w:lineRule="exact"/>
        <w:rPr>
          <w:rFonts w:hint="eastAsia" w:ascii="宋体"/>
          <w:color w:val="auto"/>
          <w:szCs w:val="21"/>
          <w:highlight w:val="none"/>
        </w:rPr>
      </w:pPr>
      <w:r>
        <w:rPr>
          <w:rFonts w:hint="eastAsia" w:ascii="宋体"/>
          <w:color w:val="auto"/>
          <w:szCs w:val="21"/>
          <w:highlight w:val="none"/>
        </w:rPr>
        <w:t xml:space="preserve">  注：售后服务事项填不下时可另加附页。</w:t>
      </w:r>
    </w:p>
    <w:p w14:paraId="752C876C">
      <w:pPr>
        <w:spacing w:line="400" w:lineRule="exact"/>
        <w:jc w:val="center"/>
        <w:rPr>
          <w:rFonts w:hint="eastAsia" w:ascii="宋体"/>
          <w:color w:val="auto"/>
          <w:sz w:val="32"/>
          <w:szCs w:val="32"/>
          <w:highlight w:val="none"/>
        </w:rPr>
      </w:pPr>
      <w:r>
        <w:rPr>
          <w:color w:val="auto"/>
          <w:highlight w:val="none"/>
        </w:rPr>
        <w:br w:type="page"/>
      </w:r>
    </w:p>
    <w:p w14:paraId="1C6C6ED0">
      <w:pPr>
        <w:spacing w:line="400" w:lineRule="exact"/>
        <w:jc w:val="center"/>
        <w:rPr>
          <w:rFonts w:hint="eastAsia" w:ascii="宋体"/>
          <w:color w:val="auto"/>
          <w:sz w:val="32"/>
          <w:szCs w:val="32"/>
          <w:highlight w:val="none"/>
        </w:rPr>
      </w:pPr>
    </w:p>
    <w:bookmarkEnd w:id="107"/>
    <w:p w14:paraId="4293CD02">
      <w:pPr>
        <w:snapToGrid w:val="0"/>
        <w:rPr>
          <w:rFonts w:hint="eastAsia" w:ascii="宋体" w:hAnsi="宋体" w:cs="宋体"/>
          <w:b/>
          <w:color w:val="auto"/>
          <w:sz w:val="32"/>
          <w:szCs w:val="32"/>
          <w:highlight w:val="none"/>
        </w:rPr>
      </w:pPr>
    </w:p>
    <w:p w14:paraId="1ADF19B1">
      <w:pPr>
        <w:snapToGrid w:val="0"/>
        <w:rPr>
          <w:rFonts w:hint="eastAsia" w:ascii="宋体" w:hAnsi="宋体" w:cs="宋体"/>
          <w:b/>
          <w:color w:val="auto"/>
          <w:sz w:val="32"/>
          <w:szCs w:val="32"/>
          <w:highlight w:val="none"/>
        </w:rPr>
      </w:pPr>
    </w:p>
    <w:p w14:paraId="43C7182D">
      <w:pPr>
        <w:snapToGrid w:val="0"/>
        <w:rPr>
          <w:rFonts w:hint="eastAsia" w:ascii="宋体" w:hAnsi="宋体" w:cs="宋体"/>
          <w:b/>
          <w:color w:val="auto"/>
          <w:sz w:val="32"/>
          <w:szCs w:val="32"/>
          <w:highlight w:val="none"/>
        </w:rPr>
      </w:pPr>
    </w:p>
    <w:p w14:paraId="4AA4ADD2">
      <w:pPr>
        <w:snapToGrid w:val="0"/>
        <w:rPr>
          <w:rFonts w:hint="eastAsia" w:ascii="宋体" w:hAnsi="宋体" w:cs="宋体"/>
          <w:b/>
          <w:color w:val="auto"/>
          <w:sz w:val="32"/>
          <w:szCs w:val="32"/>
          <w:highlight w:val="none"/>
        </w:rPr>
      </w:pPr>
    </w:p>
    <w:p w14:paraId="3DD4B842">
      <w:pPr>
        <w:snapToGrid w:val="0"/>
        <w:rPr>
          <w:rFonts w:hint="eastAsia" w:ascii="宋体" w:hAnsi="宋体" w:cs="宋体"/>
          <w:b/>
          <w:color w:val="auto"/>
          <w:sz w:val="32"/>
          <w:szCs w:val="32"/>
          <w:highlight w:val="none"/>
        </w:rPr>
      </w:pPr>
    </w:p>
    <w:p w14:paraId="4CA4E605">
      <w:pPr>
        <w:snapToGrid w:val="0"/>
        <w:rPr>
          <w:rFonts w:hint="eastAsia" w:ascii="宋体" w:hAnsi="宋体" w:cs="宋体"/>
          <w:b/>
          <w:color w:val="auto"/>
          <w:sz w:val="32"/>
          <w:szCs w:val="32"/>
          <w:highlight w:val="none"/>
        </w:rPr>
      </w:pPr>
    </w:p>
    <w:p w14:paraId="7FF9D531">
      <w:pPr>
        <w:snapToGrid w:val="0"/>
        <w:rPr>
          <w:rFonts w:hint="eastAsia" w:ascii="宋体" w:hAnsi="宋体" w:cs="宋体"/>
          <w:b/>
          <w:color w:val="auto"/>
          <w:sz w:val="32"/>
          <w:szCs w:val="32"/>
          <w:highlight w:val="none"/>
        </w:rPr>
      </w:pPr>
    </w:p>
    <w:p w14:paraId="73AE3E9D">
      <w:pPr>
        <w:snapToGrid w:val="0"/>
        <w:rPr>
          <w:rFonts w:hint="eastAsia" w:ascii="宋体" w:hAnsi="宋体" w:cs="宋体"/>
          <w:b/>
          <w:color w:val="auto"/>
          <w:sz w:val="32"/>
          <w:szCs w:val="32"/>
          <w:highlight w:val="none"/>
        </w:rPr>
      </w:pPr>
    </w:p>
    <w:p w14:paraId="02A5B427">
      <w:pPr>
        <w:snapToGrid w:val="0"/>
        <w:rPr>
          <w:rFonts w:hint="eastAsia" w:ascii="宋体" w:hAnsi="宋体" w:cs="宋体"/>
          <w:b/>
          <w:color w:val="auto"/>
          <w:sz w:val="32"/>
          <w:szCs w:val="32"/>
          <w:highlight w:val="none"/>
        </w:rPr>
      </w:pPr>
    </w:p>
    <w:p w14:paraId="1E258D9B">
      <w:pPr>
        <w:snapToGrid w:val="0"/>
        <w:rPr>
          <w:rFonts w:hint="eastAsia" w:ascii="宋体" w:hAnsi="宋体" w:cs="宋体"/>
          <w:bCs/>
          <w:color w:val="auto"/>
          <w:sz w:val="32"/>
          <w:szCs w:val="32"/>
          <w:highlight w:val="none"/>
        </w:rPr>
      </w:pPr>
    </w:p>
    <w:p w14:paraId="72B76A55">
      <w:pPr>
        <w:pStyle w:val="3"/>
        <w:keepNext w:val="0"/>
        <w:keepLines w:val="0"/>
        <w:jc w:val="center"/>
        <w:rPr>
          <w:rFonts w:hint="eastAsia" w:ascii="宋体" w:hAnsi="宋体" w:eastAsia="宋体" w:cs="宋体"/>
          <w:color w:val="auto"/>
          <w:highlight w:val="none"/>
        </w:rPr>
      </w:pPr>
      <w:bookmarkStart w:id="108" w:name="_Toc19686834"/>
      <w:r>
        <w:rPr>
          <w:rFonts w:hint="eastAsia" w:ascii="宋体" w:hAnsi="宋体" w:eastAsia="宋体" w:cs="宋体"/>
          <w:color w:val="auto"/>
          <w:highlight w:val="none"/>
        </w:rPr>
        <w:t>第六章　投标文件格式</w:t>
      </w:r>
      <w:bookmarkEnd w:id="108"/>
    </w:p>
    <w:p w14:paraId="756F70D2">
      <w:pPr>
        <w:spacing w:line="720" w:lineRule="auto"/>
        <w:jc w:val="center"/>
        <w:rPr>
          <w:rFonts w:hint="eastAsia"/>
          <w:color w:val="auto"/>
          <w:sz w:val="32"/>
          <w:szCs w:val="32"/>
          <w:highlight w:val="none"/>
        </w:rPr>
      </w:pPr>
      <w:r>
        <w:rPr>
          <w:rFonts w:hint="eastAsia" w:ascii="宋体" w:hAnsi="宋体" w:cs="宋体"/>
          <w:color w:val="auto"/>
          <w:sz w:val="32"/>
          <w:szCs w:val="20"/>
          <w:highlight w:val="none"/>
        </w:rPr>
        <w:br w:type="page"/>
      </w:r>
      <w:r>
        <w:rPr>
          <w:rFonts w:hint="eastAsia"/>
          <w:color w:val="auto"/>
          <w:sz w:val="32"/>
          <w:szCs w:val="32"/>
          <w:highlight w:val="none"/>
        </w:rPr>
        <w:t>投标文件格式</w:t>
      </w:r>
    </w:p>
    <w:p w14:paraId="0BFC222D">
      <w:pPr>
        <w:spacing w:line="480" w:lineRule="auto"/>
        <w:jc w:val="center"/>
        <w:rPr>
          <w:rFonts w:hint="eastAsia"/>
          <w:b/>
          <w:color w:val="auto"/>
          <w:highlight w:val="none"/>
        </w:rPr>
      </w:pPr>
      <w:r>
        <w:rPr>
          <w:rFonts w:hint="eastAsia"/>
          <w:b/>
          <w:color w:val="auto"/>
          <w:highlight w:val="none"/>
        </w:rPr>
        <w:t>一、投标文件封面格式</w:t>
      </w:r>
    </w:p>
    <w:p w14:paraId="1F1AA69C">
      <w:pPr>
        <w:snapToGrid w:val="0"/>
        <w:spacing w:before="156" w:beforeLines="50" w:after="50" w:line="360" w:lineRule="exact"/>
        <w:rPr>
          <w:rFonts w:hint="eastAsia" w:ascii="仿宋_GB2312" w:eastAsia="仿宋_GB2312"/>
          <w:color w:val="auto"/>
          <w:sz w:val="24"/>
          <w:highlight w:val="none"/>
        </w:rPr>
      </w:pPr>
    </w:p>
    <w:p w14:paraId="75257722">
      <w:pPr>
        <w:snapToGrid w:val="0"/>
        <w:spacing w:before="156" w:beforeLines="50" w:after="50" w:line="360" w:lineRule="exact"/>
        <w:rPr>
          <w:rFonts w:hint="eastAsia" w:ascii="仿宋_GB2312" w:eastAsia="仿宋_GB2312"/>
          <w:bCs/>
          <w:color w:val="auto"/>
          <w:sz w:val="24"/>
          <w:highlight w:val="none"/>
        </w:rPr>
      </w:pPr>
      <w:r>
        <w:rPr>
          <w:rFonts w:hint="eastAsia" w:ascii="仿宋_GB2312" w:eastAsia="仿宋_GB2312"/>
          <w:color w:val="auto"/>
          <w:sz w:val="24"/>
          <w:highlight w:val="none"/>
        </w:rPr>
        <w:t xml:space="preserve">                                                   </w:t>
      </w:r>
    </w:p>
    <w:p w14:paraId="459FB6E8">
      <w:pPr>
        <w:snapToGrid w:val="0"/>
        <w:spacing w:before="156" w:beforeLines="50" w:after="50" w:line="360" w:lineRule="exact"/>
        <w:jc w:val="center"/>
        <w:rPr>
          <w:rFonts w:hint="eastAsia" w:ascii="宋体"/>
          <w:b/>
          <w:bCs/>
          <w:color w:val="auto"/>
          <w:sz w:val="32"/>
          <w:szCs w:val="32"/>
          <w:highlight w:val="none"/>
        </w:rPr>
      </w:pPr>
      <w:r>
        <w:rPr>
          <w:rFonts w:hint="eastAsia" w:ascii="宋体"/>
          <w:b/>
          <w:bCs/>
          <w:color w:val="auto"/>
          <w:sz w:val="32"/>
          <w:szCs w:val="32"/>
          <w:highlight w:val="none"/>
        </w:rPr>
        <w:t>投标文件</w:t>
      </w:r>
    </w:p>
    <w:p w14:paraId="32A51B61">
      <w:pPr>
        <w:snapToGrid w:val="0"/>
        <w:spacing w:before="156" w:beforeLines="50" w:after="50" w:line="360" w:lineRule="exact"/>
        <w:rPr>
          <w:rFonts w:hint="eastAsia" w:ascii="仿宋_GB2312" w:eastAsia="仿宋_GB2312"/>
          <w:bCs/>
          <w:color w:val="auto"/>
          <w:sz w:val="24"/>
          <w:highlight w:val="none"/>
        </w:rPr>
      </w:pPr>
    </w:p>
    <w:p w14:paraId="53B5F4B5">
      <w:pP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 xml:space="preserve">采购项目名称： </w:t>
      </w:r>
    </w:p>
    <w:p w14:paraId="5CF67ADE">
      <w:pP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 xml:space="preserve">采购项目编号： </w:t>
      </w:r>
    </w:p>
    <w:p w14:paraId="191CDCAC">
      <w:pP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所投分标（如有）：</w:t>
      </w:r>
    </w:p>
    <w:p w14:paraId="68CE37B9">
      <w:pP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投标人名称：（盖章）</w:t>
      </w:r>
    </w:p>
    <w:p w14:paraId="531A2701">
      <w:pPr>
        <w:snapToGrid w:val="0"/>
        <w:spacing w:before="156" w:beforeLines="50" w:after="50" w:line="360" w:lineRule="exact"/>
        <w:ind w:firstLine="630" w:firstLineChars="300"/>
        <w:rPr>
          <w:rFonts w:hint="eastAsia" w:ascii="宋体"/>
          <w:bCs/>
          <w:color w:val="auto"/>
          <w:szCs w:val="21"/>
          <w:highlight w:val="none"/>
        </w:rPr>
      </w:pPr>
      <w:r>
        <w:rPr>
          <w:rFonts w:hint="eastAsia" w:ascii="宋体"/>
          <w:bCs/>
          <w:color w:val="auto"/>
          <w:szCs w:val="21"/>
          <w:highlight w:val="none"/>
        </w:rPr>
        <w:t>投标人地址：</w:t>
      </w:r>
    </w:p>
    <w:p w14:paraId="30F04478">
      <w:pPr>
        <w:spacing w:line="360" w:lineRule="exact"/>
        <w:rPr>
          <w:rFonts w:hint="eastAsia"/>
          <w:color w:val="auto"/>
          <w:highlight w:val="none"/>
        </w:rPr>
      </w:pPr>
      <w:r>
        <w:rPr>
          <w:rFonts w:hint="eastAsia"/>
          <w:color w:val="auto"/>
          <w:highlight w:val="none"/>
        </w:rPr>
        <w:t xml:space="preserve">                                                   年  月  日</w:t>
      </w:r>
    </w:p>
    <w:p w14:paraId="74A89B37">
      <w:pPr>
        <w:spacing w:line="360" w:lineRule="exact"/>
        <w:rPr>
          <w:rFonts w:hint="eastAsia"/>
          <w:color w:val="auto"/>
          <w:highlight w:val="none"/>
        </w:rPr>
      </w:pPr>
    </w:p>
    <w:p w14:paraId="51F34C92">
      <w:pPr>
        <w:spacing w:line="360" w:lineRule="exact"/>
        <w:rPr>
          <w:rFonts w:hint="eastAsia"/>
          <w:color w:val="auto"/>
          <w:highlight w:val="none"/>
        </w:rPr>
      </w:pPr>
      <w:bookmarkStart w:id="109" w:name="_Toc254970557"/>
      <w:bookmarkStart w:id="110" w:name="_Toc254970698"/>
      <w:r>
        <w:rPr>
          <w:rFonts w:hint="eastAsia" w:ascii="宋体" w:hAnsi="宋体"/>
          <w:bCs/>
          <w:color w:val="auto"/>
          <w:szCs w:val="21"/>
          <w:highlight w:val="none"/>
        </w:rPr>
        <w:t>[注：</w:t>
      </w:r>
      <w:r>
        <w:rPr>
          <w:rFonts w:hint="eastAsia" w:ascii="宋体" w:hAnsi="宋体"/>
          <w:color w:val="auto"/>
          <w:highlight w:val="none"/>
        </w:rPr>
        <w:t>投标文件由资格文件、商务技术文件、报价文件</w:t>
      </w:r>
      <w:r>
        <w:rPr>
          <w:rFonts w:hint="eastAsia" w:ascii="宋体"/>
          <w:b/>
          <w:color w:val="auto"/>
          <w:szCs w:val="21"/>
          <w:highlight w:val="none"/>
        </w:rPr>
        <w:t>三部分</w:t>
      </w:r>
      <w:r>
        <w:rPr>
          <w:rFonts w:hint="eastAsia" w:ascii="宋体"/>
          <w:color w:val="auto"/>
          <w:szCs w:val="21"/>
          <w:highlight w:val="none"/>
        </w:rPr>
        <w:t>组成</w:t>
      </w:r>
      <w:r>
        <w:rPr>
          <w:rFonts w:hint="eastAsia" w:ascii="宋体" w:hAnsi="宋体"/>
          <w:bCs/>
          <w:color w:val="auto"/>
          <w:szCs w:val="21"/>
          <w:highlight w:val="none"/>
        </w:rPr>
        <w:t>]</w:t>
      </w:r>
    </w:p>
    <w:p w14:paraId="69BC9484">
      <w:pPr>
        <w:spacing w:line="720" w:lineRule="auto"/>
        <w:jc w:val="center"/>
        <w:rPr>
          <w:rFonts w:hint="eastAsia"/>
          <w:b/>
          <w:color w:val="auto"/>
          <w:highlight w:val="none"/>
        </w:rPr>
      </w:pPr>
      <w:r>
        <w:rPr>
          <w:b/>
          <w:color w:val="auto"/>
          <w:highlight w:val="none"/>
        </w:rPr>
        <w:br w:type="page"/>
      </w:r>
      <w:r>
        <w:rPr>
          <w:rFonts w:hint="eastAsia"/>
          <w:b/>
          <w:color w:val="auto"/>
          <w:highlight w:val="none"/>
        </w:rPr>
        <w:t>二、投标文件目录</w:t>
      </w:r>
    </w:p>
    <w:p w14:paraId="06927CAD">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14:paraId="56583CA6">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（1）有效的主体资格证明文件；</w:t>
      </w:r>
    </w:p>
    <w:p w14:paraId="5A099C62">
      <w:pPr>
        <w:spacing w:line="370" w:lineRule="exact"/>
        <w:rPr>
          <w:rFonts w:hint="eastAsia"/>
          <w:b/>
          <w:color w:val="auto"/>
          <w:highlight w:val="none"/>
        </w:rPr>
      </w:pPr>
      <w:r>
        <w:rPr>
          <w:rFonts w:hint="eastAsia"/>
          <w:b/>
          <w:color w:val="auto"/>
          <w:highlight w:val="none"/>
        </w:rPr>
        <w:t xml:space="preserve">    </w:t>
      </w:r>
      <w:r>
        <w:rPr>
          <w:rFonts w:hint="eastAsia" w:ascii="宋体" w:hAnsi="宋体"/>
          <w:color w:val="auto"/>
          <w:highlight w:val="none"/>
        </w:rPr>
        <w:t xml:space="preserve"> 投标人有效的“主体资格证明文件”（如营业执照、事业单位法人证书、执业许可证、自然人身份证等）</w:t>
      </w:r>
      <w:r>
        <w:rPr>
          <w:rFonts w:hint="eastAsia" w:hAnsi="宋体"/>
          <w:color w:val="auto"/>
          <w:highlight w:val="none"/>
        </w:rPr>
        <w:t>复印件</w:t>
      </w:r>
      <w:r>
        <w:rPr>
          <w:rFonts w:hint="eastAsia" w:ascii="宋体" w:hAnsi="宋体"/>
          <w:color w:val="auto"/>
          <w:highlight w:val="none"/>
        </w:rPr>
        <w:t>，同时要加盖单位公章；</w:t>
      </w:r>
      <w:r>
        <w:rPr>
          <w:rFonts w:hint="eastAsia" w:ascii="宋体" w:hAnsi="宋体"/>
          <w:b/>
          <w:color w:val="auto"/>
          <w:highlight w:val="none"/>
        </w:rPr>
        <w:t>（必须提供）</w:t>
      </w:r>
    </w:p>
    <w:p w14:paraId="08A3801C">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color w:val="auto"/>
          <w:szCs w:val="21"/>
          <w:highlight w:val="none"/>
        </w:rPr>
        <w:t>（必须提供，新成立单位按实际提供）</w:t>
      </w:r>
    </w:p>
    <w:p w14:paraId="1D90F8C6">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color w:val="auto"/>
          <w:szCs w:val="21"/>
          <w:highlight w:val="none"/>
        </w:rPr>
        <w:t>（必须提供，新成立单位按实际提供）</w:t>
      </w:r>
    </w:p>
    <w:p w14:paraId="12507760">
      <w:pPr>
        <w:snapToGrid w:val="0"/>
        <w:spacing w:line="360" w:lineRule="exact"/>
        <w:jc w:val="left"/>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（4）财务状况报告（</w:t>
      </w:r>
      <w:r>
        <w:rPr>
          <w:rFonts w:hint="eastAsia" w:ascii="宋体" w:hAnsi="宋体"/>
          <w:color w:val="auto"/>
          <w:szCs w:val="21"/>
          <w:highlight w:val="none"/>
          <w:u w:val="single"/>
        </w:rPr>
        <w:t>2023年或2024年</w:t>
      </w:r>
      <w:r>
        <w:rPr>
          <w:rFonts w:hint="eastAsia" w:ascii="宋体" w:hAnsi="宋体"/>
          <w:color w:val="auto"/>
          <w:szCs w:val="21"/>
          <w:highlight w:val="none"/>
        </w:rPr>
        <w:t>财务报表复印件）或者银行出具的资信证明，或者中国人民银行征信中心出具的信用报告（企业竞标的提供企业信用报告，自然人竞标的提供个人信用报告）；供应商属于成立时间在规定年度之后的法人或其他组织，只需提供响应文件提交截止时间前一个月的财务状况报告（表）或银行出具的资信证明或者中国人民银行征信中心出具的企业信用报告；资信证明应在有效期内，未注明有效期的，银行出具时间至响应文件提交截止时间不超过一年）</w:t>
      </w:r>
      <w:r>
        <w:rPr>
          <w:rFonts w:hint="eastAsia" w:ascii="宋体" w:hAnsi="宋体"/>
          <w:b/>
          <w:color w:val="auto"/>
          <w:szCs w:val="21"/>
          <w:highlight w:val="none"/>
        </w:rPr>
        <w:t>（必须提供）</w:t>
      </w:r>
    </w:p>
    <w:p w14:paraId="6C8A8E8F">
      <w:pPr>
        <w:snapToGrid w:val="0"/>
        <w:spacing w:line="360" w:lineRule="exact"/>
        <w:ind w:firstLine="411" w:firstLineChars="196"/>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（5）</w:t>
      </w:r>
      <w:r>
        <w:rPr>
          <w:rFonts w:ascii="宋体" w:hAnsi="宋体"/>
          <w:color w:val="auto"/>
          <w:szCs w:val="21"/>
          <w:highlight w:val="none"/>
        </w:rPr>
        <w:t>具备履行合同所必需的设备和专业技术能力的证明材料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（内容、格式自拟，必须提供）</w:t>
      </w:r>
    </w:p>
    <w:p w14:paraId="0E92E820">
      <w:pPr>
        <w:snapToGrid w:val="0"/>
        <w:spacing w:line="360" w:lineRule="exact"/>
        <w:ind w:firstLine="411" w:firstLineChars="196"/>
        <w:jc w:val="left"/>
        <w:rPr>
          <w:rFonts w:hint="eastAsia" w:ascii="宋体" w:hAnsi="宋体"/>
          <w:color w:val="auto"/>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参加政府采购活动前三年内在经营活动中没有重大违法记录和不良信用记录的书面声明。（</w:t>
      </w:r>
      <w:r>
        <w:rPr>
          <w:rFonts w:hint="eastAsia" w:ascii="宋体" w:hAnsi="宋体"/>
          <w:b/>
          <w:color w:val="auto"/>
          <w:szCs w:val="21"/>
          <w:highlight w:val="none"/>
        </w:rPr>
        <w:t>格式自拟，必须提供</w:t>
      </w:r>
      <w:r>
        <w:rPr>
          <w:rFonts w:hint="eastAsia" w:ascii="宋体" w:hAnsi="宋体"/>
          <w:color w:val="auto"/>
          <w:szCs w:val="21"/>
          <w:highlight w:val="none"/>
        </w:rPr>
        <w:t>）</w:t>
      </w:r>
    </w:p>
    <w:p w14:paraId="62B99360">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0DB0C917">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查询渠道：“信用中国”网站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p>
    <w:p w14:paraId="220F10CB">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6F0FE9E0">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32F2223C">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信用信息使用规则：对在“信用中国”网站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r>
        <w:rPr>
          <w:rFonts w:hint="eastAsia" w:ascii="宋体" w:hAnsi="宋体"/>
          <w:b/>
          <w:color w:val="auto"/>
          <w:szCs w:val="21"/>
          <w:highlight w:val="none"/>
        </w:rPr>
        <w:t>被列入失信被执行人、重大税收违法失信主体、政府采购严重违法失信行为记录名单及其他不符合《中华人民共和国政府采购法》第二十二条规定条件的供应商，将拒绝其参与政府采购活动。</w:t>
      </w:r>
    </w:p>
    <w:p w14:paraId="2C90CF2D">
      <w:pPr>
        <w:pStyle w:val="25"/>
        <w:snapToGrid w:val="0"/>
        <w:spacing w:line="370" w:lineRule="exact"/>
        <w:ind w:firstLine="402" w:firstLineChars="200"/>
        <w:jc w:val="left"/>
        <w:rPr>
          <w:rFonts w:hint="eastAsia"/>
          <w:b/>
          <w:color w:val="auto"/>
          <w:highlight w:val="none"/>
          <w:lang w:eastAsia="zh-CN"/>
        </w:rPr>
      </w:pPr>
      <w:r>
        <w:rPr>
          <w:rFonts w:hint="eastAsia"/>
          <w:b/>
          <w:color w:val="auto"/>
          <w:highlight w:val="none"/>
        </w:rPr>
        <w:t>2.商务技术文件：</w:t>
      </w:r>
    </w:p>
    <w:p w14:paraId="2B9E9F11">
      <w:pPr>
        <w:ind w:firstLine="422" w:firstLineChars="200"/>
        <w:rPr>
          <w:rFonts w:hint="eastAsia" w:ascii="宋体" w:hAnsi="宋体"/>
          <w:b/>
          <w:color w:val="auto"/>
          <w:highlight w:val="none"/>
        </w:rPr>
      </w:pPr>
      <w:r>
        <w:rPr>
          <w:rFonts w:hint="eastAsia" w:ascii="宋体" w:hAnsi="宋体"/>
          <w:b/>
          <w:color w:val="auto"/>
          <w:highlight w:val="none"/>
        </w:rPr>
        <w:t>2.1商务文件：</w:t>
      </w:r>
    </w:p>
    <w:p w14:paraId="57D87E50">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（1）</w:t>
      </w:r>
      <w:r>
        <w:rPr>
          <w:rFonts w:hint="eastAsia" w:ascii="宋体" w:hAnsi="宋体"/>
          <w:color w:val="auto"/>
          <w:szCs w:val="21"/>
          <w:highlight w:val="none"/>
        </w:rPr>
        <w:t>投标保证金的提交凭证</w:t>
      </w:r>
      <w:r>
        <w:rPr>
          <w:rFonts w:hint="eastAsia" w:ascii="宋体"/>
          <w:color w:val="auto"/>
          <w:szCs w:val="21"/>
          <w:highlight w:val="none"/>
        </w:rPr>
        <w:t>；</w:t>
      </w:r>
      <w:r>
        <w:rPr>
          <w:rFonts w:hint="eastAsia" w:ascii="宋体"/>
          <w:b/>
          <w:color w:val="auto"/>
          <w:szCs w:val="21"/>
          <w:highlight w:val="none"/>
        </w:rPr>
        <w:t>（必须提供）</w:t>
      </w:r>
    </w:p>
    <w:p w14:paraId="35EB5172">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 xml:space="preserve">（2）投标声明书 </w:t>
      </w:r>
      <w:r>
        <w:rPr>
          <w:rFonts w:hint="eastAsia" w:ascii="宋体"/>
          <w:color w:val="auto"/>
          <w:szCs w:val="21"/>
          <w:highlight w:val="none"/>
          <w:lang w:eastAsia="zh-CN"/>
        </w:rPr>
        <w:t>（</w:t>
      </w:r>
      <w:r>
        <w:rPr>
          <w:rFonts w:hint="eastAsia" w:ascii="宋体"/>
          <w:color w:val="auto"/>
          <w:szCs w:val="21"/>
          <w:highlight w:val="none"/>
        </w:rPr>
        <w:t>格式见第六章</w:t>
      </w:r>
      <w:r>
        <w:rPr>
          <w:rFonts w:hint="eastAsia" w:ascii="宋体"/>
          <w:color w:val="auto"/>
          <w:szCs w:val="21"/>
          <w:highlight w:val="none"/>
          <w:lang w:eastAsia="zh-CN"/>
        </w:rPr>
        <w:t>）</w:t>
      </w:r>
      <w:r>
        <w:rPr>
          <w:rFonts w:hint="eastAsia" w:ascii="宋体"/>
          <w:color w:val="auto"/>
          <w:szCs w:val="21"/>
          <w:highlight w:val="none"/>
        </w:rPr>
        <w:t>；</w:t>
      </w:r>
      <w:r>
        <w:rPr>
          <w:rFonts w:hint="eastAsia" w:ascii="宋体"/>
          <w:b/>
          <w:color w:val="auto"/>
          <w:szCs w:val="21"/>
          <w:highlight w:val="none"/>
        </w:rPr>
        <w:t>（必须提供）</w:t>
      </w:r>
    </w:p>
    <w:p w14:paraId="2E001668">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（3）法定代表人</w:t>
      </w:r>
      <w:r>
        <w:rPr>
          <w:rFonts w:hint="eastAsia" w:ascii="宋体"/>
          <w:color w:val="auto"/>
          <w:szCs w:val="21"/>
          <w:highlight w:val="none"/>
          <w:lang w:eastAsia="zh-CN"/>
        </w:rPr>
        <w:t>（</w:t>
      </w:r>
      <w:r>
        <w:rPr>
          <w:rFonts w:hint="eastAsia" w:ascii="宋体"/>
          <w:color w:val="auto"/>
          <w:szCs w:val="21"/>
          <w:highlight w:val="none"/>
        </w:rPr>
        <w:t>负责人</w:t>
      </w:r>
      <w:r>
        <w:rPr>
          <w:rFonts w:hint="eastAsia" w:ascii="宋体"/>
          <w:color w:val="auto"/>
          <w:szCs w:val="21"/>
          <w:highlight w:val="none"/>
          <w:lang w:eastAsia="zh-CN"/>
        </w:rPr>
        <w:t>）</w:t>
      </w:r>
      <w:r>
        <w:rPr>
          <w:rFonts w:hint="eastAsia" w:ascii="宋体"/>
          <w:color w:val="auto"/>
          <w:szCs w:val="21"/>
          <w:highlight w:val="none"/>
        </w:rPr>
        <w:t>授权委托书和委托代理人身份证正、反面复印件（格式见第六章</w:t>
      </w:r>
      <w:r>
        <w:rPr>
          <w:rFonts w:hint="eastAsia" w:ascii="宋体"/>
          <w:color w:val="auto"/>
          <w:szCs w:val="21"/>
          <w:highlight w:val="none"/>
          <w:lang w:eastAsia="zh-CN"/>
        </w:rPr>
        <w:t>）</w:t>
      </w:r>
      <w:r>
        <w:rPr>
          <w:rFonts w:hint="eastAsia" w:ascii="宋体"/>
          <w:b/>
          <w:color w:val="auto"/>
          <w:szCs w:val="21"/>
          <w:highlight w:val="none"/>
        </w:rPr>
        <w:t>（委托时必须提供）</w:t>
      </w:r>
      <w:r>
        <w:rPr>
          <w:rFonts w:hint="eastAsia" w:ascii="宋体"/>
          <w:color w:val="auto"/>
          <w:szCs w:val="21"/>
          <w:highlight w:val="none"/>
        </w:rPr>
        <w:t>；</w:t>
      </w:r>
    </w:p>
    <w:p w14:paraId="11705604">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（4）法定代表人</w:t>
      </w:r>
      <w:r>
        <w:rPr>
          <w:rFonts w:hint="eastAsia" w:ascii="宋体"/>
          <w:color w:val="auto"/>
          <w:szCs w:val="21"/>
          <w:highlight w:val="none"/>
          <w:lang w:eastAsia="zh-CN"/>
        </w:rPr>
        <w:t>（</w:t>
      </w:r>
      <w:r>
        <w:rPr>
          <w:rFonts w:hint="eastAsia" w:ascii="宋体"/>
          <w:color w:val="auto"/>
          <w:szCs w:val="21"/>
          <w:highlight w:val="none"/>
        </w:rPr>
        <w:t>负责人</w:t>
      </w:r>
      <w:r>
        <w:rPr>
          <w:rFonts w:hint="eastAsia" w:ascii="宋体"/>
          <w:color w:val="auto"/>
          <w:szCs w:val="21"/>
          <w:highlight w:val="none"/>
          <w:lang w:eastAsia="zh-CN"/>
        </w:rPr>
        <w:t>）</w:t>
      </w:r>
      <w:r>
        <w:rPr>
          <w:rFonts w:hint="eastAsia" w:ascii="宋体"/>
          <w:color w:val="auto"/>
          <w:szCs w:val="21"/>
          <w:highlight w:val="none"/>
        </w:rPr>
        <w:t>身份证明书（格式见附件</w:t>
      </w:r>
      <w:r>
        <w:rPr>
          <w:rFonts w:hint="eastAsia" w:ascii="宋体"/>
          <w:color w:val="auto"/>
          <w:szCs w:val="21"/>
          <w:highlight w:val="none"/>
          <w:lang w:eastAsia="zh-CN"/>
        </w:rPr>
        <w:t>）</w:t>
      </w:r>
      <w:r>
        <w:rPr>
          <w:rFonts w:hint="eastAsia" w:ascii="宋体"/>
          <w:color w:val="auto"/>
          <w:szCs w:val="21"/>
          <w:highlight w:val="none"/>
        </w:rPr>
        <w:t>、法定代表人（负责人）有效身份证正反面复印件</w:t>
      </w:r>
      <w:r>
        <w:rPr>
          <w:rFonts w:hint="eastAsia" w:ascii="宋体"/>
          <w:b/>
          <w:color w:val="auto"/>
          <w:szCs w:val="21"/>
          <w:highlight w:val="none"/>
        </w:rPr>
        <w:t>（必须提供）</w:t>
      </w:r>
      <w:r>
        <w:rPr>
          <w:rFonts w:hint="eastAsia" w:ascii="宋体"/>
          <w:color w:val="auto"/>
          <w:szCs w:val="21"/>
          <w:highlight w:val="none"/>
        </w:rPr>
        <w:t xml:space="preserve">； </w:t>
      </w:r>
    </w:p>
    <w:p w14:paraId="30A4285E">
      <w:pPr>
        <w:snapToGrid w:val="0"/>
        <w:spacing w:line="370" w:lineRule="exact"/>
        <w:ind w:firstLine="411" w:firstLineChars="196"/>
        <w:jc w:val="left"/>
        <w:rPr>
          <w:rFonts w:hint="eastAsia" w:ascii="宋体"/>
          <w:b/>
          <w:color w:val="auto"/>
          <w:szCs w:val="21"/>
          <w:highlight w:val="none"/>
        </w:rPr>
      </w:pPr>
      <w:r>
        <w:rPr>
          <w:rFonts w:hint="eastAsia" w:ascii="宋体"/>
          <w:color w:val="auto"/>
          <w:szCs w:val="21"/>
          <w:highlight w:val="none"/>
        </w:rPr>
        <w:t>（5）商务响应表（格式见第六章）；</w:t>
      </w:r>
      <w:r>
        <w:rPr>
          <w:rFonts w:hint="eastAsia" w:ascii="宋体"/>
          <w:b/>
          <w:color w:val="auto"/>
          <w:szCs w:val="21"/>
          <w:highlight w:val="none"/>
        </w:rPr>
        <w:t>（必须提供）</w:t>
      </w:r>
    </w:p>
    <w:p w14:paraId="3EC438DC">
      <w:pPr>
        <w:snapToGrid w:val="0"/>
        <w:spacing w:line="370" w:lineRule="exact"/>
        <w:ind w:firstLine="411" w:firstLineChars="196"/>
        <w:jc w:val="left"/>
        <w:rPr>
          <w:rFonts w:hint="eastAsia" w:ascii="宋体"/>
          <w:b/>
          <w:color w:val="auto"/>
          <w:szCs w:val="21"/>
          <w:highlight w:val="none"/>
        </w:rPr>
      </w:pPr>
      <w:r>
        <w:rPr>
          <w:rFonts w:hint="eastAsia" w:ascii="宋体"/>
          <w:color w:val="auto"/>
          <w:szCs w:val="21"/>
          <w:highlight w:val="none"/>
        </w:rPr>
        <w:t>（6）招标项目采购需求中要求必须提供的材料等；</w:t>
      </w:r>
      <w:r>
        <w:rPr>
          <w:rFonts w:hint="eastAsia"/>
          <w:color w:val="auto"/>
          <w:highlight w:val="none"/>
        </w:rPr>
        <w:t>（招标项目采购需求中要求必须提供的材料，据实提供）</w:t>
      </w:r>
    </w:p>
    <w:p w14:paraId="4ABD53AC">
      <w:pPr>
        <w:snapToGrid w:val="0"/>
        <w:spacing w:line="370" w:lineRule="exact"/>
        <w:ind w:firstLine="411" w:firstLineChars="196"/>
        <w:jc w:val="left"/>
        <w:rPr>
          <w:rFonts w:hint="eastAsia" w:ascii="宋体"/>
          <w:b/>
          <w:color w:val="auto"/>
          <w:szCs w:val="21"/>
          <w:highlight w:val="none"/>
        </w:rPr>
      </w:pPr>
      <w:r>
        <w:rPr>
          <w:rFonts w:hint="eastAsia" w:ascii="宋体"/>
          <w:color w:val="auto"/>
          <w:szCs w:val="21"/>
          <w:highlight w:val="none"/>
        </w:rPr>
        <w:t>（7）具备法律、行政法规规定的其他条件的证明材料。</w:t>
      </w:r>
      <w:r>
        <w:rPr>
          <w:rFonts w:hint="eastAsia" w:ascii="宋体"/>
          <w:b/>
          <w:color w:val="auto"/>
          <w:szCs w:val="21"/>
          <w:highlight w:val="none"/>
        </w:rPr>
        <w:t xml:space="preserve"> </w:t>
      </w:r>
      <w:r>
        <w:rPr>
          <w:rFonts w:hint="eastAsia" w:ascii="宋体"/>
          <w:b/>
          <w:color w:val="auto"/>
          <w:szCs w:val="21"/>
          <w:highlight w:val="none"/>
          <w:lang w:eastAsia="zh-CN"/>
        </w:rPr>
        <w:t>（</w:t>
      </w:r>
      <w:r>
        <w:rPr>
          <w:rFonts w:hint="eastAsia" w:ascii="宋体"/>
          <w:b/>
          <w:color w:val="auto"/>
          <w:szCs w:val="21"/>
          <w:highlight w:val="none"/>
        </w:rPr>
        <w:t>如有规定</w:t>
      </w:r>
      <w:r>
        <w:rPr>
          <w:rFonts w:hint="eastAsia" w:ascii="宋体"/>
          <w:b/>
          <w:color w:val="auto"/>
          <w:szCs w:val="21"/>
          <w:highlight w:val="none"/>
          <w:lang w:eastAsia="zh-CN"/>
        </w:rPr>
        <w:t>，</w:t>
      </w:r>
      <w:r>
        <w:rPr>
          <w:rFonts w:hint="eastAsia" w:ascii="宋体"/>
          <w:b/>
          <w:color w:val="auto"/>
          <w:szCs w:val="21"/>
          <w:highlight w:val="none"/>
        </w:rPr>
        <w:t>则必须提供</w:t>
      </w:r>
      <w:r>
        <w:rPr>
          <w:rFonts w:hint="eastAsia" w:ascii="宋体"/>
          <w:b/>
          <w:color w:val="auto"/>
          <w:szCs w:val="21"/>
          <w:highlight w:val="none"/>
          <w:lang w:eastAsia="zh-CN"/>
        </w:rPr>
        <w:t>）</w:t>
      </w:r>
    </w:p>
    <w:p w14:paraId="50BE83E4">
      <w:pPr>
        <w:snapToGrid w:val="0"/>
        <w:spacing w:line="370" w:lineRule="exact"/>
        <w:ind w:firstLine="413" w:firstLineChars="196"/>
        <w:jc w:val="left"/>
        <w:rPr>
          <w:rFonts w:hint="eastAsia" w:ascii="宋体"/>
          <w:b/>
          <w:bCs/>
          <w:color w:val="auto"/>
          <w:szCs w:val="21"/>
          <w:highlight w:val="none"/>
        </w:rPr>
      </w:pPr>
      <w:r>
        <w:rPr>
          <w:rFonts w:hint="eastAsia" w:ascii="宋体"/>
          <w:b/>
          <w:bCs/>
          <w:color w:val="auto"/>
          <w:szCs w:val="21"/>
          <w:highlight w:val="none"/>
        </w:rPr>
        <w:t xml:space="preserve">可作为投标人资信评分的资质证明材料（可选）  </w:t>
      </w:r>
    </w:p>
    <w:p w14:paraId="64D92817">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（8）类似成功案例的业绩（投标人同类项目实施情况一览表、合同扫描件等，格式可自行调整）；</w:t>
      </w:r>
    </w:p>
    <w:p w14:paraId="1C82E65A">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（9）其他特殊资质证书；</w:t>
      </w:r>
    </w:p>
    <w:p w14:paraId="76AB0AC9">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（10）投标人质量管理和质量保证体系等方面的认证证书；</w:t>
      </w:r>
    </w:p>
    <w:p w14:paraId="5BC4C11E">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（11）投标人认为可以证明其能力或业绩的其他材料；</w:t>
      </w:r>
    </w:p>
    <w:p w14:paraId="4405D2D4">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（12）投标人关于服务升级以及本单位债务纠纷、违法违规记录等方面的情况（内容见投标声明书）；</w:t>
      </w:r>
    </w:p>
    <w:p w14:paraId="7EDAEC94">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（13）投标人情况介绍；</w:t>
      </w:r>
    </w:p>
    <w:p w14:paraId="3E9D6BA2">
      <w:pPr>
        <w:tabs>
          <w:tab w:val="left" w:pos="5812"/>
        </w:tabs>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（14）中小企业声明函。</w:t>
      </w:r>
      <w:r>
        <w:rPr>
          <w:rFonts w:hint="eastAsia" w:ascii="宋体"/>
          <w:b/>
          <w:color w:val="auto"/>
          <w:szCs w:val="21"/>
          <w:highlight w:val="none"/>
        </w:rPr>
        <w:t>（按最新相关政策执行，格式见第六章，如有请提供）</w:t>
      </w:r>
    </w:p>
    <w:p w14:paraId="71FFD32F">
      <w:pPr>
        <w:snapToGrid w:val="0"/>
        <w:spacing w:line="370" w:lineRule="exact"/>
        <w:ind w:firstLine="413" w:firstLineChars="196"/>
        <w:jc w:val="left"/>
        <w:rPr>
          <w:rFonts w:hint="eastAsia" w:ascii="宋体"/>
          <w:b/>
          <w:bCs/>
          <w:color w:val="auto"/>
          <w:szCs w:val="21"/>
          <w:highlight w:val="none"/>
        </w:rPr>
      </w:pPr>
      <w:r>
        <w:rPr>
          <w:rFonts w:hint="eastAsia" w:ascii="宋体"/>
          <w:b/>
          <w:bCs/>
          <w:color w:val="auto"/>
          <w:szCs w:val="21"/>
          <w:highlight w:val="none"/>
        </w:rPr>
        <w:t>2.2技术文件：</w:t>
      </w:r>
    </w:p>
    <w:p w14:paraId="161FFB0A">
      <w:pPr>
        <w:snapToGrid w:val="0"/>
        <w:spacing w:line="370" w:lineRule="exact"/>
        <w:ind w:firstLine="411" w:firstLineChars="196"/>
        <w:jc w:val="left"/>
        <w:rPr>
          <w:rFonts w:hint="eastAsia" w:ascii="宋体"/>
          <w:color w:val="auto"/>
          <w:szCs w:val="21"/>
          <w:highlight w:val="none"/>
        </w:rPr>
      </w:pPr>
      <w:r>
        <w:rPr>
          <w:rFonts w:hint="eastAsia" w:ascii="宋体"/>
          <w:color w:val="auto"/>
          <w:szCs w:val="21"/>
          <w:highlight w:val="none"/>
        </w:rPr>
        <w:t>（1）服务响应表；</w:t>
      </w:r>
      <w:r>
        <w:rPr>
          <w:rFonts w:hint="eastAsia" w:ascii="宋体"/>
          <w:b/>
          <w:color w:val="auto"/>
          <w:szCs w:val="21"/>
          <w:highlight w:val="none"/>
        </w:rPr>
        <w:t>（必须提供）</w:t>
      </w:r>
    </w:p>
    <w:p w14:paraId="6B4970FC">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color w:val="auto"/>
          <w:highlight w:val="none"/>
        </w:rPr>
        <w:t>服务方案</w:t>
      </w:r>
      <w:r>
        <w:rPr>
          <w:rFonts w:hint="eastAsia" w:ascii="宋体" w:hAnsi="宋体"/>
          <w:color w:val="auto"/>
          <w:szCs w:val="21"/>
          <w:highlight w:val="none"/>
        </w:rPr>
        <w:t>；</w:t>
      </w:r>
      <w:r>
        <w:rPr>
          <w:rFonts w:hint="eastAsia" w:ascii="宋体" w:hAnsi="宋体"/>
          <w:b/>
          <w:color w:val="auto"/>
          <w:szCs w:val="21"/>
          <w:highlight w:val="none"/>
        </w:rPr>
        <w:t>（格式自拟，</w:t>
      </w:r>
      <w:r>
        <w:rPr>
          <w:rFonts w:hint="eastAsia" w:ascii="宋体"/>
          <w:b/>
          <w:color w:val="auto"/>
          <w:szCs w:val="21"/>
          <w:highlight w:val="none"/>
        </w:rPr>
        <w:t>必须提供</w:t>
      </w:r>
      <w:r>
        <w:rPr>
          <w:rFonts w:hint="eastAsia" w:ascii="宋体" w:hAnsi="宋体"/>
          <w:b/>
          <w:color w:val="auto"/>
          <w:szCs w:val="21"/>
          <w:highlight w:val="none"/>
        </w:rPr>
        <w:t>）</w:t>
      </w:r>
    </w:p>
    <w:p w14:paraId="4CEB094D">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hAnsi="宋体"/>
          <w:color w:val="auto"/>
          <w:szCs w:val="21"/>
          <w:highlight w:val="none"/>
        </w:rPr>
        <w:t>投标人拥有主要服务设施的情况和现状（格式自拟）及项目实施人员一览表</w:t>
      </w:r>
      <w:r>
        <w:rPr>
          <w:rFonts w:hint="eastAsia" w:ascii="宋体"/>
          <w:color w:val="auto"/>
          <w:szCs w:val="21"/>
          <w:highlight w:val="none"/>
        </w:rPr>
        <w:t>；</w:t>
      </w:r>
    </w:p>
    <w:p w14:paraId="270FA631">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（4）优惠条件：投标人承诺给予招标人的各种优惠条件；</w:t>
      </w:r>
    </w:p>
    <w:p w14:paraId="39BF9ACF">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（5）投标人对本项目的合理化建议和改进措施；</w:t>
      </w:r>
    </w:p>
    <w:p w14:paraId="3B4585BE">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（6）投标人认为需要提供的其他材料；</w:t>
      </w:r>
    </w:p>
    <w:p w14:paraId="105DA3C8">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（7）招标项目采购需求中要求必须提供的材料。</w:t>
      </w:r>
      <w:r>
        <w:rPr>
          <w:rFonts w:hint="eastAsia"/>
          <w:color w:val="auto"/>
          <w:highlight w:val="none"/>
        </w:rPr>
        <w:t>（招标项目采购需求中要求必须提供的材料，据实提供）</w:t>
      </w:r>
    </w:p>
    <w:p w14:paraId="44D9E7B0">
      <w:pPr>
        <w:snapToGrid w:val="0"/>
        <w:spacing w:line="370" w:lineRule="exact"/>
        <w:ind w:firstLine="422" w:firstLineChars="200"/>
        <w:jc w:val="left"/>
        <w:rPr>
          <w:rFonts w:hint="eastAsia" w:ascii="宋体"/>
          <w:b/>
          <w:color w:val="auto"/>
          <w:szCs w:val="21"/>
          <w:highlight w:val="none"/>
        </w:rPr>
      </w:pPr>
      <w:r>
        <w:rPr>
          <w:rFonts w:hint="eastAsia" w:ascii="宋体"/>
          <w:b/>
          <w:color w:val="auto"/>
          <w:szCs w:val="21"/>
          <w:highlight w:val="none"/>
        </w:rPr>
        <w:t>3.报价文件：</w:t>
      </w:r>
    </w:p>
    <w:p w14:paraId="3431F0B1">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（1）投标函（格式见第六章）； </w:t>
      </w:r>
    </w:p>
    <w:p w14:paraId="3469C797">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（2）投标报价明细表（格式见第六章）；</w:t>
      </w:r>
    </w:p>
    <w:p w14:paraId="4373D331">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（3）投标人针对报价需要说明的其他文件和说明；（格式自拟）</w:t>
      </w:r>
    </w:p>
    <w:p w14:paraId="7AA5BA7F">
      <w:pPr>
        <w:snapToGrid w:val="0"/>
        <w:spacing w:line="370" w:lineRule="exact"/>
        <w:ind w:firstLine="420" w:firstLineChars="200"/>
        <w:jc w:val="left"/>
        <w:rPr>
          <w:rFonts w:hint="eastAsia" w:ascii="宋体"/>
          <w:color w:val="auto"/>
          <w:szCs w:val="21"/>
          <w:highlight w:val="none"/>
        </w:rPr>
      </w:pPr>
      <w:r>
        <w:rPr>
          <w:rFonts w:hint="eastAsia" w:ascii="宋体"/>
          <w:color w:val="auto"/>
          <w:szCs w:val="21"/>
          <w:highlight w:val="none"/>
        </w:rPr>
        <w:t>（4）开标一览表（格式见第六章）。</w:t>
      </w:r>
    </w:p>
    <w:p w14:paraId="795B7D2A">
      <w:pPr>
        <w:tabs>
          <w:tab w:val="left" w:pos="3870"/>
          <w:tab w:val="left" w:pos="4085"/>
        </w:tabs>
        <w:snapToGrid w:val="0"/>
        <w:spacing w:line="370" w:lineRule="exact"/>
        <w:ind w:firstLine="420" w:firstLineChars="200"/>
        <w:jc w:val="left"/>
        <w:rPr>
          <w:rFonts w:hint="eastAsia" w:ascii="宋体"/>
          <w:color w:val="auto"/>
          <w:szCs w:val="21"/>
          <w:highlight w:val="none"/>
        </w:rPr>
      </w:pPr>
      <w:r>
        <w:rPr>
          <w:rFonts w:hint="eastAsia"/>
          <w:color w:val="auto"/>
          <w:highlight w:val="none"/>
        </w:rPr>
        <w:t>★</w:t>
      </w:r>
      <w:r>
        <w:rPr>
          <w:rFonts w:hint="eastAsia" w:ascii="宋体"/>
          <w:b/>
          <w:bCs/>
          <w:color w:val="auto"/>
          <w:szCs w:val="21"/>
          <w:highlight w:val="none"/>
        </w:rPr>
        <w:t>注：法定代表人</w:t>
      </w:r>
      <w:r>
        <w:rPr>
          <w:rFonts w:hint="eastAsia" w:ascii="宋体"/>
          <w:b/>
          <w:bCs/>
          <w:color w:val="auto"/>
          <w:szCs w:val="21"/>
          <w:highlight w:val="none"/>
          <w:lang w:eastAsia="zh-CN"/>
        </w:rPr>
        <w:t>（</w:t>
      </w:r>
      <w:r>
        <w:rPr>
          <w:rFonts w:hint="eastAsia" w:ascii="宋体"/>
          <w:b/>
          <w:bCs/>
          <w:color w:val="auto"/>
          <w:szCs w:val="21"/>
          <w:highlight w:val="none"/>
        </w:rPr>
        <w:t>负责人</w:t>
      </w:r>
      <w:r>
        <w:rPr>
          <w:rFonts w:hint="eastAsia" w:ascii="宋体"/>
          <w:b/>
          <w:bCs/>
          <w:color w:val="auto"/>
          <w:szCs w:val="21"/>
          <w:highlight w:val="none"/>
          <w:lang w:eastAsia="zh-CN"/>
        </w:rPr>
        <w:t>）</w:t>
      </w:r>
      <w:r>
        <w:rPr>
          <w:rFonts w:hint="eastAsia" w:ascii="宋体"/>
          <w:b/>
          <w:bCs/>
          <w:color w:val="auto"/>
          <w:szCs w:val="21"/>
          <w:highlight w:val="none"/>
        </w:rPr>
        <w:t>授权委托书、投标声明书、投标函、开标一览表必须按照招标文件格式要求签署和加盖单位公章，否则作投标无效处理。</w:t>
      </w:r>
    </w:p>
    <w:p w14:paraId="4CE60846">
      <w:pPr>
        <w:snapToGrid w:val="0"/>
        <w:spacing w:before="50" w:after="156" w:afterLines="50" w:line="360" w:lineRule="exact"/>
        <w:jc w:val="left"/>
        <w:outlineLvl w:val="0"/>
        <w:rPr>
          <w:rFonts w:hint="eastAsia" w:ascii="宋体" w:hAnsi="宋体"/>
          <w:color w:val="auto"/>
          <w:szCs w:val="21"/>
          <w:highlight w:val="none"/>
        </w:rPr>
      </w:pPr>
    </w:p>
    <w:p w14:paraId="51ABD27B">
      <w:pPr>
        <w:snapToGrid w:val="0"/>
        <w:spacing w:before="50" w:after="156" w:afterLines="50" w:line="360" w:lineRule="exact"/>
        <w:jc w:val="center"/>
        <w:outlineLvl w:val="0"/>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三、投标文件格式</w:t>
      </w:r>
    </w:p>
    <w:p w14:paraId="317FDD3B">
      <w:pPr>
        <w:snapToGrid w:val="0"/>
        <w:spacing w:before="50" w:after="156" w:afterLines="50" w:line="360" w:lineRule="exact"/>
        <w:jc w:val="left"/>
        <w:outlineLvl w:val="0"/>
        <w:rPr>
          <w:rFonts w:hint="eastAsia" w:ascii="宋体" w:hAnsi="宋体"/>
          <w:b/>
          <w:bCs/>
          <w:color w:val="auto"/>
          <w:szCs w:val="21"/>
          <w:highlight w:val="none"/>
        </w:rPr>
      </w:pPr>
      <w:r>
        <w:rPr>
          <w:rFonts w:hint="eastAsia" w:ascii="宋体" w:hAnsi="宋体"/>
          <w:b/>
          <w:color w:val="auto"/>
          <w:szCs w:val="21"/>
          <w:highlight w:val="none"/>
          <w:lang w:eastAsia="zh-CN"/>
        </w:rPr>
        <w:t>（一）</w:t>
      </w:r>
      <w:r>
        <w:rPr>
          <w:rFonts w:hint="eastAsia" w:ascii="宋体" w:hAnsi="宋体"/>
          <w:b/>
          <w:bCs/>
          <w:color w:val="auto"/>
          <w:szCs w:val="21"/>
          <w:highlight w:val="none"/>
        </w:rPr>
        <w:t>资格文件部分（格式）</w:t>
      </w:r>
    </w:p>
    <w:p w14:paraId="31287ED0">
      <w:pPr>
        <w:snapToGrid w:val="0"/>
        <w:spacing w:line="36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（1）有效的主体资格证明文件；</w:t>
      </w:r>
    </w:p>
    <w:p w14:paraId="6357D266">
      <w:pPr>
        <w:snapToGrid w:val="0"/>
        <w:spacing w:line="360" w:lineRule="exact"/>
        <w:ind w:firstLine="211" w:firstLineChars="100"/>
        <w:jc w:val="left"/>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投标人有效的“主体资格证明文件”（如营业执照、事业单位法人证书、执业许可证、自然人身份证等）复印件，同时要加盖单位公章；</w:t>
      </w:r>
      <w:r>
        <w:rPr>
          <w:rFonts w:hint="eastAsia" w:ascii="宋体" w:hAnsi="宋体"/>
          <w:b/>
          <w:color w:val="auto"/>
          <w:szCs w:val="21"/>
          <w:highlight w:val="none"/>
        </w:rPr>
        <w:t>（必须提供）</w:t>
      </w:r>
    </w:p>
    <w:p w14:paraId="20006E1A">
      <w:pPr>
        <w:snapToGrid w:val="0"/>
        <w:spacing w:line="360" w:lineRule="exact"/>
        <w:ind w:firstLine="211" w:firstLineChars="100"/>
        <w:jc w:val="left"/>
        <w:rPr>
          <w:rFonts w:hint="eastAsia" w:ascii="宋体" w:hAnsi="宋体"/>
          <w:b/>
          <w:color w:val="auto"/>
          <w:szCs w:val="21"/>
          <w:highlight w:val="none"/>
        </w:rPr>
      </w:pPr>
    </w:p>
    <w:p w14:paraId="36D4733D">
      <w:pP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color w:val="auto"/>
          <w:szCs w:val="21"/>
          <w:highlight w:val="none"/>
        </w:rPr>
        <w:t>（必须提供，新成立单位按实际提供）</w:t>
      </w:r>
    </w:p>
    <w:p w14:paraId="0B6144F1">
      <w:pPr>
        <w:snapToGrid w:val="0"/>
        <w:spacing w:line="360" w:lineRule="exact"/>
        <w:ind w:firstLine="210" w:firstLineChars="100"/>
        <w:jc w:val="left"/>
        <w:rPr>
          <w:rFonts w:ascii="宋体" w:hAnsi="宋体"/>
          <w:color w:val="auto"/>
          <w:szCs w:val="21"/>
          <w:highlight w:val="none"/>
        </w:rPr>
      </w:pPr>
    </w:p>
    <w:p w14:paraId="62DB6939">
      <w:pP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color w:val="auto"/>
          <w:szCs w:val="21"/>
          <w:highlight w:val="none"/>
        </w:rPr>
        <w:t>（必须提供，新成立单位按实际提供）</w:t>
      </w:r>
    </w:p>
    <w:p w14:paraId="3BBF09D3">
      <w:pPr>
        <w:snapToGrid w:val="0"/>
        <w:spacing w:line="360" w:lineRule="exact"/>
        <w:ind w:firstLine="210" w:firstLineChars="100"/>
        <w:jc w:val="left"/>
        <w:rPr>
          <w:rFonts w:hint="eastAsia" w:ascii="宋体" w:hAnsi="宋体"/>
          <w:color w:val="auto"/>
          <w:szCs w:val="21"/>
          <w:highlight w:val="none"/>
        </w:rPr>
      </w:pPr>
    </w:p>
    <w:p w14:paraId="11E87816">
      <w:pP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（4）</w:t>
      </w:r>
      <w:r>
        <w:rPr>
          <w:rFonts w:ascii="宋体" w:hAnsi="宋体"/>
          <w:color w:val="auto"/>
          <w:szCs w:val="21"/>
          <w:highlight w:val="none"/>
        </w:rPr>
        <w:t>财务状况报告</w:t>
      </w:r>
      <w:r>
        <w:rPr>
          <w:rFonts w:hint="eastAsia" w:ascii="宋体" w:hAnsi="宋体"/>
          <w:color w:val="auto"/>
          <w:szCs w:val="21"/>
          <w:highlight w:val="none"/>
        </w:rPr>
        <w:t>。财务状况报告（</w:t>
      </w:r>
      <w:r>
        <w:rPr>
          <w:rFonts w:hint="eastAsia" w:ascii="宋体" w:hAnsi="宋体"/>
          <w:color w:val="auto"/>
          <w:szCs w:val="21"/>
          <w:highlight w:val="none"/>
          <w:u w:val="single"/>
        </w:rPr>
        <w:t>2023年或2024年</w:t>
      </w:r>
      <w:r>
        <w:rPr>
          <w:rFonts w:hint="eastAsia" w:ascii="宋体" w:hAnsi="宋体"/>
          <w:color w:val="auto"/>
          <w:szCs w:val="21"/>
          <w:highlight w:val="none"/>
        </w:rPr>
        <w:t>财务报表复印件）或者银行出具的资信证明，或者中国人民银行征信中心出具的信用报告（企业竞标的提供企业信用报告，自然人竞标的提供个人信用报告）；供应商属于成立时间在规定年度之后的法人或其他组织，只需提供响应文件提交截止时间前一个月的财务状况报告（表）或银行出具的资信证明或者中国人民银行征信中心出具的企业信用报告；资信证明应在有效期内，未注明有效期的，银行出具时间至响应文件提交截止时间不超过一年）</w:t>
      </w:r>
      <w:r>
        <w:rPr>
          <w:rFonts w:hint="eastAsia" w:ascii="宋体" w:hAnsi="宋体"/>
          <w:b/>
          <w:color w:val="auto"/>
          <w:szCs w:val="21"/>
          <w:highlight w:val="none"/>
        </w:rPr>
        <w:t>（必须提供）</w:t>
      </w:r>
    </w:p>
    <w:p w14:paraId="7918D7B9">
      <w:pPr>
        <w:snapToGrid w:val="0"/>
        <w:spacing w:line="360" w:lineRule="exact"/>
        <w:ind w:firstLine="211" w:firstLineChars="100"/>
        <w:jc w:val="left"/>
        <w:rPr>
          <w:rFonts w:hint="eastAsia" w:ascii="宋体" w:hAnsi="宋体"/>
          <w:b/>
          <w:color w:val="auto"/>
          <w:szCs w:val="21"/>
          <w:highlight w:val="none"/>
        </w:rPr>
      </w:pPr>
    </w:p>
    <w:p w14:paraId="212F434A">
      <w:pPr>
        <w:snapToGrid w:val="0"/>
        <w:spacing w:line="360" w:lineRule="exact"/>
        <w:ind w:firstLine="210" w:firstLineChars="100"/>
        <w:jc w:val="left"/>
        <w:rPr>
          <w:rFonts w:hint="eastAsia" w:ascii="宋体" w:hAnsi="宋体"/>
          <w:b/>
          <w:color w:val="auto"/>
          <w:szCs w:val="21"/>
          <w:highlight w:val="none"/>
        </w:rPr>
      </w:pPr>
      <w:r>
        <w:rPr>
          <w:rFonts w:hint="eastAsia" w:ascii="宋体" w:hAnsi="宋体"/>
          <w:color w:val="auto"/>
          <w:szCs w:val="21"/>
          <w:highlight w:val="none"/>
        </w:rPr>
        <w:t>（5）</w:t>
      </w:r>
      <w:r>
        <w:rPr>
          <w:rFonts w:ascii="宋体" w:hAnsi="宋体"/>
          <w:color w:val="auto"/>
          <w:szCs w:val="21"/>
          <w:highlight w:val="none"/>
        </w:rPr>
        <w:t>具备履行合同所必需的设备和专业技术能力的证明材料</w:t>
      </w:r>
      <w:r>
        <w:rPr>
          <w:rFonts w:hint="eastAsia" w:ascii="宋体" w:hAnsi="宋体"/>
          <w:color w:val="auto"/>
          <w:szCs w:val="21"/>
          <w:highlight w:val="none"/>
        </w:rPr>
        <w:t>。</w:t>
      </w:r>
      <w:r>
        <w:rPr>
          <w:rFonts w:hint="eastAsia" w:ascii="宋体" w:hAnsi="宋体"/>
          <w:b/>
          <w:color w:val="auto"/>
          <w:szCs w:val="21"/>
          <w:highlight w:val="none"/>
        </w:rPr>
        <w:t>（内容、格式自拟，必须提供）</w:t>
      </w:r>
    </w:p>
    <w:p w14:paraId="3392E94A">
      <w:pPr>
        <w:snapToGrid w:val="0"/>
        <w:spacing w:line="360" w:lineRule="exact"/>
        <w:ind w:firstLine="211" w:firstLineChars="100"/>
        <w:jc w:val="left"/>
        <w:rPr>
          <w:rFonts w:hint="eastAsia" w:ascii="宋体" w:hAnsi="宋体"/>
          <w:b/>
          <w:color w:val="auto"/>
          <w:szCs w:val="21"/>
          <w:highlight w:val="none"/>
        </w:rPr>
      </w:pPr>
    </w:p>
    <w:p w14:paraId="6CF03C62">
      <w:pPr>
        <w:snapToGrid w:val="0"/>
        <w:spacing w:line="360" w:lineRule="exact"/>
        <w:ind w:firstLine="210" w:firstLineChars="100"/>
        <w:jc w:val="left"/>
        <w:rPr>
          <w:rFonts w:hint="eastAsia" w:ascii="宋体" w:hAnsi="宋体"/>
          <w:color w:val="auto"/>
          <w:szCs w:val="21"/>
          <w:highlight w:val="none"/>
        </w:rPr>
      </w:pPr>
      <w:r>
        <w:rPr>
          <w:rFonts w:hint="eastAsia" w:ascii="宋体" w:hAnsi="宋体"/>
          <w:color w:val="auto"/>
          <w:szCs w:val="21"/>
          <w:highlight w:val="none"/>
        </w:rPr>
        <w:t>（6）参加政府采购活动前三年内在经营活动中没有重大违法记录和不良信用记录的书面声明。（</w:t>
      </w:r>
      <w:r>
        <w:rPr>
          <w:rFonts w:hint="eastAsia" w:ascii="宋体" w:hAnsi="宋体"/>
          <w:b/>
          <w:color w:val="auto"/>
          <w:szCs w:val="21"/>
          <w:highlight w:val="none"/>
        </w:rPr>
        <w:t>格式自拟，必须提供</w:t>
      </w:r>
      <w:r>
        <w:rPr>
          <w:rFonts w:hint="eastAsia" w:ascii="宋体" w:hAnsi="宋体"/>
          <w:color w:val="auto"/>
          <w:szCs w:val="21"/>
          <w:highlight w:val="none"/>
        </w:rPr>
        <w:t>）</w:t>
      </w:r>
    </w:p>
    <w:p w14:paraId="6C1F710A">
      <w:pPr>
        <w:snapToGrid w:val="0"/>
        <w:spacing w:line="360" w:lineRule="exact"/>
        <w:ind w:firstLine="210" w:firstLineChars="100"/>
        <w:jc w:val="left"/>
        <w:rPr>
          <w:rFonts w:hint="eastAsia" w:ascii="宋体" w:hAnsi="宋体"/>
          <w:color w:val="auto"/>
          <w:szCs w:val="21"/>
          <w:highlight w:val="none"/>
        </w:rPr>
      </w:pPr>
    </w:p>
    <w:p w14:paraId="4EA99F94">
      <w:pPr>
        <w:snapToGrid w:val="0"/>
        <w:spacing w:line="360" w:lineRule="exact"/>
        <w:ind w:firstLine="211" w:firstLineChars="100"/>
        <w:jc w:val="left"/>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47536B5F">
      <w:pPr>
        <w:snapToGrid w:val="0"/>
        <w:spacing w:line="360" w:lineRule="exact"/>
        <w:ind w:firstLine="211" w:firstLineChars="100"/>
        <w:jc w:val="left"/>
        <w:rPr>
          <w:rFonts w:hint="eastAsia" w:ascii="宋体" w:hAnsi="宋体"/>
          <w:b/>
          <w:color w:val="auto"/>
          <w:szCs w:val="21"/>
          <w:highlight w:val="none"/>
        </w:rPr>
      </w:pPr>
      <w:r>
        <w:rPr>
          <w:rFonts w:hint="eastAsia" w:ascii="宋体" w:hAnsi="宋体"/>
          <w:b/>
          <w:color w:val="auto"/>
          <w:szCs w:val="21"/>
          <w:highlight w:val="none"/>
        </w:rPr>
        <w:t>查询渠道：“信用中国”网站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p>
    <w:p w14:paraId="226BEF17">
      <w:pPr>
        <w:snapToGrid w:val="0"/>
        <w:spacing w:line="360" w:lineRule="exact"/>
        <w:ind w:firstLine="211" w:firstLineChars="100"/>
        <w:jc w:val="left"/>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11EA8FC9">
      <w:pPr>
        <w:snapToGrid w:val="0"/>
        <w:spacing w:line="360" w:lineRule="exact"/>
        <w:ind w:firstLine="211" w:firstLineChars="100"/>
        <w:jc w:val="left"/>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36743A43">
      <w:pPr>
        <w:snapToGrid w:val="0"/>
        <w:spacing w:line="360" w:lineRule="exact"/>
        <w:ind w:firstLine="211" w:firstLineChars="100"/>
        <w:jc w:val="left"/>
        <w:rPr>
          <w:rFonts w:hint="eastAsia" w:ascii="宋体" w:cs="宋体"/>
          <w:b/>
          <w:color w:val="auto"/>
          <w:kern w:val="0"/>
          <w:szCs w:val="21"/>
          <w:highlight w:val="none"/>
        </w:rPr>
      </w:pPr>
      <w:r>
        <w:rPr>
          <w:rFonts w:hint="eastAsia" w:ascii="宋体" w:hAnsi="宋体"/>
          <w:b/>
          <w:color w:val="auto"/>
          <w:szCs w:val="21"/>
          <w:highlight w:val="none"/>
        </w:rPr>
        <w:t>信用信息使用规则：对在“信用中国”网站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r>
        <w:rPr>
          <w:rFonts w:hint="eastAsia" w:ascii="宋体" w:hAnsi="宋体"/>
          <w:b/>
          <w:color w:val="auto"/>
          <w:szCs w:val="21"/>
          <w:highlight w:val="none"/>
        </w:rPr>
        <w:t>被列入失信被执行人、重大税收违法失信主体、政府采购严重违法失信行为记录名单及其他不符合《中华人民共和国政府采购法》第二十二条规定条件的供应商，将拒绝其参与政府采购活动。</w:t>
      </w:r>
    </w:p>
    <w:p w14:paraId="4CB9CBB9">
      <w:pPr>
        <w:snapToGrid w:val="0"/>
        <w:spacing w:before="50" w:after="156" w:afterLines="50" w:line="360" w:lineRule="exact"/>
        <w:jc w:val="left"/>
        <w:outlineLvl w:val="0"/>
        <w:rPr>
          <w:rFonts w:hint="eastAsia" w:ascii="宋体" w:cs="宋体"/>
          <w:color w:val="auto"/>
          <w:kern w:val="0"/>
          <w:szCs w:val="21"/>
          <w:highlight w:val="none"/>
        </w:rPr>
      </w:pPr>
    </w:p>
    <w:p w14:paraId="08A75F95">
      <w:pPr>
        <w:snapToGrid w:val="0"/>
        <w:spacing w:before="50" w:after="156" w:afterLines="50" w:line="360" w:lineRule="exact"/>
        <w:jc w:val="left"/>
        <w:outlineLvl w:val="0"/>
        <w:rPr>
          <w:rFonts w:hint="eastAsia" w:ascii="宋体" w:hAnsi="宋体"/>
          <w:color w:val="auto"/>
          <w:szCs w:val="21"/>
          <w:highlight w:val="none"/>
        </w:rPr>
      </w:pPr>
    </w:p>
    <w:p w14:paraId="500E5D43">
      <w:pPr>
        <w:spacing w:line="360" w:lineRule="exact"/>
        <w:rPr>
          <w:rFonts w:hint="eastAsia"/>
          <w:b/>
          <w:color w:val="auto"/>
          <w:highlight w:val="none"/>
        </w:rPr>
      </w:pPr>
      <w:r>
        <w:rPr>
          <w:b/>
          <w:color w:val="auto"/>
          <w:highlight w:val="none"/>
        </w:rPr>
        <w:br w:type="page"/>
      </w:r>
      <w:r>
        <w:rPr>
          <w:rFonts w:hint="eastAsia"/>
          <w:b/>
          <w:color w:val="auto"/>
          <w:highlight w:val="none"/>
          <w:lang w:eastAsia="zh-CN"/>
        </w:rPr>
        <w:t>（二）</w:t>
      </w:r>
      <w:r>
        <w:rPr>
          <w:rFonts w:hint="eastAsia"/>
          <w:b/>
          <w:color w:val="auto"/>
          <w:highlight w:val="none"/>
        </w:rPr>
        <w:t>商务技术文件部分（格式）</w:t>
      </w:r>
    </w:p>
    <w:p w14:paraId="4CE632E0">
      <w:pPr>
        <w:spacing w:line="360" w:lineRule="exact"/>
        <w:rPr>
          <w:rFonts w:hint="eastAsia" w:ascii="宋体" w:hAnsi="宋体"/>
          <w:b/>
          <w:color w:val="auto"/>
          <w:highlight w:val="none"/>
        </w:rPr>
      </w:pPr>
      <w:r>
        <w:rPr>
          <w:rFonts w:hint="eastAsia" w:ascii="宋体" w:hAnsi="宋体"/>
          <w:b/>
          <w:color w:val="auto"/>
          <w:highlight w:val="none"/>
        </w:rPr>
        <w:t>1.商务文件：</w:t>
      </w:r>
    </w:p>
    <w:p w14:paraId="0D4FCC73">
      <w:pPr>
        <w:spacing w:line="360" w:lineRule="exact"/>
        <w:rPr>
          <w:rFonts w:hint="eastAsia" w:ascii="宋体" w:hAnsi="宋体"/>
          <w:b/>
          <w:color w:val="auto"/>
          <w:highlight w:val="none"/>
        </w:rPr>
      </w:pPr>
    </w:p>
    <w:p w14:paraId="3374C8AC">
      <w:pPr>
        <w:spacing w:line="360" w:lineRule="exact"/>
        <w:rPr>
          <w:rFonts w:hint="eastAsia"/>
          <w:color w:val="auto"/>
          <w:highlight w:val="none"/>
        </w:rPr>
      </w:pPr>
      <w:r>
        <w:rPr>
          <w:rFonts w:hint="eastAsia"/>
          <w:color w:val="auto"/>
          <w:highlight w:val="none"/>
        </w:rPr>
        <w:t xml:space="preserve">    （1）</w:t>
      </w:r>
      <w:r>
        <w:rPr>
          <w:rFonts w:hint="eastAsia" w:ascii="宋体" w:hAnsi="宋体"/>
          <w:color w:val="auto"/>
          <w:szCs w:val="21"/>
          <w:highlight w:val="none"/>
        </w:rPr>
        <w:t>投标保证金的提交凭证</w:t>
      </w:r>
      <w:r>
        <w:rPr>
          <w:rFonts w:hint="eastAsia" w:ascii="宋体" w:cs="宋体"/>
          <w:color w:val="auto"/>
          <w:kern w:val="0"/>
          <w:szCs w:val="21"/>
          <w:highlight w:val="none"/>
        </w:rPr>
        <w:t>；</w:t>
      </w:r>
      <w:r>
        <w:rPr>
          <w:rFonts w:hint="eastAsia" w:ascii="宋体" w:cs="宋体"/>
          <w:b/>
          <w:color w:val="auto"/>
          <w:kern w:val="0"/>
          <w:szCs w:val="21"/>
          <w:highlight w:val="none"/>
        </w:rPr>
        <w:t>（必须提供）</w:t>
      </w:r>
    </w:p>
    <w:p w14:paraId="112CE650">
      <w:pPr>
        <w:spacing w:line="360" w:lineRule="exact"/>
        <w:rPr>
          <w:rFonts w:hint="eastAsia"/>
          <w:color w:val="auto"/>
          <w:highlight w:val="none"/>
        </w:rPr>
      </w:pPr>
    </w:p>
    <w:p w14:paraId="74AC596A">
      <w:pPr>
        <w:spacing w:line="360" w:lineRule="exact"/>
        <w:rPr>
          <w:rFonts w:hint="eastAsia"/>
          <w:color w:val="auto"/>
          <w:highlight w:val="none"/>
        </w:rPr>
      </w:pPr>
      <w:r>
        <w:rPr>
          <w:rFonts w:hint="eastAsia"/>
          <w:color w:val="auto"/>
          <w:highlight w:val="none"/>
        </w:rPr>
        <w:t xml:space="preserve">    （2）投标声明书格式：</w:t>
      </w:r>
    </w:p>
    <w:p w14:paraId="02E54A18">
      <w:pPr>
        <w:snapToGrid w:val="0"/>
        <w:spacing w:before="156" w:beforeLines="50" w:after="50" w:line="360" w:lineRule="exact"/>
        <w:jc w:val="center"/>
        <w:rPr>
          <w:rFonts w:hint="eastAsia" w:ascii="宋体"/>
          <w:b/>
          <w:color w:val="auto"/>
          <w:sz w:val="30"/>
          <w:szCs w:val="30"/>
          <w:highlight w:val="none"/>
        </w:rPr>
      </w:pPr>
      <w:r>
        <w:rPr>
          <w:rFonts w:hint="eastAsia" w:ascii="宋体"/>
          <w:b/>
          <w:color w:val="auto"/>
          <w:sz w:val="30"/>
          <w:szCs w:val="30"/>
          <w:highlight w:val="none"/>
        </w:rPr>
        <w:t>投标声明书</w:t>
      </w:r>
    </w:p>
    <w:p w14:paraId="64201402">
      <w:pPr>
        <w:spacing w:line="400" w:lineRule="exact"/>
        <w:rPr>
          <w:rFonts w:hint="eastAsia"/>
          <w:color w:val="auto"/>
          <w:highlight w:val="none"/>
        </w:rPr>
      </w:pPr>
      <w:r>
        <w:rPr>
          <w:rFonts w:hint="eastAsia"/>
          <w:color w:val="auto"/>
          <w:highlight w:val="none"/>
        </w:rPr>
        <w:t>致：</w:t>
      </w:r>
      <w:r>
        <w:rPr>
          <w:rFonts w:hint="eastAsia"/>
          <w:color w:val="auto"/>
          <w:highlight w:val="none"/>
          <w:u w:val="single"/>
        </w:rPr>
        <w:t xml:space="preserve"> </w:t>
      </w:r>
      <w:r>
        <w:rPr>
          <w:rFonts w:hint="eastAsia"/>
          <w:color w:val="auto"/>
          <w:highlight w:val="none"/>
          <w:u w:val="single"/>
          <w:lang w:eastAsia="zh-CN"/>
        </w:rPr>
        <w:t>广西中吉银工程项目管理有限公司</w:t>
      </w:r>
      <w:r>
        <w:rPr>
          <w:rFonts w:hint="eastAsia"/>
          <w:color w:val="auto"/>
          <w:highlight w:val="none"/>
          <w:u w:val="single"/>
        </w:rPr>
        <w:t xml:space="preserve"> </w:t>
      </w:r>
    </w:p>
    <w:p w14:paraId="5B1E5205">
      <w:pPr>
        <w:spacing w:line="400" w:lineRule="exact"/>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（投标人名称）系中华人民共和国合法企业，经营地址</w:t>
      </w:r>
      <w:r>
        <w:rPr>
          <w:rFonts w:hint="eastAsia"/>
          <w:color w:val="auto"/>
          <w:highlight w:val="none"/>
          <w:u w:val="single"/>
        </w:rPr>
        <w:t xml:space="preserve">                               </w:t>
      </w:r>
      <w:r>
        <w:rPr>
          <w:rFonts w:hint="eastAsia"/>
          <w:color w:val="auto"/>
          <w:highlight w:val="none"/>
        </w:rPr>
        <w:t>。</w:t>
      </w:r>
    </w:p>
    <w:p w14:paraId="76AB4FC2">
      <w:pPr>
        <w:spacing w:line="400" w:lineRule="exact"/>
        <w:rPr>
          <w:rFonts w:hint="eastAsia"/>
          <w:color w:val="auto"/>
          <w:highlight w:val="none"/>
        </w:rPr>
      </w:pPr>
      <w:r>
        <w:rPr>
          <w:rFonts w:hint="eastAsia"/>
          <w:color w:val="auto"/>
          <w:highlight w:val="none"/>
        </w:rPr>
        <w:t xml:space="preserve">    我</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（投标人名称）的法定代表人（负责人），我方愿意参加贵方组织的</w:t>
      </w:r>
      <w:r>
        <w:rPr>
          <w:rFonts w:hint="eastAsia"/>
          <w:color w:val="auto"/>
          <w:highlight w:val="none"/>
          <w:u w:val="single"/>
        </w:rPr>
        <w:t xml:space="preserve">                     </w:t>
      </w:r>
      <w:r>
        <w:rPr>
          <w:rFonts w:hint="eastAsia"/>
          <w:color w:val="auto"/>
          <w:highlight w:val="none"/>
        </w:rPr>
        <w:t>项目的投标，为便于贵方公正、择优地确定中标人及其服务，我方就本次投标有关事项郑重声明如下：</w:t>
      </w:r>
    </w:p>
    <w:p w14:paraId="2CF104EB">
      <w:pPr>
        <w:spacing w:line="400" w:lineRule="exact"/>
        <w:rPr>
          <w:rFonts w:hint="eastAsia"/>
          <w:color w:val="auto"/>
          <w:highlight w:val="none"/>
        </w:rPr>
      </w:pPr>
      <w:r>
        <w:rPr>
          <w:rFonts w:hint="eastAsia"/>
          <w:color w:val="auto"/>
          <w:highlight w:val="none"/>
        </w:rPr>
        <w:t xml:space="preserve">    1.我方向贵方提交的所有投标文件、资料都是准确的和真实的。</w:t>
      </w:r>
    </w:p>
    <w:p w14:paraId="5FAFC2FF">
      <w:pPr>
        <w:spacing w:line="400" w:lineRule="exact"/>
        <w:rPr>
          <w:rFonts w:hint="eastAsia"/>
          <w:color w:val="auto"/>
          <w:highlight w:val="none"/>
        </w:rPr>
      </w:pPr>
      <w:r>
        <w:rPr>
          <w:rFonts w:hint="eastAsia"/>
          <w:color w:val="auto"/>
          <w:highlight w:val="none"/>
        </w:rPr>
        <w:t xml:space="preserve">    2.我方不是采购人的附属机构；在获知本项目采购信息后，与采购人聘请的为此项目提供咨询服务的公司及其附属机构没有任何联系。</w:t>
      </w:r>
    </w:p>
    <w:p w14:paraId="04C69AD3">
      <w:pPr>
        <w:spacing w:line="400" w:lineRule="exact"/>
        <w:rPr>
          <w:rFonts w:hint="eastAsia"/>
          <w:color w:val="auto"/>
          <w:highlight w:val="none"/>
        </w:rPr>
      </w:pPr>
      <w:r>
        <w:rPr>
          <w:rFonts w:hint="eastAsia"/>
          <w:color w:val="auto"/>
          <w:highlight w:val="none"/>
        </w:rPr>
        <w:t xml:space="preserve">    3.我方此次向贵方提供的服务名称为：</w:t>
      </w:r>
      <w:r>
        <w:rPr>
          <w:rFonts w:hint="eastAsia"/>
          <w:color w:val="auto"/>
          <w:highlight w:val="none"/>
          <w:u w:val="single"/>
        </w:rPr>
        <w:t xml:space="preserve">                            </w:t>
      </w:r>
      <w:r>
        <w:rPr>
          <w:rFonts w:hint="eastAsia"/>
          <w:color w:val="auto"/>
          <w:highlight w:val="none"/>
        </w:rPr>
        <w:t>。</w:t>
      </w:r>
    </w:p>
    <w:p w14:paraId="0098729D">
      <w:pPr>
        <w:spacing w:line="400" w:lineRule="exact"/>
        <w:rPr>
          <w:rFonts w:hint="eastAsia"/>
          <w:color w:val="auto"/>
          <w:highlight w:val="none"/>
        </w:rPr>
      </w:pPr>
      <w:r>
        <w:rPr>
          <w:rFonts w:hint="eastAsia"/>
          <w:color w:val="auto"/>
          <w:highlight w:val="none"/>
        </w:rPr>
        <w:t xml:space="preserve">    4.我方诚意提请贵方关注：近期有关该服务等方面的重大决策和事项有：</w:t>
      </w:r>
    </w:p>
    <w:p w14:paraId="4FBACC29">
      <w:pPr>
        <w:spacing w:line="400" w:lineRule="exact"/>
        <w:rPr>
          <w:rFonts w:hint="eastAsia"/>
          <w:color w:val="auto"/>
          <w:highlight w:val="none"/>
          <w:u w:val="single"/>
        </w:rPr>
      </w:pPr>
      <w:r>
        <w:rPr>
          <w:rFonts w:hint="eastAsia"/>
          <w:color w:val="auto"/>
          <w:highlight w:val="none"/>
        </w:rPr>
        <w:t>　　</w:t>
      </w:r>
      <w:r>
        <w:rPr>
          <w:rFonts w:hint="eastAsia"/>
          <w:color w:val="auto"/>
          <w:highlight w:val="none"/>
          <w:u w:val="single"/>
        </w:rPr>
        <w:t>　　　　　　　　　　　　　　　　　　　　　　　　　</w:t>
      </w:r>
    </w:p>
    <w:p w14:paraId="6788AD92">
      <w:pPr>
        <w:spacing w:line="400" w:lineRule="exact"/>
        <w:rPr>
          <w:rFonts w:hint="eastAsia"/>
          <w:color w:val="auto"/>
          <w:highlight w:val="none"/>
          <w:u w:val="single"/>
        </w:rPr>
      </w:pPr>
      <w:r>
        <w:rPr>
          <w:rFonts w:hint="eastAsia"/>
          <w:color w:val="auto"/>
          <w:highlight w:val="none"/>
        </w:rPr>
        <w:t>　　</w:t>
      </w:r>
      <w:r>
        <w:rPr>
          <w:rFonts w:hint="eastAsia"/>
          <w:color w:val="auto"/>
          <w:highlight w:val="none"/>
          <w:u w:val="single"/>
        </w:rPr>
        <w:t>　　　　　　　　　　　　　　　　　　　　　　　　　</w:t>
      </w:r>
    </w:p>
    <w:p w14:paraId="59FEFF07">
      <w:pPr>
        <w:spacing w:line="400" w:lineRule="exact"/>
        <w:rPr>
          <w:rFonts w:hint="eastAsia"/>
          <w:color w:val="auto"/>
          <w:highlight w:val="none"/>
        </w:rPr>
      </w:pPr>
      <w:r>
        <w:rPr>
          <w:rFonts w:hint="eastAsia"/>
          <w:color w:val="auto"/>
          <w:highlight w:val="none"/>
        </w:rPr>
        <w:t xml:space="preserve">    5.我方</w:t>
      </w:r>
      <w:r>
        <w:rPr>
          <w:color w:val="auto"/>
          <w:highlight w:val="none"/>
        </w:rPr>
        <w:t>参加政府采购活动前</w:t>
      </w:r>
      <w:r>
        <w:rPr>
          <w:rFonts w:hint="eastAsia"/>
          <w:color w:val="auto"/>
          <w:highlight w:val="none"/>
        </w:rPr>
        <w:t>三</w:t>
      </w:r>
      <w:r>
        <w:rPr>
          <w:color w:val="auto"/>
          <w:highlight w:val="none"/>
        </w:rPr>
        <w:t>年内在经营活动中重大违法记录</w:t>
      </w:r>
      <w:r>
        <w:rPr>
          <w:rFonts w:hint="eastAsia"/>
          <w:color w:val="auto"/>
          <w:highlight w:val="none"/>
        </w:rPr>
        <w:t>情况：</w:t>
      </w:r>
    </w:p>
    <w:p w14:paraId="6DD83668">
      <w:pPr>
        <w:spacing w:line="400" w:lineRule="exact"/>
        <w:rPr>
          <w:rFonts w:hint="eastAsia"/>
          <w:color w:val="auto"/>
          <w:highlight w:val="none"/>
          <w:u w:val="single"/>
        </w:rPr>
      </w:pPr>
      <w:r>
        <w:rPr>
          <w:rFonts w:hint="eastAsia"/>
          <w:color w:val="auto"/>
          <w:highlight w:val="none"/>
        </w:rPr>
        <w:t>　　</w:t>
      </w:r>
      <w:r>
        <w:rPr>
          <w:rFonts w:hint="eastAsia"/>
          <w:color w:val="auto"/>
          <w:highlight w:val="none"/>
          <w:u w:val="single"/>
        </w:rPr>
        <w:t>　　　　　　　　　　　　　　　　　　　　　　　　　</w:t>
      </w:r>
    </w:p>
    <w:p w14:paraId="651E1586">
      <w:pPr>
        <w:spacing w:line="400" w:lineRule="exact"/>
        <w:rPr>
          <w:rFonts w:hint="eastAsia"/>
          <w:color w:val="auto"/>
          <w:highlight w:val="none"/>
        </w:rPr>
      </w:pPr>
      <w:r>
        <w:rPr>
          <w:rFonts w:hint="eastAsia"/>
          <w:color w:val="auto"/>
          <w:highlight w:val="none"/>
        </w:rPr>
        <w:t xml:space="preserve">    6.以上事项如有虚假或隐瞒，我方愿意承担一切后果。</w:t>
      </w:r>
    </w:p>
    <w:p w14:paraId="598F0456">
      <w:pPr>
        <w:spacing w:line="400" w:lineRule="exact"/>
        <w:rPr>
          <w:rFonts w:hint="eastAsia"/>
          <w:color w:val="auto"/>
          <w:highlight w:val="none"/>
        </w:rPr>
      </w:pPr>
    </w:p>
    <w:p w14:paraId="6EF95E83">
      <w:pPr>
        <w:spacing w:line="400" w:lineRule="exact"/>
        <w:rPr>
          <w:rFonts w:hint="eastAsia"/>
          <w:color w:val="auto"/>
          <w:highlight w:val="none"/>
        </w:rPr>
      </w:pPr>
      <w:r>
        <w:rPr>
          <w:rFonts w:hint="eastAsia"/>
          <w:color w:val="auto"/>
          <w:highlight w:val="none"/>
        </w:rPr>
        <w:t xml:space="preserve">                                               法定代表人（负责人）签字或盖章：</w:t>
      </w:r>
      <w:r>
        <w:rPr>
          <w:rFonts w:hint="eastAsia"/>
          <w:color w:val="auto"/>
          <w:highlight w:val="none"/>
          <w:u w:val="single"/>
        </w:rPr>
        <w:t xml:space="preserve">             </w:t>
      </w:r>
    </w:p>
    <w:p w14:paraId="08962161">
      <w:pPr>
        <w:spacing w:line="400" w:lineRule="exact"/>
        <w:rPr>
          <w:rFonts w:hint="eastAsia"/>
          <w:color w:val="auto"/>
          <w:highlight w:val="none"/>
        </w:rPr>
      </w:pPr>
      <w:r>
        <w:rPr>
          <w:rFonts w:hint="eastAsia"/>
          <w:color w:val="auto"/>
          <w:highlight w:val="none"/>
        </w:rPr>
        <w:t xml:space="preserve">                                               投标人名称（</w:t>
      </w:r>
      <w:r>
        <w:rPr>
          <w:rFonts w:hint="eastAsia" w:ascii="宋体"/>
          <w:color w:val="auto"/>
          <w:szCs w:val="21"/>
          <w:highlight w:val="none"/>
        </w:rPr>
        <w:t>盖章</w:t>
      </w:r>
      <w:r>
        <w:rPr>
          <w:rFonts w:hint="eastAsia"/>
          <w:color w:val="auto"/>
          <w:highlight w:val="none"/>
        </w:rPr>
        <w:t>）：</w:t>
      </w:r>
      <w:r>
        <w:rPr>
          <w:rFonts w:hint="eastAsia"/>
          <w:color w:val="auto"/>
          <w:highlight w:val="none"/>
          <w:u w:val="single"/>
        </w:rPr>
        <w:t xml:space="preserve">               </w:t>
      </w:r>
    </w:p>
    <w:p w14:paraId="3738A7C1">
      <w:pPr>
        <w:spacing w:line="400" w:lineRule="exact"/>
        <w:rPr>
          <w:rFonts w:hint="eastAsia"/>
          <w:color w:val="auto"/>
          <w:highlight w:val="none"/>
        </w:rPr>
      </w:pPr>
      <w:r>
        <w:rPr>
          <w:rFonts w:hint="eastAsia"/>
          <w:color w:val="auto"/>
          <w:highlight w:val="none"/>
        </w:rPr>
        <w:t xml:space="preserve">                                                                          年    月    日</w:t>
      </w:r>
    </w:p>
    <w:p w14:paraId="6984064C">
      <w:pPr>
        <w:spacing w:line="400" w:lineRule="exact"/>
        <w:rPr>
          <w:rFonts w:hint="eastAsia"/>
          <w:b/>
          <w:color w:val="auto"/>
          <w:highlight w:val="none"/>
        </w:rPr>
      </w:pPr>
    </w:p>
    <w:p w14:paraId="0FD0EF78">
      <w:pPr>
        <w:spacing w:line="400" w:lineRule="exact"/>
        <w:rPr>
          <w:b/>
          <w:color w:val="auto"/>
          <w:highlight w:val="none"/>
        </w:rPr>
      </w:pPr>
      <w:r>
        <w:rPr>
          <w:b/>
          <w:color w:val="auto"/>
          <w:highlight w:val="none"/>
        </w:rPr>
        <w:t>重大违法记录，是指供应商因违法经营受到刑事处罚或者责令停产停业、吊销许可证或者执照、较大数额罚款等行政处罚。</w:t>
      </w:r>
    </w:p>
    <w:p w14:paraId="077CBD1C">
      <w:pPr>
        <w:snapToGrid w:val="0"/>
        <w:spacing w:before="50" w:after="156" w:afterLines="50" w:line="340" w:lineRule="exact"/>
        <w:jc w:val="left"/>
        <w:rPr>
          <w:rFonts w:hint="eastAsia" w:ascii="宋体"/>
          <w:color w:val="auto"/>
          <w:szCs w:val="21"/>
          <w:highlight w:val="none"/>
        </w:rPr>
      </w:pPr>
      <w:r>
        <w:rPr>
          <w:rFonts w:hint="eastAsia" w:ascii="宋体"/>
          <w:b/>
          <w:color w:val="auto"/>
          <w:szCs w:val="21"/>
          <w:highlight w:val="none"/>
        </w:rPr>
        <w:br w:type="page"/>
      </w:r>
      <w:r>
        <w:rPr>
          <w:rFonts w:hint="eastAsia" w:ascii="宋体"/>
          <w:b/>
          <w:color w:val="auto"/>
          <w:szCs w:val="21"/>
          <w:highlight w:val="none"/>
        </w:rPr>
        <w:t xml:space="preserve">    </w:t>
      </w:r>
      <w:r>
        <w:rPr>
          <w:rFonts w:hint="eastAsia" w:ascii="宋体"/>
          <w:b/>
          <w:color w:val="auto"/>
          <w:szCs w:val="21"/>
          <w:highlight w:val="none"/>
          <w:lang w:eastAsia="zh-CN"/>
        </w:rPr>
        <w:t>（3）</w:t>
      </w:r>
      <w:r>
        <w:rPr>
          <w:rFonts w:hint="eastAsia" w:ascii="宋体"/>
          <w:color w:val="auto"/>
          <w:szCs w:val="21"/>
          <w:highlight w:val="none"/>
        </w:rPr>
        <w:t xml:space="preserve"> 法定代表人</w:t>
      </w:r>
      <w:r>
        <w:rPr>
          <w:rFonts w:hint="eastAsia" w:ascii="宋体"/>
          <w:color w:val="auto"/>
          <w:szCs w:val="21"/>
          <w:highlight w:val="none"/>
          <w:lang w:eastAsia="zh-CN"/>
        </w:rPr>
        <w:t>（</w:t>
      </w:r>
      <w:r>
        <w:rPr>
          <w:rFonts w:hint="eastAsia" w:ascii="宋体"/>
          <w:color w:val="auto"/>
          <w:szCs w:val="21"/>
          <w:highlight w:val="none"/>
        </w:rPr>
        <w:t>负责人</w:t>
      </w:r>
      <w:r>
        <w:rPr>
          <w:rFonts w:hint="eastAsia" w:ascii="宋体"/>
          <w:color w:val="auto"/>
          <w:szCs w:val="21"/>
          <w:highlight w:val="none"/>
          <w:lang w:eastAsia="zh-CN"/>
        </w:rPr>
        <w:t>）</w:t>
      </w:r>
      <w:r>
        <w:rPr>
          <w:rFonts w:hint="eastAsia" w:ascii="宋体"/>
          <w:color w:val="auto"/>
          <w:szCs w:val="21"/>
          <w:highlight w:val="none"/>
        </w:rPr>
        <w:t>授权委托书格式：</w:t>
      </w:r>
    </w:p>
    <w:p w14:paraId="0C87CBA3">
      <w:pPr>
        <w:snapToGrid w:val="0"/>
        <w:spacing w:before="156" w:beforeLines="50" w:after="50" w:line="340" w:lineRule="exact"/>
        <w:jc w:val="center"/>
        <w:rPr>
          <w:rFonts w:hint="eastAsia" w:ascii="宋体"/>
          <w:b/>
          <w:color w:val="auto"/>
          <w:sz w:val="30"/>
          <w:szCs w:val="30"/>
          <w:highlight w:val="none"/>
        </w:rPr>
      </w:pPr>
      <w:r>
        <w:rPr>
          <w:rFonts w:hint="eastAsia" w:ascii="宋体"/>
          <w:b/>
          <w:color w:val="auto"/>
          <w:sz w:val="30"/>
          <w:szCs w:val="30"/>
          <w:highlight w:val="none"/>
        </w:rPr>
        <w:t>法定代表人</w:t>
      </w:r>
      <w:r>
        <w:rPr>
          <w:rFonts w:hint="eastAsia" w:ascii="宋体"/>
          <w:b/>
          <w:color w:val="auto"/>
          <w:sz w:val="30"/>
          <w:szCs w:val="30"/>
          <w:highlight w:val="none"/>
          <w:lang w:eastAsia="zh-CN"/>
        </w:rPr>
        <w:t>（</w:t>
      </w:r>
      <w:r>
        <w:rPr>
          <w:rFonts w:hint="eastAsia" w:ascii="宋体"/>
          <w:b/>
          <w:color w:val="auto"/>
          <w:sz w:val="30"/>
          <w:szCs w:val="30"/>
          <w:highlight w:val="none"/>
        </w:rPr>
        <w:t>负责人</w:t>
      </w:r>
      <w:r>
        <w:rPr>
          <w:rFonts w:hint="eastAsia" w:ascii="宋体"/>
          <w:b/>
          <w:color w:val="auto"/>
          <w:sz w:val="30"/>
          <w:szCs w:val="30"/>
          <w:highlight w:val="none"/>
          <w:lang w:eastAsia="zh-CN"/>
        </w:rPr>
        <w:t>）</w:t>
      </w:r>
      <w:r>
        <w:rPr>
          <w:rFonts w:hint="eastAsia" w:ascii="宋体"/>
          <w:b/>
          <w:color w:val="auto"/>
          <w:sz w:val="30"/>
          <w:szCs w:val="30"/>
          <w:highlight w:val="none"/>
        </w:rPr>
        <w:t>授权委托书</w:t>
      </w:r>
    </w:p>
    <w:p w14:paraId="398E566B">
      <w:pPr>
        <w:spacing w:line="400" w:lineRule="exact"/>
        <w:rPr>
          <w:rFonts w:hint="eastAsia"/>
          <w:color w:val="auto"/>
          <w:highlight w:val="none"/>
        </w:rPr>
      </w:pPr>
      <w:r>
        <w:rPr>
          <w:rFonts w:hint="eastAsia"/>
          <w:color w:val="auto"/>
          <w:highlight w:val="none"/>
        </w:rPr>
        <w:t>致：</w:t>
      </w:r>
      <w:r>
        <w:rPr>
          <w:rFonts w:hint="eastAsia"/>
          <w:color w:val="auto"/>
          <w:highlight w:val="none"/>
          <w:u w:val="single"/>
        </w:rPr>
        <w:t xml:space="preserve"> </w:t>
      </w:r>
      <w:r>
        <w:rPr>
          <w:rFonts w:hint="eastAsia"/>
          <w:color w:val="auto"/>
          <w:highlight w:val="none"/>
          <w:u w:val="single"/>
          <w:lang w:eastAsia="zh-CN"/>
        </w:rPr>
        <w:t>广西中吉银工程项目管理有限公司</w:t>
      </w:r>
      <w:r>
        <w:rPr>
          <w:rFonts w:hint="eastAsia"/>
          <w:color w:val="auto"/>
          <w:highlight w:val="none"/>
          <w:u w:val="single"/>
        </w:rPr>
        <w:t xml:space="preserve"> </w:t>
      </w:r>
    </w:p>
    <w:p w14:paraId="38346FA1">
      <w:pPr>
        <w:spacing w:line="400" w:lineRule="exact"/>
        <w:rPr>
          <w:rFonts w:hint="eastAsia"/>
          <w:color w:val="auto"/>
          <w:highlight w:val="none"/>
        </w:rPr>
      </w:pPr>
      <w:r>
        <w:rPr>
          <w:rFonts w:hint="eastAsia"/>
          <w:color w:val="auto"/>
          <w:highlight w:val="none"/>
        </w:rPr>
        <w:t xml:space="preserve">    我</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（投标人名称）的法定代表人（负责人），现授权委托本单位在职职工</w:t>
      </w:r>
      <w:r>
        <w:rPr>
          <w:rFonts w:hint="eastAsia"/>
          <w:color w:val="auto"/>
          <w:highlight w:val="none"/>
          <w:u w:val="single"/>
        </w:rPr>
        <w:t xml:space="preserve">           </w:t>
      </w:r>
      <w:r>
        <w:rPr>
          <w:rFonts w:hint="eastAsia"/>
          <w:color w:val="auto"/>
          <w:highlight w:val="none"/>
        </w:rPr>
        <w:t>（姓名）以我方的名义参加</w:t>
      </w:r>
      <w:r>
        <w:rPr>
          <w:rFonts w:hint="eastAsia"/>
          <w:color w:val="auto"/>
          <w:highlight w:val="none"/>
          <w:u w:val="single"/>
        </w:rPr>
        <w:t xml:space="preserve">                </w:t>
      </w:r>
      <w:r>
        <w:rPr>
          <w:rFonts w:hint="eastAsia"/>
          <w:color w:val="auto"/>
          <w:highlight w:val="none"/>
        </w:rPr>
        <w:t>项目的投标活动，并代表我方全权办理针对上述项目的投标、开标、评标、签约等具体事务和签署相关文件。</w:t>
      </w:r>
    </w:p>
    <w:p w14:paraId="5BB44448">
      <w:pPr>
        <w:spacing w:line="400" w:lineRule="exact"/>
        <w:rPr>
          <w:rFonts w:hint="eastAsia"/>
          <w:color w:val="auto"/>
          <w:highlight w:val="none"/>
        </w:rPr>
      </w:pPr>
      <w:r>
        <w:rPr>
          <w:rFonts w:hint="eastAsia"/>
          <w:color w:val="auto"/>
          <w:highlight w:val="none"/>
        </w:rPr>
        <w:t xml:space="preserve">    我方对被授权人的签名事项负全部责任。</w:t>
      </w:r>
    </w:p>
    <w:p w14:paraId="55AEC71B">
      <w:pPr>
        <w:spacing w:line="400" w:lineRule="exact"/>
        <w:rPr>
          <w:rFonts w:hint="eastAsia"/>
          <w:color w:val="auto"/>
          <w:highlight w:val="none"/>
        </w:rPr>
      </w:pPr>
      <w:r>
        <w:rPr>
          <w:rFonts w:hint="eastAsia"/>
          <w:color w:val="auto"/>
          <w:highlight w:val="none"/>
        </w:rPr>
        <w:t xml:space="preserve">    </w:t>
      </w:r>
      <w:r>
        <w:rPr>
          <w:rFonts w:hint="eastAsia"/>
          <w:color w:val="auto"/>
          <w:highlight w:val="none"/>
          <w:u w:val="single"/>
        </w:rPr>
        <w:t>在撤销授权的书面通知以前，本授权书一直有效。</w:t>
      </w:r>
      <w:r>
        <w:rPr>
          <w:rFonts w:hint="eastAsia"/>
          <w:color w:val="auto"/>
          <w:highlight w:val="none"/>
        </w:rPr>
        <w:t>被授权人在授权书有效期内签署的所有文件不因授权的撤销而失效。</w:t>
      </w:r>
    </w:p>
    <w:p w14:paraId="56376333">
      <w:pPr>
        <w:spacing w:line="400" w:lineRule="exact"/>
        <w:rPr>
          <w:rFonts w:hint="eastAsia"/>
          <w:color w:val="auto"/>
          <w:highlight w:val="none"/>
        </w:rPr>
      </w:pPr>
      <w:r>
        <w:rPr>
          <w:rFonts w:hint="eastAsia"/>
          <w:color w:val="auto"/>
          <w:highlight w:val="none"/>
        </w:rPr>
        <w:t xml:space="preserve">    被授权人无转委托权，特此委托。</w:t>
      </w:r>
    </w:p>
    <w:p w14:paraId="5AB7D9D1">
      <w:pPr>
        <w:spacing w:line="400" w:lineRule="exact"/>
        <w:rPr>
          <w:rFonts w:hint="eastAsia"/>
          <w:color w:val="auto"/>
          <w:highlight w:val="none"/>
        </w:rPr>
      </w:pPr>
    </w:p>
    <w:p w14:paraId="5EE831F3">
      <w:pPr>
        <w:spacing w:line="400" w:lineRule="exact"/>
        <w:rPr>
          <w:rFonts w:hint="eastAsia"/>
          <w:color w:val="auto"/>
          <w:highlight w:val="none"/>
        </w:rPr>
      </w:pPr>
      <w:r>
        <w:rPr>
          <w:rFonts w:hint="eastAsia"/>
          <w:color w:val="auto"/>
          <w:highlight w:val="none"/>
        </w:rPr>
        <w:t>被授权人签字或盖章：</w:t>
      </w:r>
      <w:r>
        <w:rPr>
          <w:rFonts w:hint="eastAsia"/>
          <w:color w:val="auto"/>
          <w:highlight w:val="none"/>
          <w:u w:val="single"/>
        </w:rPr>
        <w:t xml:space="preserve">            </w:t>
      </w:r>
      <w:r>
        <w:rPr>
          <w:rFonts w:hint="eastAsia"/>
          <w:color w:val="auto"/>
          <w:highlight w:val="none"/>
        </w:rPr>
        <w:t xml:space="preserve">              法定代表人（负责人）签字或盖章：</w:t>
      </w:r>
      <w:r>
        <w:rPr>
          <w:rFonts w:hint="eastAsia"/>
          <w:color w:val="auto"/>
          <w:highlight w:val="none"/>
          <w:u w:val="single"/>
        </w:rPr>
        <w:t xml:space="preserve">            </w:t>
      </w:r>
    </w:p>
    <w:p w14:paraId="64E03867">
      <w:pPr>
        <w:spacing w:line="400" w:lineRule="exact"/>
        <w:rPr>
          <w:rFonts w:hint="eastAsia"/>
          <w:color w:val="auto"/>
          <w:highlight w:val="none"/>
          <w:u w:val="single"/>
        </w:rPr>
      </w:pPr>
      <w:r>
        <w:rPr>
          <w:rFonts w:hint="eastAsia"/>
          <w:color w:val="auto"/>
          <w:highlight w:val="none"/>
        </w:rPr>
        <w:t>所在部门职务：</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1F5B8D36">
      <w:pPr>
        <w:spacing w:line="400" w:lineRule="exact"/>
        <w:rPr>
          <w:rFonts w:hint="eastAsia"/>
          <w:color w:val="auto"/>
          <w:highlight w:val="none"/>
        </w:rPr>
      </w:pPr>
      <w:r>
        <w:rPr>
          <w:rFonts w:hint="eastAsia"/>
          <w:color w:val="auto"/>
          <w:highlight w:val="none"/>
        </w:rPr>
        <w:t>被授权人身份证号码：</w:t>
      </w:r>
      <w:r>
        <w:rPr>
          <w:rFonts w:hint="eastAsia"/>
          <w:color w:val="auto"/>
          <w:highlight w:val="none"/>
          <w:u w:val="single"/>
        </w:rPr>
        <w:t xml:space="preserve">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5"/>
      </w:tblGrid>
      <w:tr w14:paraId="06C1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5" w:type="dxa"/>
            <w:noWrap w:val="0"/>
            <w:vAlign w:val="top"/>
          </w:tcPr>
          <w:p w14:paraId="5BBE975D">
            <w:pPr>
              <w:spacing w:line="400" w:lineRule="exact"/>
              <w:rPr>
                <w:rFonts w:hint="eastAsia"/>
                <w:color w:val="auto"/>
                <w:highlight w:val="none"/>
              </w:rPr>
            </w:pPr>
            <w:r>
              <w:rPr>
                <w:rFonts w:hint="eastAsia"/>
                <w:color w:val="auto"/>
                <w:highlight w:val="none"/>
              </w:rPr>
              <w:t>贴附“委托代理人有效身份证复印件”（正反两面）</w:t>
            </w:r>
          </w:p>
        </w:tc>
      </w:tr>
    </w:tbl>
    <w:p w14:paraId="06435AA4">
      <w:pPr>
        <w:spacing w:line="400" w:lineRule="exact"/>
        <w:rPr>
          <w:rFonts w:hint="eastAsia"/>
          <w:color w:val="auto"/>
          <w:highlight w:val="none"/>
        </w:rPr>
      </w:pPr>
      <w:r>
        <w:rPr>
          <w:rFonts w:hint="eastAsia"/>
          <w:color w:val="auto"/>
          <w:highlight w:val="none"/>
        </w:rPr>
        <w:t xml:space="preserve">                                                      投标人名称（</w:t>
      </w:r>
      <w:r>
        <w:rPr>
          <w:rFonts w:hint="eastAsia" w:ascii="宋体"/>
          <w:color w:val="auto"/>
          <w:szCs w:val="21"/>
          <w:highlight w:val="none"/>
        </w:rPr>
        <w:t>盖章</w:t>
      </w:r>
      <w:r>
        <w:rPr>
          <w:rFonts w:hint="eastAsia"/>
          <w:color w:val="auto"/>
          <w:highlight w:val="none"/>
        </w:rPr>
        <w:t>）：</w:t>
      </w:r>
    </w:p>
    <w:p w14:paraId="19C94A44">
      <w:pPr>
        <w:spacing w:line="400" w:lineRule="exact"/>
        <w:rPr>
          <w:rFonts w:hint="eastAsia"/>
          <w:color w:val="auto"/>
          <w:highlight w:val="none"/>
        </w:rPr>
      </w:pPr>
      <w:r>
        <w:rPr>
          <w:rFonts w:hint="eastAsia"/>
          <w:color w:val="auto"/>
          <w:highlight w:val="none"/>
        </w:rPr>
        <w:t xml:space="preserve">                                                                   年    月    日</w:t>
      </w:r>
    </w:p>
    <w:p w14:paraId="7B82BCC8">
      <w:pPr>
        <w:snapToGrid w:val="0"/>
        <w:spacing w:before="50" w:after="156" w:afterLines="50" w:line="400" w:lineRule="exact"/>
        <w:jc w:val="left"/>
        <w:rPr>
          <w:rFonts w:hint="eastAsia" w:ascii="宋体"/>
          <w:color w:val="auto"/>
          <w:szCs w:val="21"/>
          <w:highlight w:val="none"/>
        </w:rPr>
      </w:pPr>
      <w:r>
        <w:rPr>
          <w:rFonts w:hint="eastAsia" w:ascii="宋体"/>
          <w:color w:val="auto"/>
          <w:szCs w:val="21"/>
          <w:highlight w:val="none"/>
        </w:rPr>
        <w:t xml:space="preserve">    （4）法定代表人（负责人）身份证明书</w:t>
      </w:r>
    </w:p>
    <w:p w14:paraId="572C33F5">
      <w:pPr>
        <w:spacing w:before="312" w:beforeLines="100" w:after="156" w:afterLines="50" w:line="400" w:lineRule="exact"/>
        <w:ind w:left="540"/>
        <w:jc w:val="center"/>
        <w:rPr>
          <w:rFonts w:hint="eastAsia" w:ascii="黑体" w:eastAsia="黑体"/>
          <w:color w:val="auto"/>
          <w:sz w:val="28"/>
          <w:szCs w:val="28"/>
          <w:highlight w:val="none"/>
        </w:rPr>
      </w:pPr>
      <w:r>
        <w:rPr>
          <w:rFonts w:hint="eastAsia" w:ascii="宋体"/>
          <w:b/>
          <w:color w:val="auto"/>
          <w:sz w:val="32"/>
          <w:szCs w:val="32"/>
          <w:highlight w:val="none"/>
        </w:rPr>
        <w:t>法定代表人（负责人）身份证明书</w:t>
      </w:r>
    </w:p>
    <w:p w14:paraId="63A778BD">
      <w:pPr>
        <w:spacing w:line="400" w:lineRule="exact"/>
        <w:ind w:left="540"/>
        <w:rPr>
          <w:rFonts w:hint="eastAsia" w:ascii="宋体"/>
          <w:color w:val="auto"/>
          <w:sz w:val="24"/>
          <w:highlight w:val="none"/>
        </w:rPr>
      </w:pPr>
      <w:r>
        <w:rPr>
          <w:rFonts w:hint="eastAsia" w:ascii="宋体"/>
          <w:color w:val="auto"/>
          <w:sz w:val="24"/>
          <w:highlight w:val="none"/>
        </w:rPr>
        <w:t>投 标 人：</w:t>
      </w:r>
      <w:r>
        <w:rPr>
          <w:rFonts w:hint="eastAsia" w:ascii="宋体"/>
          <w:color w:val="auto"/>
          <w:sz w:val="24"/>
          <w:highlight w:val="none"/>
          <w:u w:val="single"/>
        </w:rPr>
        <w:t xml:space="preserve">                                                        </w:t>
      </w:r>
    </w:p>
    <w:p w14:paraId="2C65EE8B">
      <w:pPr>
        <w:spacing w:line="400" w:lineRule="exact"/>
        <w:ind w:left="540"/>
        <w:rPr>
          <w:rFonts w:hint="eastAsia"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54A70A72">
      <w:pPr>
        <w:spacing w:line="400" w:lineRule="exact"/>
        <w:ind w:left="54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2267D663">
      <w:pPr>
        <w:spacing w:line="400" w:lineRule="exact"/>
        <w:ind w:left="54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3DE9DBC9">
      <w:pPr>
        <w:spacing w:line="400" w:lineRule="exact"/>
        <w:ind w:left="54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316C7D98">
      <w:pPr>
        <w:spacing w:line="400" w:lineRule="exact"/>
        <w:ind w:left="540"/>
        <w:rPr>
          <w:rFonts w:hint="eastAsia" w:ascii="宋体"/>
          <w:color w:val="auto"/>
          <w:sz w:val="24"/>
          <w:highlight w:val="none"/>
        </w:rPr>
      </w:pPr>
      <w:r>
        <w:rPr>
          <w:rFonts w:hint="eastAsia" w:ascii="宋体"/>
          <w:color w:val="auto"/>
          <w:sz w:val="24"/>
          <w:highlight w:val="none"/>
        </w:rPr>
        <w:t>姓    名：</w:t>
      </w:r>
      <w:r>
        <w:rPr>
          <w:rFonts w:hint="eastAsia" w:ascii="宋体"/>
          <w:color w:val="auto"/>
          <w:sz w:val="24"/>
          <w:highlight w:val="none"/>
          <w:u w:val="single"/>
        </w:rPr>
        <w:t xml:space="preserve">                          </w:t>
      </w:r>
      <w:r>
        <w:rPr>
          <w:rFonts w:hint="eastAsia" w:ascii="宋体"/>
          <w:color w:val="auto"/>
          <w:sz w:val="24"/>
          <w:highlight w:val="none"/>
        </w:rPr>
        <w:t>性      别：</w:t>
      </w:r>
      <w:r>
        <w:rPr>
          <w:rFonts w:hint="eastAsia" w:ascii="宋体"/>
          <w:color w:val="auto"/>
          <w:sz w:val="24"/>
          <w:highlight w:val="none"/>
          <w:u w:val="single"/>
        </w:rPr>
        <w:t xml:space="preserve">                </w:t>
      </w:r>
    </w:p>
    <w:p w14:paraId="6B0CD016">
      <w:pPr>
        <w:spacing w:line="400" w:lineRule="exact"/>
        <w:ind w:left="540"/>
        <w:rPr>
          <w:rFonts w:hint="eastAsia" w:ascii="宋体"/>
          <w:color w:val="auto"/>
          <w:sz w:val="24"/>
          <w:highlight w:val="none"/>
          <w:u w:val="single"/>
        </w:rPr>
      </w:pPr>
      <w:r>
        <w:rPr>
          <w:rFonts w:hint="eastAsia" w:ascii="宋体"/>
          <w:color w:val="auto"/>
          <w:sz w:val="24"/>
          <w:highlight w:val="none"/>
        </w:rPr>
        <w:t>年    龄：</w:t>
      </w:r>
      <w:r>
        <w:rPr>
          <w:rFonts w:hint="eastAsia" w:ascii="宋体"/>
          <w:color w:val="auto"/>
          <w:sz w:val="24"/>
          <w:highlight w:val="none"/>
          <w:u w:val="single"/>
        </w:rPr>
        <w:t xml:space="preserve">                          </w:t>
      </w:r>
      <w:r>
        <w:rPr>
          <w:rFonts w:hint="eastAsia" w:ascii="宋体"/>
          <w:color w:val="auto"/>
          <w:sz w:val="24"/>
          <w:highlight w:val="none"/>
        </w:rPr>
        <w:t>职      务：</w:t>
      </w:r>
      <w:r>
        <w:rPr>
          <w:rFonts w:hint="eastAsia" w:ascii="宋体"/>
          <w:color w:val="auto"/>
          <w:sz w:val="24"/>
          <w:highlight w:val="none"/>
          <w:u w:val="single"/>
        </w:rPr>
        <w:t xml:space="preserve">                </w:t>
      </w:r>
    </w:p>
    <w:p w14:paraId="496F678B">
      <w:pPr>
        <w:spacing w:line="400" w:lineRule="exact"/>
        <w:ind w:left="540"/>
        <w:rPr>
          <w:rFonts w:hint="eastAsia" w:ascii="宋体"/>
          <w:color w:val="auto"/>
          <w:sz w:val="24"/>
          <w:highlight w:val="none"/>
        </w:rPr>
      </w:pPr>
      <w:r>
        <w:rPr>
          <w:rFonts w:hint="eastAsia" w:asci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7AF223F2">
      <w:pPr>
        <w:spacing w:line="400" w:lineRule="exact"/>
        <w:ind w:left="54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（投标人名称）的法定代表人（负责人）。</w:t>
      </w:r>
    </w:p>
    <w:p w14:paraId="004A424A">
      <w:pPr>
        <w:spacing w:line="400" w:lineRule="exact"/>
        <w:ind w:left="540"/>
        <w:rPr>
          <w:rFonts w:hint="eastAsia" w:ascii="宋体"/>
          <w:color w:val="auto"/>
          <w:sz w:val="24"/>
          <w:highlight w:val="none"/>
        </w:rPr>
      </w:pPr>
      <w:r>
        <w:rPr>
          <w:rFonts w:hint="eastAsia" w:ascii="宋体"/>
          <w:color w:val="auto"/>
          <w:sz w:val="24"/>
          <w:highlight w:val="none"/>
        </w:rPr>
        <w:t>特此证明。</w:t>
      </w:r>
    </w:p>
    <w:p w14:paraId="53BDF9FC">
      <w:pPr>
        <w:spacing w:line="400" w:lineRule="exact"/>
        <w:ind w:left="540"/>
        <w:rPr>
          <w:rFonts w:hint="eastAsia" w:ascii="宋体"/>
          <w:color w:val="auto"/>
          <w:sz w:val="24"/>
          <w:highlight w:val="none"/>
        </w:rPr>
      </w:pPr>
      <w:r>
        <w:rPr>
          <w:rFonts w:hint="eastAsia" w:ascii="宋体"/>
          <w:color w:val="auto"/>
          <w:sz w:val="24"/>
          <w:highlight w:val="none"/>
        </w:rPr>
        <w:t>附件：法定代表人（负责人）有效身份证正反面复印件</w:t>
      </w:r>
    </w:p>
    <w:p w14:paraId="6D339AEA">
      <w:pPr>
        <w:wordWrap w:val="0"/>
        <w:spacing w:line="400" w:lineRule="exact"/>
        <w:ind w:left="540"/>
        <w:jc w:val="right"/>
        <w:rPr>
          <w:rFonts w:hint="eastAsia" w:ascii="宋体"/>
          <w:color w:val="auto"/>
          <w:sz w:val="24"/>
          <w:highlight w:val="none"/>
        </w:rPr>
      </w:pPr>
      <w:r>
        <w:rPr>
          <w:rFonts w:hint="eastAsia" w:ascii="宋体"/>
          <w:color w:val="auto"/>
          <w:sz w:val="24"/>
          <w:highlight w:val="none"/>
        </w:rPr>
        <w:t>投标人名称（盖章）</w:t>
      </w:r>
      <w:r>
        <w:rPr>
          <w:rFonts w:hint="eastAsia" w:ascii="宋体"/>
          <w:color w:val="auto"/>
          <w:sz w:val="24"/>
          <w:highlight w:val="none"/>
          <w:u w:val="single"/>
        </w:rPr>
        <w:t xml:space="preserve">                          </w:t>
      </w:r>
    </w:p>
    <w:p w14:paraId="05519BDF">
      <w:pPr>
        <w:snapToGrid w:val="0"/>
        <w:spacing w:before="156" w:beforeLines="50" w:after="50" w:line="400" w:lineRule="exact"/>
        <w:ind w:left="540"/>
        <w:jc w:val="right"/>
        <w:rPr>
          <w:rFonts w:hint="eastAsia" w:ascii="宋体"/>
          <w:color w:val="auto"/>
          <w:sz w:val="30"/>
          <w:szCs w:val="20"/>
          <w:highlight w:val="none"/>
        </w:rPr>
      </w:pP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2449EA9">
      <w:pPr>
        <w:snapToGrid w:val="0"/>
        <w:spacing w:line="360" w:lineRule="exact"/>
        <w:jc w:val="left"/>
        <w:rPr>
          <w:rFonts w:hint="eastAsia" w:ascii="宋体"/>
          <w:color w:val="auto"/>
          <w:szCs w:val="21"/>
          <w:highlight w:val="none"/>
        </w:rPr>
      </w:pPr>
      <w:r>
        <w:rPr>
          <w:rFonts w:hint="eastAsia" w:ascii="宋体"/>
          <w:color w:val="auto"/>
          <w:szCs w:val="21"/>
          <w:highlight w:val="none"/>
        </w:rPr>
        <w:t xml:space="preserve">    （5）商务响应表格式：</w:t>
      </w:r>
      <w:bookmarkEnd w:id="109"/>
      <w:bookmarkEnd w:id="110"/>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14:paraId="5CA8A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14:paraId="0ECFE273">
            <w:pP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548F698">
            <w:pP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64E78240">
            <w:pP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14:paraId="0B887850">
            <w:pPr>
              <w:snapToGrid w:val="0"/>
              <w:spacing w:before="156" w:beforeLines="50" w:line="360" w:lineRule="exact"/>
              <w:jc w:val="center"/>
              <w:rPr>
                <w:rFonts w:hint="eastAsia" w:ascii="宋体"/>
                <w:color w:val="auto"/>
                <w:szCs w:val="21"/>
                <w:highlight w:val="none"/>
              </w:rPr>
            </w:pPr>
            <w:r>
              <w:rPr>
                <w:rFonts w:hint="eastAsia" w:ascii="宋体"/>
                <w:color w:val="auto"/>
                <w:szCs w:val="21"/>
                <w:highlight w:val="none"/>
              </w:rPr>
              <w:t>投标人的承诺或说明</w:t>
            </w:r>
          </w:p>
        </w:tc>
      </w:tr>
      <w:tr w14:paraId="0B152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603A6C29">
            <w:pP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服务时间及地点</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78BBF6C8">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2FA917C">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32468909">
            <w:pPr>
              <w:rPr>
                <w:rFonts w:hint="eastAsia"/>
                <w:color w:val="auto"/>
                <w:highlight w:val="none"/>
              </w:rPr>
            </w:pPr>
          </w:p>
        </w:tc>
      </w:tr>
      <w:tr w14:paraId="52820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07CBC72A">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项目资质保障要求</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5DE501A8">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1BC88C0">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29748D6">
            <w:pPr>
              <w:rPr>
                <w:rFonts w:hint="eastAsia"/>
                <w:color w:val="auto"/>
                <w:highlight w:val="none"/>
              </w:rPr>
            </w:pPr>
          </w:p>
        </w:tc>
      </w:tr>
      <w:tr w14:paraId="35171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656E46D">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质保期及</w:t>
            </w:r>
          </w:p>
          <w:p w14:paraId="0CA128EC">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售后服务要求</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64321049">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3BF06B">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DF61E7D">
            <w:pPr>
              <w:rPr>
                <w:rFonts w:hint="eastAsia"/>
                <w:color w:val="auto"/>
                <w:highlight w:val="none"/>
              </w:rPr>
            </w:pPr>
          </w:p>
        </w:tc>
      </w:tr>
      <w:tr w14:paraId="54FED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161BE1D">
            <w:pPr>
              <w:tabs>
                <w:tab w:val="left" w:pos="180"/>
                <w:tab w:val="left" w:pos="1620"/>
              </w:tabs>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知识产权</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4707B048">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D841391">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40E951F">
            <w:pPr>
              <w:rPr>
                <w:rFonts w:hint="eastAsia"/>
                <w:color w:val="auto"/>
                <w:highlight w:val="none"/>
              </w:rPr>
            </w:pPr>
          </w:p>
        </w:tc>
      </w:tr>
      <w:tr w14:paraId="60E8D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1D6DFE43">
            <w:pPr>
              <w:spacing w:line="400" w:lineRule="exact"/>
              <w:jc w:val="center"/>
              <w:rPr>
                <w:rFonts w:hint="eastAsia" w:ascii="新宋体" w:eastAsia="新宋体"/>
                <w:color w:val="auto"/>
                <w:szCs w:val="21"/>
                <w:highlight w:val="none"/>
              </w:rPr>
            </w:pPr>
            <w:r>
              <w:rPr>
                <w:rFonts w:hint="eastAsia" w:ascii="新宋体" w:eastAsia="新宋体"/>
                <w:color w:val="auto"/>
                <w:szCs w:val="21"/>
                <w:highlight w:val="none"/>
              </w:rPr>
              <w:t>验收标准与方法</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573DC9F">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93D8AB">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76D41E34">
            <w:pPr>
              <w:rPr>
                <w:rFonts w:hint="eastAsia"/>
                <w:color w:val="auto"/>
                <w:highlight w:val="none"/>
              </w:rPr>
            </w:pPr>
          </w:p>
        </w:tc>
      </w:tr>
      <w:tr w14:paraId="2EE7C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6E873C9">
            <w:pPr>
              <w:spacing w:line="400" w:lineRule="exact"/>
              <w:jc w:val="center"/>
              <w:rPr>
                <w:rFonts w:hint="eastAsia" w:ascii="新宋体" w:eastAsia="新宋体"/>
                <w:color w:val="auto"/>
                <w:szCs w:val="21"/>
                <w:highlight w:val="none"/>
                <w:lang w:eastAsia="zh-CN"/>
              </w:rPr>
            </w:pPr>
            <w:r>
              <w:rPr>
                <w:rFonts w:hint="eastAsia" w:ascii="新宋体" w:eastAsia="新宋体"/>
                <w:color w:val="auto"/>
                <w:szCs w:val="21"/>
                <w:highlight w:val="none"/>
                <w:lang w:eastAsia="zh-CN"/>
              </w:rPr>
              <w:t>付款方式</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87E5687">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DA06167">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7CC8B934">
            <w:pPr>
              <w:rPr>
                <w:rFonts w:hint="eastAsia"/>
                <w:color w:val="auto"/>
                <w:highlight w:val="none"/>
              </w:rPr>
            </w:pPr>
          </w:p>
        </w:tc>
      </w:tr>
      <w:tr w14:paraId="3B2B1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7ADA8A91">
            <w:pPr>
              <w:tabs>
                <w:tab w:val="left" w:pos="180"/>
                <w:tab w:val="left" w:pos="1620"/>
              </w:tabs>
              <w:spacing w:line="400" w:lineRule="exact"/>
              <w:jc w:val="center"/>
              <w:rPr>
                <w:rFonts w:hint="eastAsia" w:ascii="宋体" w:hAnsi="宋体"/>
                <w:color w:val="auto"/>
                <w:szCs w:val="21"/>
                <w:highlight w:val="none"/>
              </w:rPr>
            </w:pPr>
            <w:r>
              <w:rPr>
                <w:rFonts w:hint="eastAsia"/>
                <w:color w:val="auto"/>
                <w:highlight w:val="none"/>
              </w:rPr>
              <w:t>履约保证金</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296D3EE9">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95A3AF">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48A2788">
            <w:pPr>
              <w:rPr>
                <w:rFonts w:hint="eastAsia"/>
                <w:color w:val="auto"/>
                <w:highlight w:val="none"/>
              </w:rPr>
            </w:pPr>
          </w:p>
        </w:tc>
      </w:tr>
      <w:tr w14:paraId="73AC1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center"/>
          </w:tcPr>
          <w:p w14:paraId="326913F4">
            <w:pPr>
              <w:jc w:val="center"/>
              <w:rPr>
                <w:rFonts w:hint="eastAsia"/>
                <w:color w:val="auto"/>
                <w:highlight w:val="none"/>
              </w:rPr>
            </w:pPr>
            <w:r>
              <w:rPr>
                <w:rFonts w:hint="eastAsia"/>
                <w:color w:val="auto"/>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14:paraId="30AF999A">
            <w:pPr>
              <w:rPr>
                <w:rFonts w:hint="eastAsia"/>
                <w:color w:val="auto"/>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A19077C">
            <w:pPr>
              <w:jc w:val="center"/>
              <w:rPr>
                <w:rFonts w:hint="eastAsia"/>
                <w:color w:val="auto"/>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549C6467">
            <w:pPr>
              <w:rPr>
                <w:rFonts w:hint="eastAsia"/>
                <w:color w:val="auto"/>
                <w:highlight w:val="none"/>
              </w:rPr>
            </w:pPr>
          </w:p>
        </w:tc>
      </w:tr>
    </w:tbl>
    <w:p w14:paraId="5D517004">
      <w:pPr>
        <w:snapToGrid w:val="0"/>
        <w:spacing w:before="50" w:after="50" w:line="360" w:lineRule="exact"/>
        <w:ind w:firstLine="210" w:firstLineChars="100"/>
        <w:rPr>
          <w:rFonts w:hint="eastAsia" w:ascii="宋体"/>
          <w:color w:val="auto"/>
          <w:szCs w:val="21"/>
          <w:highlight w:val="none"/>
        </w:rPr>
      </w:pPr>
    </w:p>
    <w:p w14:paraId="7A234220">
      <w:pPr>
        <w:snapToGrid w:val="0"/>
        <w:spacing w:before="50" w:after="50" w:line="360" w:lineRule="exact"/>
        <w:ind w:firstLine="210" w:firstLineChars="100"/>
        <w:rPr>
          <w:rFonts w:hint="eastAsia" w:ascii="宋体"/>
          <w:color w:val="auto"/>
          <w:spacing w:val="20"/>
          <w:szCs w:val="21"/>
          <w:highlight w:val="none"/>
          <w:u w:val="single"/>
        </w:rPr>
      </w:pPr>
      <w:r>
        <w:rPr>
          <w:rFonts w:hint="eastAsia" w:ascii="宋体"/>
          <w:color w:val="auto"/>
          <w:szCs w:val="21"/>
          <w:highlight w:val="none"/>
        </w:rPr>
        <w:t>法定代表人（负责人）或委托代理人签字或盖章</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p>
    <w:p w14:paraId="384D86AC">
      <w:pPr>
        <w:snapToGrid w:val="0"/>
        <w:spacing w:before="50" w:after="50" w:line="360" w:lineRule="exact"/>
        <w:ind w:firstLine="210" w:firstLineChars="100"/>
        <w:rPr>
          <w:rFonts w:hint="eastAsia" w:ascii="宋体"/>
          <w:b/>
          <w:color w:val="auto"/>
          <w:szCs w:val="21"/>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r>
        <w:rPr>
          <w:rFonts w:hint="eastAsia" w:ascii="宋体"/>
          <w:color w:val="auto"/>
          <w:spacing w:val="20"/>
          <w:szCs w:val="21"/>
          <w:highlight w:val="none"/>
        </w:rPr>
        <w:t xml:space="preserve">                 日 期：</w:t>
      </w:r>
      <w:r>
        <w:rPr>
          <w:rFonts w:hint="eastAsia" w:ascii="宋体"/>
          <w:color w:val="auto"/>
          <w:spacing w:val="20"/>
          <w:szCs w:val="21"/>
          <w:highlight w:val="none"/>
          <w:u w:val="single"/>
        </w:rPr>
        <w:t xml:space="preserve">          </w:t>
      </w:r>
    </w:p>
    <w:p w14:paraId="113B6D96">
      <w:pPr>
        <w:spacing w:line="360" w:lineRule="exact"/>
        <w:rPr>
          <w:rFonts w:hint="eastAsia"/>
          <w:color w:val="auto"/>
          <w:highlight w:val="none"/>
        </w:rPr>
      </w:pPr>
    </w:p>
    <w:p w14:paraId="31778234">
      <w:pPr>
        <w:spacing w:line="360" w:lineRule="exact"/>
        <w:rPr>
          <w:rFonts w:hint="eastAsia"/>
          <w:color w:val="auto"/>
          <w:highlight w:val="none"/>
        </w:rPr>
      </w:pPr>
    </w:p>
    <w:p w14:paraId="6AC09E1E">
      <w:pPr>
        <w:spacing w:line="360" w:lineRule="exact"/>
        <w:rPr>
          <w:rFonts w:hint="eastAsia"/>
          <w:color w:val="auto"/>
          <w:highlight w:val="none"/>
        </w:rPr>
      </w:pPr>
      <w:r>
        <w:rPr>
          <w:rFonts w:hint="eastAsia"/>
          <w:color w:val="auto"/>
          <w:highlight w:val="none"/>
        </w:rPr>
        <w:t xml:space="preserve">    （6）招标项目采购需求中要求必须提供的材料等（招标项目采购需求中要求必须提供的材料，据实提供）</w:t>
      </w:r>
    </w:p>
    <w:p w14:paraId="50B50929">
      <w:pPr>
        <w:rPr>
          <w:rFonts w:hint="eastAsia"/>
          <w:color w:val="auto"/>
          <w:highlight w:val="none"/>
        </w:rPr>
      </w:pPr>
    </w:p>
    <w:p w14:paraId="230441E7">
      <w:pPr>
        <w:rPr>
          <w:rFonts w:hint="eastAsia"/>
          <w:color w:val="auto"/>
          <w:highlight w:val="none"/>
        </w:rPr>
      </w:pPr>
    </w:p>
    <w:p w14:paraId="39E6955B">
      <w:pPr>
        <w:rPr>
          <w:rFonts w:hint="eastAsia"/>
          <w:color w:val="auto"/>
          <w:highlight w:val="none"/>
        </w:rPr>
      </w:pPr>
      <w:r>
        <w:rPr>
          <w:rFonts w:hint="eastAsia"/>
          <w:color w:val="auto"/>
          <w:highlight w:val="none"/>
        </w:rPr>
        <w:t xml:space="preserve">    （7）具备法律、行政法规规定的其他条件的证明材料（格式自拟）</w:t>
      </w:r>
    </w:p>
    <w:p w14:paraId="11F3CF80">
      <w:pPr>
        <w:rPr>
          <w:rFonts w:hint="eastAsia"/>
          <w:color w:val="auto"/>
          <w:highlight w:val="none"/>
        </w:rPr>
      </w:pPr>
    </w:p>
    <w:p w14:paraId="50D46A13">
      <w:pPr>
        <w:rPr>
          <w:rFonts w:hint="eastAsia"/>
          <w:color w:val="auto"/>
          <w:highlight w:val="none"/>
        </w:rPr>
      </w:pPr>
    </w:p>
    <w:p w14:paraId="5B59C829">
      <w:pPr>
        <w:spacing w:line="360" w:lineRule="exact"/>
        <w:rPr>
          <w:color w:val="auto"/>
          <w:highlight w:val="none"/>
        </w:rPr>
      </w:pPr>
      <w:r>
        <w:rPr>
          <w:rFonts w:hint="eastAsia"/>
          <w:color w:val="auto"/>
          <w:highlight w:val="none"/>
        </w:rPr>
        <w:t xml:space="preserve">    </w:t>
      </w:r>
    </w:p>
    <w:p w14:paraId="7574B012">
      <w:pPr>
        <w:spacing w:line="360" w:lineRule="exact"/>
        <w:rPr>
          <w:rFonts w:hint="eastAsia" w:ascii="宋体"/>
          <w:color w:val="auto"/>
          <w:szCs w:val="21"/>
          <w:highlight w:val="none"/>
        </w:rPr>
      </w:pPr>
      <w:r>
        <w:rPr>
          <w:color w:val="auto"/>
          <w:highlight w:val="none"/>
        </w:rPr>
        <w:br w:type="page"/>
      </w:r>
      <w:r>
        <w:rPr>
          <w:rFonts w:hint="eastAsia"/>
          <w:color w:val="auto"/>
          <w:highlight w:val="none"/>
        </w:rPr>
        <w:t>（8）</w:t>
      </w:r>
      <w:r>
        <w:rPr>
          <w:rFonts w:hint="eastAsia" w:ascii="宋体"/>
          <w:color w:val="auto"/>
          <w:szCs w:val="21"/>
          <w:highlight w:val="none"/>
        </w:rPr>
        <w:t>类似成功案例的业绩（投标人同类项目实施情况一览表、合同扫描件等，格式可自行调整）；</w:t>
      </w:r>
    </w:p>
    <w:p w14:paraId="3E8BBBB9">
      <w:pPr>
        <w:spacing w:line="360" w:lineRule="exact"/>
        <w:rPr>
          <w:rFonts w:hint="eastAsia"/>
          <w:color w:val="auto"/>
          <w:highlight w:val="none"/>
        </w:rPr>
      </w:pP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5"/>
        <w:gridCol w:w="1985"/>
        <w:gridCol w:w="1701"/>
        <w:gridCol w:w="1134"/>
        <w:gridCol w:w="1559"/>
        <w:gridCol w:w="1806"/>
      </w:tblGrid>
      <w:tr w14:paraId="02B2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08FAD2CC">
            <w:pPr>
              <w:snapToGrid w:val="0"/>
              <w:spacing w:line="360" w:lineRule="exact"/>
              <w:jc w:val="center"/>
              <w:rPr>
                <w:rFonts w:hint="eastAsia" w:ascii="宋体"/>
                <w:color w:val="auto"/>
                <w:szCs w:val="21"/>
                <w:highlight w:val="none"/>
              </w:rPr>
            </w:pPr>
            <w:r>
              <w:rPr>
                <w:rFonts w:hint="eastAsia" w:ascii="宋体"/>
                <w:color w:val="auto"/>
                <w:szCs w:val="21"/>
                <w:highlight w:val="none"/>
              </w:rPr>
              <w:t>序号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39CC134">
            <w:pPr>
              <w:snapToGrid w:val="0"/>
              <w:spacing w:line="360" w:lineRule="exact"/>
              <w:jc w:val="center"/>
              <w:rPr>
                <w:rFonts w:hint="eastAsia" w:ascii="宋体"/>
                <w:color w:val="auto"/>
                <w:szCs w:val="21"/>
                <w:highlight w:val="none"/>
              </w:rPr>
            </w:pPr>
            <w:r>
              <w:rPr>
                <w:rFonts w:hint="eastAsia" w:ascii="宋体"/>
                <w:color w:val="auto"/>
                <w:szCs w:val="21"/>
                <w:highlight w:val="none"/>
              </w:rPr>
              <w:t>采购单位名称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8562740">
            <w:pPr>
              <w:snapToGrid w:val="0"/>
              <w:spacing w:line="360" w:lineRule="exact"/>
              <w:jc w:val="center"/>
              <w:rPr>
                <w:rFonts w:hint="eastAsia" w:ascii="宋体"/>
                <w:color w:val="auto"/>
                <w:szCs w:val="21"/>
                <w:highlight w:val="none"/>
              </w:rPr>
            </w:pPr>
            <w:r>
              <w:rPr>
                <w:rFonts w:hint="eastAsia" w:ascii="宋体"/>
                <w:color w:val="auto"/>
                <w:szCs w:val="21"/>
                <w:highlight w:val="none"/>
              </w:rPr>
              <w:t>服务或项目名称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E8F4AB">
            <w:pPr>
              <w:snapToGrid w:val="0"/>
              <w:spacing w:line="360" w:lineRule="exact"/>
              <w:jc w:val="center"/>
              <w:rPr>
                <w:rFonts w:hint="eastAsia" w:ascii="宋体"/>
                <w:color w:val="auto"/>
                <w:szCs w:val="21"/>
                <w:highlight w:val="none"/>
              </w:rPr>
            </w:pPr>
            <w:r>
              <w:rPr>
                <w:rFonts w:hint="eastAsia" w:ascii="宋体"/>
                <w:color w:val="auto"/>
                <w:szCs w:val="21"/>
                <w:highlight w:val="none"/>
              </w:rPr>
              <w:t>采购数量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0A105B3">
            <w:pPr>
              <w:snapToGrid w:val="0"/>
              <w:spacing w:line="360" w:lineRule="exact"/>
              <w:jc w:val="center"/>
              <w:rPr>
                <w:rFonts w:hint="eastAsia" w:ascii="宋体"/>
                <w:color w:val="auto"/>
                <w:szCs w:val="21"/>
                <w:highlight w:val="none"/>
              </w:rPr>
            </w:pPr>
            <w:r>
              <w:rPr>
                <w:rFonts w:hint="eastAsia" w:ascii="宋体"/>
                <w:color w:val="auto"/>
                <w:szCs w:val="21"/>
                <w:highlight w:val="none"/>
              </w:rPr>
              <w:t>合同金额</w:t>
            </w:r>
          </w:p>
        </w:tc>
        <w:tc>
          <w:tcPr>
            <w:tcW w:w="1806" w:type="dxa"/>
            <w:tcBorders>
              <w:top w:val="single" w:color="auto" w:sz="4" w:space="0"/>
              <w:left w:val="single" w:color="auto" w:sz="4" w:space="0"/>
              <w:right w:val="single" w:color="auto" w:sz="4" w:space="0"/>
            </w:tcBorders>
            <w:noWrap w:val="0"/>
            <w:vAlign w:val="center"/>
          </w:tcPr>
          <w:p w14:paraId="58687C93">
            <w:pPr>
              <w:snapToGrid w:val="0"/>
              <w:spacing w:line="360" w:lineRule="exact"/>
              <w:jc w:val="center"/>
              <w:rPr>
                <w:rFonts w:hint="eastAsia" w:ascii="宋体"/>
                <w:color w:val="auto"/>
                <w:szCs w:val="21"/>
                <w:highlight w:val="none"/>
              </w:rPr>
            </w:pPr>
            <w:r>
              <w:rPr>
                <w:rFonts w:hint="eastAsia" w:ascii="宋体"/>
                <w:color w:val="auto"/>
                <w:szCs w:val="21"/>
                <w:highlight w:val="none"/>
              </w:rPr>
              <w:t>采购单位联系人及联系电话</w:t>
            </w:r>
          </w:p>
        </w:tc>
      </w:tr>
      <w:tr w14:paraId="3A537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2F6D58EF">
            <w:pPr>
              <w:snapToGrid w:val="0"/>
              <w:spacing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34EE844">
            <w:pPr>
              <w:snapToGrid w:val="0"/>
              <w:spacing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52DCB50">
            <w:pPr>
              <w:snapToGrid w:val="0"/>
              <w:spacing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0A535AF">
            <w:pPr>
              <w:snapToGrid w:val="0"/>
              <w:spacing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2C094BF">
            <w:pPr>
              <w:snapToGrid w:val="0"/>
              <w:spacing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040AB05C">
            <w:pPr>
              <w:snapToGrid w:val="0"/>
              <w:spacing w:line="360" w:lineRule="exact"/>
              <w:jc w:val="left"/>
              <w:rPr>
                <w:rFonts w:hint="eastAsia" w:ascii="宋体"/>
                <w:color w:val="auto"/>
                <w:szCs w:val="21"/>
                <w:highlight w:val="none"/>
              </w:rPr>
            </w:pPr>
          </w:p>
        </w:tc>
      </w:tr>
      <w:tr w14:paraId="3B3F8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647AA620">
            <w:pP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D41D559">
            <w:pP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996E47B">
            <w:pP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246E9BA">
            <w:pP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B97CD61">
            <w:pP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6E356B59">
            <w:pPr>
              <w:snapToGrid w:val="0"/>
              <w:spacing w:before="50" w:after="156" w:afterLines="50" w:line="360" w:lineRule="exact"/>
              <w:jc w:val="left"/>
              <w:rPr>
                <w:rFonts w:hint="eastAsia" w:ascii="宋体"/>
                <w:color w:val="auto"/>
                <w:szCs w:val="21"/>
                <w:highlight w:val="none"/>
              </w:rPr>
            </w:pPr>
          </w:p>
        </w:tc>
      </w:tr>
      <w:tr w14:paraId="25DE5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294A715A">
            <w:pP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425B304">
            <w:pP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0D6F9BA">
            <w:pP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D78DC8C">
            <w:pP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9608EA3">
            <w:pP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1B5018F7">
            <w:pPr>
              <w:snapToGrid w:val="0"/>
              <w:spacing w:before="50" w:after="156" w:afterLines="50" w:line="360" w:lineRule="exact"/>
              <w:jc w:val="left"/>
              <w:rPr>
                <w:rFonts w:hint="eastAsia" w:ascii="宋体"/>
                <w:color w:val="auto"/>
                <w:szCs w:val="21"/>
                <w:highlight w:val="none"/>
              </w:rPr>
            </w:pPr>
          </w:p>
        </w:tc>
      </w:tr>
      <w:tr w14:paraId="746FE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161A9A81">
            <w:pP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42EE04F3">
            <w:pP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039259A">
            <w:pP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FDF51C1">
            <w:pP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4710BA8">
            <w:pP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47BEBF2E">
            <w:pPr>
              <w:snapToGrid w:val="0"/>
              <w:spacing w:before="50" w:after="156" w:afterLines="50" w:line="360" w:lineRule="exact"/>
              <w:jc w:val="left"/>
              <w:rPr>
                <w:rFonts w:hint="eastAsia" w:ascii="宋体"/>
                <w:color w:val="auto"/>
                <w:szCs w:val="21"/>
                <w:highlight w:val="none"/>
              </w:rPr>
            </w:pPr>
          </w:p>
        </w:tc>
      </w:tr>
      <w:tr w14:paraId="49D5B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37045B73">
            <w:pPr>
              <w:snapToGrid w:val="0"/>
              <w:spacing w:before="50" w:after="156" w:afterLines="50" w:line="360" w:lineRule="exact"/>
              <w:jc w:val="left"/>
              <w:rPr>
                <w:rFonts w:hint="eastAsia" w:ascii="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706ED20">
            <w:pPr>
              <w:snapToGrid w:val="0"/>
              <w:spacing w:before="50" w:after="156" w:afterLines="50" w:line="360" w:lineRule="exact"/>
              <w:jc w:val="left"/>
              <w:rPr>
                <w:rFonts w:hint="eastAsia" w:ascii="宋体"/>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61FC067">
            <w:pPr>
              <w:snapToGrid w:val="0"/>
              <w:spacing w:before="50" w:after="156" w:afterLines="50" w:line="360" w:lineRule="exact"/>
              <w:jc w:val="left"/>
              <w:rPr>
                <w:rFonts w:hint="eastAsia" w:asci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7E8B0FA">
            <w:pPr>
              <w:snapToGrid w:val="0"/>
              <w:spacing w:before="50" w:after="156" w:afterLines="50" w:line="360" w:lineRule="exact"/>
              <w:jc w:val="left"/>
              <w:rPr>
                <w:rFonts w:hint="eastAsia" w:ascii="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C620CDB">
            <w:pPr>
              <w:snapToGrid w:val="0"/>
              <w:spacing w:before="50" w:after="156" w:afterLines="50" w:line="360" w:lineRule="exact"/>
              <w:jc w:val="left"/>
              <w:rPr>
                <w:rFonts w:hint="eastAsia" w:ascii="宋体"/>
                <w:color w:val="auto"/>
                <w:szCs w:val="21"/>
                <w:highlight w:val="none"/>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49EBAF19">
            <w:pPr>
              <w:snapToGrid w:val="0"/>
              <w:spacing w:before="50" w:after="156" w:afterLines="50" w:line="360" w:lineRule="exact"/>
              <w:jc w:val="left"/>
              <w:rPr>
                <w:rFonts w:hint="eastAsia" w:ascii="宋体"/>
                <w:color w:val="auto"/>
                <w:szCs w:val="21"/>
                <w:highlight w:val="none"/>
              </w:rPr>
            </w:pPr>
          </w:p>
        </w:tc>
      </w:tr>
    </w:tbl>
    <w:p w14:paraId="6FE770FA">
      <w:pPr>
        <w:pStyle w:val="15"/>
        <w:snapToGrid w:val="0"/>
        <w:spacing w:line="360" w:lineRule="exact"/>
        <w:rPr>
          <w:rFonts w:hint="eastAsia" w:ascii="宋体" w:eastAsia="宋体"/>
          <w:color w:val="auto"/>
          <w:sz w:val="21"/>
          <w:szCs w:val="21"/>
          <w:highlight w:val="none"/>
        </w:rPr>
      </w:pPr>
    </w:p>
    <w:p w14:paraId="277FC34E">
      <w:pPr>
        <w:pStyle w:val="15"/>
        <w:snapToGrid w:val="0"/>
        <w:spacing w:line="360" w:lineRule="exact"/>
        <w:rPr>
          <w:rFonts w:hint="eastAsia" w:ascii="宋体" w:eastAsia="宋体"/>
          <w:color w:val="auto"/>
          <w:sz w:val="21"/>
          <w:szCs w:val="21"/>
          <w:highlight w:val="none"/>
          <w:u w:val="single"/>
        </w:rPr>
      </w:pPr>
      <w:r>
        <w:rPr>
          <w:rFonts w:hint="eastAsia" w:ascii="宋体" w:eastAsia="宋体"/>
          <w:color w:val="auto"/>
          <w:sz w:val="21"/>
          <w:szCs w:val="21"/>
          <w:highlight w:val="none"/>
        </w:rPr>
        <w:t xml:space="preserve">  法定代表人</w:t>
      </w:r>
      <w:r>
        <w:rPr>
          <w:rFonts w:hint="eastAsia" w:ascii="宋体" w:eastAsia="宋体"/>
          <w:color w:val="auto"/>
          <w:sz w:val="21"/>
          <w:szCs w:val="21"/>
          <w:highlight w:val="none"/>
          <w:lang w:eastAsia="zh-CN"/>
        </w:rPr>
        <w:t>（</w:t>
      </w:r>
      <w:r>
        <w:rPr>
          <w:rFonts w:hint="eastAsia" w:ascii="宋体" w:eastAsia="宋体"/>
          <w:color w:val="auto"/>
          <w:sz w:val="21"/>
          <w:szCs w:val="21"/>
          <w:highlight w:val="none"/>
        </w:rPr>
        <w:t>负责人</w:t>
      </w:r>
      <w:r>
        <w:rPr>
          <w:rFonts w:hint="eastAsia" w:ascii="宋体" w:eastAsia="宋体"/>
          <w:color w:val="auto"/>
          <w:sz w:val="21"/>
          <w:szCs w:val="21"/>
          <w:highlight w:val="none"/>
          <w:lang w:eastAsia="zh-CN"/>
        </w:rPr>
        <w:t>）</w:t>
      </w:r>
      <w:r>
        <w:rPr>
          <w:rFonts w:hint="eastAsia" w:ascii="宋体" w:eastAsia="宋体"/>
          <w:color w:val="auto"/>
          <w:sz w:val="21"/>
          <w:szCs w:val="21"/>
          <w:highlight w:val="none"/>
        </w:rPr>
        <w:t>签字或盖章：</w:t>
      </w:r>
      <w:r>
        <w:rPr>
          <w:rFonts w:hint="eastAsia" w:ascii="宋体" w:eastAsia="宋体"/>
          <w:color w:val="auto"/>
          <w:sz w:val="21"/>
          <w:szCs w:val="21"/>
          <w:highlight w:val="none"/>
          <w:u w:val="single"/>
        </w:rPr>
        <w:t>　　　    　　</w:t>
      </w:r>
    </w:p>
    <w:p w14:paraId="1C46E649">
      <w:pPr>
        <w:snapToGrid w:val="0"/>
        <w:spacing w:before="50" w:line="360" w:lineRule="exact"/>
        <w:jc w:val="left"/>
        <w:rPr>
          <w:rFonts w:hint="eastAsia" w:ascii="宋体"/>
          <w:color w:val="auto"/>
          <w:szCs w:val="21"/>
          <w:highlight w:val="none"/>
        </w:rPr>
      </w:pPr>
      <w:r>
        <w:rPr>
          <w:rFonts w:hint="eastAsia" w:ascii="宋体"/>
          <w:color w:val="auto"/>
          <w:szCs w:val="21"/>
          <w:highlight w:val="none"/>
        </w:rPr>
        <w:t xml:space="preserve">  </w:t>
      </w: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ascii="宋体"/>
          <w:color w:val="auto"/>
          <w:szCs w:val="21"/>
          <w:highlight w:val="none"/>
        </w:rPr>
        <w:t>：</w:t>
      </w:r>
      <w:r>
        <w:rPr>
          <w:rFonts w:hint="eastAsia" w:ascii="宋体"/>
          <w:color w:val="auto"/>
          <w:szCs w:val="21"/>
          <w:highlight w:val="none"/>
          <w:u w:val="single"/>
        </w:rPr>
        <w:t xml:space="preserve">                 </w:t>
      </w:r>
      <w:r>
        <w:rPr>
          <w:rFonts w:hint="eastAsia" w:ascii="宋体"/>
          <w:color w:val="auto"/>
          <w:szCs w:val="21"/>
          <w:highlight w:val="none"/>
        </w:rPr>
        <w:t xml:space="preserve">                                     年    月  日</w:t>
      </w:r>
    </w:p>
    <w:p w14:paraId="4CEAAA28">
      <w:pPr>
        <w:rPr>
          <w:rFonts w:hint="eastAsia"/>
          <w:color w:val="auto"/>
          <w:highlight w:val="none"/>
        </w:rPr>
      </w:pPr>
    </w:p>
    <w:p w14:paraId="09A0E7E4">
      <w:pPr>
        <w:rPr>
          <w:rFonts w:hint="eastAsia"/>
          <w:color w:val="auto"/>
          <w:highlight w:val="none"/>
        </w:rPr>
      </w:pPr>
    </w:p>
    <w:p w14:paraId="5031E6CF">
      <w:pPr>
        <w:spacing w:line="300" w:lineRule="exact"/>
        <w:ind w:firstLine="420"/>
        <w:rPr>
          <w:rFonts w:hint="eastAsia" w:ascii="宋体" w:hAnsi="宋体"/>
          <w:color w:val="auto"/>
          <w:highlight w:val="none"/>
        </w:rPr>
      </w:pPr>
      <w:r>
        <w:rPr>
          <w:rFonts w:hint="eastAsia" w:ascii="宋体" w:hAnsi="宋体"/>
          <w:color w:val="auto"/>
          <w:highlight w:val="none"/>
        </w:rPr>
        <w:t>（9）其他特殊资质证书；</w:t>
      </w:r>
    </w:p>
    <w:p w14:paraId="670C687E">
      <w:pPr>
        <w:spacing w:line="300" w:lineRule="exact"/>
        <w:ind w:firstLine="420"/>
        <w:rPr>
          <w:rFonts w:hint="eastAsia" w:ascii="宋体" w:hAnsi="宋体"/>
          <w:color w:val="auto"/>
          <w:highlight w:val="none"/>
        </w:rPr>
      </w:pPr>
    </w:p>
    <w:p w14:paraId="0F730C38">
      <w:pPr>
        <w:spacing w:line="300" w:lineRule="exact"/>
        <w:rPr>
          <w:rFonts w:hint="eastAsia" w:ascii="宋体" w:hAnsi="宋体"/>
          <w:color w:val="auto"/>
          <w:highlight w:val="none"/>
        </w:rPr>
      </w:pPr>
    </w:p>
    <w:p w14:paraId="3151E3DD">
      <w:pPr>
        <w:spacing w:line="300" w:lineRule="exact"/>
        <w:ind w:firstLine="405"/>
        <w:rPr>
          <w:rFonts w:hint="eastAsia" w:ascii="宋体" w:hAnsi="宋体"/>
          <w:color w:val="auto"/>
          <w:highlight w:val="none"/>
        </w:rPr>
      </w:pPr>
      <w:r>
        <w:rPr>
          <w:rFonts w:hint="eastAsia" w:ascii="宋体" w:hAnsi="宋体"/>
          <w:color w:val="auto"/>
          <w:highlight w:val="none"/>
        </w:rPr>
        <w:t>（10）投标人质量管理和质量保证体系等方面的认证证书</w:t>
      </w:r>
    </w:p>
    <w:p w14:paraId="18DFB222">
      <w:pPr>
        <w:spacing w:line="300" w:lineRule="exact"/>
        <w:ind w:firstLine="405"/>
        <w:rPr>
          <w:rFonts w:hint="eastAsia" w:ascii="宋体" w:hAnsi="宋体"/>
          <w:color w:val="auto"/>
          <w:highlight w:val="none"/>
        </w:rPr>
      </w:pPr>
    </w:p>
    <w:p w14:paraId="3CAD3349">
      <w:pPr>
        <w:spacing w:line="300" w:lineRule="exact"/>
        <w:rPr>
          <w:rFonts w:hint="eastAsia" w:ascii="宋体" w:hAnsi="宋体"/>
          <w:color w:val="auto"/>
          <w:highlight w:val="none"/>
        </w:rPr>
      </w:pPr>
    </w:p>
    <w:p w14:paraId="56C472E2">
      <w:pPr>
        <w:spacing w:line="300" w:lineRule="exact"/>
        <w:ind w:firstLine="405"/>
        <w:rPr>
          <w:rFonts w:hint="eastAsia" w:ascii="宋体" w:hAnsi="宋体"/>
          <w:color w:val="auto"/>
          <w:highlight w:val="none"/>
        </w:rPr>
      </w:pPr>
      <w:r>
        <w:rPr>
          <w:rFonts w:hint="eastAsia" w:ascii="宋体" w:hAnsi="宋体"/>
          <w:color w:val="auto"/>
          <w:highlight w:val="none"/>
        </w:rPr>
        <w:t>（11）投标人认为可以证明其能力或业绩的其他材料（格式自拟）</w:t>
      </w:r>
    </w:p>
    <w:p w14:paraId="702FEE9F">
      <w:pPr>
        <w:spacing w:line="300" w:lineRule="exact"/>
        <w:ind w:firstLine="405"/>
        <w:rPr>
          <w:rFonts w:hint="eastAsia" w:ascii="宋体" w:hAnsi="宋体"/>
          <w:color w:val="auto"/>
          <w:highlight w:val="none"/>
        </w:rPr>
      </w:pPr>
    </w:p>
    <w:p w14:paraId="609C3CC8">
      <w:pPr>
        <w:spacing w:line="300" w:lineRule="exact"/>
        <w:rPr>
          <w:rFonts w:hint="eastAsia" w:ascii="宋体" w:hAnsi="宋体"/>
          <w:color w:val="auto"/>
          <w:highlight w:val="none"/>
        </w:rPr>
      </w:pPr>
    </w:p>
    <w:p w14:paraId="06B3712D">
      <w:pPr>
        <w:spacing w:line="300" w:lineRule="exact"/>
        <w:ind w:firstLine="435"/>
        <w:rPr>
          <w:rFonts w:hint="eastAsia" w:ascii="宋体" w:hAnsi="宋体"/>
          <w:color w:val="auto"/>
          <w:szCs w:val="21"/>
          <w:highlight w:val="none"/>
        </w:rPr>
      </w:pPr>
      <w:r>
        <w:rPr>
          <w:rFonts w:hint="eastAsia" w:ascii="宋体" w:hAnsi="宋体"/>
          <w:color w:val="auto"/>
          <w:highlight w:val="none"/>
        </w:rPr>
        <w:t>（12）</w:t>
      </w:r>
      <w:r>
        <w:rPr>
          <w:rFonts w:hint="eastAsia" w:ascii="宋体" w:hAnsi="宋体"/>
          <w:color w:val="auto"/>
          <w:szCs w:val="21"/>
          <w:highlight w:val="none"/>
        </w:rPr>
        <w:t>投标人关于服务升级以及本单位债务纠纷、违法违规记录等方面的情况（内容见投标声明书）</w:t>
      </w:r>
    </w:p>
    <w:p w14:paraId="0B68A33E">
      <w:pPr>
        <w:spacing w:line="300" w:lineRule="exact"/>
        <w:ind w:firstLine="435"/>
        <w:rPr>
          <w:rFonts w:hint="eastAsia" w:ascii="宋体" w:hAnsi="宋体"/>
          <w:color w:val="auto"/>
          <w:highlight w:val="none"/>
        </w:rPr>
      </w:pPr>
    </w:p>
    <w:p w14:paraId="2B616068">
      <w:pPr>
        <w:snapToGrid w:val="0"/>
        <w:spacing w:line="300" w:lineRule="exact"/>
        <w:ind w:firstLine="411" w:firstLineChars="196"/>
        <w:jc w:val="left"/>
        <w:rPr>
          <w:rFonts w:hint="eastAsia" w:ascii="宋体" w:hAnsi="宋体"/>
          <w:color w:val="auto"/>
          <w:szCs w:val="21"/>
          <w:highlight w:val="none"/>
        </w:rPr>
      </w:pPr>
    </w:p>
    <w:p w14:paraId="0B160522">
      <w:pPr>
        <w:spacing w:line="300" w:lineRule="exact"/>
        <w:ind w:firstLine="435"/>
        <w:rPr>
          <w:rFonts w:hint="eastAsia" w:ascii="宋体" w:hAnsi="宋体"/>
          <w:color w:val="auto"/>
          <w:highlight w:val="none"/>
        </w:rPr>
      </w:pPr>
      <w:r>
        <w:rPr>
          <w:rFonts w:hint="eastAsia" w:ascii="宋体" w:hAnsi="宋体"/>
          <w:color w:val="auto"/>
          <w:highlight w:val="none"/>
        </w:rPr>
        <w:t>（13）投标人情况介绍（主要服务、技术力量、企业规模、经营业绩等，格式自拟）</w:t>
      </w:r>
    </w:p>
    <w:p w14:paraId="58911C70">
      <w:pPr>
        <w:spacing w:line="300" w:lineRule="exact"/>
        <w:ind w:firstLine="435"/>
        <w:rPr>
          <w:rFonts w:hint="eastAsia" w:ascii="宋体" w:hAnsi="宋体"/>
          <w:color w:val="auto"/>
          <w:highlight w:val="none"/>
        </w:rPr>
      </w:pPr>
    </w:p>
    <w:p w14:paraId="1F639B83">
      <w:pPr>
        <w:spacing w:line="300" w:lineRule="exact"/>
        <w:ind w:firstLine="435"/>
        <w:rPr>
          <w:rFonts w:hint="eastAsia" w:ascii="宋体" w:hAnsi="宋体"/>
          <w:color w:val="auto"/>
          <w:highlight w:val="none"/>
        </w:rPr>
      </w:pPr>
    </w:p>
    <w:p w14:paraId="39DD8A8B">
      <w:pPr>
        <w:snapToGrid w:val="0"/>
        <w:spacing w:line="300" w:lineRule="exact"/>
        <w:ind w:firstLine="411" w:firstLineChars="196"/>
        <w:jc w:val="left"/>
        <w:rPr>
          <w:rFonts w:hint="eastAsia" w:ascii="宋体" w:hAnsi="宋体"/>
          <w:color w:val="auto"/>
          <w:szCs w:val="21"/>
          <w:highlight w:val="none"/>
        </w:rPr>
      </w:pPr>
      <w:r>
        <w:rPr>
          <w:rFonts w:hint="eastAsia" w:ascii="宋体"/>
          <w:color w:val="auto"/>
          <w:szCs w:val="21"/>
          <w:highlight w:val="none"/>
        </w:rPr>
        <w:t>（14）投标人认为需要提供的其他材料。</w:t>
      </w:r>
    </w:p>
    <w:p w14:paraId="29A71222">
      <w:pPr>
        <w:snapToGrid w:val="0"/>
        <w:spacing w:line="300" w:lineRule="exact"/>
        <w:ind w:firstLine="411" w:firstLineChars="196"/>
        <w:jc w:val="left"/>
        <w:rPr>
          <w:rFonts w:hint="eastAsia" w:asci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（15</w:t>
      </w:r>
      <w:r>
        <w:rPr>
          <w:rFonts w:hint="eastAsia" w:ascii="宋体"/>
          <w:color w:val="auto"/>
          <w:szCs w:val="21"/>
          <w:highlight w:val="none"/>
        </w:rPr>
        <w:t>）中小企业声明函。</w:t>
      </w:r>
    </w:p>
    <w:p w14:paraId="4115D773">
      <w:pPr>
        <w:pStyle w:val="25"/>
        <w:spacing w:line="440" w:lineRule="exact"/>
        <w:jc w:val="center"/>
        <w:rPr>
          <w:rFonts w:hint="eastAsia" w:hAnsi="宋体"/>
          <w:b/>
          <w:bCs/>
          <w:color w:val="auto"/>
          <w:sz w:val="30"/>
          <w:szCs w:val="30"/>
          <w:highlight w:val="none"/>
          <w:lang w:eastAsia="zh-CN"/>
        </w:rPr>
      </w:pPr>
      <w:r>
        <w:rPr>
          <w:rFonts w:hAnsi="宋体"/>
          <w:b/>
          <w:bCs/>
          <w:color w:val="auto"/>
          <w:sz w:val="30"/>
          <w:szCs w:val="30"/>
          <w:highlight w:val="none"/>
        </w:rPr>
        <w:t>中小企业声明函（</w:t>
      </w:r>
      <w:r>
        <w:rPr>
          <w:rFonts w:hint="eastAsia" w:hAnsi="宋体"/>
          <w:b/>
          <w:bCs/>
          <w:color w:val="auto"/>
          <w:sz w:val="30"/>
          <w:szCs w:val="30"/>
          <w:highlight w:val="none"/>
          <w:lang w:eastAsia="zh-CN"/>
        </w:rPr>
        <w:t>服务</w:t>
      </w:r>
      <w:r>
        <w:rPr>
          <w:rFonts w:hAnsi="宋体"/>
          <w:b/>
          <w:bCs/>
          <w:color w:val="auto"/>
          <w:sz w:val="30"/>
          <w:szCs w:val="30"/>
          <w:highlight w:val="none"/>
        </w:rPr>
        <w:t>）</w:t>
      </w:r>
    </w:p>
    <w:p w14:paraId="162D5031">
      <w:pPr>
        <w:spacing w:line="440" w:lineRule="exact"/>
        <w:rPr>
          <w:color w:val="auto"/>
          <w:highlight w:val="none"/>
        </w:rPr>
      </w:pPr>
    </w:p>
    <w:p w14:paraId="26BE6071">
      <w:pPr>
        <w:pStyle w:val="25"/>
        <w:spacing w:line="440" w:lineRule="exact"/>
        <w:ind w:firstLine="500" w:firstLineChars="250"/>
        <w:jc w:val="left"/>
        <w:rPr>
          <w:rFonts w:hint="eastAsia"/>
          <w:color w:val="auto"/>
          <w:highlight w:val="none"/>
          <w:lang w:val="en-US" w:eastAsia="zh-CN"/>
        </w:rPr>
      </w:pPr>
      <w:r>
        <w:rPr>
          <w:rFonts w:hint="eastAsia"/>
          <w:color w:val="auto"/>
          <w:highlight w:val="none"/>
          <w:lang w:val="en-US" w:eastAsia="zh-CN"/>
        </w:rPr>
        <w:t>本公司（联合体）郑重声明，根据《政府采购促进中小企业发展管理办法》（财库﹝2020﹞46 号）的规定，本公司（联合体）参加</w:t>
      </w:r>
      <w:r>
        <w:rPr>
          <w:rFonts w:hint="eastAsia"/>
          <w:color w:val="auto"/>
          <w:highlight w:val="none"/>
          <w:u w:val="single"/>
          <w:lang w:val="en-US" w:eastAsia="zh-CN"/>
        </w:rPr>
        <w:t>（单位名称）</w:t>
      </w:r>
      <w:r>
        <w:rPr>
          <w:rFonts w:hint="eastAsia"/>
          <w:color w:val="auto"/>
          <w:highlight w:val="none"/>
          <w:lang w:val="en-US" w:eastAsia="zh-CN"/>
        </w:rPr>
        <w:t>的</w:t>
      </w:r>
      <w:r>
        <w:rPr>
          <w:rFonts w:hint="eastAsia"/>
          <w:color w:val="auto"/>
          <w:highlight w:val="none"/>
          <w:u w:val="single"/>
          <w:lang w:val="en-US" w:eastAsia="zh-CN"/>
        </w:rPr>
        <w:t>（项目名称）</w:t>
      </w:r>
      <w:r>
        <w:rPr>
          <w:rFonts w:hint="eastAsia"/>
          <w:color w:val="auto"/>
          <w:highlight w:val="none"/>
          <w:lang w:val="en-US" w:eastAsia="zh-CN"/>
        </w:rPr>
        <w:t>采购活动，服务全部由符合政策要求的中小企业承接。相关企业（含联合体中的中小企业、签订分包意向协议的中小企业）的具体情况如下：</w:t>
      </w:r>
    </w:p>
    <w:p w14:paraId="716CCA98">
      <w:pPr>
        <w:pStyle w:val="25"/>
        <w:spacing w:line="440" w:lineRule="exact"/>
        <w:ind w:firstLine="400" w:firstLineChars="200"/>
        <w:jc w:val="left"/>
        <w:rPr>
          <w:rFonts w:hint="eastAsia"/>
          <w:color w:val="auto"/>
          <w:highlight w:val="none"/>
          <w:lang w:val="en-US" w:eastAsia="zh-CN"/>
        </w:rPr>
      </w:pPr>
      <w:r>
        <w:rPr>
          <w:rFonts w:hint="eastAsia"/>
          <w:color w:val="auto"/>
          <w:highlight w:val="none"/>
          <w:lang w:val="en-US" w:eastAsia="zh-CN"/>
        </w:rPr>
        <w:t>1.</w:t>
      </w:r>
      <w:r>
        <w:rPr>
          <w:rFonts w:hint="eastAsia"/>
          <w:color w:val="auto"/>
          <w:highlight w:val="none"/>
          <w:u w:val="single"/>
          <w:lang w:val="en-US" w:eastAsia="zh-CN"/>
        </w:rPr>
        <w:t xml:space="preserve">（标的名称） </w:t>
      </w:r>
      <w:r>
        <w:rPr>
          <w:rFonts w:hint="eastAsia"/>
          <w:color w:val="auto"/>
          <w:highlight w:val="none"/>
          <w:lang w:val="en-US" w:eastAsia="zh-CN"/>
        </w:rPr>
        <w:t>，属于</w:t>
      </w:r>
      <w:r>
        <w:rPr>
          <w:rFonts w:hint="eastAsia"/>
          <w:color w:val="auto"/>
          <w:highlight w:val="none"/>
          <w:u w:val="single"/>
          <w:lang w:val="en-US" w:eastAsia="zh-CN"/>
        </w:rPr>
        <w:t>（采购文件中明确的所属行业）</w:t>
      </w:r>
      <w:r>
        <w:rPr>
          <w:rFonts w:hint="eastAsia"/>
          <w:color w:val="auto"/>
          <w:highlight w:val="none"/>
          <w:lang w:val="en-US" w:eastAsia="zh-CN"/>
        </w:rPr>
        <w:t>；承接企业为</w:t>
      </w:r>
      <w:r>
        <w:rPr>
          <w:rFonts w:hint="eastAsia"/>
          <w:color w:val="auto"/>
          <w:highlight w:val="none"/>
          <w:u w:val="single"/>
          <w:lang w:val="en-US" w:eastAsia="zh-CN"/>
        </w:rPr>
        <w:t>（企业名称）</w:t>
      </w:r>
      <w:r>
        <w:rPr>
          <w:rFonts w:hint="eastAsia"/>
          <w:color w:val="auto"/>
          <w:highlight w:val="none"/>
          <w:lang w:val="en-US" w:eastAsia="zh-CN"/>
        </w:rPr>
        <w:t>，从业人员</w:t>
      </w:r>
      <w:r>
        <w:rPr>
          <w:rFonts w:hint="eastAsia"/>
          <w:color w:val="auto"/>
          <w:highlight w:val="none"/>
          <w:u w:val="single"/>
          <w:lang w:val="en-US" w:eastAsia="zh-CN"/>
        </w:rPr>
        <w:t xml:space="preserve">     </w:t>
      </w:r>
      <w:r>
        <w:rPr>
          <w:rFonts w:hint="eastAsia"/>
          <w:color w:val="auto"/>
          <w:highlight w:val="none"/>
          <w:lang w:val="en-US" w:eastAsia="zh-CN"/>
        </w:rPr>
        <w:t>人，营业收入为</w:t>
      </w:r>
      <w:r>
        <w:rPr>
          <w:rFonts w:hint="eastAsia"/>
          <w:color w:val="auto"/>
          <w:highlight w:val="none"/>
          <w:u w:val="single"/>
          <w:lang w:val="en-US" w:eastAsia="zh-CN"/>
        </w:rPr>
        <w:t xml:space="preserve">     </w:t>
      </w:r>
      <w:r>
        <w:rPr>
          <w:rFonts w:hint="eastAsia"/>
          <w:color w:val="auto"/>
          <w:highlight w:val="none"/>
          <w:lang w:val="en-US" w:eastAsia="zh-CN"/>
        </w:rPr>
        <w:t>万元，资产总额为</w:t>
      </w:r>
      <w:r>
        <w:rPr>
          <w:rFonts w:hint="eastAsia"/>
          <w:color w:val="auto"/>
          <w:highlight w:val="none"/>
          <w:u w:val="single"/>
          <w:lang w:val="en-US" w:eastAsia="zh-CN"/>
        </w:rPr>
        <w:t xml:space="preserve">     </w:t>
      </w:r>
      <w:r>
        <w:rPr>
          <w:rFonts w:hint="eastAsia"/>
          <w:color w:val="auto"/>
          <w:highlight w:val="none"/>
          <w:lang w:val="en-US" w:eastAsia="zh-CN"/>
        </w:rPr>
        <w:t>万元，属于</w:t>
      </w:r>
      <w:r>
        <w:rPr>
          <w:rFonts w:hint="eastAsia"/>
          <w:color w:val="auto"/>
          <w:highlight w:val="none"/>
          <w:u w:val="single"/>
          <w:lang w:val="en-US" w:eastAsia="zh-CN"/>
        </w:rPr>
        <w:t>（中型企业、小型企业、微型企业）</w:t>
      </w:r>
      <w:r>
        <w:rPr>
          <w:rFonts w:hint="eastAsia"/>
          <w:color w:val="auto"/>
          <w:highlight w:val="none"/>
          <w:lang w:val="en-US" w:eastAsia="zh-CN"/>
        </w:rPr>
        <w:t xml:space="preserve">； </w:t>
      </w:r>
    </w:p>
    <w:p w14:paraId="1F5FA837">
      <w:pPr>
        <w:pStyle w:val="25"/>
        <w:spacing w:line="440" w:lineRule="exact"/>
        <w:ind w:firstLine="400" w:firstLineChars="200"/>
        <w:jc w:val="left"/>
        <w:rPr>
          <w:rFonts w:hint="eastAsia"/>
          <w:color w:val="auto"/>
          <w:highlight w:val="none"/>
          <w:lang w:val="en-US" w:eastAsia="zh-CN"/>
        </w:rPr>
      </w:pPr>
      <w:r>
        <w:rPr>
          <w:rFonts w:hint="eastAsia"/>
          <w:color w:val="auto"/>
          <w:highlight w:val="none"/>
          <w:lang w:val="en-US" w:eastAsia="zh-CN"/>
        </w:rPr>
        <w:t>2.</w:t>
      </w:r>
      <w:r>
        <w:rPr>
          <w:rFonts w:hint="eastAsia"/>
          <w:color w:val="auto"/>
          <w:highlight w:val="none"/>
          <w:u w:val="single"/>
          <w:lang w:val="en-US" w:eastAsia="zh-CN"/>
        </w:rPr>
        <w:t xml:space="preserve">（标的名称） </w:t>
      </w:r>
      <w:r>
        <w:rPr>
          <w:rFonts w:hint="eastAsia"/>
          <w:color w:val="auto"/>
          <w:highlight w:val="none"/>
          <w:lang w:val="en-US" w:eastAsia="zh-CN"/>
        </w:rPr>
        <w:t>，属于</w:t>
      </w:r>
      <w:r>
        <w:rPr>
          <w:rFonts w:hint="eastAsia"/>
          <w:color w:val="auto"/>
          <w:highlight w:val="none"/>
          <w:u w:val="single"/>
          <w:lang w:val="en-US" w:eastAsia="zh-CN"/>
        </w:rPr>
        <w:t>（采购文件中明确的所属行业）</w:t>
      </w:r>
      <w:r>
        <w:rPr>
          <w:rFonts w:hint="eastAsia"/>
          <w:color w:val="auto"/>
          <w:highlight w:val="none"/>
          <w:lang w:val="en-US" w:eastAsia="zh-CN"/>
        </w:rPr>
        <w:t>；承接企业为（企业名称），从业人员</w:t>
      </w:r>
      <w:r>
        <w:rPr>
          <w:rFonts w:hint="eastAsia"/>
          <w:color w:val="auto"/>
          <w:highlight w:val="none"/>
          <w:u w:val="single"/>
          <w:lang w:val="en-US" w:eastAsia="zh-CN"/>
        </w:rPr>
        <w:t xml:space="preserve">     </w:t>
      </w:r>
      <w:r>
        <w:rPr>
          <w:rFonts w:hint="eastAsia"/>
          <w:color w:val="auto"/>
          <w:highlight w:val="none"/>
          <w:lang w:val="en-US" w:eastAsia="zh-CN"/>
        </w:rPr>
        <w:t>人，营业收入为</w:t>
      </w:r>
      <w:r>
        <w:rPr>
          <w:rFonts w:hint="eastAsia"/>
          <w:color w:val="auto"/>
          <w:highlight w:val="none"/>
          <w:u w:val="single"/>
          <w:lang w:val="en-US" w:eastAsia="zh-CN"/>
        </w:rPr>
        <w:t xml:space="preserve">     </w:t>
      </w:r>
      <w:r>
        <w:rPr>
          <w:rFonts w:hint="eastAsia"/>
          <w:color w:val="auto"/>
          <w:highlight w:val="none"/>
          <w:lang w:val="en-US" w:eastAsia="zh-CN"/>
        </w:rPr>
        <w:t>万元，资产总额为</w:t>
      </w:r>
      <w:r>
        <w:rPr>
          <w:rFonts w:hint="eastAsia"/>
          <w:color w:val="auto"/>
          <w:highlight w:val="none"/>
          <w:u w:val="single"/>
          <w:lang w:val="en-US" w:eastAsia="zh-CN"/>
        </w:rPr>
        <w:t xml:space="preserve">     </w:t>
      </w:r>
      <w:r>
        <w:rPr>
          <w:rFonts w:hint="eastAsia"/>
          <w:color w:val="auto"/>
          <w:highlight w:val="none"/>
          <w:lang w:val="en-US" w:eastAsia="zh-CN"/>
        </w:rPr>
        <w:t>万元，属于</w:t>
      </w:r>
      <w:r>
        <w:rPr>
          <w:rFonts w:hint="eastAsia"/>
          <w:color w:val="auto"/>
          <w:highlight w:val="none"/>
          <w:u w:val="single"/>
          <w:lang w:val="en-US" w:eastAsia="zh-CN"/>
        </w:rPr>
        <w:t>（中型企业、小型企业、微型企业）</w:t>
      </w:r>
      <w:r>
        <w:rPr>
          <w:rFonts w:hint="eastAsia"/>
          <w:color w:val="auto"/>
          <w:highlight w:val="none"/>
          <w:lang w:val="en-US" w:eastAsia="zh-CN"/>
        </w:rPr>
        <w:t>；</w:t>
      </w:r>
    </w:p>
    <w:p w14:paraId="3D19FC76">
      <w:pPr>
        <w:pStyle w:val="25"/>
        <w:spacing w:line="440" w:lineRule="exact"/>
        <w:ind w:firstLine="400" w:firstLineChars="200"/>
        <w:jc w:val="left"/>
        <w:rPr>
          <w:rFonts w:hint="eastAsia"/>
          <w:color w:val="auto"/>
          <w:highlight w:val="none"/>
          <w:lang w:val="en-US" w:eastAsia="zh-CN"/>
        </w:rPr>
      </w:pPr>
      <w:r>
        <w:rPr>
          <w:rFonts w:hint="eastAsia"/>
          <w:color w:val="auto"/>
          <w:highlight w:val="none"/>
          <w:lang w:val="en-US" w:eastAsia="zh-CN"/>
        </w:rPr>
        <w:t>……</w:t>
      </w:r>
    </w:p>
    <w:p w14:paraId="1281B2FC">
      <w:pPr>
        <w:pStyle w:val="25"/>
        <w:spacing w:line="440" w:lineRule="exact"/>
        <w:ind w:firstLine="400" w:firstLineChars="200"/>
        <w:jc w:val="left"/>
        <w:rPr>
          <w:rFonts w:hint="eastAsia"/>
          <w:color w:val="auto"/>
          <w:highlight w:val="none"/>
          <w:lang w:val="en-US" w:eastAsia="zh-CN"/>
        </w:rPr>
      </w:pPr>
      <w:r>
        <w:rPr>
          <w:rFonts w:hint="eastAsia"/>
          <w:color w:val="auto"/>
          <w:highlight w:val="none"/>
          <w:lang w:val="en-US" w:eastAsia="zh-CN"/>
        </w:rPr>
        <w:t>以上企业，不属于大企业的分支机构，不存在控股股东为大企业的情形，也不存在与大企业的负责人为同一人的情形。</w:t>
      </w:r>
    </w:p>
    <w:p w14:paraId="519E5F32">
      <w:pPr>
        <w:pStyle w:val="25"/>
        <w:spacing w:line="440" w:lineRule="exact"/>
        <w:ind w:firstLine="400" w:firstLineChars="200"/>
        <w:jc w:val="left"/>
        <w:rPr>
          <w:rFonts w:hint="eastAsia"/>
          <w:color w:val="auto"/>
          <w:highlight w:val="none"/>
          <w:lang w:val="en-US" w:eastAsia="zh-CN"/>
        </w:rPr>
      </w:pPr>
      <w:r>
        <w:rPr>
          <w:rFonts w:hint="eastAsia"/>
          <w:color w:val="auto"/>
          <w:highlight w:val="none"/>
          <w:lang w:val="en-US" w:eastAsia="zh-CN"/>
        </w:rPr>
        <w:t>本企业对上述声明内容的真实性负责。如有虚假，将依法承担相应责任。</w:t>
      </w:r>
    </w:p>
    <w:p w14:paraId="014EB84C">
      <w:pPr>
        <w:pStyle w:val="25"/>
        <w:spacing w:line="440" w:lineRule="exact"/>
        <w:ind w:firstLine="400" w:firstLineChars="200"/>
        <w:jc w:val="left"/>
        <w:rPr>
          <w:rFonts w:hint="eastAsia"/>
          <w:color w:val="auto"/>
          <w:highlight w:val="none"/>
          <w:lang w:val="en-US" w:eastAsia="zh-CN"/>
        </w:rPr>
      </w:pPr>
    </w:p>
    <w:p w14:paraId="5C092D21">
      <w:pPr>
        <w:pStyle w:val="25"/>
        <w:spacing w:line="440" w:lineRule="exact"/>
        <w:ind w:firstLine="4400" w:firstLineChars="2200"/>
        <w:jc w:val="left"/>
        <w:rPr>
          <w:rFonts w:hint="eastAsia"/>
          <w:color w:val="auto"/>
          <w:highlight w:val="none"/>
          <w:lang w:val="en-US" w:eastAsia="zh-CN"/>
        </w:rPr>
      </w:pPr>
      <w:r>
        <w:rPr>
          <w:rFonts w:hint="eastAsia"/>
          <w:color w:val="auto"/>
          <w:highlight w:val="none"/>
          <w:lang w:val="en-US" w:eastAsia="zh-CN"/>
        </w:rPr>
        <w:t>企业名称（盖章）：</w:t>
      </w:r>
    </w:p>
    <w:p w14:paraId="1D03A461">
      <w:pPr>
        <w:pStyle w:val="25"/>
        <w:spacing w:line="440" w:lineRule="exact"/>
        <w:ind w:firstLine="4400" w:firstLineChars="2200"/>
        <w:jc w:val="left"/>
        <w:rPr>
          <w:rFonts w:hint="eastAsia"/>
          <w:color w:val="auto"/>
          <w:highlight w:val="none"/>
          <w:lang w:val="en-US" w:eastAsia="zh-CN"/>
        </w:rPr>
      </w:pPr>
      <w:r>
        <w:rPr>
          <w:rFonts w:hint="eastAsia"/>
          <w:color w:val="auto"/>
          <w:highlight w:val="none"/>
          <w:lang w:val="en-US" w:eastAsia="zh-CN"/>
        </w:rPr>
        <w:t>日 期：</w:t>
      </w:r>
    </w:p>
    <w:p w14:paraId="4245D0BD">
      <w:pPr>
        <w:snapToGrid w:val="0"/>
        <w:spacing w:line="380" w:lineRule="exact"/>
        <w:ind w:firstLine="411" w:firstLineChars="196"/>
        <w:jc w:val="left"/>
        <w:rPr>
          <w:rFonts w:hint="eastAsia" w:ascii="宋体"/>
          <w:color w:val="auto"/>
          <w:szCs w:val="21"/>
          <w:highlight w:val="none"/>
        </w:rPr>
      </w:pPr>
    </w:p>
    <w:p w14:paraId="7CADFCBD">
      <w:pPr>
        <w:snapToGrid w:val="0"/>
        <w:spacing w:line="340" w:lineRule="exact"/>
        <w:ind w:firstLine="352" w:firstLineChars="196"/>
        <w:jc w:val="left"/>
        <w:rPr>
          <w:rFonts w:hint="eastAsia"/>
          <w:color w:val="auto"/>
          <w:sz w:val="18"/>
          <w:szCs w:val="18"/>
          <w:highlight w:val="none"/>
        </w:rPr>
      </w:pPr>
      <w:r>
        <w:rPr>
          <w:rFonts w:hint="eastAsia"/>
          <w:color w:val="auto"/>
          <w:sz w:val="18"/>
          <w:szCs w:val="18"/>
          <w:highlight w:val="none"/>
        </w:rPr>
        <w:t>注：1、从业人员、营业收入、资产总额填报上一年度数据，无上一年度数据的新成立企业可不填报。</w:t>
      </w:r>
    </w:p>
    <w:p w14:paraId="25A67C83">
      <w:pPr>
        <w:snapToGrid w:val="0"/>
        <w:spacing w:line="340" w:lineRule="exact"/>
        <w:ind w:firstLine="712" w:firstLineChars="396"/>
        <w:jc w:val="left"/>
        <w:rPr>
          <w:rFonts w:hint="eastAsia"/>
          <w:color w:val="auto"/>
          <w:sz w:val="18"/>
          <w:szCs w:val="18"/>
          <w:highlight w:val="none"/>
        </w:rPr>
      </w:pPr>
      <w:r>
        <w:rPr>
          <w:rFonts w:hint="eastAsia"/>
          <w:color w:val="auto"/>
          <w:sz w:val="18"/>
          <w:szCs w:val="18"/>
          <w:highlight w:val="none"/>
          <w:lang w:eastAsia="zh-CN"/>
        </w:rPr>
        <w:t>2.</w:t>
      </w:r>
      <w:r>
        <w:rPr>
          <w:rFonts w:hint="eastAsia"/>
          <w:color w:val="auto"/>
          <w:sz w:val="18"/>
          <w:szCs w:val="18"/>
          <w:highlight w:val="none"/>
        </w:rPr>
        <w:t>请根据自己的真实情况出具《中小企业声明函》。依法享受中小企业优惠政策的，采购人或者采购代理机构在公告中标结果时，同时公告其《中小企业声明函》，接受社会监督。</w:t>
      </w:r>
    </w:p>
    <w:p w14:paraId="16D8AB81">
      <w:pPr>
        <w:snapToGrid w:val="0"/>
        <w:spacing w:line="340" w:lineRule="exact"/>
        <w:ind w:firstLine="712" w:firstLineChars="396"/>
        <w:jc w:val="left"/>
        <w:rPr>
          <w:rFonts w:hint="eastAsia" w:ascii="宋体"/>
          <w:color w:val="auto"/>
          <w:szCs w:val="21"/>
          <w:highlight w:val="none"/>
        </w:rPr>
      </w:pPr>
      <w:r>
        <w:rPr>
          <w:rFonts w:hint="eastAsia"/>
          <w:color w:val="auto"/>
          <w:sz w:val="18"/>
          <w:szCs w:val="18"/>
          <w:highlight w:val="none"/>
          <w:lang w:eastAsia="zh-CN"/>
        </w:rPr>
        <w:t>3.</w:t>
      </w:r>
      <w:r>
        <w:rPr>
          <w:rFonts w:hint="eastAsia"/>
          <w:color w:val="auto"/>
          <w:sz w:val="18"/>
          <w:szCs w:val="18"/>
          <w:highlight w:val="none"/>
        </w:rPr>
        <w:t>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4EB37158">
      <w:pPr>
        <w:spacing w:line="528" w:lineRule="exact"/>
        <w:ind w:left="1871" w:leftChars="891" w:firstLine="525" w:firstLineChars="250"/>
        <w:rPr>
          <w:rFonts w:hint="eastAsia" w:ascii="宋体"/>
          <w:color w:val="auto"/>
          <w:sz w:val="18"/>
          <w:szCs w:val="18"/>
          <w:highlight w:val="none"/>
        </w:rPr>
      </w:pPr>
      <w:r>
        <w:rPr>
          <w:color w:val="auto"/>
          <w:highlight w:val="none"/>
        </w:rPr>
        <w:br w:type="page"/>
      </w:r>
    </w:p>
    <w:p w14:paraId="4CA16546">
      <w:pPr>
        <w:spacing w:line="528" w:lineRule="exact"/>
        <w:ind w:firstLine="2400" w:firstLineChars="600"/>
        <w:rPr>
          <w:rFonts w:ascii="宋体" w:hAnsi="宋体" w:cs="Arial Unicode MS"/>
          <w:color w:val="auto"/>
          <w:sz w:val="40"/>
          <w:szCs w:val="40"/>
          <w:highlight w:val="none"/>
        </w:rPr>
      </w:pPr>
      <w:r>
        <w:rPr>
          <w:rFonts w:hint="eastAsia" w:ascii="宋体" w:hAnsi="宋体" w:cs="微软雅黑"/>
          <w:color w:val="auto"/>
          <w:sz w:val="40"/>
          <w:szCs w:val="40"/>
          <w:highlight w:val="none"/>
        </w:rPr>
        <w:t>中小微企业划型标准</w:t>
      </w:r>
    </w:p>
    <w:tbl>
      <w:tblPr>
        <w:tblStyle w:val="47"/>
        <w:tblW w:w="8857" w:type="dxa"/>
        <w:tblInd w:w="250" w:type="dxa"/>
        <w:tblLayout w:type="fixed"/>
        <w:tblCellMar>
          <w:top w:w="0" w:type="dxa"/>
          <w:left w:w="108" w:type="dxa"/>
          <w:bottom w:w="0" w:type="dxa"/>
          <w:right w:w="108" w:type="dxa"/>
        </w:tblCellMar>
      </w:tblPr>
      <w:tblGrid>
        <w:gridCol w:w="1887"/>
        <w:gridCol w:w="1536"/>
        <w:gridCol w:w="1013"/>
        <w:gridCol w:w="1797"/>
        <w:gridCol w:w="1597"/>
        <w:gridCol w:w="1027"/>
      </w:tblGrid>
      <w:tr w14:paraId="0D17A815">
        <w:tblPrEx>
          <w:tblCellMar>
            <w:top w:w="0" w:type="dxa"/>
            <w:left w:w="108" w:type="dxa"/>
            <w:bottom w:w="0" w:type="dxa"/>
            <w:right w:w="108" w:type="dxa"/>
          </w:tblCellMar>
        </w:tblPrEx>
        <w:trPr>
          <w:trHeight w:val="903" w:hRule="atLeast"/>
        </w:trPr>
        <w:tc>
          <w:tcPr>
            <w:tcW w:w="1887" w:type="dxa"/>
            <w:tcBorders>
              <w:top w:val="single" w:color="auto" w:sz="4" w:space="0"/>
              <w:left w:val="single" w:color="auto" w:sz="4" w:space="0"/>
              <w:bottom w:val="single" w:color="auto" w:sz="4" w:space="0"/>
              <w:right w:val="single" w:color="auto" w:sz="4" w:space="0"/>
            </w:tcBorders>
            <w:noWrap w:val="0"/>
            <w:vAlign w:val="center"/>
          </w:tcPr>
          <w:p w14:paraId="69BC3647">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536" w:type="dxa"/>
            <w:tcBorders>
              <w:top w:val="single" w:color="auto" w:sz="4" w:space="0"/>
              <w:left w:val="nil"/>
              <w:bottom w:val="single" w:color="auto" w:sz="4" w:space="0"/>
              <w:right w:val="single" w:color="auto" w:sz="4" w:space="0"/>
            </w:tcBorders>
            <w:noWrap w:val="0"/>
            <w:vAlign w:val="center"/>
          </w:tcPr>
          <w:p w14:paraId="5DE9B94B">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13" w:type="dxa"/>
            <w:tcBorders>
              <w:top w:val="single" w:color="auto" w:sz="4" w:space="0"/>
              <w:left w:val="nil"/>
              <w:bottom w:val="single" w:color="auto" w:sz="4" w:space="0"/>
              <w:right w:val="single" w:color="auto" w:sz="4" w:space="0"/>
            </w:tcBorders>
            <w:noWrap w:val="0"/>
            <w:vAlign w:val="center"/>
          </w:tcPr>
          <w:p w14:paraId="657A91AE">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97" w:type="dxa"/>
            <w:tcBorders>
              <w:top w:val="single" w:color="auto" w:sz="4" w:space="0"/>
              <w:left w:val="nil"/>
              <w:bottom w:val="single" w:color="auto" w:sz="4" w:space="0"/>
              <w:right w:val="single" w:color="auto" w:sz="4" w:space="0"/>
            </w:tcBorders>
            <w:noWrap w:val="0"/>
            <w:vAlign w:val="center"/>
          </w:tcPr>
          <w:p w14:paraId="5FE87D8D">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97" w:type="dxa"/>
            <w:tcBorders>
              <w:top w:val="single" w:color="auto" w:sz="4" w:space="0"/>
              <w:left w:val="nil"/>
              <w:bottom w:val="single" w:color="auto" w:sz="4" w:space="0"/>
              <w:right w:val="single" w:color="auto" w:sz="4" w:space="0"/>
            </w:tcBorders>
            <w:noWrap w:val="0"/>
            <w:vAlign w:val="center"/>
          </w:tcPr>
          <w:p w14:paraId="2306065D">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27" w:type="dxa"/>
            <w:tcBorders>
              <w:top w:val="single" w:color="auto" w:sz="4" w:space="0"/>
              <w:left w:val="nil"/>
              <w:bottom w:val="single" w:color="auto" w:sz="4" w:space="0"/>
              <w:right w:val="single" w:color="auto" w:sz="4" w:space="0"/>
            </w:tcBorders>
            <w:noWrap w:val="0"/>
            <w:vAlign w:val="center"/>
          </w:tcPr>
          <w:p w14:paraId="0D490406">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229EEB0F">
        <w:tblPrEx>
          <w:tblCellMar>
            <w:top w:w="0" w:type="dxa"/>
            <w:left w:w="108" w:type="dxa"/>
            <w:bottom w:w="0" w:type="dxa"/>
            <w:right w:w="108" w:type="dxa"/>
          </w:tblCellMar>
        </w:tblPrEx>
        <w:trPr>
          <w:trHeight w:val="359" w:hRule="atLeast"/>
        </w:trPr>
        <w:tc>
          <w:tcPr>
            <w:tcW w:w="1887" w:type="dxa"/>
            <w:tcBorders>
              <w:top w:val="nil"/>
              <w:left w:val="single" w:color="auto" w:sz="4" w:space="0"/>
              <w:bottom w:val="single" w:color="auto" w:sz="4" w:space="0"/>
              <w:right w:val="single" w:color="auto" w:sz="4" w:space="0"/>
            </w:tcBorders>
            <w:noWrap w:val="0"/>
            <w:vAlign w:val="center"/>
          </w:tcPr>
          <w:p w14:paraId="7E2E20E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536" w:type="dxa"/>
            <w:tcBorders>
              <w:top w:val="nil"/>
              <w:left w:val="nil"/>
              <w:bottom w:val="single" w:color="auto" w:sz="4" w:space="0"/>
              <w:right w:val="single" w:color="auto" w:sz="4" w:space="0"/>
            </w:tcBorders>
            <w:noWrap w:val="0"/>
            <w:vAlign w:val="center"/>
          </w:tcPr>
          <w:p w14:paraId="7D409A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32B3F7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4D4E5E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20000</w:t>
            </w:r>
          </w:p>
        </w:tc>
        <w:tc>
          <w:tcPr>
            <w:tcW w:w="1597" w:type="dxa"/>
            <w:tcBorders>
              <w:top w:val="nil"/>
              <w:left w:val="nil"/>
              <w:bottom w:val="single" w:color="auto" w:sz="4" w:space="0"/>
              <w:right w:val="single" w:color="auto" w:sz="4" w:space="0"/>
            </w:tcBorders>
            <w:noWrap w:val="0"/>
            <w:vAlign w:val="center"/>
          </w:tcPr>
          <w:p w14:paraId="783710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500</w:t>
            </w:r>
          </w:p>
        </w:tc>
        <w:tc>
          <w:tcPr>
            <w:tcW w:w="1027" w:type="dxa"/>
            <w:tcBorders>
              <w:top w:val="nil"/>
              <w:left w:val="nil"/>
              <w:bottom w:val="single" w:color="auto" w:sz="4" w:space="0"/>
              <w:right w:val="single" w:color="auto" w:sz="4" w:space="0"/>
            </w:tcBorders>
            <w:noWrap w:val="0"/>
            <w:vAlign w:val="center"/>
          </w:tcPr>
          <w:p w14:paraId="69C23A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50</w:t>
            </w:r>
          </w:p>
        </w:tc>
      </w:tr>
      <w:tr w14:paraId="1FB91E6E">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2A59C1B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536" w:type="dxa"/>
            <w:tcBorders>
              <w:top w:val="nil"/>
              <w:left w:val="nil"/>
              <w:bottom w:val="single" w:color="auto" w:sz="4" w:space="0"/>
              <w:right w:val="single" w:color="auto" w:sz="4" w:space="0"/>
            </w:tcBorders>
            <w:noWrap w:val="0"/>
            <w:vAlign w:val="center"/>
          </w:tcPr>
          <w:p w14:paraId="338F95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18DAE9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259FFD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597" w:type="dxa"/>
            <w:tcBorders>
              <w:top w:val="nil"/>
              <w:left w:val="nil"/>
              <w:bottom w:val="single" w:color="auto" w:sz="4" w:space="0"/>
              <w:right w:val="single" w:color="auto" w:sz="4" w:space="0"/>
            </w:tcBorders>
            <w:noWrap w:val="0"/>
            <w:vAlign w:val="center"/>
          </w:tcPr>
          <w:p w14:paraId="544C04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1027" w:type="dxa"/>
            <w:tcBorders>
              <w:top w:val="nil"/>
              <w:left w:val="nil"/>
              <w:bottom w:val="single" w:color="auto" w:sz="4" w:space="0"/>
              <w:right w:val="single" w:color="auto" w:sz="4" w:space="0"/>
            </w:tcBorders>
            <w:noWrap w:val="0"/>
            <w:vAlign w:val="center"/>
          </w:tcPr>
          <w:p w14:paraId="752780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w:t>
            </w:r>
          </w:p>
        </w:tc>
      </w:tr>
      <w:tr w14:paraId="4D8BC38C">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0BEAAEC2">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609F145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17196D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0FA6F34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40000</w:t>
            </w:r>
          </w:p>
        </w:tc>
        <w:tc>
          <w:tcPr>
            <w:tcW w:w="1597" w:type="dxa"/>
            <w:tcBorders>
              <w:top w:val="nil"/>
              <w:left w:val="nil"/>
              <w:bottom w:val="single" w:color="auto" w:sz="4" w:space="0"/>
              <w:right w:val="single" w:color="auto" w:sz="4" w:space="0"/>
            </w:tcBorders>
            <w:noWrap w:val="0"/>
            <w:vAlign w:val="center"/>
          </w:tcPr>
          <w:p w14:paraId="369364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c>
          <w:tcPr>
            <w:tcW w:w="1027" w:type="dxa"/>
            <w:tcBorders>
              <w:top w:val="nil"/>
              <w:left w:val="nil"/>
              <w:bottom w:val="single" w:color="auto" w:sz="4" w:space="0"/>
              <w:right w:val="single" w:color="auto" w:sz="4" w:space="0"/>
            </w:tcBorders>
            <w:noWrap w:val="0"/>
            <w:vAlign w:val="center"/>
          </w:tcPr>
          <w:p w14:paraId="558CBF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r>
      <w:tr w14:paraId="787D7424">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79915B9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536" w:type="dxa"/>
            <w:tcBorders>
              <w:top w:val="nil"/>
              <w:left w:val="nil"/>
              <w:bottom w:val="single" w:color="auto" w:sz="4" w:space="0"/>
              <w:right w:val="single" w:color="auto" w:sz="4" w:space="0"/>
            </w:tcBorders>
            <w:noWrap w:val="0"/>
            <w:vAlign w:val="center"/>
          </w:tcPr>
          <w:p w14:paraId="1776FF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6D33BE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419847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80000</w:t>
            </w:r>
          </w:p>
        </w:tc>
        <w:tc>
          <w:tcPr>
            <w:tcW w:w="1597" w:type="dxa"/>
            <w:tcBorders>
              <w:top w:val="nil"/>
              <w:left w:val="nil"/>
              <w:bottom w:val="single" w:color="auto" w:sz="4" w:space="0"/>
              <w:right w:val="single" w:color="auto" w:sz="4" w:space="0"/>
            </w:tcBorders>
            <w:noWrap w:val="0"/>
            <w:vAlign w:val="center"/>
          </w:tcPr>
          <w:p w14:paraId="300CEC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6000</w:t>
            </w:r>
          </w:p>
        </w:tc>
        <w:tc>
          <w:tcPr>
            <w:tcW w:w="1027" w:type="dxa"/>
            <w:tcBorders>
              <w:top w:val="nil"/>
              <w:left w:val="nil"/>
              <w:bottom w:val="single" w:color="auto" w:sz="4" w:space="0"/>
              <w:right w:val="single" w:color="auto" w:sz="4" w:space="0"/>
            </w:tcBorders>
            <w:noWrap w:val="0"/>
            <w:vAlign w:val="center"/>
          </w:tcPr>
          <w:p w14:paraId="7D1AFA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r>
      <w:tr w14:paraId="2D4D5FC3">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619948DC">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613460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3" w:type="dxa"/>
            <w:tcBorders>
              <w:top w:val="nil"/>
              <w:left w:val="nil"/>
              <w:bottom w:val="single" w:color="auto" w:sz="4" w:space="0"/>
              <w:right w:val="single" w:color="auto" w:sz="4" w:space="0"/>
            </w:tcBorders>
            <w:noWrap w:val="0"/>
            <w:vAlign w:val="center"/>
          </w:tcPr>
          <w:p w14:paraId="5D2566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1D308D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80000</w:t>
            </w:r>
          </w:p>
        </w:tc>
        <w:tc>
          <w:tcPr>
            <w:tcW w:w="1597" w:type="dxa"/>
            <w:tcBorders>
              <w:top w:val="nil"/>
              <w:left w:val="nil"/>
              <w:bottom w:val="single" w:color="auto" w:sz="4" w:space="0"/>
              <w:right w:val="single" w:color="auto" w:sz="4" w:space="0"/>
            </w:tcBorders>
            <w:noWrap w:val="0"/>
            <w:vAlign w:val="center"/>
          </w:tcPr>
          <w:p w14:paraId="4F1400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5000</w:t>
            </w:r>
          </w:p>
        </w:tc>
        <w:tc>
          <w:tcPr>
            <w:tcW w:w="1027" w:type="dxa"/>
            <w:tcBorders>
              <w:top w:val="nil"/>
              <w:left w:val="nil"/>
              <w:bottom w:val="single" w:color="auto" w:sz="4" w:space="0"/>
              <w:right w:val="single" w:color="auto" w:sz="4" w:space="0"/>
            </w:tcBorders>
            <w:noWrap w:val="0"/>
            <w:vAlign w:val="center"/>
          </w:tcPr>
          <w:p w14:paraId="1C5248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r>
      <w:tr w14:paraId="08C6669A">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2FA158B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536" w:type="dxa"/>
            <w:tcBorders>
              <w:top w:val="nil"/>
              <w:left w:val="nil"/>
              <w:bottom w:val="single" w:color="auto" w:sz="4" w:space="0"/>
              <w:right w:val="single" w:color="auto" w:sz="4" w:space="0"/>
            </w:tcBorders>
            <w:noWrap w:val="0"/>
            <w:vAlign w:val="center"/>
          </w:tcPr>
          <w:p w14:paraId="178963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5FE39A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4210CD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w:t>
            </w:r>
          </w:p>
        </w:tc>
        <w:tc>
          <w:tcPr>
            <w:tcW w:w="1597" w:type="dxa"/>
            <w:tcBorders>
              <w:top w:val="nil"/>
              <w:left w:val="nil"/>
              <w:bottom w:val="single" w:color="auto" w:sz="4" w:space="0"/>
              <w:right w:val="single" w:color="auto" w:sz="4" w:space="0"/>
            </w:tcBorders>
            <w:noWrap w:val="0"/>
            <w:vAlign w:val="center"/>
          </w:tcPr>
          <w:p w14:paraId="4B4250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w:t>
            </w:r>
          </w:p>
        </w:tc>
        <w:tc>
          <w:tcPr>
            <w:tcW w:w="1027" w:type="dxa"/>
            <w:tcBorders>
              <w:top w:val="nil"/>
              <w:left w:val="nil"/>
              <w:bottom w:val="single" w:color="auto" w:sz="4" w:space="0"/>
              <w:right w:val="single" w:color="auto" w:sz="4" w:space="0"/>
            </w:tcBorders>
            <w:noWrap w:val="0"/>
            <w:vAlign w:val="center"/>
          </w:tcPr>
          <w:p w14:paraId="5FFE2A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5</w:t>
            </w:r>
          </w:p>
        </w:tc>
      </w:tr>
      <w:tr w14:paraId="1D40887E">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0C496C45">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7E9F66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4304F4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712DEB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40000</w:t>
            </w:r>
          </w:p>
        </w:tc>
        <w:tc>
          <w:tcPr>
            <w:tcW w:w="1597" w:type="dxa"/>
            <w:tcBorders>
              <w:top w:val="nil"/>
              <w:left w:val="nil"/>
              <w:bottom w:val="single" w:color="auto" w:sz="4" w:space="0"/>
              <w:right w:val="single" w:color="auto" w:sz="4" w:space="0"/>
            </w:tcBorders>
            <w:noWrap w:val="0"/>
            <w:vAlign w:val="center"/>
          </w:tcPr>
          <w:p w14:paraId="2D71BB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5000</w:t>
            </w:r>
          </w:p>
        </w:tc>
        <w:tc>
          <w:tcPr>
            <w:tcW w:w="1027" w:type="dxa"/>
            <w:tcBorders>
              <w:top w:val="nil"/>
              <w:left w:val="nil"/>
              <w:bottom w:val="single" w:color="auto" w:sz="4" w:space="0"/>
              <w:right w:val="single" w:color="auto" w:sz="4" w:space="0"/>
            </w:tcBorders>
            <w:noWrap w:val="0"/>
            <w:vAlign w:val="center"/>
          </w:tcPr>
          <w:p w14:paraId="0FA08DB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r>
      <w:tr w14:paraId="17FF15B0">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07670E5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536" w:type="dxa"/>
            <w:tcBorders>
              <w:top w:val="nil"/>
              <w:left w:val="nil"/>
              <w:bottom w:val="single" w:color="auto" w:sz="4" w:space="0"/>
              <w:right w:val="single" w:color="auto" w:sz="4" w:space="0"/>
            </w:tcBorders>
            <w:noWrap w:val="0"/>
            <w:vAlign w:val="center"/>
          </w:tcPr>
          <w:p w14:paraId="614649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72149C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7AB301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1597" w:type="dxa"/>
            <w:tcBorders>
              <w:top w:val="nil"/>
              <w:left w:val="nil"/>
              <w:bottom w:val="single" w:color="auto" w:sz="4" w:space="0"/>
              <w:right w:val="single" w:color="auto" w:sz="4" w:space="0"/>
            </w:tcBorders>
            <w:noWrap w:val="0"/>
            <w:vAlign w:val="center"/>
          </w:tcPr>
          <w:p w14:paraId="2D705E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50</w:t>
            </w:r>
          </w:p>
        </w:tc>
        <w:tc>
          <w:tcPr>
            <w:tcW w:w="1027" w:type="dxa"/>
            <w:tcBorders>
              <w:top w:val="nil"/>
              <w:left w:val="nil"/>
              <w:bottom w:val="single" w:color="auto" w:sz="4" w:space="0"/>
              <w:right w:val="single" w:color="auto" w:sz="4" w:space="0"/>
            </w:tcBorders>
            <w:noWrap w:val="0"/>
            <w:vAlign w:val="center"/>
          </w:tcPr>
          <w:p w14:paraId="5619FC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0D1D2364">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7964131B">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522E26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046BEB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32FC54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20000</w:t>
            </w:r>
          </w:p>
        </w:tc>
        <w:tc>
          <w:tcPr>
            <w:tcW w:w="1597" w:type="dxa"/>
            <w:tcBorders>
              <w:top w:val="nil"/>
              <w:left w:val="nil"/>
              <w:bottom w:val="single" w:color="auto" w:sz="4" w:space="0"/>
              <w:right w:val="single" w:color="auto" w:sz="4" w:space="0"/>
            </w:tcBorders>
            <w:noWrap w:val="0"/>
            <w:vAlign w:val="center"/>
          </w:tcPr>
          <w:p w14:paraId="4ECC97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500</w:t>
            </w:r>
          </w:p>
        </w:tc>
        <w:tc>
          <w:tcPr>
            <w:tcW w:w="1027" w:type="dxa"/>
            <w:tcBorders>
              <w:top w:val="nil"/>
              <w:left w:val="nil"/>
              <w:bottom w:val="single" w:color="auto" w:sz="4" w:space="0"/>
              <w:right w:val="single" w:color="auto" w:sz="4" w:space="0"/>
            </w:tcBorders>
            <w:noWrap w:val="0"/>
            <w:vAlign w:val="center"/>
          </w:tcPr>
          <w:p w14:paraId="063EAD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035C353C">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1617B2F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536" w:type="dxa"/>
            <w:tcBorders>
              <w:top w:val="nil"/>
              <w:left w:val="nil"/>
              <w:bottom w:val="single" w:color="auto" w:sz="4" w:space="0"/>
              <w:right w:val="single" w:color="auto" w:sz="4" w:space="0"/>
            </w:tcBorders>
            <w:noWrap w:val="0"/>
            <w:vAlign w:val="center"/>
          </w:tcPr>
          <w:p w14:paraId="2BE58A7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6132EC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440CC57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597" w:type="dxa"/>
            <w:tcBorders>
              <w:top w:val="nil"/>
              <w:left w:val="nil"/>
              <w:bottom w:val="single" w:color="auto" w:sz="4" w:space="0"/>
              <w:right w:val="single" w:color="auto" w:sz="4" w:space="0"/>
            </w:tcBorders>
            <w:noWrap w:val="0"/>
            <w:vAlign w:val="center"/>
          </w:tcPr>
          <w:p w14:paraId="5FC6C0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1027" w:type="dxa"/>
            <w:tcBorders>
              <w:top w:val="nil"/>
              <w:left w:val="nil"/>
              <w:bottom w:val="single" w:color="auto" w:sz="4" w:space="0"/>
              <w:right w:val="single" w:color="auto" w:sz="4" w:space="0"/>
            </w:tcBorders>
            <w:noWrap w:val="0"/>
            <w:vAlign w:val="center"/>
          </w:tcPr>
          <w:p w14:paraId="7E83CD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w:t>
            </w:r>
          </w:p>
        </w:tc>
      </w:tr>
      <w:tr w14:paraId="32733EB8">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335CF2E6">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2AFC9D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2C089C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24F2FB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30000</w:t>
            </w:r>
          </w:p>
        </w:tc>
        <w:tc>
          <w:tcPr>
            <w:tcW w:w="1597" w:type="dxa"/>
            <w:tcBorders>
              <w:top w:val="nil"/>
              <w:left w:val="nil"/>
              <w:bottom w:val="single" w:color="auto" w:sz="4" w:space="0"/>
              <w:right w:val="single" w:color="auto" w:sz="4" w:space="0"/>
            </w:tcBorders>
            <w:noWrap w:val="0"/>
            <w:vAlign w:val="center"/>
          </w:tcPr>
          <w:p w14:paraId="7AEA24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3000</w:t>
            </w:r>
          </w:p>
        </w:tc>
        <w:tc>
          <w:tcPr>
            <w:tcW w:w="1027" w:type="dxa"/>
            <w:tcBorders>
              <w:top w:val="nil"/>
              <w:left w:val="nil"/>
              <w:bottom w:val="single" w:color="auto" w:sz="4" w:space="0"/>
              <w:right w:val="single" w:color="auto" w:sz="4" w:space="0"/>
            </w:tcBorders>
            <w:noWrap w:val="0"/>
            <w:vAlign w:val="center"/>
          </w:tcPr>
          <w:p w14:paraId="059459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w:t>
            </w:r>
          </w:p>
        </w:tc>
      </w:tr>
      <w:tr w14:paraId="666954E5">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5648D7D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536" w:type="dxa"/>
            <w:tcBorders>
              <w:top w:val="nil"/>
              <w:left w:val="nil"/>
              <w:bottom w:val="single" w:color="auto" w:sz="4" w:space="0"/>
              <w:right w:val="single" w:color="auto" w:sz="4" w:space="0"/>
            </w:tcBorders>
            <w:noWrap w:val="0"/>
            <w:vAlign w:val="center"/>
          </w:tcPr>
          <w:p w14:paraId="268FBF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308F7F3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3F3E5F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w:t>
            </w:r>
          </w:p>
        </w:tc>
        <w:tc>
          <w:tcPr>
            <w:tcW w:w="1597" w:type="dxa"/>
            <w:tcBorders>
              <w:top w:val="nil"/>
              <w:left w:val="nil"/>
              <w:bottom w:val="single" w:color="auto" w:sz="4" w:space="0"/>
              <w:right w:val="single" w:color="auto" w:sz="4" w:space="0"/>
            </w:tcBorders>
            <w:noWrap w:val="0"/>
            <w:vAlign w:val="center"/>
          </w:tcPr>
          <w:p w14:paraId="3E75B2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1027" w:type="dxa"/>
            <w:tcBorders>
              <w:top w:val="nil"/>
              <w:left w:val="nil"/>
              <w:bottom w:val="single" w:color="auto" w:sz="4" w:space="0"/>
              <w:right w:val="single" w:color="auto" w:sz="4" w:space="0"/>
            </w:tcBorders>
            <w:noWrap w:val="0"/>
            <w:vAlign w:val="center"/>
          </w:tcPr>
          <w:p w14:paraId="301291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w:t>
            </w:r>
          </w:p>
        </w:tc>
      </w:tr>
      <w:tr w14:paraId="4284C00D">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3F3171B8">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35FFA9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7B3DE6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1D9555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30000</w:t>
            </w:r>
          </w:p>
        </w:tc>
        <w:tc>
          <w:tcPr>
            <w:tcW w:w="1597" w:type="dxa"/>
            <w:tcBorders>
              <w:top w:val="nil"/>
              <w:left w:val="nil"/>
              <w:bottom w:val="single" w:color="auto" w:sz="4" w:space="0"/>
              <w:right w:val="single" w:color="auto" w:sz="4" w:space="0"/>
            </w:tcBorders>
            <w:noWrap w:val="0"/>
            <w:vAlign w:val="center"/>
          </w:tcPr>
          <w:p w14:paraId="3CB811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027" w:type="dxa"/>
            <w:tcBorders>
              <w:top w:val="nil"/>
              <w:left w:val="nil"/>
              <w:bottom w:val="single" w:color="auto" w:sz="4" w:space="0"/>
              <w:right w:val="single" w:color="auto" w:sz="4" w:space="0"/>
            </w:tcBorders>
            <w:noWrap w:val="0"/>
            <w:vAlign w:val="center"/>
          </w:tcPr>
          <w:p w14:paraId="649CEDA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0F707A8C">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05FAD8F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536" w:type="dxa"/>
            <w:tcBorders>
              <w:top w:val="nil"/>
              <w:left w:val="nil"/>
              <w:bottom w:val="single" w:color="auto" w:sz="4" w:space="0"/>
              <w:right w:val="single" w:color="auto" w:sz="4" w:space="0"/>
            </w:tcBorders>
            <w:noWrap w:val="0"/>
            <w:vAlign w:val="center"/>
          </w:tcPr>
          <w:p w14:paraId="63D5BD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3BB5B8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40329B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597" w:type="dxa"/>
            <w:tcBorders>
              <w:top w:val="nil"/>
              <w:left w:val="nil"/>
              <w:bottom w:val="single" w:color="auto" w:sz="4" w:space="0"/>
              <w:right w:val="single" w:color="auto" w:sz="4" w:space="0"/>
            </w:tcBorders>
            <w:noWrap w:val="0"/>
            <w:vAlign w:val="center"/>
          </w:tcPr>
          <w:p w14:paraId="70BC92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1027" w:type="dxa"/>
            <w:tcBorders>
              <w:top w:val="nil"/>
              <w:left w:val="nil"/>
              <w:bottom w:val="single" w:color="auto" w:sz="4" w:space="0"/>
              <w:right w:val="single" w:color="auto" w:sz="4" w:space="0"/>
            </w:tcBorders>
            <w:noWrap w:val="0"/>
            <w:vAlign w:val="center"/>
          </w:tcPr>
          <w:p w14:paraId="782B23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w:t>
            </w:r>
          </w:p>
        </w:tc>
      </w:tr>
      <w:tr w14:paraId="28516FD9">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08860BCF">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73AD1B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5E8A1DF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31CE89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30000</w:t>
            </w:r>
          </w:p>
        </w:tc>
        <w:tc>
          <w:tcPr>
            <w:tcW w:w="1597" w:type="dxa"/>
            <w:tcBorders>
              <w:top w:val="nil"/>
              <w:left w:val="nil"/>
              <w:bottom w:val="single" w:color="auto" w:sz="4" w:space="0"/>
              <w:right w:val="single" w:color="auto" w:sz="4" w:space="0"/>
            </w:tcBorders>
            <w:noWrap w:val="0"/>
            <w:vAlign w:val="center"/>
          </w:tcPr>
          <w:p w14:paraId="12A866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c>
          <w:tcPr>
            <w:tcW w:w="1027" w:type="dxa"/>
            <w:tcBorders>
              <w:top w:val="nil"/>
              <w:left w:val="nil"/>
              <w:bottom w:val="single" w:color="auto" w:sz="4" w:space="0"/>
              <w:right w:val="single" w:color="auto" w:sz="4" w:space="0"/>
            </w:tcBorders>
            <w:noWrap w:val="0"/>
            <w:vAlign w:val="center"/>
          </w:tcPr>
          <w:p w14:paraId="28E2AA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644B6258">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0DB46C1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536" w:type="dxa"/>
            <w:tcBorders>
              <w:top w:val="nil"/>
              <w:left w:val="nil"/>
              <w:bottom w:val="single" w:color="auto" w:sz="4" w:space="0"/>
              <w:right w:val="single" w:color="auto" w:sz="4" w:space="0"/>
            </w:tcBorders>
            <w:noWrap w:val="0"/>
            <w:vAlign w:val="center"/>
          </w:tcPr>
          <w:p w14:paraId="1B3741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55D83A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59BB245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1597" w:type="dxa"/>
            <w:tcBorders>
              <w:top w:val="nil"/>
              <w:left w:val="nil"/>
              <w:bottom w:val="single" w:color="auto" w:sz="4" w:space="0"/>
              <w:right w:val="single" w:color="auto" w:sz="4" w:space="0"/>
            </w:tcBorders>
            <w:noWrap w:val="0"/>
            <w:vAlign w:val="center"/>
          </w:tcPr>
          <w:p w14:paraId="638C3D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1027" w:type="dxa"/>
            <w:tcBorders>
              <w:top w:val="nil"/>
              <w:left w:val="nil"/>
              <w:bottom w:val="single" w:color="auto" w:sz="4" w:space="0"/>
              <w:right w:val="single" w:color="auto" w:sz="4" w:space="0"/>
            </w:tcBorders>
            <w:noWrap w:val="0"/>
            <w:vAlign w:val="center"/>
          </w:tcPr>
          <w:p w14:paraId="57A772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3F51CBAD">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106EE46D">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47DAFAC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08E8757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741458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10000</w:t>
            </w:r>
          </w:p>
        </w:tc>
        <w:tc>
          <w:tcPr>
            <w:tcW w:w="1597" w:type="dxa"/>
            <w:tcBorders>
              <w:top w:val="nil"/>
              <w:left w:val="nil"/>
              <w:bottom w:val="single" w:color="auto" w:sz="4" w:space="0"/>
              <w:right w:val="single" w:color="auto" w:sz="4" w:space="0"/>
            </w:tcBorders>
            <w:noWrap w:val="0"/>
            <w:vAlign w:val="center"/>
          </w:tcPr>
          <w:p w14:paraId="0C479D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c>
          <w:tcPr>
            <w:tcW w:w="1027" w:type="dxa"/>
            <w:tcBorders>
              <w:top w:val="nil"/>
              <w:left w:val="nil"/>
              <w:bottom w:val="single" w:color="auto" w:sz="4" w:space="0"/>
              <w:right w:val="single" w:color="auto" w:sz="4" w:space="0"/>
            </w:tcBorders>
            <w:noWrap w:val="0"/>
            <w:vAlign w:val="center"/>
          </w:tcPr>
          <w:p w14:paraId="677830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6D85B64F">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58DB6EB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536" w:type="dxa"/>
            <w:tcBorders>
              <w:top w:val="nil"/>
              <w:left w:val="nil"/>
              <w:bottom w:val="single" w:color="auto" w:sz="4" w:space="0"/>
              <w:right w:val="single" w:color="auto" w:sz="4" w:space="0"/>
            </w:tcBorders>
            <w:noWrap w:val="0"/>
            <w:vAlign w:val="center"/>
          </w:tcPr>
          <w:p w14:paraId="1132B1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36B7A4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6A9B310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1597" w:type="dxa"/>
            <w:tcBorders>
              <w:top w:val="nil"/>
              <w:left w:val="nil"/>
              <w:bottom w:val="single" w:color="auto" w:sz="4" w:space="0"/>
              <w:right w:val="single" w:color="auto" w:sz="4" w:space="0"/>
            </w:tcBorders>
            <w:noWrap w:val="0"/>
            <w:vAlign w:val="center"/>
          </w:tcPr>
          <w:p w14:paraId="58AF01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1027" w:type="dxa"/>
            <w:tcBorders>
              <w:top w:val="nil"/>
              <w:left w:val="nil"/>
              <w:bottom w:val="single" w:color="auto" w:sz="4" w:space="0"/>
              <w:right w:val="single" w:color="auto" w:sz="4" w:space="0"/>
            </w:tcBorders>
            <w:noWrap w:val="0"/>
            <w:vAlign w:val="center"/>
          </w:tcPr>
          <w:p w14:paraId="025415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7C5FA9E6">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296F985A">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17D840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16E9B5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4A82FC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10000</w:t>
            </w:r>
          </w:p>
        </w:tc>
        <w:tc>
          <w:tcPr>
            <w:tcW w:w="1597" w:type="dxa"/>
            <w:tcBorders>
              <w:top w:val="nil"/>
              <w:left w:val="nil"/>
              <w:bottom w:val="single" w:color="auto" w:sz="4" w:space="0"/>
              <w:right w:val="single" w:color="auto" w:sz="4" w:space="0"/>
            </w:tcBorders>
            <w:noWrap w:val="0"/>
            <w:vAlign w:val="center"/>
          </w:tcPr>
          <w:p w14:paraId="65892A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c>
          <w:tcPr>
            <w:tcW w:w="1027" w:type="dxa"/>
            <w:tcBorders>
              <w:top w:val="nil"/>
              <w:left w:val="nil"/>
              <w:bottom w:val="single" w:color="auto" w:sz="4" w:space="0"/>
              <w:right w:val="single" w:color="auto" w:sz="4" w:space="0"/>
            </w:tcBorders>
            <w:noWrap w:val="0"/>
            <w:vAlign w:val="center"/>
          </w:tcPr>
          <w:p w14:paraId="20E98D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7EC9503F">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2B1E6E8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536" w:type="dxa"/>
            <w:tcBorders>
              <w:top w:val="nil"/>
              <w:left w:val="nil"/>
              <w:bottom w:val="single" w:color="auto" w:sz="4" w:space="0"/>
              <w:right w:val="single" w:color="auto" w:sz="4" w:space="0"/>
            </w:tcBorders>
            <w:noWrap w:val="0"/>
            <w:vAlign w:val="center"/>
          </w:tcPr>
          <w:p w14:paraId="2A2835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784E77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69D93D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c>
          <w:tcPr>
            <w:tcW w:w="1597" w:type="dxa"/>
            <w:tcBorders>
              <w:top w:val="nil"/>
              <w:left w:val="nil"/>
              <w:bottom w:val="single" w:color="auto" w:sz="4" w:space="0"/>
              <w:right w:val="single" w:color="auto" w:sz="4" w:space="0"/>
            </w:tcBorders>
            <w:noWrap w:val="0"/>
            <w:vAlign w:val="center"/>
          </w:tcPr>
          <w:p w14:paraId="373D7B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1027" w:type="dxa"/>
            <w:tcBorders>
              <w:top w:val="nil"/>
              <w:left w:val="nil"/>
              <w:bottom w:val="single" w:color="auto" w:sz="4" w:space="0"/>
              <w:right w:val="single" w:color="auto" w:sz="4" w:space="0"/>
            </w:tcBorders>
            <w:noWrap w:val="0"/>
            <w:vAlign w:val="center"/>
          </w:tcPr>
          <w:p w14:paraId="01AC9C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5EB3CA54">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5AEB881B">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16B00F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74DE69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75EC3A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100000</w:t>
            </w:r>
          </w:p>
        </w:tc>
        <w:tc>
          <w:tcPr>
            <w:tcW w:w="1597" w:type="dxa"/>
            <w:tcBorders>
              <w:top w:val="nil"/>
              <w:left w:val="nil"/>
              <w:bottom w:val="single" w:color="auto" w:sz="4" w:space="0"/>
              <w:right w:val="single" w:color="auto" w:sz="4" w:space="0"/>
            </w:tcBorders>
            <w:noWrap w:val="0"/>
            <w:vAlign w:val="center"/>
          </w:tcPr>
          <w:p w14:paraId="39BCCA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027" w:type="dxa"/>
            <w:tcBorders>
              <w:top w:val="nil"/>
              <w:left w:val="nil"/>
              <w:bottom w:val="single" w:color="auto" w:sz="4" w:space="0"/>
              <w:right w:val="single" w:color="auto" w:sz="4" w:space="0"/>
            </w:tcBorders>
            <w:noWrap w:val="0"/>
            <w:vAlign w:val="center"/>
          </w:tcPr>
          <w:p w14:paraId="505064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3C5692C4">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0A1EC6D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536" w:type="dxa"/>
            <w:tcBorders>
              <w:top w:val="nil"/>
              <w:left w:val="nil"/>
              <w:bottom w:val="single" w:color="auto" w:sz="4" w:space="0"/>
              <w:right w:val="single" w:color="auto" w:sz="4" w:space="0"/>
            </w:tcBorders>
            <w:noWrap w:val="0"/>
            <w:vAlign w:val="center"/>
          </w:tcPr>
          <w:p w14:paraId="691A5A2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25E8B2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61EC5B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1597" w:type="dxa"/>
            <w:tcBorders>
              <w:top w:val="nil"/>
              <w:left w:val="nil"/>
              <w:bottom w:val="single" w:color="auto" w:sz="4" w:space="0"/>
              <w:right w:val="single" w:color="auto" w:sz="4" w:space="0"/>
            </w:tcBorders>
            <w:noWrap w:val="0"/>
            <w:vAlign w:val="center"/>
          </w:tcPr>
          <w:p w14:paraId="5EB350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1027" w:type="dxa"/>
            <w:tcBorders>
              <w:top w:val="nil"/>
              <w:left w:val="nil"/>
              <w:bottom w:val="single" w:color="auto" w:sz="4" w:space="0"/>
              <w:right w:val="single" w:color="auto" w:sz="4" w:space="0"/>
            </w:tcBorders>
            <w:noWrap w:val="0"/>
            <w:vAlign w:val="center"/>
          </w:tcPr>
          <w:p w14:paraId="777204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6283F4B7">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084174A4">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6C7426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2FA851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4EDA51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10000</w:t>
            </w:r>
          </w:p>
        </w:tc>
        <w:tc>
          <w:tcPr>
            <w:tcW w:w="1597" w:type="dxa"/>
            <w:tcBorders>
              <w:top w:val="nil"/>
              <w:left w:val="nil"/>
              <w:bottom w:val="single" w:color="auto" w:sz="4" w:space="0"/>
              <w:right w:val="single" w:color="auto" w:sz="4" w:space="0"/>
            </w:tcBorders>
            <w:noWrap w:val="0"/>
            <w:vAlign w:val="center"/>
          </w:tcPr>
          <w:p w14:paraId="405E0D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027" w:type="dxa"/>
            <w:tcBorders>
              <w:top w:val="nil"/>
              <w:left w:val="nil"/>
              <w:bottom w:val="single" w:color="auto" w:sz="4" w:space="0"/>
              <w:right w:val="single" w:color="auto" w:sz="4" w:space="0"/>
            </w:tcBorders>
            <w:noWrap w:val="0"/>
            <w:vAlign w:val="center"/>
          </w:tcPr>
          <w:p w14:paraId="4B43F8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50</w:t>
            </w:r>
          </w:p>
        </w:tc>
      </w:tr>
      <w:tr w14:paraId="0868563D">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6E5D7C1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536" w:type="dxa"/>
            <w:tcBorders>
              <w:top w:val="nil"/>
              <w:left w:val="nil"/>
              <w:bottom w:val="single" w:color="auto" w:sz="4" w:space="0"/>
              <w:right w:val="single" w:color="auto" w:sz="4" w:space="0"/>
            </w:tcBorders>
            <w:noWrap w:val="0"/>
            <w:vAlign w:val="center"/>
          </w:tcPr>
          <w:p w14:paraId="732261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50FC332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58EC77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200000</w:t>
            </w:r>
          </w:p>
        </w:tc>
        <w:tc>
          <w:tcPr>
            <w:tcW w:w="1597" w:type="dxa"/>
            <w:tcBorders>
              <w:top w:val="nil"/>
              <w:left w:val="nil"/>
              <w:bottom w:val="single" w:color="auto" w:sz="4" w:space="0"/>
              <w:right w:val="single" w:color="auto" w:sz="4" w:space="0"/>
            </w:tcBorders>
            <w:noWrap w:val="0"/>
            <w:vAlign w:val="center"/>
          </w:tcPr>
          <w:p w14:paraId="54FBB6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027" w:type="dxa"/>
            <w:tcBorders>
              <w:top w:val="nil"/>
              <w:left w:val="nil"/>
              <w:bottom w:val="single" w:color="auto" w:sz="4" w:space="0"/>
              <w:right w:val="single" w:color="auto" w:sz="4" w:space="0"/>
            </w:tcBorders>
            <w:noWrap w:val="0"/>
            <w:vAlign w:val="center"/>
          </w:tcPr>
          <w:p w14:paraId="6CAB95C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1797F5DC">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26F2E0C7">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78FCF7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3" w:type="dxa"/>
            <w:tcBorders>
              <w:top w:val="nil"/>
              <w:left w:val="nil"/>
              <w:bottom w:val="single" w:color="auto" w:sz="4" w:space="0"/>
              <w:right w:val="single" w:color="auto" w:sz="4" w:space="0"/>
            </w:tcBorders>
            <w:noWrap w:val="0"/>
            <w:vAlign w:val="center"/>
          </w:tcPr>
          <w:p w14:paraId="5D9E6F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2268161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10000</w:t>
            </w:r>
          </w:p>
        </w:tc>
        <w:tc>
          <w:tcPr>
            <w:tcW w:w="1597" w:type="dxa"/>
            <w:tcBorders>
              <w:top w:val="nil"/>
              <w:left w:val="nil"/>
              <w:bottom w:val="single" w:color="auto" w:sz="4" w:space="0"/>
              <w:right w:val="single" w:color="auto" w:sz="4" w:space="0"/>
            </w:tcBorders>
            <w:noWrap w:val="0"/>
            <w:vAlign w:val="center"/>
          </w:tcPr>
          <w:p w14:paraId="25C071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5000</w:t>
            </w:r>
          </w:p>
        </w:tc>
        <w:tc>
          <w:tcPr>
            <w:tcW w:w="1027" w:type="dxa"/>
            <w:tcBorders>
              <w:top w:val="nil"/>
              <w:left w:val="nil"/>
              <w:bottom w:val="single" w:color="auto" w:sz="4" w:space="0"/>
              <w:right w:val="single" w:color="auto" w:sz="4" w:space="0"/>
            </w:tcBorders>
            <w:noWrap w:val="0"/>
            <w:vAlign w:val="center"/>
          </w:tcPr>
          <w:p w14:paraId="33E009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r>
      <w:tr w14:paraId="7E86B373">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02F5119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536" w:type="dxa"/>
            <w:tcBorders>
              <w:top w:val="nil"/>
              <w:left w:val="nil"/>
              <w:bottom w:val="single" w:color="auto" w:sz="4" w:space="0"/>
              <w:right w:val="single" w:color="auto" w:sz="4" w:space="0"/>
            </w:tcBorders>
            <w:noWrap w:val="0"/>
            <w:vAlign w:val="center"/>
          </w:tcPr>
          <w:p w14:paraId="1453DE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495B0C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50314FE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597" w:type="dxa"/>
            <w:tcBorders>
              <w:top w:val="nil"/>
              <w:left w:val="nil"/>
              <w:bottom w:val="single" w:color="auto" w:sz="4" w:space="0"/>
              <w:right w:val="single" w:color="auto" w:sz="4" w:space="0"/>
            </w:tcBorders>
            <w:noWrap w:val="0"/>
            <w:vAlign w:val="center"/>
          </w:tcPr>
          <w:p w14:paraId="4604456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1027" w:type="dxa"/>
            <w:tcBorders>
              <w:top w:val="nil"/>
              <w:left w:val="nil"/>
              <w:bottom w:val="single" w:color="auto" w:sz="4" w:space="0"/>
              <w:right w:val="single" w:color="auto" w:sz="4" w:space="0"/>
            </w:tcBorders>
            <w:noWrap w:val="0"/>
            <w:vAlign w:val="center"/>
          </w:tcPr>
          <w:p w14:paraId="3FC8E7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6337AB95">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415165C7">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2095FB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13" w:type="dxa"/>
            <w:tcBorders>
              <w:top w:val="nil"/>
              <w:left w:val="nil"/>
              <w:bottom w:val="single" w:color="auto" w:sz="4" w:space="0"/>
              <w:right w:val="single" w:color="auto" w:sz="4" w:space="0"/>
            </w:tcBorders>
            <w:noWrap w:val="0"/>
            <w:vAlign w:val="center"/>
          </w:tcPr>
          <w:p w14:paraId="7EA681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3EED8A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5000</w:t>
            </w:r>
          </w:p>
        </w:tc>
        <w:tc>
          <w:tcPr>
            <w:tcW w:w="1597" w:type="dxa"/>
            <w:tcBorders>
              <w:top w:val="nil"/>
              <w:left w:val="nil"/>
              <w:bottom w:val="single" w:color="auto" w:sz="4" w:space="0"/>
              <w:right w:val="single" w:color="auto" w:sz="4" w:space="0"/>
            </w:tcBorders>
            <w:noWrap w:val="0"/>
            <w:vAlign w:val="center"/>
          </w:tcPr>
          <w:p w14:paraId="51E12D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027" w:type="dxa"/>
            <w:tcBorders>
              <w:top w:val="nil"/>
              <w:left w:val="nil"/>
              <w:bottom w:val="single" w:color="auto" w:sz="4" w:space="0"/>
              <w:right w:val="single" w:color="auto" w:sz="4" w:space="0"/>
            </w:tcBorders>
            <w:noWrap w:val="0"/>
            <w:vAlign w:val="center"/>
          </w:tcPr>
          <w:p w14:paraId="679109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500</w:t>
            </w:r>
          </w:p>
        </w:tc>
      </w:tr>
      <w:tr w14:paraId="0CFDA321">
        <w:tblPrEx>
          <w:tblCellMar>
            <w:top w:w="0" w:type="dxa"/>
            <w:left w:w="108" w:type="dxa"/>
            <w:bottom w:w="0" w:type="dxa"/>
            <w:right w:w="108" w:type="dxa"/>
          </w:tblCellMar>
        </w:tblPrEx>
        <w:trPr>
          <w:trHeight w:val="359" w:hRule="atLeast"/>
        </w:trPr>
        <w:tc>
          <w:tcPr>
            <w:tcW w:w="1887" w:type="dxa"/>
            <w:vMerge w:val="restart"/>
            <w:tcBorders>
              <w:top w:val="nil"/>
              <w:left w:val="single" w:color="auto" w:sz="4" w:space="0"/>
              <w:bottom w:val="single" w:color="auto" w:sz="4" w:space="0"/>
              <w:right w:val="single" w:color="auto" w:sz="4" w:space="0"/>
            </w:tcBorders>
            <w:noWrap w:val="0"/>
            <w:vAlign w:val="center"/>
          </w:tcPr>
          <w:p w14:paraId="5E7FA6C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536" w:type="dxa"/>
            <w:tcBorders>
              <w:top w:val="nil"/>
              <w:left w:val="nil"/>
              <w:bottom w:val="single" w:color="auto" w:sz="4" w:space="0"/>
              <w:right w:val="single" w:color="auto" w:sz="4" w:space="0"/>
            </w:tcBorders>
            <w:noWrap w:val="0"/>
            <w:vAlign w:val="center"/>
          </w:tcPr>
          <w:p w14:paraId="312563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77A8FE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37D3DD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1597" w:type="dxa"/>
            <w:tcBorders>
              <w:top w:val="nil"/>
              <w:left w:val="nil"/>
              <w:bottom w:val="single" w:color="auto" w:sz="4" w:space="0"/>
              <w:right w:val="single" w:color="auto" w:sz="4" w:space="0"/>
            </w:tcBorders>
            <w:noWrap w:val="0"/>
            <w:vAlign w:val="center"/>
          </w:tcPr>
          <w:p w14:paraId="26A8A5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1027" w:type="dxa"/>
            <w:tcBorders>
              <w:top w:val="nil"/>
              <w:left w:val="nil"/>
              <w:bottom w:val="single" w:color="auto" w:sz="4" w:space="0"/>
              <w:right w:val="single" w:color="auto" w:sz="4" w:space="0"/>
            </w:tcBorders>
            <w:noWrap w:val="0"/>
            <w:vAlign w:val="center"/>
          </w:tcPr>
          <w:p w14:paraId="5F7157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4E0B9546">
        <w:tblPrEx>
          <w:tblCellMar>
            <w:top w:w="0" w:type="dxa"/>
            <w:left w:w="108" w:type="dxa"/>
            <w:bottom w:w="0" w:type="dxa"/>
            <w:right w:w="108" w:type="dxa"/>
          </w:tblCellMar>
        </w:tblPrEx>
        <w:trPr>
          <w:trHeight w:val="359" w:hRule="atLeast"/>
        </w:trPr>
        <w:tc>
          <w:tcPr>
            <w:tcW w:w="1887" w:type="dxa"/>
            <w:vMerge w:val="continue"/>
            <w:tcBorders>
              <w:top w:val="nil"/>
              <w:left w:val="single" w:color="auto" w:sz="4" w:space="0"/>
              <w:bottom w:val="single" w:color="auto" w:sz="4" w:space="0"/>
              <w:right w:val="single" w:color="auto" w:sz="4" w:space="0"/>
            </w:tcBorders>
            <w:noWrap w:val="0"/>
            <w:vAlign w:val="center"/>
          </w:tcPr>
          <w:p w14:paraId="2E1E082E">
            <w:pPr>
              <w:widowControl/>
              <w:jc w:val="center"/>
              <w:rPr>
                <w:rFonts w:ascii="宋体" w:hAnsi="宋体" w:cs="宋体"/>
                <w:b/>
                <w:bCs/>
                <w:color w:val="auto"/>
                <w:kern w:val="0"/>
                <w:sz w:val="18"/>
                <w:szCs w:val="18"/>
                <w:highlight w:val="none"/>
              </w:rPr>
            </w:pPr>
          </w:p>
        </w:tc>
        <w:tc>
          <w:tcPr>
            <w:tcW w:w="1536" w:type="dxa"/>
            <w:tcBorders>
              <w:top w:val="nil"/>
              <w:left w:val="nil"/>
              <w:bottom w:val="single" w:color="auto" w:sz="4" w:space="0"/>
              <w:right w:val="single" w:color="auto" w:sz="4" w:space="0"/>
            </w:tcBorders>
            <w:noWrap w:val="0"/>
            <w:vAlign w:val="center"/>
          </w:tcPr>
          <w:p w14:paraId="293DD4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13" w:type="dxa"/>
            <w:tcBorders>
              <w:top w:val="nil"/>
              <w:left w:val="nil"/>
              <w:bottom w:val="single" w:color="auto" w:sz="4" w:space="0"/>
              <w:right w:val="single" w:color="auto" w:sz="4" w:space="0"/>
            </w:tcBorders>
            <w:noWrap w:val="0"/>
            <w:vAlign w:val="center"/>
          </w:tcPr>
          <w:p w14:paraId="0020A8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97" w:type="dxa"/>
            <w:tcBorders>
              <w:top w:val="nil"/>
              <w:left w:val="nil"/>
              <w:bottom w:val="single" w:color="auto" w:sz="4" w:space="0"/>
              <w:right w:val="single" w:color="auto" w:sz="4" w:space="0"/>
            </w:tcBorders>
            <w:noWrap w:val="0"/>
            <w:vAlign w:val="center"/>
          </w:tcPr>
          <w:p w14:paraId="4D595E7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120000</w:t>
            </w:r>
          </w:p>
        </w:tc>
        <w:tc>
          <w:tcPr>
            <w:tcW w:w="1597" w:type="dxa"/>
            <w:tcBorders>
              <w:top w:val="nil"/>
              <w:left w:val="nil"/>
              <w:bottom w:val="single" w:color="auto" w:sz="4" w:space="0"/>
              <w:right w:val="single" w:color="auto" w:sz="4" w:space="0"/>
            </w:tcBorders>
            <w:noWrap w:val="0"/>
            <w:vAlign w:val="center"/>
          </w:tcPr>
          <w:p w14:paraId="466908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8000</w:t>
            </w:r>
          </w:p>
        </w:tc>
        <w:tc>
          <w:tcPr>
            <w:tcW w:w="1027" w:type="dxa"/>
            <w:tcBorders>
              <w:top w:val="nil"/>
              <w:left w:val="nil"/>
              <w:bottom w:val="single" w:color="auto" w:sz="4" w:space="0"/>
              <w:right w:val="single" w:color="auto" w:sz="4" w:space="0"/>
            </w:tcBorders>
            <w:noWrap w:val="0"/>
            <w:vAlign w:val="center"/>
          </w:tcPr>
          <w:p w14:paraId="2AA9F64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1C6175F1">
        <w:tblPrEx>
          <w:tblCellMar>
            <w:top w:w="0" w:type="dxa"/>
            <w:left w:w="108" w:type="dxa"/>
            <w:bottom w:w="0" w:type="dxa"/>
            <w:right w:w="108" w:type="dxa"/>
          </w:tblCellMar>
        </w:tblPrEx>
        <w:trPr>
          <w:trHeight w:val="394" w:hRule="atLeast"/>
        </w:trPr>
        <w:tc>
          <w:tcPr>
            <w:tcW w:w="1887" w:type="dxa"/>
            <w:tcBorders>
              <w:top w:val="nil"/>
              <w:left w:val="single" w:color="auto" w:sz="4" w:space="0"/>
              <w:bottom w:val="single" w:color="auto" w:sz="4" w:space="0"/>
              <w:right w:val="single" w:color="auto" w:sz="4" w:space="0"/>
            </w:tcBorders>
            <w:noWrap w:val="0"/>
            <w:vAlign w:val="center"/>
          </w:tcPr>
          <w:p w14:paraId="1EB8ADA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536" w:type="dxa"/>
            <w:tcBorders>
              <w:top w:val="nil"/>
              <w:left w:val="nil"/>
              <w:bottom w:val="single" w:color="auto" w:sz="4" w:space="0"/>
              <w:right w:val="single" w:color="auto" w:sz="4" w:space="0"/>
            </w:tcBorders>
            <w:noWrap w:val="0"/>
            <w:vAlign w:val="center"/>
          </w:tcPr>
          <w:p w14:paraId="10D491D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13" w:type="dxa"/>
            <w:tcBorders>
              <w:top w:val="nil"/>
              <w:left w:val="nil"/>
              <w:bottom w:val="single" w:color="auto" w:sz="4" w:space="0"/>
              <w:right w:val="single" w:color="auto" w:sz="4" w:space="0"/>
            </w:tcBorders>
            <w:noWrap w:val="0"/>
            <w:vAlign w:val="center"/>
          </w:tcPr>
          <w:p w14:paraId="773E9E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97" w:type="dxa"/>
            <w:tcBorders>
              <w:top w:val="nil"/>
              <w:left w:val="nil"/>
              <w:bottom w:val="single" w:color="auto" w:sz="4" w:space="0"/>
              <w:right w:val="single" w:color="auto" w:sz="4" w:space="0"/>
            </w:tcBorders>
            <w:noWrap w:val="0"/>
            <w:vAlign w:val="center"/>
          </w:tcPr>
          <w:p w14:paraId="52FA61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1597" w:type="dxa"/>
            <w:tcBorders>
              <w:top w:val="nil"/>
              <w:left w:val="nil"/>
              <w:bottom w:val="single" w:color="auto" w:sz="4" w:space="0"/>
              <w:right w:val="single" w:color="auto" w:sz="4" w:space="0"/>
            </w:tcBorders>
            <w:noWrap w:val="0"/>
            <w:vAlign w:val="center"/>
          </w:tcPr>
          <w:p w14:paraId="463DF5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1027" w:type="dxa"/>
            <w:tcBorders>
              <w:top w:val="nil"/>
              <w:left w:val="nil"/>
              <w:bottom w:val="single" w:color="auto" w:sz="4" w:space="0"/>
              <w:right w:val="single" w:color="auto" w:sz="4" w:space="0"/>
            </w:tcBorders>
            <w:noWrap w:val="0"/>
            <w:vAlign w:val="center"/>
          </w:tcPr>
          <w:p w14:paraId="215F58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bl>
    <w:p w14:paraId="562F3ED0">
      <w:pPr>
        <w:snapToGrid w:val="0"/>
        <w:spacing w:line="380" w:lineRule="exact"/>
        <w:ind w:firstLine="411" w:firstLineChars="196"/>
        <w:jc w:val="left"/>
        <w:rPr>
          <w:rFonts w:hint="eastAsia" w:ascii="宋体"/>
          <w:color w:val="auto"/>
          <w:sz w:val="18"/>
          <w:szCs w:val="18"/>
          <w:highlight w:val="none"/>
        </w:rPr>
      </w:pPr>
      <w:r>
        <w:rPr>
          <w:rFonts w:hint="eastAsia" w:ascii="宋体" w:hAnsi="宋体"/>
          <w:color w:val="auto"/>
          <w:szCs w:val="21"/>
          <w:highlight w:val="none"/>
        </w:rPr>
        <w:t>说明：上述标准参照《关于印发中小企业划型标准规定的通知》（工信部联企业</w:t>
      </w:r>
      <w:r>
        <w:rPr>
          <w:rFonts w:hint="eastAsia" w:ascii="宋体" w:hAnsi="宋体"/>
          <w:color w:val="auto"/>
          <w:szCs w:val="21"/>
          <w:highlight w:val="none"/>
          <w:lang w:eastAsia="zh-CN"/>
        </w:rPr>
        <w:t>〔2011〕300号</w:t>
      </w:r>
      <w:r>
        <w:rPr>
          <w:rFonts w:hint="eastAsia" w:ascii="宋体" w:hAnsi="宋体"/>
          <w:color w:val="auto"/>
          <w:szCs w:val="21"/>
          <w:highlight w:val="none"/>
        </w:rPr>
        <w:t>），大型、中型和小型企业须同时满足所列指标的下限，否则下划一档；微型企业只</w:t>
      </w:r>
      <w:r>
        <w:rPr>
          <w:rFonts w:hint="eastAsia" w:ascii="宋体" w:hAnsi="宋体"/>
          <w:color w:val="auto"/>
          <w:szCs w:val="21"/>
          <w:highlight w:val="none"/>
          <w:lang w:eastAsia="zh-CN"/>
        </w:rPr>
        <w:t>需</w:t>
      </w:r>
      <w:r>
        <w:rPr>
          <w:rFonts w:hint="eastAsia" w:ascii="宋体" w:hAnsi="宋体"/>
          <w:color w:val="auto"/>
          <w:szCs w:val="21"/>
          <w:highlight w:val="none"/>
        </w:rPr>
        <w:t>满足所列指标中的一项即可。</w:t>
      </w:r>
    </w:p>
    <w:p w14:paraId="65F78B7C">
      <w:pPr>
        <w:spacing w:line="720" w:lineRule="auto"/>
        <w:rPr>
          <w:rFonts w:hint="eastAsia"/>
          <w:b/>
          <w:color w:val="auto"/>
          <w:highlight w:val="none"/>
        </w:rPr>
      </w:pPr>
      <w:r>
        <w:rPr>
          <w:color w:val="auto"/>
          <w:highlight w:val="none"/>
        </w:rPr>
        <w:br w:type="page"/>
      </w:r>
      <w:r>
        <w:rPr>
          <w:rFonts w:hint="eastAsia"/>
          <w:b/>
          <w:color w:val="auto"/>
          <w:highlight w:val="none"/>
        </w:rPr>
        <w:t>2.技术文件部分（格式）</w:t>
      </w:r>
    </w:p>
    <w:p w14:paraId="0FF08D8B">
      <w:pPr>
        <w:spacing w:line="360" w:lineRule="exact"/>
        <w:rPr>
          <w:rFonts w:hint="eastAsia"/>
          <w:color w:val="auto"/>
          <w:highlight w:val="none"/>
        </w:rPr>
      </w:pPr>
      <w:r>
        <w:rPr>
          <w:rFonts w:hint="eastAsia"/>
          <w:color w:val="auto"/>
          <w:highlight w:val="none"/>
        </w:rPr>
        <w:t xml:space="preserve">    （1）服务响应表格式： </w:t>
      </w:r>
    </w:p>
    <w:tbl>
      <w:tblPr>
        <w:tblStyle w:val="4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322A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14:paraId="58B40ABA">
            <w:pPr>
              <w:pStyle w:val="25"/>
              <w:spacing w:line="400" w:lineRule="exact"/>
              <w:jc w:val="center"/>
              <w:rPr>
                <w:rFonts w:hint="eastAsia" w:cs="Courier New"/>
                <w:color w:val="auto"/>
                <w:highlight w:val="none"/>
                <w:lang w:val="en-US" w:eastAsia="zh-CN"/>
              </w:rPr>
            </w:pPr>
            <w:r>
              <w:rPr>
                <w:rFonts w:hint="eastAsia" w:cs="Courier New"/>
                <w:color w:val="auto"/>
                <w:highlight w:val="none"/>
                <w:lang w:val="en-US" w:eastAsia="zh-CN"/>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AF94C96">
            <w:pPr>
              <w:pStyle w:val="25"/>
              <w:spacing w:line="400" w:lineRule="exact"/>
              <w:jc w:val="center"/>
              <w:rPr>
                <w:rFonts w:ascii="Times New Roman" w:cs="Courier New"/>
                <w:color w:val="auto"/>
                <w:highlight w:val="none"/>
                <w:lang w:val="en-US" w:eastAsia="zh-CN"/>
              </w:rPr>
            </w:pPr>
            <w:r>
              <w:rPr>
                <w:rFonts w:ascii="Times New Roman" w:cs="Courier New"/>
                <w:color w:val="auto"/>
                <w:highlight w:val="none"/>
                <w:lang w:val="en-US" w:eastAsia="zh-CN"/>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F1A6FB4">
            <w:pPr>
              <w:pStyle w:val="25"/>
              <w:spacing w:line="400" w:lineRule="exact"/>
              <w:jc w:val="center"/>
              <w:rPr>
                <w:rFonts w:ascii="Times New Roman" w:cs="Courier New"/>
                <w:color w:val="auto"/>
                <w:highlight w:val="none"/>
                <w:lang w:val="en-US" w:eastAsia="zh-CN"/>
              </w:rPr>
            </w:pPr>
            <w:r>
              <w:rPr>
                <w:rFonts w:hAnsi="宋体" w:cs="Courier New"/>
                <w:color w:val="auto"/>
                <w:highlight w:val="none"/>
                <w:lang w:val="en-US" w:eastAsia="zh-CN"/>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29324FD1">
            <w:pPr>
              <w:pStyle w:val="25"/>
              <w:spacing w:line="400" w:lineRule="exact"/>
              <w:jc w:val="center"/>
              <w:rPr>
                <w:rFonts w:ascii="Times New Roman" w:cs="Courier New"/>
                <w:color w:val="auto"/>
                <w:highlight w:val="none"/>
                <w:lang w:val="en-US" w:eastAsia="zh-CN"/>
              </w:rPr>
            </w:pPr>
            <w:r>
              <w:rPr>
                <w:rFonts w:ascii="Times New Roman" w:cs="Courier New"/>
                <w:color w:val="auto"/>
                <w:highlight w:val="none"/>
                <w:lang w:val="en-US" w:eastAsia="zh-CN"/>
              </w:rPr>
              <w:t>偏离说明</w:t>
            </w:r>
          </w:p>
        </w:tc>
      </w:tr>
      <w:tr w14:paraId="06AE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7CFD9E5A">
            <w:pPr>
              <w:pStyle w:val="25"/>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4AED6D7">
            <w:pPr>
              <w:pStyle w:val="25"/>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B6ED540">
            <w:pPr>
              <w:pStyle w:val="25"/>
              <w:spacing w:line="600" w:lineRule="exact"/>
              <w:ind w:left="5250"/>
              <w:jc w:val="center"/>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01D3EAC">
            <w:pPr>
              <w:pStyle w:val="25"/>
              <w:spacing w:line="600" w:lineRule="exact"/>
              <w:ind w:left="5250"/>
              <w:jc w:val="center"/>
              <w:rPr>
                <w:rFonts w:ascii="Times New Roman" w:cs="Courier New"/>
                <w:color w:val="auto"/>
                <w:highlight w:val="none"/>
                <w:lang w:val="en-US" w:eastAsia="zh-CN"/>
              </w:rPr>
            </w:pPr>
          </w:p>
        </w:tc>
      </w:tr>
      <w:tr w14:paraId="088D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1FBF580E">
            <w:pPr>
              <w:pStyle w:val="25"/>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DB78955">
            <w:pPr>
              <w:pStyle w:val="25"/>
              <w:spacing w:line="600" w:lineRule="exact"/>
              <w:ind w:left="5250"/>
              <w:jc w:val="center"/>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3EF0B51">
            <w:pPr>
              <w:pStyle w:val="25"/>
              <w:spacing w:line="600" w:lineRule="exact"/>
              <w:ind w:left="5250"/>
              <w:jc w:val="center"/>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69AD8F7">
            <w:pPr>
              <w:pStyle w:val="25"/>
              <w:spacing w:line="600" w:lineRule="exact"/>
              <w:ind w:left="5250"/>
              <w:jc w:val="center"/>
              <w:rPr>
                <w:rFonts w:ascii="Times New Roman" w:cs="Courier New"/>
                <w:color w:val="auto"/>
                <w:highlight w:val="none"/>
                <w:lang w:val="en-US" w:eastAsia="zh-CN"/>
              </w:rPr>
            </w:pPr>
          </w:p>
        </w:tc>
      </w:tr>
      <w:tr w14:paraId="008C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7278D2BF">
            <w:pPr>
              <w:pStyle w:val="25"/>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979ECFC">
            <w:pPr>
              <w:pStyle w:val="25"/>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4E20B10">
            <w:pPr>
              <w:pStyle w:val="25"/>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74C823B5">
            <w:pPr>
              <w:pStyle w:val="25"/>
              <w:spacing w:line="600" w:lineRule="exact"/>
              <w:ind w:left="5250"/>
              <w:rPr>
                <w:rFonts w:ascii="Times New Roman" w:cs="Courier New"/>
                <w:color w:val="auto"/>
                <w:highlight w:val="none"/>
                <w:lang w:val="en-US" w:eastAsia="zh-CN"/>
              </w:rPr>
            </w:pPr>
          </w:p>
        </w:tc>
      </w:tr>
      <w:tr w14:paraId="55D2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4B1AEB64">
            <w:pPr>
              <w:pStyle w:val="25"/>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BA726E7">
            <w:pPr>
              <w:pStyle w:val="25"/>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B12EF0A">
            <w:pPr>
              <w:pStyle w:val="25"/>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1A3AD828">
            <w:pPr>
              <w:pStyle w:val="25"/>
              <w:spacing w:line="600" w:lineRule="exact"/>
              <w:ind w:left="5250"/>
              <w:rPr>
                <w:rFonts w:ascii="Times New Roman" w:cs="Courier New"/>
                <w:color w:val="auto"/>
                <w:highlight w:val="none"/>
                <w:lang w:val="en-US" w:eastAsia="zh-CN"/>
              </w:rPr>
            </w:pPr>
          </w:p>
        </w:tc>
      </w:tr>
      <w:tr w14:paraId="299C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62760448">
            <w:pPr>
              <w:pStyle w:val="25"/>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E75382B">
            <w:pPr>
              <w:pStyle w:val="25"/>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5738EAC9">
            <w:pPr>
              <w:pStyle w:val="25"/>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4E6B4004">
            <w:pPr>
              <w:pStyle w:val="25"/>
              <w:spacing w:line="600" w:lineRule="exact"/>
              <w:ind w:left="5250"/>
              <w:rPr>
                <w:rFonts w:ascii="Times New Roman" w:cs="Courier New"/>
                <w:color w:val="auto"/>
                <w:highlight w:val="none"/>
                <w:lang w:val="en-US" w:eastAsia="zh-CN"/>
              </w:rPr>
            </w:pPr>
          </w:p>
        </w:tc>
      </w:tr>
      <w:tr w14:paraId="6184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3CF1BE77">
            <w:pPr>
              <w:pStyle w:val="25"/>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A1D84B4">
            <w:pPr>
              <w:pStyle w:val="25"/>
              <w:spacing w:line="600" w:lineRule="exact"/>
              <w:ind w:left="5250"/>
              <w:rPr>
                <w:rFonts w:ascii="Times New Roman" w:cs="Courier New"/>
                <w:color w:val="auto"/>
                <w:highlight w:val="none"/>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4E2EEA1">
            <w:pPr>
              <w:pStyle w:val="25"/>
              <w:spacing w:line="600" w:lineRule="exact"/>
              <w:ind w:left="5250"/>
              <w:rPr>
                <w:rFonts w:ascii="Times New Roman" w:cs="Courier New"/>
                <w:color w:val="auto"/>
                <w:highlight w:val="none"/>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7894B3F6">
            <w:pPr>
              <w:pStyle w:val="25"/>
              <w:spacing w:line="600" w:lineRule="exact"/>
              <w:ind w:left="5250"/>
              <w:rPr>
                <w:rFonts w:ascii="Times New Roman" w:cs="Courier New"/>
                <w:color w:val="auto"/>
                <w:highlight w:val="none"/>
                <w:lang w:val="en-US" w:eastAsia="zh-CN"/>
              </w:rPr>
            </w:pPr>
          </w:p>
        </w:tc>
      </w:tr>
    </w:tbl>
    <w:p w14:paraId="2C98A5F4">
      <w:pPr>
        <w:spacing w:line="400" w:lineRule="exact"/>
        <w:rPr>
          <w:rFonts w:hint="eastAsia"/>
          <w:color w:val="auto"/>
          <w:highlight w:val="none"/>
        </w:rPr>
      </w:pPr>
      <w:r>
        <w:rPr>
          <w:rFonts w:hint="eastAsia"/>
          <w:color w:val="auto"/>
          <w:highlight w:val="none"/>
        </w:rPr>
        <w:t xml:space="preserve">   </w:t>
      </w:r>
    </w:p>
    <w:p w14:paraId="36E76A02">
      <w:pPr>
        <w:spacing w:line="360" w:lineRule="exact"/>
        <w:rPr>
          <w:rFonts w:hint="eastAsia"/>
          <w:b/>
          <w:color w:val="auto"/>
          <w:highlight w:val="none"/>
        </w:rPr>
      </w:pPr>
      <w:r>
        <w:rPr>
          <w:rFonts w:hint="eastAsia"/>
          <w:b/>
          <w:color w:val="auto"/>
          <w:highlight w:val="none"/>
        </w:rPr>
        <w:t>注：投标人应根据提供的服务、对照招标文件要求在服务响应表中详细列明招标要求及投标提供的服务的响应情况，并填写“</w:t>
      </w:r>
      <w:r>
        <w:rPr>
          <w:b/>
          <w:color w:val="auto"/>
          <w:sz w:val="24"/>
          <w:highlight w:val="none"/>
        </w:rPr>
        <w:t>偏离说明</w:t>
      </w:r>
      <w:r>
        <w:rPr>
          <w:rFonts w:hint="eastAsia"/>
          <w:b/>
          <w:color w:val="auto"/>
          <w:sz w:val="24"/>
          <w:highlight w:val="none"/>
        </w:rPr>
        <w:t>”</w:t>
      </w:r>
      <w:r>
        <w:rPr>
          <w:rFonts w:hint="eastAsia"/>
          <w:b/>
          <w:color w:val="auto"/>
          <w:highlight w:val="none"/>
        </w:rPr>
        <w:t>。“</w:t>
      </w:r>
      <w:r>
        <w:rPr>
          <w:rFonts w:hint="eastAsia"/>
          <w:b/>
          <w:color w:val="auto"/>
          <w:sz w:val="24"/>
          <w:highlight w:val="none"/>
        </w:rPr>
        <w:t>偏离</w:t>
      </w:r>
      <w:r>
        <w:rPr>
          <w:b/>
          <w:color w:val="auto"/>
          <w:sz w:val="24"/>
          <w:highlight w:val="none"/>
        </w:rPr>
        <w:t>说明</w:t>
      </w:r>
      <w:r>
        <w:rPr>
          <w:rFonts w:hint="eastAsia"/>
          <w:b/>
          <w:color w:val="auto"/>
          <w:highlight w:val="none"/>
        </w:rPr>
        <w:t>”栏注明“正偏离</w:t>
      </w:r>
      <w:r>
        <w:rPr>
          <w:rFonts w:hint="eastAsia"/>
          <w:b/>
          <w:color w:val="auto"/>
          <w:highlight w:val="none"/>
          <w:lang w:eastAsia="zh-CN"/>
        </w:rPr>
        <w:t>”“</w:t>
      </w:r>
      <w:r>
        <w:rPr>
          <w:rFonts w:hint="eastAsia"/>
          <w:b/>
          <w:color w:val="auto"/>
          <w:highlight w:val="none"/>
        </w:rPr>
        <w:t>负偏离”或“无偏离”。投标所提供的服务与招标要求相同的为无偏离，投标所提供的服务高于招标要求的为正偏离，低于招标要求的为负偏离。</w:t>
      </w:r>
    </w:p>
    <w:p w14:paraId="5C9FF690">
      <w:pPr>
        <w:rPr>
          <w:rFonts w:hint="eastAsia"/>
          <w:color w:val="auto"/>
          <w:highlight w:val="none"/>
        </w:rPr>
      </w:pPr>
    </w:p>
    <w:p w14:paraId="00C65EF5">
      <w:pPr>
        <w:spacing w:line="400" w:lineRule="exact"/>
        <w:rPr>
          <w:rFonts w:hint="eastAsia"/>
          <w:color w:val="auto"/>
          <w:highlight w:val="none"/>
          <w:u w:val="single"/>
        </w:rPr>
      </w:pPr>
      <w:r>
        <w:rPr>
          <w:rFonts w:hint="eastAsia"/>
          <w:color w:val="auto"/>
          <w:highlight w:val="none"/>
        </w:rPr>
        <w:t>法定代表人（负责人）或委托代理人签字或盖章：</w:t>
      </w:r>
      <w:r>
        <w:rPr>
          <w:rFonts w:hint="eastAsia"/>
          <w:color w:val="auto"/>
          <w:highlight w:val="none"/>
          <w:u w:val="single"/>
        </w:rPr>
        <w:t xml:space="preserve">                 </w:t>
      </w:r>
    </w:p>
    <w:p w14:paraId="453A83C7">
      <w:pPr>
        <w:spacing w:line="400" w:lineRule="exact"/>
        <w:rPr>
          <w:rFonts w:hint="eastAsia"/>
          <w:color w:val="auto"/>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日 期：</w:t>
      </w:r>
      <w:r>
        <w:rPr>
          <w:rFonts w:hint="eastAsia"/>
          <w:color w:val="auto"/>
          <w:highlight w:val="none"/>
          <w:u w:val="single"/>
        </w:rPr>
        <w:t xml:space="preserve">              </w:t>
      </w:r>
    </w:p>
    <w:p w14:paraId="105E6E7D">
      <w:pPr>
        <w:rPr>
          <w:rFonts w:hint="eastAsia"/>
          <w:color w:val="auto"/>
          <w:highlight w:val="none"/>
        </w:rPr>
      </w:pPr>
    </w:p>
    <w:p w14:paraId="76C3355B">
      <w:pPr>
        <w:spacing w:line="400" w:lineRule="exact"/>
        <w:rPr>
          <w:rFonts w:hint="eastAsia" w:ascii="宋体"/>
          <w:color w:val="auto"/>
          <w:spacing w:val="20"/>
          <w:szCs w:val="21"/>
          <w:highlight w:val="none"/>
          <w:u w:val="single"/>
        </w:rPr>
      </w:pPr>
      <w:r>
        <w:rPr>
          <w:rFonts w:hint="eastAsia"/>
          <w:color w:val="auto"/>
          <w:highlight w:val="none"/>
        </w:rPr>
        <w:t xml:space="preserve">    </w:t>
      </w:r>
    </w:p>
    <w:p w14:paraId="22599FDA">
      <w:pPr>
        <w:spacing w:line="360" w:lineRule="exact"/>
        <w:rPr>
          <w:rFonts w:hint="eastAsia"/>
          <w:color w:val="auto"/>
          <w:highlight w:val="none"/>
        </w:rPr>
      </w:pPr>
      <w:r>
        <w:rPr>
          <w:rFonts w:hint="eastAsia"/>
          <w:color w:val="auto"/>
          <w:highlight w:val="none"/>
        </w:rPr>
        <w:t xml:space="preserve">    （2）服务方案</w:t>
      </w:r>
      <w:r>
        <w:rPr>
          <w:rFonts w:hint="eastAsia" w:ascii="宋体" w:hAnsi="宋体"/>
          <w:color w:val="auto"/>
          <w:szCs w:val="21"/>
          <w:highlight w:val="none"/>
        </w:rPr>
        <w:t>；</w:t>
      </w:r>
      <w:r>
        <w:rPr>
          <w:rFonts w:hint="eastAsia" w:ascii="宋体" w:hAnsi="宋体"/>
          <w:b/>
          <w:color w:val="auto"/>
          <w:szCs w:val="21"/>
          <w:highlight w:val="none"/>
        </w:rPr>
        <w:t>（格式自拟，</w:t>
      </w:r>
      <w:r>
        <w:rPr>
          <w:rFonts w:hint="eastAsia" w:ascii="宋体"/>
          <w:b/>
          <w:color w:val="auto"/>
          <w:szCs w:val="21"/>
          <w:highlight w:val="none"/>
        </w:rPr>
        <w:t>必须提供</w:t>
      </w:r>
      <w:r>
        <w:rPr>
          <w:rFonts w:hint="eastAsia" w:ascii="宋体" w:hAnsi="宋体"/>
          <w:b/>
          <w:color w:val="auto"/>
          <w:szCs w:val="21"/>
          <w:highlight w:val="none"/>
        </w:rPr>
        <w:t>）</w:t>
      </w:r>
    </w:p>
    <w:p w14:paraId="4BDF5033">
      <w:pPr>
        <w:rPr>
          <w:rFonts w:hint="eastAsia"/>
          <w:color w:val="auto"/>
          <w:highlight w:val="none"/>
        </w:rPr>
      </w:pPr>
    </w:p>
    <w:p w14:paraId="0363F0CC">
      <w:pPr>
        <w:spacing w:line="360" w:lineRule="exact"/>
        <w:rPr>
          <w:rFonts w:hint="eastAsia"/>
          <w:color w:val="auto"/>
          <w:highlight w:val="none"/>
        </w:rPr>
      </w:pPr>
      <w:r>
        <w:rPr>
          <w:rFonts w:hint="eastAsia"/>
          <w:color w:val="auto"/>
          <w:highlight w:val="none"/>
        </w:rPr>
        <w:t xml:space="preserve">    （3）投标人拥有主要服务设施的情况和现状（格式自拟）及项目实施人员一览表</w:t>
      </w:r>
    </w:p>
    <w:p w14:paraId="3CF6B3A0">
      <w:pPr>
        <w:spacing w:line="360" w:lineRule="exact"/>
        <w:jc w:val="center"/>
        <w:rPr>
          <w:rFonts w:hint="eastAsia"/>
          <w:b/>
          <w:color w:val="auto"/>
          <w:highlight w:val="none"/>
        </w:rPr>
      </w:pPr>
      <w:r>
        <w:rPr>
          <w:rFonts w:hint="eastAsia"/>
          <w:b/>
          <w:color w:val="auto"/>
          <w:highlight w:val="none"/>
        </w:rPr>
        <w:t>项目实施人员（主要从业人员及其技术资格）一览表</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14:paraId="6FA92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57CEDC40">
            <w:pP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ECBB8CA">
            <w:pP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0473C56">
            <w:pP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0C53228">
            <w:pPr>
              <w:snapToGrid w:val="0"/>
              <w:spacing w:before="156" w:beforeLines="50" w:after="50" w:line="360" w:lineRule="exact"/>
              <w:jc w:val="center"/>
              <w:rPr>
                <w:rFonts w:hint="eastAsia" w:ascii="宋体"/>
                <w:color w:val="auto"/>
                <w:szCs w:val="21"/>
                <w:highlight w:val="none"/>
              </w:rPr>
            </w:pPr>
            <w:r>
              <w:rPr>
                <w:rFonts w:hint="eastAsia" w:ascii="宋体"/>
                <w:color w:val="auto"/>
                <w:szCs w:val="21"/>
                <w:highlight w:val="none"/>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791C022E">
            <w:pPr>
              <w:snapToGrid w:val="0"/>
              <w:spacing w:before="156" w:beforeLines="50" w:after="50" w:line="200" w:lineRule="exact"/>
              <w:jc w:val="center"/>
              <w:rPr>
                <w:rFonts w:hint="eastAsia" w:ascii="宋体"/>
                <w:bCs/>
                <w:color w:val="auto"/>
                <w:szCs w:val="21"/>
                <w:highlight w:val="none"/>
              </w:rPr>
            </w:pPr>
            <w:r>
              <w:rPr>
                <w:rFonts w:hint="eastAsia" w:ascii="宋体"/>
                <w:bCs/>
                <w:color w:val="auto"/>
                <w:szCs w:val="21"/>
                <w:highlight w:val="none"/>
              </w:rPr>
              <w:t>参加本单位</w:t>
            </w:r>
          </w:p>
          <w:p w14:paraId="49DED477">
            <w:pPr>
              <w:snapToGrid w:val="0"/>
              <w:spacing w:before="156" w:beforeLines="50" w:after="50" w:line="200" w:lineRule="exact"/>
              <w:jc w:val="center"/>
              <w:rPr>
                <w:rFonts w:hint="eastAsia" w:ascii="宋体"/>
                <w:bCs/>
                <w:color w:val="auto"/>
                <w:szCs w:val="21"/>
                <w:highlight w:val="none"/>
              </w:rPr>
            </w:pPr>
            <w:r>
              <w:rPr>
                <w:rFonts w:hint="eastAsia" w:ascii="宋体"/>
                <w:bCs/>
                <w:color w:val="auto"/>
                <w:szCs w:val="21"/>
                <w:highlight w:val="none"/>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B9C2073">
            <w:pPr>
              <w:snapToGrid w:val="0"/>
              <w:spacing w:before="156" w:beforeLines="50" w:after="50" w:line="360" w:lineRule="exact"/>
              <w:jc w:val="center"/>
              <w:rPr>
                <w:rFonts w:hint="eastAsia" w:ascii="宋体"/>
                <w:bCs/>
                <w:color w:val="auto"/>
                <w:szCs w:val="21"/>
                <w:highlight w:val="none"/>
              </w:rPr>
            </w:pPr>
            <w:r>
              <w:rPr>
                <w:rFonts w:hint="eastAsia" w:ascii="宋体"/>
                <w:bCs/>
                <w:color w:val="auto"/>
                <w:szCs w:val="21"/>
                <w:highlight w:val="none"/>
              </w:rPr>
              <w:t>劳动合同编号</w:t>
            </w:r>
          </w:p>
        </w:tc>
      </w:tr>
      <w:tr w14:paraId="73F16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21A212F0">
            <w:pPr>
              <w:snapToGrid w:val="0"/>
              <w:spacing w:before="156" w:beforeLines="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E6EA849">
            <w:pPr>
              <w:snapToGrid w:val="0"/>
              <w:spacing w:before="156" w:beforeLines="50" w:after="50" w:line="360" w:lineRule="exact"/>
              <w:rPr>
                <w:rFonts w:hint="eastAsia" w:asci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0C38ED4">
            <w:pPr>
              <w:snapToGrid w:val="0"/>
              <w:spacing w:before="156" w:beforeLines="50" w:after="50" w:line="360" w:lineRule="exact"/>
              <w:rPr>
                <w:rFonts w:hint="eastAsia" w:asci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ADFF742">
            <w:pPr>
              <w:snapToGrid w:val="0"/>
              <w:spacing w:before="156" w:beforeLines="50" w:after="50" w:line="360" w:lineRule="exact"/>
              <w:rPr>
                <w:rFonts w:hint="eastAsia" w:asci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3D28E295">
            <w:pPr>
              <w:snapToGrid w:val="0"/>
              <w:spacing w:before="156" w:beforeLines="50" w:after="50" w:line="360" w:lineRule="exact"/>
              <w:rPr>
                <w:rFonts w:hint="eastAsia" w:asci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DAF5138">
            <w:pPr>
              <w:snapToGrid w:val="0"/>
              <w:spacing w:before="156" w:beforeLines="50" w:after="50" w:line="360" w:lineRule="exact"/>
              <w:rPr>
                <w:rFonts w:hint="eastAsia" w:ascii="宋体"/>
                <w:color w:val="auto"/>
                <w:szCs w:val="21"/>
                <w:highlight w:val="none"/>
              </w:rPr>
            </w:pPr>
          </w:p>
        </w:tc>
      </w:tr>
      <w:tr w14:paraId="1A3C8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2569255C">
            <w:pPr>
              <w:snapToGrid w:val="0"/>
              <w:spacing w:before="156" w:beforeLines="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FBAF051">
            <w:pPr>
              <w:snapToGrid w:val="0"/>
              <w:spacing w:before="156" w:beforeLines="50" w:after="50" w:line="360" w:lineRule="exact"/>
              <w:rPr>
                <w:rFonts w:hint="eastAsia" w:asci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8EFD794">
            <w:pPr>
              <w:snapToGrid w:val="0"/>
              <w:spacing w:before="156" w:beforeLines="50" w:after="50" w:line="360" w:lineRule="exact"/>
              <w:rPr>
                <w:rFonts w:hint="eastAsia" w:asci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05588123">
            <w:pPr>
              <w:snapToGrid w:val="0"/>
              <w:spacing w:before="156" w:beforeLines="50" w:after="50" w:line="360" w:lineRule="exact"/>
              <w:rPr>
                <w:rFonts w:hint="eastAsia" w:asci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0BF771F0">
            <w:pPr>
              <w:snapToGrid w:val="0"/>
              <w:spacing w:before="156" w:beforeLines="50" w:after="50" w:line="360" w:lineRule="exact"/>
              <w:rPr>
                <w:rFonts w:hint="eastAsia" w:asci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1249BB5">
            <w:pPr>
              <w:snapToGrid w:val="0"/>
              <w:spacing w:before="156" w:beforeLines="50" w:after="50" w:line="360" w:lineRule="exact"/>
              <w:rPr>
                <w:rFonts w:hint="eastAsia" w:ascii="宋体"/>
                <w:color w:val="auto"/>
                <w:szCs w:val="21"/>
                <w:highlight w:val="none"/>
              </w:rPr>
            </w:pPr>
          </w:p>
        </w:tc>
      </w:tr>
      <w:tr w14:paraId="12F19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027ECE5B">
            <w:pPr>
              <w:snapToGrid w:val="0"/>
              <w:spacing w:before="156" w:beforeLines="50" w:after="50" w:line="360" w:lineRule="exact"/>
              <w:rPr>
                <w:rFonts w:hint="eastAsia" w:asci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C573D1A">
            <w:pPr>
              <w:snapToGrid w:val="0"/>
              <w:spacing w:before="156" w:beforeLines="50" w:after="50" w:line="360" w:lineRule="exact"/>
              <w:rPr>
                <w:rFonts w:hint="eastAsia" w:asci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556C5308">
            <w:pPr>
              <w:pStyle w:val="27"/>
              <w:snapToGrid w:val="0"/>
              <w:spacing w:before="156" w:beforeLines="50" w:after="50" w:line="360" w:lineRule="exact"/>
              <w:ind w:left="5250"/>
              <w:rPr>
                <w:rFonts w:hint="eastAsia"/>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7FED732E">
            <w:pPr>
              <w:snapToGrid w:val="0"/>
              <w:spacing w:before="156" w:beforeLines="50" w:after="50" w:line="360" w:lineRule="exact"/>
              <w:rPr>
                <w:rFonts w:hint="eastAsia" w:asci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1A3F0D2F">
            <w:pPr>
              <w:snapToGrid w:val="0"/>
              <w:spacing w:before="156" w:beforeLines="50" w:after="50" w:line="360" w:lineRule="exact"/>
              <w:rPr>
                <w:rFonts w:hint="eastAsia" w:asci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7017809">
            <w:pPr>
              <w:snapToGrid w:val="0"/>
              <w:spacing w:before="156" w:beforeLines="50" w:after="50" w:line="360" w:lineRule="exact"/>
              <w:rPr>
                <w:rFonts w:hint="eastAsia" w:ascii="宋体"/>
                <w:color w:val="auto"/>
                <w:szCs w:val="21"/>
                <w:highlight w:val="none"/>
              </w:rPr>
            </w:pPr>
          </w:p>
        </w:tc>
      </w:tr>
    </w:tbl>
    <w:p w14:paraId="1A95639B">
      <w:pPr>
        <w:snapToGrid w:val="0"/>
        <w:spacing w:before="50" w:after="50" w:line="360" w:lineRule="exact"/>
        <w:rPr>
          <w:rFonts w:hint="eastAsia" w:ascii="宋体"/>
          <w:color w:val="auto"/>
          <w:spacing w:val="20"/>
          <w:szCs w:val="21"/>
          <w:highlight w:val="none"/>
          <w:u w:val="single"/>
        </w:rPr>
      </w:pPr>
      <w:r>
        <w:rPr>
          <w:rFonts w:hint="eastAsia" w:ascii="宋体"/>
          <w:color w:val="auto"/>
          <w:szCs w:val="21"/>
          <w:highlight w:val="none"/>
        </w:rPr>
        <w:t>法定代表人（负责人）或委托代理人签字或盖章</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p>
    <w:p w14:paraId="2635A57E">
      <w:pPr>
        <w:snapToGrid w:val="0"/>
        <w:spacing w:before="50" w:after="50" w:line="360" w:lineRule="exact"/>
        <w:rPr>
          <w:rFonts w:hint="eastAsia" w:ascii="宋体"/>
          <w:color w:val="auto"/>
          <w:szCs w:val="21"/>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r>
        <w:rPr>
          <w:rFonts w:hint="eastAsia" w:ascii="宋体"/>
          <w:color w:val="auto"/>
          <w:spacing w:val="20"/>
          <w:szCs w:val="21"/>
          <w:highlight w:val="none"/>
        </w:rPr>
        <w:t xml:space="preserve">            日 期：</w:t>
      </w:r>
      <w:r>
        <w:rPr>
          <w:rFonts w:hint="eastAsia" w:ascii="宋体"/>
          <w:color w:val="auto"/>
          <w:spacing w:val="20"/>
          <w:szCs w:val="21"/>
          <w:highlight w:val="none"/>
          <w:u w:val="single"/>
        </w:rPr>
        <w:t xml:space="preserve">            </w:t>
      </w:r>
    </w:p>
    <w:p w14:paraId="2D9F15FD">
      <w:pPr>
        <w:rPr>
          <w:rFonts w:hint="eastAsia"/>
          <w:color w:val="auto"/>
          <w:highlight w:val="none"/>
        </w:rPr>
      </w:pPr>
    </w:p>
    <w:p w14:paraId="304134BE">
      <w:pPr>
        <w:rPr>
          <w:rFonts w:hint="eastAsia"/>
          <w:color w:val="auto"/>
          <w:highlight w:val="none"/>
        </w:rPr>
      </w:pPr>
    </w:p>
    <w:p w14:paraId="233EF9B6">
      <w:pPr>
        <w:spacing w:line="360" w:lineRule="exact"/>
        <w:rPr>
          <w:rFonts w:hint="eastAsia"/>
          <w:color w:val="auto"/>
          <w:highlight w:val="none"/>
        </w:rPr>
      </w:pPr>
      <w:r>
        <w:rPr>
          <w:rFonts w:hint="eastAsia"/>
          <w:color w:val="auto"/>
          <w:highlight w:val="none"/>
        </w:rPr>
        <w:t xml:space="preserve">    （4）优惠条件：投标人承诺给予招标人的各种优惠条件</w:t>
      </w:r>
    </w:p>
    <w:p w14:paraId="4BC029AF">
      <w:pPr>
        <w:rPr>
          <w:rFonts w:hint="eastAsia"/>
          <w:color w:val="auto"/>
          <w:highlight w:val="none"/>
        </w:rPr>
      </w:pPr>
    </w:p>
    <w:p w14:paraId="632EBDA0">
      <w:pPr>
        <w:rPr>
          <w:rFonts w:hint="eastAsia"/>
          <w:color w:val="auto"/>
          <w:highlight w:val="none"/>
        </w:rPr>
      </w:pPr>
      <w:r>
        <w:rPr>
          <w:rFonts w:hint="eastAsia"/>
          <w:color w:val="auto"/>
          <w:highlight w:val="none"/>
        </w:rPr>
        <w:t xml:space="preserve">    （5）投标人对本项目的合理化建议和改进措施（格式自拟）</w:t>
      </w:r>
    </w:p>
    <w:p w14:paraId="4CFBAAF2">
      <w:pPr>
        <w:rPr>
          <w:rFonts w:hint="eastAsia"/>
          <w:color w:val="auto"/>
          <w:highlight w:val="none"/>
        </w:rPr>
      </w:pPr>
    </w:p>
    <w:p w14:paraId="5DDD4854">
      <w:pPr>
        <w:rPr>
          <w:rFonts w:hint="eastAsia"/>
          <w:color w:val="auto"/>
          <w:highlight w:val="none"/>
        </w:rPr>
      </w:pPr>
      <w:r>
        <w:rPr>
          <w:rFonts w:hint="eastAsia"/>
          <w:color w:val="auto"/>
          <w:highlight w:val="none"/>
        </w:rPr>
        <w:t xml:space="preserve">    （6）投标人认为需要提供的其他材料（格式自拟）</w:t>
      </w:r>
    </w:p>
    <w:p w14:paraId="73EF3246">
      <w:pPr>
        <w:rPr>
          <w:rFonts w:hint="eastAsia"/>
          <w:color w:val="auto"/>
          <w:highlight w:val="none"/>
        </w:rPr>
      </w:pPr>
    </w:p>
    <w:p w14:paraId="41CE1EEE">
      <w:pPr>
        <w:spacing w:line="360" w:lineRule="exact"/>
        <w:rPr>
          <w:color w:val="auto"/>
          <w:highlight w:val="none"/>
        </w:rPr>
      </w:pPr>
      <w:r>
        <w:rPr>
          <w:rFonts w:hint="eastAsia"/>
          <w:color w:val="auto"/>
          <w:highlight w:val="none"/>
        </w:rPr>
        <w:t xml:space="preserve">    （7）招标项目采购需求中要求必须提供的材料（招标项目采购需求中要求必须提供的材料，据实提供）</w:t>
      </w:r>
    </w:p>
    <w:p w14:paraId="092AB074">
      <w:pPr>
        <w:spacing w:line="720" w:lineRule="auto"/>
        <w:rPr>
          <w:rFonts w:hint="eastAsia"/>
          <w:b/>
          <w:color w:val="auto"/>
          <w:highlight w:val="none"/>
        </w:rPr>
      </w:pPr>
      <w:r>
        <w:rPr>
          <w:color w:val="auto"/>
          <w:highlight w:val="none"/>
        </w:rPr>
        <w:br w:type="page"/>
      </w:r>
      <w:r>
        <w:rPr>
          <w:rFonts w:hint="eastAsia"/>
          <w:color w:val="auto"/>
          <w:highlight w:val="none"/>
          <w:lang w:eastAsia="zh-CN"/>
        </w:rPr>
        <w:t>（三）</w:t>
      </w:r>
      <w:r>
        <w:rPr>
          <w:rFonts w:hint="eastAsia"/>
          <w:b/>
          <w:color w:val="auto"/>
          <w:highlight w:val="none"/>
        </w:rPr>
        <w:t>报价文件部分 （格式）</w:t>
      </w:r>
    </w:p>
    <w:p w14:paraId="0D0E7DE2">
      <w:pPr>
        <w:rPr>
          <w:rFonts w:hint="eastAsia"/>
          <w:color w:val="auto"/>
          <w:highlight w:val="none"/>
        </w:rPr>
      </w:pPr>
      <w:r>
        <w:rPr>
          <w:rFonts w:hint="eastAsia"/>
          <w:color w:val="auto"/>
          <w:highlight w:val="none"/>
        </w:rPr>
        <w:t xml:space="preserve">    （1）投标函格式</w:t>
      </w:r>
    </w:p>
    <w:p w14:paraId="3A7E0443">
      <w:pPr>
        <w:snapToGrid w:val="0"/>
        <w:spacing w:before="156" w:beforeLines="50" w:after="50" w:line="360" w:lineRule="exact"/>
        <w:jc w:val="center"/>
        <w:rPr>
          <w:rFonts w:hint="eastAsia" w:ascii="宋体"/>
          <w:b/>
          <w:color w:val="auto"/>
          <w:szCs w:val="21"/>
          <w:highlight w:val="none"/>
        </w:rPr>
      </w:pPr>
      <w:r>
        <w:rPr>
          <w:rFonts w:hint="eastAsia" w:ascii="宋体"/>
          <w:b/>
          <w:color w:val="auto"/>
          <w:szCs w:val="21"/>
          <w:highlight w:val="none"/>
        </w:rPr>
        <w:t>投 标 函</w:t>
      </w:r>
    </w:p>
    <w:p w14:paraId="1605D12B">
      <w:pPr>
        <w:snapToGrid w:val="0"/>
        <w:spacing w:line="400" w:lineRule="exact"/>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color w:val="auto"/>
          <w:highlight w:val="none"/>
          <w:u w:val="single"/>
          <w:lang w:eastAsia="zh-CN"/>
        </w:rPr>
        <w:t>广西中吉银工程项目管理有限公司</w:t>
      </w:r>
      <w:r>
        <w:rPr>
          <w:rFonts w:hint="eastAsia"/>
          <w:color w:val="auto"/>
          <w:highlight w:val="none"/>
          <w:u w:val="single"/>
        </w:rPr>
        <w:t xml:space="preserve"> </w:t>
      </w:r>
    </w:p>
    <w:p w14:paraId="04E82946">
      <w:pPr>
        <w:snapToGrid w:val="0"/>
        <w:spacing w:line="400" w:lineRule="exact"/>
        <w:rPr>
          <w:rFonts w:hint="eastAsia" w:ascii="宋体"/>
          <w:color w:val="auto"/>
          <w:szCs w:val="21"/>
          <w:highlight w:val="none"/>
        </w:rPr>
      </w:pPr>
      <w:r>
        <w:rPr>
          <w:rFonts w:hint="eastAsia" w:ascii="宋体"/>
          <w:color w:val="auto"/>
          <w:szCs w:val="21"/>
          <w:highlight w:val="none"/>
        </w:rPr>
        <w:t xml:space="preserve">    根据贵方为</w:t>
      </w:r>
      <w:r>
        <w:rPr>
          <w:rFonts w:hint="eastAsia" w:ascii="宋体"/>
          <w:color w:val="auto"/>
          <w:szCs w:val="21"/>
          <w:highlight w:val="none"/>
          <w:u w:val="single"/>
        </w:rPr>
        <w:t xml:space="preserve">               </w:t>
      </w:r>
      <w:r>
        <w:rPr>
          <w:rFonts w:hint="eastAsia" w:ascii="宋体"/>
          <w:color w:val="auto"/>
          <w:szCs w:val="21"/>
          <w:highlight w:val="none"/>
        </w:rPr>
        <w:t>项目的招标公告（项目编号：</w:t>
      </w:r>
      <w:r>
        <w:rPr>
          <w:rFonts w:hint="eastAsia" w:ascii="宋体"/>
          <w:color w:val="auto"/>
          <w:szCs w:val="21"/>
          <w:highlight w:val="none"/>
          <w:u w:val="single"/>
        </w:rPr>
        <w:t xml:space="preserve">            </w:t>
      </w:r>
      <w:r>
        <w:rPr>
          <w:rFonts w:hint="eastAsia" w:ascii="宋体"/>
          <w:color w:val="auto"/>
          <w:szCs w:val="21"/>
          <w:highlight w:val="none"/>
        </w:rPr>
        <w:t>），签字代表</w:t>
      </w:r>
      <w:r>
        <w:rPr>
          <w:rFonts w:hint="eastAsia" w:ascii="宋体"/>
          <w:color w:val="auto"/>
          <w:szCs w:val="21"/>
          <w:highlight w:val="none"/>
          <w:u w:val="single"/>
        </w:rPr>
        <w:t xml:space="preserve">        </w:t>
      </w:r>
      <w:r>
        <w:rPr>
          <w:rFonts w:hint="eastAsia" w:ascii="宋体"/>
          <w:color w:val="auto"/>
          <w:szCs w:val="21"/>
          <w:highlight w:val="none"/>
        </w:rPr>
        <w:t>（全名）经正式授权并代表投标人</w:t>
      </w:r>
      <w:r>
        <w:rPr>
          <w:rFonts w:hint="eastAsia" w:ascii="宋体"/>
          <w:color w:val="auto"/>
          <w:szCs w:val="21"/>
          <w:highlight w:val="none"/>
          <w:u w:val="single"/>
        </w:rPr>
        <w:t xml:space="preserve">                      </w:t>
      </w:r>
      <w:r>
        <w:rPr>
          <w:rFonts w:hint="eastAsia" w:ascii="宋体"/>
          <w:color w:val="auto"/>
          <w:szCs w:val="21"/>
          <w:highlight w:val="none"/>
        </w:rPr>
        <w:t>（投标人名称）</w:t>
      </w:r>
      <w:r>
        <w:rPr>
          <w:rFonts w:hint="eastAsia" w:ascii="宋体" w:hAnsi="宋体"/>
          <w:color w:val="auto"/>
          <w:szCs w:val="21"/>
          <w:highlight w:val="none"/>
        </w:rPr>
        <w:t>上传并提交加密的电子投标文件一份。</w:t>
      </w:r>
    </w:p>
    <w:p w14:paraId="5DEBF15A">
      <w:pPr>
        <w:snapToGrid w:val="0"/>
        <w:spacing w:line="400" w:lineRule="exact"/>
        <w:rPr>
          <w:rFonts w:hint="eastAsia" w:ascii="宋体"/>
          <w:color w:val="auto"/>
          <w:szCs w:val="21"/>
          <w:highlight w:val="none"/>
        </w:rPr>
      </w:pPr>
      <w:r>
        <w:rPr>
          <w:rFonts w:hint="eastAsia" w:ascii="宋体"/>
          <w:color w:val="auto"/>
          <w:szCs w:val="21"/>
          <w:highlight w:val="none"/>
        </w:rPr>
        <w:t xml:space="preserve">    据此函，签字代表宣布同意如下：</w:t>
      </w:r>
    </w:p>
    <w:p w14:paraId="105942EF">
      <w:pPr>
        <w:snapToGrid w:val="0"/>
        <w:spacing w:line="400" w:lineRule="exact"/>
        <w:rPr>
          <w:rFonts w:hint="eastAsia" w:ascii="宋体"/>
          <w:color w:val="auto"/>
          <w:szCs w:val="21"/>
          <w:highlight w:val="none"/>
        </w:rPr>
      </w:pPr>
      <w:r>
        <w:rPr>
          <w:rFonts w:hint="eastAsia" w:ascii="宋体"/>
          <w:color w:val="auto"/>
          <w:szCs w:val="21"/>
          <w:highlight w:val="none"/>
        </w:rPr>
        <w:t xml:space="preserve">    1.投标人已详细审查全部“招标文件”，包括修改文件（如有的话）以及全部参考资料和有关附件，已经了解我方对于招标文件、采购过程、采购结果有依法进行询问、质疑、投诉的权利及相关渠道和要求。</w:t>
      </w:r>
    </w:p>
    <w:p w14:paraId="217DB0CE">
      <w:pPr>
        <w:snapToGrid w:val="0"/>
        <w:spacing w:line="400" w:lineRule="exact"/>
        <w:rPr>
          <w:rFonts w:hint="eastAsia" w:ascii="宋体"/>
          <w:color w:val="auto"/>
          <w:szCs w:val="21"/>
          <w:highlight w:val="none"/>
        </w:rPr>
      </w:pPr>
      <w:r>
        <w:rPr>
          <w:rFonts w:hint="eastAsia" w:ascii="宋体"/>
          <w:color w:val="auto"/>
          <w:szCs w:val="21"/>
          <w:highlight w:val="none"/>
        </w:rPr>
        <w:t xml:space="preserve">    2.投标人在投标之前已经与贵方进行了充分的沟通，完全理解并接受招标文件的各项规定和要求，对招标文件的合理性、合法性不再有异议。</w:t>
      </w:r>
    </w:p>
    <w:p w14:paraId="4D4BF5D6">
      <w:pPr>
        <w:snapToGrid w:val="0"/>
        <w:spacing w:line="400" w:lineRule="exact"/>
        <w:rPr>
          <w:rFonts w:hint="eastAsia" w:ascii="宋体"/>
          <w:color w:val="auto"/>
          <w:szCs w:val="21"/>
          <w:highlight w:val="none"/>
        </w:rPr>
      </w:pPr>
      <w:r>
        <w:rPr>
          <w:rFonts w:hint="eastAsia" w:ascii="宋体"/>
          <w:color w:val="auto"/>
          <w:szCs w:val="21"/>
          <w:highlight w:val="none"/>
        </w:rPr>
        <w:t xml:space="preserve">    3.本投标有效期自提交投标文件截止之日起</w:t>
      </w:r>
      <w:r>
        <w:rPr>
          <w:rFonts w:hint="eastAsia" w:ascii="宋体"/>
          <w:color w:val="auto"/>
          <w:szCs w:val="21"/>
          <w:highlight w:val="none"/>
          <w:u w:val="single"/>
        </w:rPr>
        <w:t xml:space="preserve">         </w:t>
      </w:r>
      <w:r>
        <w:rPr>
          <w:rFonts w:hint="eastAsia" w:ascii="宋体"/>
          <w:color w:val="auto"/>
          <w:szCs w:val="21"/>
          <w:highlight w:val="none"/>
        </w:rPr>
        <w:t>天。</w:t>
      </w:r>
    </w:p>
    <w:p w14:paraId="3E50E36A">
      <w:pPr>
        <w:snapToGrid w:val="0"/>
        <w:spacing w:line="400" w:lineRule="exact"/>
        <w:rPr>
          <w:rFonts w:hint="eastAsia" w:ascii="宋体"/>
          <w:color w:val="auto"/>
          <w:szCs w:val="21"/>
          <w:highlight w:val="none"/>
        </w:rPr>
      </w:pPr>
      <w:r>
        <w:rPr>
          <w:rFonts w:hint="eastAsia" w:ascii="宋体"/>
          <w:color w:val="auto"/>
          <w:szCs w:val="21"/>
          <w:highlight w:val="none"/>
        </w:rPr>
        <w:t xml:space="preserve">    4.如中标，本投标文件至本项目合同履行完毕止均保持有效，本投标人将按“招标文件”及政府采购法律、法规的规定履行合同责任和义务。</w:t>
      </w:r>
    </w:p>
    <w:p w14:paraId="2FF7E1A5">
      <w:pPr>
        <w:snapToGrid w:val="0"/>
        <w:spacing w:line="400" w:lineRule="exact"/>
        <w:rPr>
          <w:rFonts w:hint="eastAsia" w:ascii="宋体"/>
          <w:color w:val="auto"/>
          <w:szCs w:val="21"/>
          <w:highlight w:val="none"/>
        </w:rPr>
      </w:pPr>
      <w:r>
        <w:rPr>
          <w:rFonts w:hint="eastAsia" w:ascii="宋体"/>
          <w:color w:val="auto"/>
          <w:szCs w:val="21"/>
          <w:highlight w:val="none"/>
        </w:rPr>
        <w:t xml:space="preserve">    5.投标人同意按照贵方要求提供与投标有关的一切数据或资料。</w:t>
      </w:r>
    </w:p>
    <w:p w14:paraId="45DD9CBE">
      <w:pPr>
        <w:snapToGrid w:val="0"/>
        <w:spacing w:line="400" w:lineRule="exact"/>
        <w:rPr>
          <w:rFonts w:hint="eastAsia" w:ascii="宋体"/>
          <w:color w:val="auto"/>
          <w:szCs w:val="21"/>
          <w:highlight w:val="none"/>
        </w:rPr>
      </w:pPr>
      <w:r>
        <w:rPr>
          <w:rFonts w:hint="eastAsia" w:ascii="宋体"/>
          <w:color w:val="auto"/>
          <w:szCs w:val="21"/>
          <w:highlight w:val="none"/>
        </w:rPr>
        <w:t xml:space="preserve">    6.与本投标有关的一切正式往来信函请寄：</w:t>
      </w:r>
    </w:p>
    <w:p w14:paraId="2A468325">
      <w:pPr>
        <w:snapToGrid w:val="0"/>
        <w:spacing w:line="400" w:lineRule="exact"/>
        <w:rPr>
          <w:rFonts w:hint="eastAsia" w:ascii="宋体"/>
          <w:color w:val="auto"/>
          <w:szCs w:val="21"/>
          <w:highlight w:val="none"/>
        </w:rPr>
      </w:pPr>
    </w:p>
    <w:p w14:paraId="2DC2A30D">
      <w:pPr>
        <w:snapToGrid w:val="0"/>
        <w:spacing w:line="400" w:lineRule="exact"/>
        <w:rPr>
          <w:rFonts w:hint="eastAsia" w:ascii="宋体"/>
          <w:color w:val="auto"/>
          <w:szCs w:val="21"/>
          <w:highlight w:val="none"/>
          <w:u w:val="single"/>
        </w:rPr>
      </w:pPr>
      <w:r>
        <w:rPr>
          <w:rFonts w:hint="eastAsia" w:ascii="宋体"/>
          <w:color w:val="auto"/>
          <w:szCs w:val="21"/>
          <w:highlight w:val="none"/>
        </w:rPr>
        <w:t>地址：</w:t>
      </w:r>
      <w:r>
        <w:rPr>
          <w:rFonts w:hint="eastAsia" w:ascii="宋体"/>
          <w:color w:val="auto"/>
          <w:szCs w:val="21"/>
          <w:highlight w:val="none"/>
          <w:u w:val="single"/>
        </w:rPr>
        <w:t xml:space="preserve">                         </w:t>
      </w:r>
      <w:r>
        <w:rPr>
          <w:rFonts w:hint="eastAsia" w:ascii="宋体"/>
          <w:color w:val="auto"/>
          <w:szCs w:val="21"/>
          <w:highlight w:val="none"/>
        </w:rPr>
        <w:t>邮编：</w:t>
      </w:r>
      <w:r>
        <w:rPr>
          <w:rFonts w:hint="eastAsia" w:ascii="宋体"/>
          <w:color w:val="auto"/>
          <w:szCs w:val="21"/>
          <w:highlight w:val="none"/>
          <w:u w:val="single"/>
        </w:rPr>
        <w:t xml:space="preserve">            </w:t>
      </w:r>
      <w:r>
        <w:rPr>
          <w:rFonts w:hint="eastAsia" w:ascii="宋体"/>
          <w:color w:val="auto"/>
          <w:szCs w:val="21"/>
          <w:highlight w:val="none"/>
        </w:rPr>
        <w:t xml:space="preserve">   电话：</w:t>
      </w:r>
      <w:r>
        <w:rPr>
          <w:rFonts w:hint="eastAsia" w:ascii="宋体"/>
          <w:color w:val="auto"/>
          <w:szCs w:val="21"/>
          <w:highlight w:val="none"/>
          <w:u w:val="single"/>
        </w:rPr>
        <w:t xml:space="preserve">               </w:t>
      </w:r>
    </w:p>
    <w:p w14:paraId="63473FEC">
      <w:pPr>
        <w:snapToGrid w:val="0"/>
        <w:spacing w:line="400" w:lineRule="exact"/>
        <w:rPr>
          <w:rFonts w:hint="eastAsia" w:ascii="宋体"/>
          <w:color w:val="auto"/>
          <w:szCs w:val="21"/>
          <w:highlight w:val="none"/>
          <w:u w:val="single"/>
        </w:rPr>
      </w:pPr>
      <w:r>
        <w:rPr>
          <w:rFonts w:hint="eastAsia" w:ascii="宋体"/>
          <w:color w:val="auto"/>
          <w:szCs w:val="21"/>
          <w:highlight w:val="none"/>
        </w:rPr>
        <w:t>传真：</w:t>
      </w:r>
      <w:r>
        <w:rPr>
          <w:rFonts w:hint="eastAsia" w:ascii="宋体"/>
          <w:color w:val="auto"/>
          <w:szCs w:val="21"/>
          <w:highlight w:val="none"/>
          <w:u w:val="single"/>
        </w:rPr>
        <w:t xml:space="preserve">               </w:t>
      </w:r>
      <w:r>
        <w:rPr>
          <w:rFonts w:hint="eastAsia" w:ascii="宋体"/>
          <w:color w:val="auto"/>
          <w:szCs w:val="21"/>
          <w:highlight w:val="none"/>
        </w:rPr>
        <w:t>投标人代表姓名：</w:t>
      </w:r>
      <w:r>
        <w:rPr>
          <w:rFonts w:hint="eastAsia" w:ascii="宋体"/>
          <w:color w:val="auto"/>
          <w:szCs w:val="21"/>
          <w:highlight w:val="none"/>
          <w:u w:val="single"/>
        </w:rPr>
        <w:t xml:space="preserve">            </w:t>
      </w:r>
      <w:r>
        <w:rPr>
          <w:rFonts w:hint="eastAsia" w:ascii="宋体"/>
          <w:color w:val="auto"/>
          <w:szCs w:val="21"/>
          <w:highlight w:val="none"/>
        </w:rPr>
        <w:t xml:space="preserve">  职务：</w:t>
      </w:r>
      <w:r>
        <w:rPr>
          <w:rFonts w:hint="eastAsia" w:ascii="宋体"/>
          <w:color w:val="auto"/>
          <w:szCs w:val="21"/>
          <w:highlight w:val="none"/>
          <w:u w:val="single"/>
        </w:rPr>
        <w:t xml:space="preserve">               </w:t>
      </w:r>
    </w:p>
    <w:p w14:paraId="38D0A0CC">
      <w:pPr>
        <w:snapToGrid w:val="0"/>
        <w:spacing w:line="400" w:lineRule="exact"/>
        <w:rPr>
          <w:rFonts w:hint="eastAsia" w:ascii="宋体"/>
          <w:color w:val="auto"/>
          <w:szCs w:val="21"/>
          <w:highlight w:val="none"/>
        </w:rPr>
      </w:pPr>
      <w:r>
        <w:rPr>
          <w:rFonts w:hint="eastAsia" w:ascii="宋体"/>
          <w:color w:val="auto"/>
          <w:szCs w:val="21"/>
          <w:highlight w:val="none"/>
        </w:rPr>
        <w:t>开户银行：</w:t>
      </w:r>
      <w:r>
        <w:rPr>
          <w:rFonts w:hint="eastAsia" w:ascii="宋体"/>
          <w:color w:val="auto"/>
          <w:szCs w:val="21"/>
          <w:highlight w:val="none"/>
          <w:u w:val="single"/>
        </w:rPr>
        <w:t xml:space="preserve">                      </w:t>
      </w:r>
      <w:r>
        <w:rPr>
          <w:rFonts w:hint="eastAsia" w:ascii="宋体"/>
          <w:color w:val="auto"/>
          <w:szCs w:val="21"/>
          <w:highlight w:val="none"/>
        </w:rPr>
        <w:t xml:space="preserve">   银行账号：</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079DB8BF">
      <w:pPr>
        <w:snapToGrid w:val="0"/>
        <w:spacing w:line="400" w:lineRule="exact"/>
        <w:rPr>
          <w:rFonts w:hint="eastAsia" w:ascii="宋体"/>
          <w:color w:val="auto"/>
          <w:szCs w:val="21"/>
          <w:highlight w:val="none"/>
        </w:rPr>
      </w:pPr>
    </w:p>
    <w:p w14:paraId="194318BC">
      <w:pPr>
        <w:snapToGrid w:val="0"/>
        <w:spacing w:line="400" w:lineRule="exact"/>
        <w:rPr>
          <w:rFonts w:hint="eastAsia" w:ascii="宋体"/>
          <w:color w:val="auto"/>
          <w:szCs w:val="21"/>
          <w:highlight w:val="none"/>
        </w:rPr>
      </w:pPr>
      <w:r>
        <w:rPr>
          <w:rFonts w:hint="eastAsia" w:ascii="宋体"/>
          <w:color w:val="auto"/>
          <w:szCs w:val="21"/>
          <w:highlight w:val="none"/>
        </w:rPr>
        <w:t>法定代表人（负责人）或委托代理人签字或盖章</w:t>
      </w:r>
      <w:r>
        <w:rPr>
          <w:rFonts w:hint="eastAsia" w:ascii="宋体"/>
          <w:color w:val="auto"/>
          <w:szCs w:val="21"/>
          <w:highlight w:val="none"/>
          <w:lang w:eastAsia="zh-CN"/>
        </w:rPr>
        <w:t>：</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079BDE70">
      <w:pPr>
        <w:snapToGrid w:val="0"/>
        <w:spacing w:line="400" w:lineRule="exact"/>
        <w:rPr>
          <w:rFonts w:hint="eastAsia" w:ascii="宋体"/>
          <w:color w:val="auto"/>
          <w:szCs w:val="21"/>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color w:val="auto"/>
          <w:highlight w:val="none"/>
          <w:lang w:eastAsia="zh-CN"/>
        </w:rPr>
        <w:t>：</w:t>
      </w:r>
      <w:r>
        <w:rPr>
          <w:rFonts w:hint="eastAsia" w:ascii="宋体"/>
          <w:color w:val="auto"/>
          <w:szCs w:val="21"/>
          <w:highlight w:val="none"/>
          <w:u w:val="single"/>
        </w:rPr>
        <w:t xml:space="preserve">              </w:t>
      </w:r>
    </w:p>
    <w:p w14:paraId="3F8356F6">
      <w:pPr>
        <w:snapToGrid w:val="0"/>
        <w:spacing w:line="400" w:lineRule="exact"/>
        <w:jc w:val="left"/>
        <w:rPr>
          <w:rFonts w:hint="eastAsia" w:ascii="宋体"/>
          <w:color w:val="auto"/>
          <w:szCs w:val="21"/>
          <w:highlight w:val="none"/>
        </w:rPr>
      </w:pPr>
      <w:r>
        <w:rPr>
          <w:rFonts w:hint="eastAsia" w:ascii="宋体"/>
          <w:color w:val="auto"/>
          <w:szCs w:val="21"/>
          <w:highlight w:val="none"/>
        </w:rPr>
        <w:t>日期</w:t>
      </w:r>
      <w:r>
        <w:rPr>
          <w:rFonts w:hint="eastAsia" w:ascii="宋体"/>
          <w:color w:val="auto"/>
          <w:szCs w:val="21"/>
          <w:highlight w:val="none"/>
          <w:lang w:eastAsia="zh-CN"/>
        </w:rPr>
        <w:t>：</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p>
    <w:p w14:paraId="19899B0C">
      <w:pPr>
        <w:rPr>
          <w:rFonts w:hint="eastAsia"/>
          <w:color w:val="auto"/>
          <w:highlight w:val="none"/>
        </w:rPr>
      </w:pPr>
    </w:p>
    <w:p w14:paraId="7777AD80">
      <w:pPr>
        <w:rPr>
          <w:rFonts w:hint="eastAsia"/>
          <w:color w:val="auto"/>
          <w:highlight w:val="none"/>
        </w:rPr>
      </w:pPr>
    </w:p>
    <w:p w14:paraId="1283C52A">
      <w:pPr>
        <w:rPr>
          <w:rFonts w:hint="eastAsia"/>
          <w:color w:val="auto"/>
          <w:highlight w:val="none"/>
        </w:rPr>
      </w:pPr>
    </w:p>
    <w:p w14:paraId="01D1B4BD">
      <w:pPr>
        <w:spacing w:line="720" w:lineRule="auto"/>
        <w:rPr>
          <w:rFonts w:hint="eastAsia"/>
          <w:color w:val="auto"/>
          <w:highlight w:val="none"/>
        </w:rPr>
      </w:pPr>
      <w:r>
        <w:rPr>
          <w:color w:val="auto"/>
          <w:highlight w:val="none"/>
        </w:rPr>
        <w:br w:type="page"/>
      </w:r>
      <w:r>
        <w:rPr>
          <w:rFonts w:hint="eastAsia"/>
          <w:color w:val="auto"/>
          <w:highlight w:val="none"/>
        </w:rPr>
        <w:t xml:space="preserve">    （2）投标报价明细表格式</w:t>
      </w:r>
    </w:p>
    <w:p w14:paraId="235D559A">
      <w:pPr>
        <w:spacing w:line="360" w:lineRule="exact"/>
        <w:jc w:val="center"/>
        <w:rPr>
          <w:rFonts w:hint="eastAsia"/>
          <w:b/>
          <w:color w:val="auto"/>
          <w:highlight w:val="none"/>
        </w:rPr>
      </w:pPr>
      <w:r>
        <w:rPr>
          <w:rFonts w:hint="eastAsia"/>
          <w:b/>
          <w:color w:val="auto"/>
          <w:highlight w:val="none"/>
        </w:rPr>
        <w:t>投标报价明细表</w:t>
      </w:r>
    </w:p>
    <w:p w14:paraId="4F0526B5">
      <w:pPr>
        <w:ind w:firstLine="420" w:firstLineChars="200"/>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金额单位：人民币（元）</w:t>
      </w:r>
    </w:p>
    <w:p w14:paraId="4E516DD8">
      <w:pPr>
        <w:ind w:firstLine="420" w:firstLineChars="200"/>
        <w:rPr>
          <w:rFonts w:hint="eastAsia"/>
          <w:color w:val="auto"/>
          <w:highlight w:val="none"/>
        </w:rPr>
      </w:pPr>
    </w:p>
    <w:tbl>
      <w:tblPr>
        <w:tblStyle w:val="47"/>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1223"/>
        <w:gridCol w:w="1133"/>
        <w:gridCol w:w="1584"/>
        <w:gridCol w:w="5020"/>
      </w:tblGrid>
      <w:tr w14:paraId="420AC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D3C7A75">
            <w:pPr>
              <w:snapToGrid w:val="0"/>
              <w:spacing w:before="50" w:after="50" w:line="360" w:lineRule="exact"/>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序号</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B95AD9E">
            <w:pPr>
              <w:snapToGrid w:val="0"/>
              <w:spacing w:before="50" w:after="50" w:line="3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服务项目名称</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BA626E4">
            <w:pPr>
              <w:snapToGrid w:val="0"/>
              <w:spacing w:before="50" w:after="50" w:line="360" w:lineRule="exact"/>
              <w:jc w:val="center"/>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kern w:val="2"/>
                <w:sz w:val="21"/>
                <w:szCs w:val="21"/>
                <w:highlight w:val="none"/>
                <w:lang w:val="en-US" w:eastAsia="zh-CN" w:bidi="ar-SA"/>
              </w:rPr>
              <w:t>数量及单位</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73CAD41">
            <w:pPr>
              <w:snapToGrid w:val="0"/>
              <w:spacing w:before="50" w:after="50" w:line="36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报价金额</w:t>
            </w:r>
            <w:r>
              <w:rPr>
                <w:rFonts w:hint="eastAsia" w:ascii="宋体" w:hAnsi="宋体"/>
                <w:color w:val="auto"/>
                <w:szCs w:val="21"/>
                <w:highlight w:val="none"/>
              </w:rPr>
              <w:t>（元）</w:t>
            </w:r>
          </w:p>
        </w:tc>
        <w:tc>
          <w:tcPr>
            <w:tcW w:w="5020" w:type="dxa"/>
            <w:tcBorders>
              <w:top w:val="single" w:color="auto" w:sz="4" w:space="0"/>
              <w:left w:val="single" w:color="auto" w:sz="4" w:space="0"/>
              <w:bottom w:val="single" w:color="auto" w:sz="4" w:space="0"/>
              <w:right w:val="single" w:color="auto" w:sz="4" w:space="0"/>
            </w:tcBorders>
            <w:noWrap w:val="0"/>
            <w:vAlign w:val="center"/>
          </w:tcPr>
          <w:p w14:paraId="182FE69A">
            <w:pPr>
              <w:snapToGrid w:val="0"/>
              <w:spacing w:before="50" w:after="50" w:line="3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备注</w:t>
            </w:r>
          </w:p>
        </w:tc>
      </w:tr>
      <w:tr w14:paraId="1B261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C093219">
            <w:pPr>
              <w:jc w:val="center"/>
              <w:rPr>
                <w:rFonts w:hint="eastAsia" w:eastAsia="宋体"/>
                <w:color w:val="auto"/>
                <w:highlight w:val="none"/>
                <w:lang w:val="en-US" w:eastAsia="zh-CN"/>
              </w:rPr>
            </w:pPr>
            <w:r>
              <w:rPr>
                <w:rFonts w:hint="eastAsia"/>
                <w:color w:val="auto"/>
                <w:highlight w:val="none"/>
                <w:lang w:val="en-US" w:eastAsia="zh-CN"/>
              </w:rPr>
              <w:t>1</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6472338">
            <w:pPr>
              <w:jc w:val="center"/>
              <w:rPr>
                <w:rFonts w:hint="eastAsia"/>
                <w:color w:val="auto"/>
                <w:highlight w:val="none"/>
              </w:rPr>
            </w:pPr>
            <w:r>
              <w:rPr>
                <w:rFonts w:hint="eastAsia"/>
                <w:color w:val="auto"/>
                <w:highlight w:val="none"/>
              </w:rPr>
              <w:t>“金课”建设指导服务</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D831CCE">
            <w:pPr>
              <w:jc w:val="center"/>
              <w:rPr>
                <w:rFonts w:hint="default" w:eastAsia="宋体"/>
                <w:color w:val="auto"/>
                <w:highlight w:val="none"/>
                <w:lang w:val="en-US" w:eastAsia="zh-CN"/>
              </w:rPr>
            </w:pPr>
            <w:r>
              <w:rPr>
                <w:rFonts w:hint="eastAsia"/>
                <w:color w:val="auto"/>
                <w:highlight w:val="none"/>
                <w:lang w:val="en-US" w:eastAsia="zh-CN"/>
              </w:rPr>
              <w:t>1项</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37681FF">
            <w:pPr>
              <w:jc w:val="center"/>
              <w:rPr>
                <w:rFonts w:hint="eastAsia"/>
                <w:color w:val="auto"/>
                <w:highlight w:val="none"/>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07FCEB2A">
            <w:pPr>
              <w:jc w:val="left"/>
              <w:rPr>
                <w:rFonts w:hint="eastAsia" w:eastAsia="宋体"/>
                <w:color w:val="auto"/>
                <w:highlight w:val="none"/>
                <w:lang w:val="en-US" w:eastAsia="zh-CN"/>
              </w:rPr>
            </w:pPr>
            <w:r>
              <w:rPr>
                <w:rFonts w:hint="eastAsia"/>
                <w:b/>
                <w:bCs/>
                <w:color w:val="auto"/>
                <w:highlight w:val="none"/>
              </w:rPr>
              <w:t>“金课”建设指导服务</w:t>
            </w:r>
            <w:r>
              <w:rPr>
                <w:rFonts w:hint="eastAsia"/>
                <w:color w:val="auto"/>
                <w:highlight w:val="none"/>
                <w:lang w:eastAsia="zh-CN"/>
              </w:rPr>
              <w:t>：</w:t>
            </w:r>
            <w:r>
              <w:rPr>
                <w:rFonts w:hint="eastAsia"/>
                <w:color w:val="auto"/>
                <w:highlight w:val="none"/>
                <w:lang w:val="en-US" w:eastAsia="zh-CN"/>
              </w:rPr>
              <w:t>本项内容实</w:t>
            </w:r>
            <w:r>
              <w:rPr>
                <w:rFonts w:hint="eastAsia"/>
                <w:color w:val="auto"/>
                <w:highlight w:val="none"/>
                <w:lang w:eastAsia="zh-CN"/>
              </w:rPr>
              <w:t>际结算价为该项内容</w:t>
            </w:r>
            <w:r>
              <w:rPr>
                <w:rFonts w:hint="eastAsia"/>
                <w:color w:val="auto"/>
                <w:highlight w:val="none"/>
                <w:lang w:val="en-US" w:eastAsia="zh-CN"/>
              </w:rPr>
              <w:t>对应</w:t>
            </w:r>
            <w:r>
              <w:rPr>
                <w:rFonts w:hint="eastAsia"/>
                <w:color w:val="auto"/>
                <w:highlight w:val="none"/>
                <w:lang w:eastAsia="zh-CN"/>
              </w:rPr>
              <w:t>的报价金额。</w:t>
            </w:r>
          </w:p>
        </w:tc>
      </w:tr>
      <w:tr w14:paraId="69F0A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319FD70">
            <w:pPr>
              <w:jc w:val="center"/>
              <w:rPr>
                <w:rFonts w:hint="default"/>
                <w:color w:val="auto"/>
                <w:highlight w:val="none"/>
                <w:lang w:val="en-US" w:eastAsia="zh-CN"/>
              </w:rPr>
            </w:pPr>
            <w:r>
              <w:rPr>
                <w:rFonts w:hint="eastAsia"/>
                <w:color w:val="auto"/>
                <w:highlight w:val="none"/>
                <w:lang w:val="en-US" w:eastAsia="zh-CN"/>
              </w:rPr>
              <w:t>2</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A4CE212">
            <w:pPr>
              <w:jc w:val="center"/>
              <w:rPr>
                <w:rFonts w:hint="eastAsia"/>
                <w:color w:val="auto"/>
                <w:highlight w:val="none"/>
              </w:rPr>
            </w:pPr>
            <w:r>
              <w:rPr>
                <w:rFonts w:hint="eastAsia"/>
                <w:color w:val="auto"/>
                <w:highlight w:val="none"/>
              </w:rPr>
              <w:t>“金课”成果转化服务</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774A5C4">
            <w:pPr>
              <w:jc w:val="center"/>
              <w:rPr>
                <w:rFonts w:hint="default"/>
                <w:color w:val="auto"/>
                <w:highlight w:val="none"/>
                <w:lang w:val="en-US" w:eastAsia="zh-CN"/>
              </w:rPr>
            </w:pPr>
            <w:r>
              <w:rPr>
                <w:rFonts w:hint="eastAsia"/>
                <w:color w:val="auto"/>
                <w:highlight w:val="none"/>
                <w:lang w:val="en-US" w:eastAsia="zh-CN"/>
              </w:rPr>
              <w:t>1项</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01951A95">
            <w:pPr>
              <w:jc w:val="center"/>
              <w:rPr>
                <w:rFonts w:hint="default" w:eastAsia="宋体"/>
                <w:color w:val="auto"/>
                <w:highlight w:val="none"/>
                <w:lang w:val="en-US" w:eastAsia="zh-CN"/>
              </w:rPr>
            </w:pPr>
            <w:r>
              <w:rPr>
                <w:rFonts w:hint="eastAsia"/>
                <w:color w:val="auto"/>
                <w:highlight w:val="none"/>
                <w:lang w:val="en-US" w:eastAsia="zh-CN"/>
              </w:rPr>
              <w:t>/</w:t>
            </w:r>
          </w:p>
        </w:tc>
        <w:tc>
          <w:tcPr>
            <w:tcW w:w="5020" w:type="dxa"/>
            <w:tcBorders>
              <w:top w:val="single" w:color="auto" w:sz="4" w:space="0"/>
              <w:left w:val="single" w:color="auto" w:sz="4" w:space="0"/>
              <w:bottom w:val="single" w:color="auto" w:sz="4" w:space="0"/>
              <w:right w:val="single" w:color="auto" w:sz="4" w:space="0"/>
            </w:tcBorders>
            <w:noWrap w:val="0"/>
            <w:vAlign w:val="center"/>
          </w:tcPr>
          <w:p w14:paraId="58CD1E95">
            <w:pPr>
              <w:jc w:val="left"/>
              <w:rPr>
                <w:rFonts w:hint="eastAsia"/>
                <w:color w:val="auto"/>
                <w:highlight w:val="none"/>
                <w:lang w:eastAsia="zh-CN"/>
              </w:rPr>
            </w:pPr>
            <w:r>
              <w:rPr>
                <w:rFonts w:hint="eastAsia"/>
                <w:b/>
                <w:bCs/>
                <w:color w:val="auto"/>
                <w:highlight w:val="none"/>
              </w:rPr>
              <w:t>“金课”成果转化服务</w:t>
            </w:r>
            <w:r>
              <w:rPr>
                <w:rFonts w:hint="eastAsia"/>
                <w:color w:val="auto"/>
                <w:highlight w:val="none"/>
                <w:lang w:eastAsia="zh-CN"/>
              </w:rPr>
              <w:t>：</w:t>
            </w:r>
            <w:r>
              <w:rPr>
                <w:rFonts w:hint="eastAsia"/>
                <w:color w:val="auto"/>
                <w:highlight w:val="none"/>
                <w:lang w:val="en-US" w:eastAsia="zh-CN"/>
              </w:rPr>
              <w:t>本项内容实</w:t>
            </w:r>
            <w:r>
              <w:rPr>
                <w:rFonts w:hint="eastAsia"/>
                <w:color w:val="auto"/>
                <w:highlight w:val="none"/>
                <w:lang w:eastAsia="zh-CN"/>
              </w:rPr>
              <w:t>际结算价按“金课”成果转化服务费用支付标准</w:t>
            </w:r>
            <w:r>
              <w:rPr>
                <w:rFonts w:hint="eastAsia"/>
                <w:color w:val="auto"/>
                <w:highlight w:val="none"/>
                <w:lang w:val="en-US" w:eastAsia="zh-CN"/>
              </w:rPr>
              <w:t>进行结算支付，即</w:t>
            </w:r>
            <w:r>
              <w:rPr>
                <w:rFonts w:hint="eastAsia"/>
                <w:color w:val="auto"/>
                <w:highlight w:val="none"/>
                <w:lang w:eastAsia="zh-CN"/>
              </w:rPr>
              <w:t>：</w:t>
            </w:r>
          </w:p>
          <w:p w14:paraId="0CAE3EE8">
            <w:pPr>
              <w:ind w:firstLine="420" w:firstLineChars="200"/>
              <w:jc w:val="left"/>
              <w:rPr>
                <w:rFonts w:hint="eastAsia"/>
                <w:color w:val="auto"/>
                <w:highlight w:val="none"/>
                <w:lang w:eastAsia="zh-CN"/>
              </w:rPr>
            </w:pPr>
            <w:r>
              <w:rPr>
                <w:rFonts w:hint="eastAsia"/>
                <w:color w:val="auto"/>
                <w:highlight w:val="none"/>
                <w:lang w:eastAsia="zh-CN"/>
              </w:rPr>
              <w:t>一档：获省部级标志性成果≧5项＜8项，国家级达2项，满足一档要求，每项支付标准：省部级成果支付3万元，国家级15万元。</w:t>
            </w:r>
          </w:p>
          <w:p w14:paraId="35B7882A">
            <w:pPr>
              <w:ind w:firstLine="420" w:firstLineChars="200"/>
              <w:jc w:val="left"/>
              <w:rPr>
                <w:rFonts w:hint="eastAsia"/>
                <w:color w:val="auto"/>
                <w:highlight w:val="none"/>
                <w:lang w:eastAsia="zh-CN"/>
              </w:rPr>
            </w:pPr>
            <w:r>
              <w:rPr>
                <w:rFonts w:hint="eastAsia"/>
                <w:color w:val="auto"/>
                <w:highlight w:val="none"/>
                <w:lang w:eastAsia="zh-CN"/>
              </w:rPr>
              <w:t>二档：获省部级标志性成果≧8项＜10项，国家级达2项，满足二档要求，每项支付标准：省部级成果支付5万元，国家级20万元。</w:t>
            </w:r>
          </w:p>
          <w:p w14:paraId="026EFFDE">
            <w:pPr>
              <w:ind w:firstLine="420" w:firstLineChars="200"/>
              <w:jc w:val="left"/>
              <w:rPr>
                <w:rFonts w:hint="eastAsia" w:eastAsia="宋体"/>
                <w:color w:val="auto"/>
                <w:highlight w:val="none"/>
                <w:lang w:eastAsia="zh-CN"/>
              </w:rPr>
            </w:pPr>
            <w:r>
              <w:rPr>
                <w:rFonts w:hint="eastAsia"/>
                <w:color w:val="auto"/>
                <w:highlight w:val="none"/>
                <w:lang w:eastAsia="zh-CN"/>
              </w:rPr>
              <w:t>三档：获省部级标志性成果达到10项，国家级达到3项，满足三档要求，每项支付标准：省部级成果支付10万元，国家级30万元。最大支付不超过180万元。</w:t>
            </w:r>
          </w:p>
        </w:tc>
      </w:tr>
      <w:tr w14:paraId="619A0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14:paraId="0812E789">
            <w:pPr>
              <w:snapToGrid w:val="0"/>
              <w:spacing w:before="50" w:after="50" w:line="360" w:lineRule="exact"/>
              <w:rPr>
                <w:rFonts w:hint="default" w:ascii="宋体" w:hAnsi="宋体"/>
                <w:color w:val="auto"/>
                <w:szCs w:val="21"/>
                <w:highlight w:val="none"/>
                <w:u w:val="none"/>
                <w:lang w:val="en-US" w:eastAsia="zh-CN"/>
              </w:rPr>
            </w:pPr>
            <w:r>
              <w:rPr>
                <w:rFonts w:hint="eastAsia"/>
                <w:b/>
                <w:bCs/>
                <w:color w:val="auto"/>
                <w:highlight w:val="none"/>
              </w:rPr>
              <w:t>“金课”建设指导服务</w:t>
            </w:r>
            <w:r>
              <w:rPr>
                <w:rFonts w:hint="eastAsia" w:hAnsi="宋体"/>
                <w:color w:val="auto"/>
                <w:highlight w:val="none"/>
                <w:lang w:val="en-US" w:eastAsia="zh-CN"/>
              </w:rPr>
              <w:t>投标价：</w:t>
            </w:r>
            <w:r>
              <w:rPr>
                <w:rFonts w:hint="eastAsia" w:hAnsi="宋体"/>
                <w:color w:val="auto"/>
                <w:highlight w:val="none"/>
              </w:rPr>
              <w:t>（</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r w14:paraId="2B6A1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14:paraId="1CB7DF97">
            <w:pPr>
              <w:spacing w:line="360" w:lineRule="exact"/>
              <w:rPr>
                <w:rFonts w:hint="default"/>
                <w:b/>
                <w:bCs/>
                <w:color w:val="auto"/>
                <w:highlight w:val="none"/>
                <w:lang w:val="en-US" w:eastAsia="zh-CN"/>
              </w:rPr>
            </w:pPr>
            <w:r>
              <w:rPr>
                <w:rFonts w:hint="eastAsia" w:ascii="宋体" w:hAnsi="宋体"/>
                <w:b/>
                <w:bCs/>
                <w:color w:val="auto"/>
                <w:szCs w:val="21"/>
                <w:highlight w:val="none"/>
                <w:u w:val="none"/>
                <w:lang w:val="en-US" w:eastAsia="zh-CN"/>
              </w:rPr>
              <w:t>备注：①</w:t>
            </w:r>
            <w:r>
              <w:rPr>
                <w:rFonts w:hint="eastAsia"/>
                <w:b/>
                <w:bCs/>
                <w:color w:val="auto"/>
                <w:highlight w:val="none"/>
              </w:rPr>
              <w:t>本表</w:t>
            </w:r>
            <w:r>
              <w:rPr>
                <w:rFonts w:hint="eastAsia"/>
                <w:b/>
                <w:bCs/>
                <w:color w:val="auto"/>
                <w:highlight w:val="none"/>
                <w:lang w:eastAsia="zh-CN"/>
              </w:rPr>
              <w:t>“‘</w:t>
            </w:r>
            <w:r>
              <w:rPr>
                <w:rFonts w:hint="eastAsia"/>
                <w:b/>
                <w:bCs/>
                <w:color w:val="auto"/>
                <w:highlight w:val="none"/>
              </w:rPr>
              <w:t>金课</w:t>
            </w:r>
            <w:r>
              <w:rPr>
                <w:rFonts w:hint="eastAsia"/>
                <w:b/>
                <w:bCs/>
                <w:color w:val="auto"/>
                <w:highlight w:val="none"/>
                <w:lang w:eastAsia="zh-CN"/>
              </w:rPr>
              <w:t>’</w:t>
            </w:r>
            <w:r>
              <w:rPr>
                <w:rFonts w:hint="eastAsia"/>
                <w:b/>
                <w:bCs/>
                <w:color w:val="auto"/>
                <w:highlight w:val="none"/>
              </w:rPr>
              <w:t>建设指导服务</w:t>
            </w:r>
            <w:r>
              <w:rPr>
                <w:rFonts w:hint="eastAsia"/>
                <w:b/>
                <w:bCs/>
                <w:color w:val="auto"/>
                <w:highlight w:val="none"/>
                <w:lang w:eastAsia="zh-CN"/>
              </w:rPr>
              <w:t>”</w:t>
            </w:r>
            <w:r>
              <w:rPr>
                <w:rFonts w:hint="eastAsia"/>
                <w:b/>
                <w:bCs/>
                <w:color w:val="auto"/>
                <w:highlight w:val="none"/>
                <w:lang w:val="en-US" w:eastAsia="zh-CN"/>
              </w:rPr>
              <w:t>投标</w:t>
            </w:r>
            <w:r>
              <w:rPr>
                <w:rFonts w:hint="eastAsia"/>
                <w:b/>
                <w:bCs/>
                <w:color w:val="auto"/>
                <w:highlight w:val="none"/>
              </w:rPr>
              <w:t>价</w:t>
            </w:r>
            <w:r>
              <w:rPr>
                <w:rFonts w:hint="eastAsia"/>
                <w:b/>
                <w:bCs/>
                <w:color w:val="auto"/>
                <w:highlight w:val="none"/>
                <w:lang w:val="en-US" w:eastAsia="zh-CN"/>
              </w:rPr>
              <w:t>用于本项目</w:t>
            </w:r>
            <w:r>
              <w:rPr>
                <w:rFonts w:hint="eastAsia"/>
                <w:b/>
                <w:bCs/>
                <w:color w:val="auto"/>
                <w:highlight w:val="none"/>
              </w:rPr>
              <w:t>评标</w:t>
            </w:r>
            <w:r>
              <w:rPr>
                <w:rFonts w:hint="eastAsia"/>
                <w:b/>
                <w:bCs/>
                <w:color w:val="auto"/>
                <w:highlight w:val="none"/>
                <w:lang w:eastAsia="zh-CN"/>
              </w:rPr>
              <w:t>的</w:t>
            </w:r>
            <w:r>
              <w:rPr>
                <w:rFonts w:hint="eastAsia"/>
                <w:b/>
                <w:bCs/>
                <w:color w:val="auto"/>
                <w:highlight w:val="none"/>
                <w:lang w:val="en-US" w:eastAsia="zh-CN"/>
              </w:rPr>
              <w:t>价格分计算</w:t>
            </w:r>
            <w:r>
              <w:rPr>
                <w:rFonts w:hint="eastAsia"/>
                <w:b/>
                <w:bCs/>
                <w:color w:val="auto"/>
                <w:highlight w:val="none"/>
              </w:rPr>
              <w:t>使用</w:t>
            </w:r>
            <w:r>
              <w:rPr>
                <w:rFonts w:hint="eastAsia"/>
                <w:b/>
                <w:bCs/>
                <w:color w:val="auto"/>
                <w:highlight w:val="none"/>
                <w:lang w:eastAsia="zh-CN"/>
              </w:rPr>
              <w:t>。“‘金课’建设指导服务”</w:t>
            </w:r>
            <w:r>
              <w:rPr>
                <w:rFonts w:hint="eastAsia"/>
                <w:b/>
                <w:bCs/>
                <w:color w:val="auto"/>
                <w:highlight w:val="none"/>
              </w:rPr>
              <w:t>实际结算</w:t>
            </w:r>
            <w:r>
              <w:rPr>
                <w:rFonts w:hint="eastAsia"/>
                <w:b/>
                <w:bCs/>
                <w:color w:val="auto"/>
                <w:highlight w:val="none"/>
                <w:lang w:val="en-US" w:eastAsia="zh-CN"/>
              </w:rPr>
              <w:t>价为</w:t>
            </w:r>
            <w:r>
              <w:rPr>
                <w:rFonts w:hint="eastAsia"/>
                <w:b/>
                <w:bCs/>
                <w:color w:val="auto"/>
                <w:highlight w:val="none"/>
              </w:rPr>
              <w:t>该</w:t>
            </w:r>
            <w:r>
              <w:rPr>
                <w:rFonts w:hint="eastAsia"/>
                <w:b/>
                <w:bCs/>
                <w:color w:val="auto"/>
                <w:highlight w:val="none"/>
                <w:lang w:val="en-US" w:eastAsia="zh-CN"/>
              </w:rPr>
              <w:t>项内容的报价金额</w:t>
            </w:r>
            <w:r>
              <w:rPr>
                <w:rFonts w:hint="eastAsia"/>
                <w:b/>
                <w:bCs/>
                <w:color w:val="auto"/>
                <w:highlight w:val="none"/>
                <w:lang w:eastAsia="zh-CN"/>
              </w:rPr>
              <w:t>；“‘</w:t>
            </w:r>
            <w:r>
              <w:rPr>
                <w:rFonts w:hint="eastAsia"/>
                <w:b/>
                <w:bCs/>
                <w:color w:val="auto"/>
                <w:highlight w:val="none"/>
              </w:rPr>
              <w:t>金课</w:t>
            </w:r>
            <w:r>
              <w:rPr>
                <w:rFonts w:hint="eastAsia"/>
                <w:b/>
                <w:bCs/>
                <w:color w:val="auto"/>
                <w:highlight w:val="none"/>
                <w:lang w:eastAsia="zh-CN"/>
              </w:rPr>
              <w:t>’</w:t>
            </w:r>
            <w:r>
              <w:rPr>
                <w:rFonts w:hint="eastAsia"/>
                <w:b/>
                <w:bCs/>
                <w:color w:val="auto"/>
                <w:highlight w:val="none"/>
              </w:rPr>
              <w:t>建设指导服务</w:t>
            </w:r>
            <w:r>
              <w:rPr>
                <w:rFonts w:hint="eastAsia"/>
                <w:b/>
                <w:bCs/>
                <w:color w:val="auto"/>
                <w:highlight w:val="none"/>
                <w:lang w:eastAsia="zh-CN"/>
              </w:rPr>
              <w:t>”</w:t>
            </w:r>
            <w:r>
              <w:rPr>
                <w:rFonts w:hint="eastAsia" w:ascii="宋体" w:hAnsi="宋体"/>
                <w:b/>
                <w:bCs/>
                <w:color w:val="auto"/>
                <w:kern w:val="2"/>
                <w:sz w:val="21"/>
                <w:szCs w:val="21"/>
                <w:highlight w:val="none"/>
                <w:lang w:val="en-US" w:eastAsia="zh-CN" w:bidi="ar-SA"/>
              </w:rPr>
              <w:t>最高限价为420万元，超过该最高限价的报价将视为投标无效。</w:t>
            </w:r>
          </w:p>
          <w:p w14:paraId="4E83A786">
            <w:pPr>
              <w:snapToGrid w:val="0"/>
              <w:spacing w:before="50" w:after="50" w:line="360" w:lineRule="exact"/>
              <w:rPr>
                <w:rFonts w:hint="eastAsia"/>
                <w:b/>
                <w:bCs/>
                <w:color w:val="auto"/>
                <w:highlight w:val="none"/>
              </w:rPr>
            </w:pPr>
            <w:r>
              <w:rPr>
                <w:rFonts w:hint="eastAsia"/>
                <w:b/>
                <w:bCs/>
                <w:color w:val="auto"/>
                <w:highlight w:val="none"/>
                <w:lang w:val="en-US" w:eastAsia="zh-CN"/>
              </w:rPr>
              <w:t>②</w:t>
            </w:r>
            <w:r>
              <w:rPr>
                <w:rFonts w:hint="eastAsia"/>
                <w:b/>
                <w:bCs/>
                <w:color w:val="auto"/>
                <w:highlight w:val="none"/>
                <w:lang w:eastAsia="zh-CN"/>
              </w:rPr>
              <w:t>“‘金课’成果转化服务”的</w:t>
            </w:r>
            <w:r>
              <w:rPr>
                <w:rFonts w:hint="eastAsia"/>
                <w:b/>
                <w:bCs/>
                <w:color w:val="auto"/>
                <w:highlight w:val="none"/>
                <w:lang w:val="en-US" w:eastAsia="zh-CN"/>
              </w:rPr>
              <w:t>实际结算价按本项目采购文件“‘金课’成果转化服务费用支付标准与方式”进行结算，最大支付不超过180万元</w:t>
            </w:r>
            <w:r>
              <w:rPr>
                <w:rFonts w:hint="eastAsia"/>
                <w:b/>
                <w:bCs/>
                <w:color w:val="auto"/>
                <w:highlight w:val="none"/>
              </w:rPr>
              <w:t>。</w:t>
            </w:r>
          </w:p>
        </w:tc>
      </w:tr>
    </w:tbl>
    <w:p w14:paraId="04FDA2B2">
      <w:pPr>
        <w:rPr>
          <w:rFonts w:hint="eastAsia"/>
          <w:color w:val="auto"/>
          <w:highlight w:val="none"/>
        </w:rPr>
      </w:pPr>
    </w:p>
    <w:p w14:paraId="76A5CB10">
      <w:pPr>
        <w:ind w:firstLine="420" w:firstLineChars="200"/>
        <w:rPr>
          <w:rFonts w:hint="eastAsia"/>
          <w:color w:val="auto"/>
          <w:highlight w:val="none"/>
        </w:rPr>
      </w:pPr>
    </w:p>
    <w:p w14:paraId="1AE0B64F">
      <w:pPr>
        <w:ind w:firstLine="420" w:firstLineChars="200"/>
        <w:rPr>
          <w:rFonts w:hint="eastAsia"/>
          <w:color w:val="auto"/>
          <w:highlight w:val="none"/>
        </w:rPr>
      </w:pPr>
    </w:p>
    <w:p w14:paraId="65F168E9">
      <w:pPr>
        <w:rPr>
          <w:rFonts w:hint="eastAsia"/>
          <w:color w:val="auto"/>
          <w:highlight w:val="none"/>
        </w:rPr>
      </w:pPr>
    </w:p>
    <w:p w14:paraId="6E5B3D49">
      <w:pPr>
        <w:snapToGrid w:val="0"/>
        <w:spacing w:before="50" w:after="50" w:line="360" w:lineRule="exact"/>
        <w:rPr>
          <w:rFonts w:hint="eastAsia" w:ascii="宋体"/>
          <w:color w:val="auto"/>
          <w:spacing w:val="20"/>
          <w:szCs w:val="21"/>
          <w:highlight w:val="none"/>
          <w:u w:val="single"/>
        </w:rPr>
      </w:pPr>
      <w:r>
        <w:rPr>
          <w:rFonts w:hint="eastAsia" w:ascii="宋体"/>
          <w:color w:val="auto"/>
          <w:szCs w:val="21"/>
          <w:highlight w:val="none"/>
        </w:rPr>
        <w:t>法定代表人（负责人）或委托代理人签字或盖章</w:t>
      </w:r>
      <w:r>
        <w:rPr>
          <w:rFonts w:hint="eastAsia" w:ascii="宋体"/>
          <w:color w:val="auto"/>
          <w:spacing w:val="20"/>
          <w:szCs w:val="21"/>
          <w:highlight w:val="none"/>
        </w:rPr>
        <w:t>：</w:t>
      </w:r>
      <w:r>
        <w:rPr>
          <w:rFonts w:hint="eastAsia" w:ascii="宋体"/>
          <w:color w:val="auto"/>
          <w:spacing w:val="20"/>
          <w:szCs w:val="21"/>
          <w:highlight w:val="none"/>
          <w:u w:val="single"/>
        </w:rPr>
        <w:t xml:space="preserve">            </w:t>
      </w:r>
    </w:p>
    <w:p w14:paraId="6D590126">
      <w:pPr>
        <w:rPr>
          <w:rFonts w:hint="eastAsia"/>
          <w:color w:val="auto"/>
          <w:highlight w:val="none"/>
        </w:rPr>
      </w:pPr>
      <w:r>
        <w:rPr>
          <w:rFonts w:hint="eastAsia"/>
          <w:color w:val="auto"/>
          <w:highlight w:val="none"/>
        </w:rPr>
        <w:t>投标人名称（</w:t>
      </w:r>
      <w:r>
        <w:rPr>
          <w:rFonts w:hint="eastAsia" w:ascii="宋体"/>
          <w:color w:val="auto"/>
          <w:szCs w:val="21"/>
          <w:highlight w:val="none"/>
        </w:rPr>
        <w:t>盖章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日  期：</w:t>
      </w:r>
      <w:r>
        <w:rPr>
          <w:rFonts w:hint="eastAsia"/>
          <w:color w:val="auto"/>
          <w:highlight w:val="none"/>
          <w:u w:val="single"/>
        </w:rPr>
        <w:t xml:space="preserve">                    </w:t>
      </w:r>
    </w:p>
    <w:p w14:paraId="372CEA35">
      <w:pPr>
        <w:rPr>
          <w:rFonts w:hint="eastAsia"/>
          <w:color w:val="auto"/>
          <w:highlight w:val="none"/>
        </w:rPr>
      </w:pPr>
    </w:p>
    <w:p w14:paraId="4F72629F">
      <w:pPr>
        <w:rPr>
          <w:color w:val="auto"/>
          <w:highlight w:val="none"/>
        </w:rPr>
      </w:pPr>
    </w:p>
    <w:p w14:paraId="05BCB4D9">
      <w:pPr>
        <w:rPr>
          <w:color w:val="auto"/>
          <w:highlight w:val="none"/>
        </w:rPr>
      </w:pPr>
    </w:p>
    <w:p w14:paraId="7ABB83A2">
      <w:pPr>
        <w:rPr>
          <w:color w:val="auto"/>
          <w:highlight w:val="none"/>
        </w:rPr>
      </w:pPr>
    </w:p>
    <w:p w14:paraId="0AAA7553">
      <w:pPr>
        <w:rPr>
          <w:color w:val="auto"/>
          <w:highlight w:val="none"/>
        </w:rPr>
      </w:pPr>
    </w:p>
    <w:p w14:paraId="0F898BFC">
      <w:pPr>
        <w:rPr>
          <w:color w:val="auto"/>
          <w:highlight w:val="none"/>
        </w:rPr>
      </w:pPr>
    </w:p>
    <w:p w14:paraId="0931406D">
      <w:pPr>
        <w:rPr>
          <w:color w:val="auto"/>
          <w:highlight w:val="none"/>
        </w:rPr>
      </w:pPr>
    </w:p>
    <w:p w14:paraId="79FE2A30">
      <w:pPr>
        <w:rPr>
          <w:color w:val="auto"/>
          <w:highlight w:val="none"/>
        </w:rPr>
      </w:pPr>
    </w:p>
    <w:p w14:paraId="31965DD3">
      <w:pPr>
        <w:rPr>
          <w:rFonts w:hint="eastAsia"/>
          <w:color w:val="auto"/>
          <w:highlight w:val="none"/>
        </w:rPr>
      </w:pPr>
    </w:p>
    <w:p w14:paraId="5FA9F4E2">
      <w:pPr>
        <w:rPr>
          <w:rFonts w:hint="eastAsia"/>
          <w:color w:val="auto"/>
          <w:highlight w:val="none"/>
        </w:rPr>
      </w:pPr>
      <w:r>
        <w:rPr>
          <w:rFonts w:hint="eastAsia"/>
          <w:color w:val="auto"/>
          <w:highlight w:val="none"/>
        </w:rPr>
        <w:t xml:space="preserve">    （3）投标人针对报价需要说明的其他文件和说明（格式自拟）</w:t>
      </w:r>
    </w:p>
    <w:p w14:paraId="47AA5456">
      <w:pPr>
        <w:spacing w:line="720" w:lineRule="auto"/>
        <w:rPr>
          <w:rFonts w:hint="eastAsia"/>
          <w:b/>
          <w:color w:val="auto"/>
          <w:highlight w:val="none"/>
        </w:rPr>
      </w:pPr>
      <w:r>
        <w:rPr>
          <w:rFonts w:hint="eastAsia"/>
          <w:color w:val="auto"/>
          <w:highlight w:val="none"/>
        </w:rPr>
        <w:t xml:space="preserve">    </w:t>
      </w:r>
      <w:r>
        <w:rPr>
          <w:color w:val="auto"/>
          <w:highlight w:val="none"/>
        </w:rPr>
        <w:br w:type="page"/>
      </w:r>
      <w:r>
        <w:rPr>
          <w:rFonts w:hint="eastAsia"/>
          <w:b/>
          <w:color w:val="auto"/>
          <w:highlight w:val="none"/>
        </w:rPr>
        <w:t>（4）开标一览表</w:t>
      </w:r>
    </w:p>
    <w:p w14:paraId="4D4AF7F0">
      <w:pPr>
        <w:jc w:val="center"/>
        <w:rPr>
          <w:rFonts w:hint="eastAsia"/>
          <w:b/>
          <w:color w:val="auto"/>
          <w:highlight w:val="none"/>
        </w:rPr>
      </w:pPr>
      <w:r>
        <w:rPr>
          <w:rFonts w:hint="eastAsia"/>
          <w:b/>
          <w:color w:val="auto"/>
          <w:highlight w:val="none"/>
        </w:rPr>
        <w:t>开标一览表</w:t>
      </w:r>
    </w:p>
    <w:p w14:paraId="02C9AB0D">
      <w:pPr>
        <w:spacing w:line="240" w:lineRule="auto"/>
        <w:rPr>
          <w:rFonts w:hint="eastAsia"/>
          <w:color w:val="auto"/>
          <w:highlight w:val="none"/>
        </w:rPr>
      </w:pPr>
      <w:r>
        <w:rPr>
          <w:rFonts w:hint="eastAsia"/>
          <w:color w:val="auto"/>
          <w:highlight w:val="none"/>
        </w:rPr>
        <w:t>采购项目名称：</w:t>
      </w:r>
    </w:p>
    <w:p w14:paraId="106816B6">
      <w:pPr>
        <w:spacing w:line="360" w:lineRule="exact"/>
        <w:rPr>
          <w:rFonts w:hint="eastAsia"/>
          <w:color w:val="auto"/>
          <w:highlight w:val="none"/>
        </w:rPr>
      </w:pPr>
      <w:r>
        <w:rPr>
          <w:rFonts w:hint="eastAsia"/>
          <w:color w:val="auto"/>
          <w:highlight w:val="none"/>
        </w:rPr>
        <w:t>采购项目编号：</w:t>
      </w:r>
      <w:r>
        <w:rPr>
          <w:rFonts w:hint="eastAsia"/>
          <w:color w:val="auto"/>
          <w:highlight w:val="none"/>
          <w:lang w:val="en-US" w:eastAsia="zh-CN"/>
        </w:rPr>
        <w:t xml:space="preserve">   </w:t>
      </w:r>
      <w:r>
        <w:rPr>
          <w:rFonts w:hint="eastAsia"/>
          <w:color w:val="auto"/>
          <w:highlight w:val="none"/>
        </w:rPr>
        <w:t xml:space="preserve">                                           金额单位：人民币（元）</w:t>
      </w:r>
    </w:p>
    <w:tbl>
      <w:tblPr>
        <w:tblStyle w:val="47"/>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1656"/>
        <w:gridCol w:w="1384"/>
        <w:gridCol w:w="1716"/>
        <w:gridCol w:w="4204"/>
      </w:tblGrid>
      <w:tr w14:paraId="79E51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A664096">
            <w:pPr>
              <w:snapToGrid w:val="0"/>
              <w:spacing w:before="50" w:after="50" w:line="360" w:lineRule="exact"/>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序号</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77AA71B">
            <w:pPr>
              <w:snapToGrid w:val="0"/>
              <w:spacing w:before="50" w:after="50" w:line="3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服务项目名称</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17081328">
            <w:pPr>
              <w:snapToGrid w:val="0"/>
              <w:spacing w:before="50" w:after="50" w:line="360" w:lineRule="exact"/>
              <w:jc w:val="center"/>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kern w:val="2"/>
                <w:sz w:val="21"/>
                <w:szCs w:val="21"/>
                <w:highlight w:val="none"/>
                <w:lang w:val="en-US" w:eastAsia="zh-CN" w:bidi="ar-SA"/>
              </w:rPr>
              <w:t>数量及单位</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5051AA67">
            <w:pPr>
              <w:snapToGrid w:val="0"/>
              <w:spacing w:before="50" w:after="50" w:line="360" w:lineRule="exact"/>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报价金额</w:t>
            </w:r>
            <w:r>
              <w:rPr>
                <w:rFonts w:hint="eastAsia" w:ascii="宋体" w:hAnsi="宋体"/>
                <w:color w:val="auto"/>
                <w:szCs w:val="21"/>
                <w:highlight w:val="none"/>
              </w:rPr>
              <w:t>（元）</w:t>
            </w:r>
          </w:p>
        </w:tc>
        <w:tc>
          <w:tcPr>
            <w:tcW w:w="4204" w:type="dxa"/>
            <w:tcBorders>
              <w:top w:val="single" w:color="auto" w:sz="4" w:space="0"/>
              <w:left w:val="single" w:color="auto" w:sz="4" w:space="0"/>
              <w:bottom w:val="single" w:color="auto" w:sz="4" w:space="0"/>
              <w:right w:val="single" w:color="auto" w:sz="4" w:space="0"/>
            </w:tcBorders>
            <w:noWrap w:val="0"/>
            <w:vAlign w:val="center"/>
          </w:tcPr>
          <w:p w14:paraId="2203A7D2">
            <w:pPr>
              <w:snapToGrid w:val="0"/>
              <w:spacing w:before="50" w:after="50" w:line="36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备注</w:t>
            </w:r>
          </w:p>
        </w:tc>
      </w:tr>
      <w:tr w14:paraId="4F418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BB20AC4">
            <w:pPr>
              <w:jc w:val="center"/>
              <w:rPr>
                <w:rFonts w:hint="eastAsia" w:eastAsia="宋体"/>
                <w:color w:val="auto"/>
                <w:highlight w:val="none"/>
                <w:lang w:val="en-US" w:eastAsia="zh-CN"/>
              </w:rPr>
            </w:pPr>
            <w:r>
              <w:rPr>
                <w:rFonts w:hint="eastAsia"/>
                <w:color w:val="auto"/>
                <w:highlight w:val="none"/>
                <w:lang w:val="en-US" w:eastAsia="zh-CN"/>
              </w:rPr>
              <w:t>1</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7722F78A">
            <w:pPr>
              <w:jc w:val="center"/>
              <w:rPr>
                <w:rFonts w:hint="eastAsia"/>
                <w:color w:val="auto"/>
                <w:highlight w:val="none"/>
              </w:rPr>
            </w:pPr>
            <w:r>
              <w:rPr>
                <w:rFonts w:hint="eastAsia"/>
                <w:color w:val="auto"/>
                <w:highlight w:val="none"/>
              </w:rPr>
              <w:t>“金课”建设指导服务</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82258E0">
            <w:pPr>
              <w:jc w:val="center"/>
              <w:rPr>
                <w:rFonts w:hint="default" w:eastAsia="宋体"/>
                <w:color w:val="auto"/>
                <w:highlight w:val="none"/>
                <w:lang w:val="en-US" w:eastAsia="zh-CN"/>
              </w:rPr>
            </w:pPr>
            <w:r>
              <w:rPr>
                <w:rFonts w:hint="eastAsia"/>
                <w:color w:val="auto"/>
                <w:highlight w:val="none"/>
                <w:lang w:val="en-US" w:eastAsia="zh-CN"/>
              </w:rPr>
              <w:t>1项</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5116457A">
            <w:pPr>
              <w:jc w:val="center"/>
              <w:rPr>
                <w:rFonts w:hint="eastAsia"/>
                <w:color w:val="auto"/>
                <w:highlight w:val="none"/>
              </w:rPr>
            </w:pPr>
          </w:p>
        </w:tc>
        <w:tc>
          <w:tcPr>
            <w:tcW w:w="4204" w:type="dxa"/>
            <w:tcBorders>
              <w:top w:val="single" w:color="auto" w:sz="4" w:space="0"/>
              <w:left w:val="single" w:color="auto" w:sz="4" w:space="0"/>
              <w:bottom w:val="single" w:color="auto" w:sz="4" w:space="0"/>
              <w:right w:val="single" w:color="auto" w:sz="4" w:space="0"/>
            </w:tcBorders>
            <w:noWrap w:val="0"/>
            <w:vAlign w:val="center"/>
          </w:tcPr>
          <w:p w14:paraId="71034EC9">
            <w:pPr>
              <w:jc w:val="left"/>
              <w:rPr>
                <w:rFonts w:hint="eastAsia"/>
                <w:color w:val="auto"/>
                <w:highlight w:val="none"/>
              </w:rPr>
            </w:pPr>
            <w:r>
              <w:rPr>
                <w:rFonts w:hint="eastAsia"/>
                <w:b/>
                <w:bCs/>
                <w:color w:val="auto"/>
                <w:highlight w:val="none"/>
              </w:rPr>
              <w:t>“金课”建设指导服务</w:t>
            </w:r>
            <w:r>
              <w:rPr>
                <w:rFonts w:hint="eastAsia"/>
                <w:color w:val="auto"/>
                <w:highlight w:val="none"/>
                <w:lang w:eastAsia="zh-CN"/>
              </w:rPr>
              <w:t>：</w:t>
            </w:r>
            <w:r>
              <w:rPr>
                <w:rFonts w:hint="eastAsia"/>
                <w:color w:val="auto"/>
                <w:highlight w:val="none"/>
                <w:lang w:val="en-US" w:eastAsia="zh-CN"/>
              </w:rPr>
              <w:t>本项内容实</w:t>
            </w:r>
            <w:r>
              <w:rPr>
                <w:rFonts w:hint="eastAsia"/>
                <w:color w:val="auto"/>
                <w:highlight w:val="none"/>
                <w:lang w:eastAsia="zh-CN"/>
              </w:rPr>
              <w:t>际结算价为该项内容</w:t>
            </w:r>
            <w:r>
              <w:rPr>
                <w:rFonts w:hint="eastAsia"/>
                <w:color w:val="auto"/>
                <w:highlight w:val="none"/>
                <w:lang w:val="en-US" w:eastAsia="zh-CN"/>
              </w:rPr>
              <w:t>对应</w:t>
            </w:r>
            <w:r>
              <w:rPr>
                <w:rFonts w:hint="eastAsia"/>
                <w:color w:val="auto"/>
                <w:highlight w:val="none"/>
                <w:lang w:eastAsia="zh-CN"/>
              </w:rPr>
              <w:t>的报价金额。</w:t>
            </w:r>
          </w:p>
        </w:tc>
      </w:tr>
      <w:tr w14:paraId="2D1EF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D567EAF">
            <w:pPr>
              <w:jc w:val="center"/>
              <w:rPr>
                <w:rFonts w:hint="default"/>
                <w:color w:val="auto"/>
                <w:highlight w:val="none"/>
                <w:lang w:val="en-US" w:eastAsia="zh-CN"/>
              </w:rPr>
            </w:pPr>
            <w:r>
              <w:rPr>
                <w:rFonts w:hint="eastAsia"/>
                <w:color w:val="auto"/>
                <w:highlight w:val="none"/>
                <w:lang w:val="en-US" w:eastAsia="zh-CN"/>
              </w:rPr>
              <w:t>2</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02B84BD3">
            <w:pPr>
              <w:jc w:val="center"/>
              <w:rPr>
                <w:rFonts w:hint="eastAsia"/>
                <w:color w:val="auto"/>
                <w:highlight w:val="none"/>
              </w:rPr>
            </w:pPr>
            <w:r>
              <w:rPr>
                <w:rFonts w:hint="eastAsia"/>
                <w:color w:val="auto"/>
                <w:highlight w:val="none"/>
              </w:rPr>
              <w:t>“金课”成果转化服务</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81DC443">
            <w:pPr>
              <w:jc w:val="center"/>
              <w:rPr>
                <w:rFonts w:hint="eastAsia"/>
                <w:color w:val="auto"/>
                <w:highlight w:val="none"/>
                <w:lang w:val="en-US" w:eastAsia="zh-CN"/>
              </w:rPr>
            </w:pPr>
            <w:r>
              <w:rPr>
                <w:rFonts w:hint="eastAsia"/>
                <w:color w:val="auto"/>
                <w:highlight w:val="none"/>
                <w:lang w:val="en-US" w:eastAsia="zh-CN"/>
              </w:rPr>
              <w:t>1项</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5402210A">
            <w:pPr>
              <w:jc w:val="center"/>
              <w:rPr>
                <w:rFonts w:hint="eastAsia"/>
                <w:color w:val="auto"/>
                <w:highlight w:val="none"/>
              </w:rPr>
            </w:pPr>
            <w:r>
              <w:rPr>
                <w:rFonts w:hint="eastAsia"/>
                <w:color w:val="auto"/>
                <w:highlight w:val="none"/>
                <w:lang w:val="en-US" w:eastAsia="zh-CN"/>
              </w:rPr>
              <w:t>/</w:t>
            </w:r>
          </w:p>
        </w:tc>
        <w:tc>
          <w:tcPr>
            <w:tcW w:w="4204" w:type="dxa"/>
            <w:tcBorders>
              <w:top w:val="single" w:color="auto" w:sz="4" w:space="0"/>
              <w:left w:val="single" w:color="auto" w:sz="4" w:space="0"/>
              <w:bottom w:val="single" w:color="auto" w:sz="4" w:space="0"/>
              <w:right w:val="single" w:color="auto" w:sz="4" w:space="0"/>
            </w:tcBorders>
            <w:noWrap w:val="0"/>
            <w:vAlign w:val="center"/>
          </w:tcPr>
          <w:p w14:paraId="0A1782F6">
            <w:pPr>
              <w:jc w:val="left"/>
              <w:rPr>
                <w:rFonts w:hint="eastAsia"/>
                <w:color w:val="auto"/>
                <w:highlight w:val="none"/>
                <w:lang w:eastAsia="zh-CN"/>
              </w:rPr>
            </w:pPr>
            <w:r>
              <w:rPr>
                <w:rFonts w:hint="eastAsia"/>
                <w:b/>
                <w:bCs/>
                <w:color w:val="auto"/>
                <w:highlight w:val="none"/>
              </w:rPr>
              <w:t>“金课”成果转化服务</w:t>
            </w:r>
            <w:r>
              <w:rPr>
                <w:rFonts w:hint="eastAsia"/>
                <w:color w:val="auto"/>
                <w:highlight w:val="none"/>
                <w:lang w:eastAsia="zh-CN"/>
              </w:rPr>
              <w:t>：</w:t>
            </w:r>
            <w:r>
              <w:rPr>
                <w:rFonts w:hint="eastAsia"/>
                <w:color w:val="auto"/>
                <w:highlight w:val="none"/>
                <w:lang w:val="en-US" w:eastAsia="zh-CN"/>
              </w:rPr>
              <w:t>本项内容实</w:t>
            </w:r>
            <w:r>
              <w:rPr>
                <w:rFonts w:hint="eastAsia"/>
                <w:color w:val="auto"/>
                <w:highlight w:val="none"/>
                <w:lang w:eastAsia="zh-CN"/>
              </w:rPr>
              <w:t>际结算价按“金课”成果转化服务费用支付标准</w:t>
            </w:r>
            <w:r>
              <w:rPr>
                <w:rFonts w:hint="eastAsia"/>
                <w:color w:val="auto"/>
                <w:highlight w:val="none"/>
                <w:lang w:val="en-US" w:eastAsia="zh-CN"/>
              </w:rPr>
              <w:t>进行结算支付，即</w:t>
            </w:r>
            <w:r>
              <w:rPr>
                <w:rFonts w:hint="eastAsia"/>
                <w:color w:val="auto"/>
                <w:highlight w:val="none"/>
                <w:lang w:eastAsia="zh-CN"/>
              </w:rPr>
              <w:t>：</w:t>
            </w:r>
          </w:p>
          <w:p w14:paraId="22C2E9FE">
            <w:pPr>
              <w:ind w:firstLine="420" w:firstLineChars="200"/>
              <w:jc w:val="left"/>
              <w:rPr>
                <w:rFonts w:hint="eastAsia"/>
                <w:color w:val="auto"/>
                <w:highlight w:val="none"/>
                <w:lang w:eastAsia="zh-CN"/>
              </w:rPr>
            </w:pPr>
            <w:r>
              <w:rPr>
                <w:rFonts w:hint="eastAsia"/>
                <w:color w:val="auto"/>
                <w:highlight w:val="none"/>
                <w:lang w:eastAsia="zh-CN"/>
              </w:rPr>
              <w:t>一档：获省部级标志性成果≧5项＜8项，国家级达2项，满足一档要求，每项支付标准：省部级成果支付3万元，国家级15万元。</w:t>
            </w:r>
          </w:p>
          <w:p w14:paraId="5023609F">
            <w:pPr>
              <w:ind w:firstLine="420" w:firstLineChars="200"/>
              <w:jc w:val="left"/>
              <w:rPr>
                <w:rFonts w:hint="eastAsia"/>
                <w:color w:val="auto"/>
                <w:highlight w:val="none"/>
                <w:lang w:eastAsia="zh-CN"/>
              </w:rPr>
            </w:pPr>
            <w:r>
              <w:rPr>
                <w:rFonts w:hint="eastAsia"/>
                <w:color w:val="auto"/>
                <w:highlight w:val="none"/>
                <w:lang w:eastAsia="zh-CN"/>
              </w:rPr>
              <w:t>二档：获省部级标志性成果≧8项＜10项，国家级达2项，满足二档要求，每项支付标准：省部级成果支付5万元，国家级20万元。</w:t>
            </w:r>
          </w:p>
          <w:p w14:paraId="1E0B0995">
            <w:pPr>
              <w:ind w:firstLine="420" w:firstLineChars="200"/>
              <w:jc w:val="left"/>
              <w:rPr>
                <w:rFonts w:hint="eastAsia"/>
                <w:color w:val="auto"/>
                <w:highlight w:val="none"/>
              </w:rPr>
            </w:pPr>
            <w:r>
              <w:rPr>
                <w:rFonts w:hint="eastAsia"/>
                <w:color w:val="auto"/>
                <w:highlight w:val="none"/>
                <w:lang w:eastAsia="zh-CN"/>
              </w:rPr>
              <w:t>三档：获省部级标志性成果达到10项，国家级达到3项，满足三档要求，每项支付标准：省部级成果支付10万元，国家级30万元。最大支付不超过180万元。</w:t>
            </w:r>
          </w:p>
        </w:tc>
      </w:tr>
      <w:tr w14:paraId="631C6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14:paraId="2EABA0A0">
            <w:pPr>
              <w:snapToGrid w:val="0"/>
              <w:spacing w:before="50" w:after="50" w:line="360" w:lineRule="exact"/>
              <w:rPr>
                <w:rFonts w:hint="default" w:ascii="宋体" w:hAnsi="宋体"/>
                <w:color w:val="auto"/>
                <w:szCs w:val="21"/>
                <w:highlight w:val="none"/>
                <w:u w:val="none"/>
                <w:lang w:val="en-US" w:eastAsia="zh-CN"/>
              </w:rPr>
            </w:pPr>
            <w:r>
              <w:rPr>
                <w:rFonts w:hint="eastAsia"/>
                <w:b/>
                <w:bCs/>
                <w:color w:val="auto"/>
                <w:highlight w:val="none"/>
              </w:rPr>
              <w:t>“金课”建设指导服务</w:t>
            </w:r>
            <w:r>
              <w:rPr>
                <w:rFonts w:hint="eastAsia" w:hAnsi="宋体"/>
                <w:color w:val="auto"/>
                <w:highlight w:val="none"/>
                <w:lang w:val="en-US" w:eastAsia="zh-CN"/>
              </w:rPr>
              <w:t>投标价：</w:t>
            </w:r>
            <w:r>
              <w:rPr>
                <w:rFonts w:hint="eastAsia" w:hAnsi="宋体"/>
                <w:color w:val="auto"/>
                <w:highlight w:val="none"/>
              </w:rPr>
              <w:t>（</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r w14:paraId="21B14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14:paraId="36AC174F">
            <w:pPr>
              <w:spacing w:line="360" w:lineRule="exact"/>
              <w:rPr>
                <w:rFonts w:hint="eastAsia"/>
                <w:b/>
                <w:bCs/>
                <w:color w:val="auto"/>
                <w:highlight w:val="none"/>
                <w:lang w:eastAsia="zh-CN"/>
              </w:rPr>
            </w:pPr>
            <w:r>
              <w:rPr>
                <w:rFonts w:hint="eastAsia" w:ascii="宋体" w:hAnsi="宋体"/>
                <w:b/>
                <w:bCs/>
                <w:color w:val="auto"/>
                <w:szCs w:val="21"/>
                <w:highlight w:val="none"/>
                <w:u w:val="none"/>
                <w:lang w:val="en-US" w:eastAsia="zh-CN"/>
              </w:rPr>
              <w:t>备注：①</w:t>
            </w:r>
            <w:r>
              <w:rPr>
                <w:rFonts w:hint="eastAsia"/>
                <w:b/>
                <w:bCs/>
                <w:color w:val="auto"/>
                <w:highlight w:val="none"/>
              </w:rPr>
              <w:t>本表</w:t>
            </w:r>
            <w:r>
              <w:rPr>
                <w:rFonts w:hint="eastAsia"/>
                <w:b/>
                <w:bCs/>
                <w:color w:val="auto"/>
                <w:highlight w:val="none"/>
                <w:lang w:eastAsia="zh-CN"/>
              </w:rPr>
              <w:t>“‘</w:t>
            </w:r>
            <w:r>
              <w:rPr>
                <w:rFonts w:hint="eastAsia"/>
                <w:b/>
                <w:bCs/>
                <w:color w:val="auto"/>
                <w:highlight w:val="none"/>
              </w:rPr>
              <w:t>金课</w:t>
            </w:r>
            <w:r>
              <w:rPr>
                <w:rFonts w:hint="eastAsia"/>
                <w:b/>
                <w:bCs/>
                <w:color w:val="auto"/>
                <w:highlight w:val="none"/>
                <w:lang w:eastAsia="zh-CN"/>
              </w:rPr>
              <w:t>’</w:t>
            </w:r>
            <w:r>
              <w:rPr>
                <w:rFonts w:hint="eastAsia"/>
                <w:b/>
                <w:bCs/>
                <w:color w:val="auto"/>
                <w:highlight w:val="none"/>
              </w:rPr>
              <w:t>建设指导服务</w:t>
            </w:r>
            <w:r>
              <w:rPr>
                <w:rFonts w:hint="eastAsia"/>
                <w:b/>
                <w:bCs/>
                <w:color w:val="auto"/>
                <w:highlight w:val="none"/>
                <w:lang w:eastAsia="zh-CN"/>
              </w:rPr>
              <w:t>”</w:t>
            </w:r>
            <w:r>
              <w:rPr>
                <w:rFonts w:hint="eastAsia"/>
                <w:b/>
                <w:bCs/>
                <w:color w:val="auto"/>
                <w:highlight w:val="none"/>
                <w:lang w:val="en-US" w:eastAsia="zh-CN"/>
              </w:rPr>
              <w:t>投标</w:t>
            </w:r>
            <w:r>
              <w:rPr>
                <w:rFonts w:hint="eastAsia"/>
                <w:b/>
                <w:bCs/>
                <w:color w:val="auto"/>
                <w:highlight w:val="none"/>
              </w:rPr>
              <w:t>价</w:t>
            </w:r>
            <w:r>
              <w:rPr>
                <w:rFonts w:hint="eastAsia"/>
                <w:b/>
                <w:bCs/>
                <w:color w:val="auto"/>
                <w:highlight w:val="none"/>
                <w:lang w:val="en-US" w:eastAsia="zh-CN"/>
              </w:rPr>
              <w:t>用于本项目</w:t>
            </w:r>
            <w:r>
              <w:rPr>
                <w:rFonts w:hint="eastAsia"/>
                <w:b/>
                <w:bCs/>
                <w:color w:val="auto"/>
                <w:highlight w:val="none"/>
              </w:rPr>
              <w:t>评标</w:t>
            </w:r>
            <w:r>
              <w:rPr>
                <w:rFonts w:hint="eastAsia"/>
                <w:b/>
                <w:bCs/>
                <w:color w:val="auto"/>
                <w:highlight w:val="none"/>
                <w:lang w:eastAsia="zh-CN"/>
              </w:rPr>
              <w:t>的</w:t>
            </w:r>
            <w:r>
              <w:rPr>
                <w:rFonts w:hint="eastAsia"/>
                <w:b/>
                <w:bCs/>
                <w:color w:val="auto"/>
                <w:highlight w:val="none"/>
                <w:lang w:val="en-US" w:eastAsia="zh-CN"/>
              </w:rPr>
              <w:t>价格分计算</w:t>
            </w:r>
            <w:r>
              <w:rPr>
                <w:rFonts w:hint="eastAsia"/>
                <w:b/>
                <w:bCs/>
                <w:color w:val="auto"/>
                <w:highlight w:val="none"/>
              </w:rPr>
              <w:t>使用</w:t>
            </w:r>
            <w:r>
              <w:rPr>
                <w:rFonts w:hint="eastAsia"/>
                <w:b/>
                <w:bCs/>
                <w:color w:val="auto"/>
                <w:highlight w:val="none"/>
                <w:lang w:eastAsia="zh-CN"/>
              </w:rPr>
              <w:t>。“‘金课’建设指导服务”</w:t>
            </w:r>
            <w:r>
              <w:rPr>
                <w:rFonts w:hint="eastAsia"/>
                <w:b/>
                <w:bCs/>
                <w:color w:val="auto"/>
                <w:highlight w:val="none"/>
              </w:rPr>
              <w:t>实际结算</w:t>
            </w:r>
            <w:r>
              <w:rPr>
                <w:rFonts w:hint="eastAsia"/>
                <w:b/>
                <w:bCs/>
                <w:color w:val="auto"/>
                <w:highlight w:val="none"/>
                <w:lang w:val="en-US" w:eastAsia="zh-CN"/>
              </w:rPr>
              <w:t>价为</w:t>
            </w:r>
            <w:r>
              <w:rPr>
                <w:rFonts w:hint="eastAsia"/>
                <w:b/>
                <w:bCs/>
                <w:color w:val="auto"/>
                <w:highlight w:val="none"/>
              </w:rPr>
              <w:t>该</w:t>
            </w:r>
            <w:r>
              <w:rPr>
                <w:rFonts w:hint="eastAsia"/>
                <w:b/>
                <w:bCs/>
                <w:color w:val="auto"/>
                <w:highlight w:val="none"/>
                <w:lang w:val="en-US" w:eastAsia="zh-CN"/>
              </w:rPr>
              <w:t>项内容的报价金额</w:t>
            </w:r>
            <w:r>
              <w:rPr>
                <w:rFonts w:hint="eastAsia"/>
                <w:b/>
                <w:bCs/>
                <w:color w:val="auto"/>
                <w:highlight w:val="none"/>
                <w:lang w:eastAsia="zh-CN"/>
              </w:rPr>
              <w:t>；“‘</w:t>
            </w:r>
            <w:r>
              <w:rPr>
                <w:rFonts w:hint="eastAsia"/>
                <w:b/>
                <w:bCs/>
                <w:color w:val="auto"/>
                <w:highlight w:val="none"/>
              </w:rPr>
              <w:t>金课</w:t>
            </w:r>
            <w:r>
              <w:rPr>
                <w:rFonts w:hint="eastAsia"/>
                <w:b/>
                <w:bCs/>
                <w:color w:val="auto"/>
                <w:highlight w:val="none"/>
                <w:lang w:eastAsia="zh-CN"/>
              </w:rPr>
              <w:t>’</w:t>
            </w:r>
            <w:r>
              <w:rPr>
                <w:rFonts w:hint="eastAsia"/>
                <w:b/>
                <w:bCs/>
                <w:color w:val="auto"/>
                <w:highlight w:val="none"/>
              </w:rPr>
              <w:t>建设指导服务</w:t>
            </w:r>
            <w:r>
              <w:rPr>
                <w:rFonts w:hint="eastAsia"/>
                <w:b/>
                <w:bCs/>
                <w:color w:val="auto"/>
                <w:highlight w:val="none"/>
                <w:lang w:eastAsia="zh-CN"/>
              </w:rPr>
              <w:t>”</w:t>
            </w:r>
            <w:r>
              <w:rPr>
                <w:rFonts w:hint="eastAsia" w:ascii="宋体" w:hAnsi="宋体"/>
                <w:b/>
                <w:bCs/>
                <w:color w:val="auto"/>
                <w:kern w:val="2"/>
                <w:sz w:val="21"/>
                <w:szCs w:val="21"/>
                <w:highlight w:val="none"/>
                <w:lang w:val="en-US" w:eastAsia="zh-CN" w:bidi="ar-SA"/>
              </w:rPr>
              <w:t>最高限价为420万元，超过该最高限价的报价将视为投标无效。</w:t>
            </w:r>
          </w:p>
          <w:p w14:paraId="39CA025D">
            <w:pPr>
              <w:spacing w:line="360" w:lineRule="exact"/>
              <w:rPr>
                <w:rFonts w:hint="eastAsia"/>
                <w:b/>
                <w:bCs/>
                <w:color w:val="auto"/>
                <w:highlight w:val="none"/>
                <w:lang w:val="en-US" w:eastAsia="zh-CN"/>
              </w:rPr>
            </w:pPr>
            <w:r>
              <w:rPr>
                <w:rFonts w:hint="eastAsia"/>
                <w:b/>
                <w:bCs/>
                <w:color w:val="auto"/>
                <w:highlight w:val="none"/>
                <w:lang w:val="en-US" w:eastAsia="zh-CN"/>
              </w:rPr>
              <w:t>②</w:t>
            </w:r>
            <w:r>
              <w:rPr>
                <w:rFonts w:hint="eastAsia"/>
                <w:b/>
                <w:bCs/>
                <w:color w:val="auto"/>
                <w:highlight w:val="none"/>
                <w:lang w:eastAsia="zh-CN"/>
              </w:rPr>
              <w:t>“‘金课’成果转化服务”的</w:t>
            </w:r>
            <w:r>
              <w:rPr>
                <w:rFonts w:hint="eastAsia"/>
                <w:b/>
                <w:bCs/>
                <w:color w:val="auto"/>
                <w:highlight w:val="none"/>
                <w:lang w:val="en-US" w:eastAsia="zh-CN"/>
              </w:rPr>
              <w:t>实际结算价按本项目采购文件“‘金课’成果转化服务费用支付标准与方式”进行结算，最大支付不超过180万元</w:t>
            </w:r>
            <w:r>
              <w:rPr>
                <w:rFonts w:hint="eastAsia"/>
                <w:b/>
                <w:bCs/>
                <w:color w:val="auto"/>
                <w:highlight w:val="none"/>
              </w:rPr>
              <w:t>。</w:t>
            </w:r>
          </w:p>
        </w:tc>
      </w:tr>
    </w:tbl>
    <w:p w14:paraId="049CCB56">
      <w:pPr>
        <w:spacing w:line="360" w:lineRule="exact"/>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.报价一经涂改，应在涂改处加盖单位公章</w:t>
      </w:r>
      <w:r>
        <w:rPr>
          <w:rFonts w:hint="eastAsia"/>
          <w:color w:val="auto"/>
          <w:highlight w:val="none"/>
          <w:lang w:eastAsia="zh-CN"/>
        </w:rPr>
        <w:t>或</w:t>
      </w:r>
      <w:r>
        <w:rPr>
          <w:rFonts w:hint="eastAsia"/>
          <w:color w:val="auto"/>
          <w:highlight w:val="none"/>
        </w:rPr>
        <w:t>由法定代表人（负责人）或授权委托人签字或盖章，否则其投标作无效标处理。</w:t>
      </w:r>
    </w:p>
    <w:p w14:paraId="17C24E3A">
      <w:pPr>
        <w:spacing w:line="360" w:lineRule="exact"/>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.开标一览表中的“</w:t>
      </w:r>
      <w:r>
        <w:rPr>
          <w:rFonts w:hint="eastAsia"/>
          <w:color w:val="auto"/>
          <w:highlight w:val="none"/>
          <w:lang w:eastAsia="zh-CN"/>
        </w:rPr>
        <w:t>服务项目</w:t>
      </w:r>
      <w:r>
        <w:rPr>
          <w:rFonts w:hint="eastAsia"/>
          <w:color w:val="auto"/>
          <w:highlight w:val="none"/>
        </w:rPr>
        <w:t>名称</w:t>
      </w:r>
      <w:r>
        <w:rPr>
          <w:rFonts w:hint="eastAsia"/>
          <w:color w:val="auto"/>
          <w:highlight w:val="none"/>
          <w:lang w:eastAsia="zh-CN"/>
        </w:rPr>
        <w:t>”“数量及</w:t>
      </w:r>
      <w:r>
        <w:rPr>
          <w:rFonts w:hint="eastAsia"/>
          <w:color w:val="auto"/>
          <w:highlight w:val="none"/>
          <w:lang w:val="en-US" w:eastAsia="zh-CN"/>
        </w:rPr>
        <w:t>单位”“报价</w:t>
      </w:r>
      <w:r>
        <w:rPr>
          <w:rFonts w:hint="eastAsia" w:hAnsi="宋体"/>
          <w:color w:val="auto"/>
          <w:highlight w:val="none"/>
          <w:lang w:val="en-US" w:eastAsia="zh-CN"/>
        </w:rPr>
        <w:t>金额</w:t>
      </w:r>
      <w:r>
        <w:rPr>
          <w:rFonts w:hint="eastAsia"/>
          <w:color w:val="auto"/>
          <w:highlight w:val="none"/>
        </w:rPr>
        <w:t>”必须填写。</w:t>
      </w:r>
    </w:p>
    <w:p w14:paraId="7B0070D3">
      <w:pPr>
        <w:spacing w:line="360" w:lineRule="exact"/>
        <w:rPr>
          <w:rFonts w:hint="eastAsia"/>
          <w:color w:val="auto"/>
          <w:highlight w:val="none"/>
        </w:rPr>
      </w:pPr>
      <w:r>
        <w:rPr>
          <w:rFonts w:hint="eastAsia"/>
          <w:color w:val="auto"/>
          <w:highlight w:val="none"/>
        </w:rPr>
        <w:t xml:space="preserve">    </w:t>
      </w:r>
      <w:r>
        <w:rPr>
          <w:rFonts w:hint="eastAsia"/>
          <w:color w:val="auto"/>
          <w:highlight w:val="none"/>
          <w:lang w:val="en-US" w:eastAsia="zh-CN"/>
        </w:rPr>
        <w:t>3.</w:t>
      </w:r>
      <w:r>
        <w:rPr>
          <w:rFonts w:hint="eastAsia"/>
          <w:color w:val="auto"/>
          <w:highlight w:val="none"/>
        </w:rPr>
        <w:t>投标费用包括项目实施所需的人工费、服务费、运输费、安装调试费、获取及制作标书费、税费及其他一切费用。</w:t>
      </w:r>
    </w:p>
    <w:p w14:paraId="03D4A847">
      <w:pPr>
        <w:spacing w:line="360" w:lineRule="exact"/>
        <w:rPr>
          <w:rFonts w:hint="eastAsia"/>
          <w:color w:val="auto"/>
          <w:highlight w:val="none"/>
        </w:rPr>
      </w:pPr>
      <w:r>
        <w:rPr>
          <w:rFonts w:hint="eastAsia"/>
          <w:color w:val="auto"/>
          <w:highlight w:val="none"/>
        </w:rPr>
        <w:t xml:space="preserve">    </w:t>
      </w:r>
      <w:r>
        <w:rPr>
          <w:rFonts w:hint="eastAsia"/>
          <w:color w:val="auto"/>
          <w:highlight w:val="none"/>
          <w:lang w:val="en-US" w:eastAsia="zh-CN"/>
        </w:rPr>
        <w:t>4</w:t>
      </w:r>
      <w:r>
        <w:rPr>
          <w:rFonts w:hint="eastAsia"/>
          <w:color w:val="auto"/>
          <w:highlight w:val="none"/>
        </w:rPr>
        <w:t xml:space="preserve">.以上报价应与“投标报价明细表”中的“投标价”相一致。   </w:t>
      </w:r>
    </w:p>
    <w:p w14:paraId="760E5E84">
      <w:pPr>
        <w:snapToGrid w:val="0"/>
        <w:spacing w:before="50" w:after="50" w:line="360" w:lineRule="exact"/>
        <w:ind w:left="-2" w:leftChars="-1" w:right="-817" w:rightChars="-389" w:firstLine="420" w:firstLineChars="200"/>
        <w:rPr>
          <w:rFonts w:hint="eastAsia" w:ascii="宋体" w:hAnsi="宋体"/>
          <w:color w:val="auto"/>
          <w:szCs w:val="21"/>
          <w:highlight w:val="none"/>
        </w:rPr>
      </w:pPr>
    </w:p>
    <w:p w14:paraId="0FB63CB8">
      <w:pPr>
        <w:snapToGrid w:val="0"/>
        <w:spacing w:before="50" w:after="50" w:line="360" w:lineRule="exact"/>
        <w:ind w:left="-2" w:leftChars="-1"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rPr>
        <w:t>负责人</w:t>
      </w:r>
      <w:r>
        <w:rPr>
          <w:rFonts w:hint="eastAsia" w:ascii="宋体" w:hAnsi="宋体"/>
          <w:color w:val="auto"/>
          <w:szCs w:val="21"/>
          <w:highlight w:val="none"/>
          <w:lang w:eastAsia="zh-CN"/>
        </w:rPr>
        <w:t>）</w:t>
      </w:r>
      <w:r>
        <w:rPr>
          <w:rFonts w:hint="eastAsia" w:ascii="宋体" w:hAnsi="宋体"/>
          <w:color w:val="auto"/>
          <w:szCs w:val="21"/>
          <w:highlight w:val="none"/>
        </w:rPr>
        <w:t>或委托代理人（签字或盖章）：</w:t>
      </w:r>
      <w:r>
        <w:rPr>
          <w:rFonts w:hint="eastAsia" w:ascii="宋体" w:hAnsi="宋体"/>
          <w:color w:val="auto"/>
          <w:szCs w:val="21"/>
          <w:highlight w:val="none"/>
          <w:u w:val="single"/>
        </w:rPr>
        <w:t xml:space="preserve">                   </w:t>
      </w:r>
    </w:p>
    <w:p w14:paraId="4B6C3E32">
      <w:pPr>
        <w:snapToGrid w:val="0"/>
        <w:spacing w:before="50" w:after="50" w:line="360" w:lineRule="exact"/>
        <w:ind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投标人名称（盖章）：</w:t>
      </w:r>
      <w:r>
        <w:rPr>
          <w:rFonts w:hint="eastAsia" w:ascii="宋体" w:hAnsi="宋体"/>
          <w:color w:val="auto"/>
          <w:szCs w:val="21"/>
          <w:highlight w:val="none"/>
          <w:u w:val="single"/>
        </w:rPr>
        <w:t xml:space="preserve">                               </w:t>
      </w:r>
    </w:p>
    <w:p w14:paraId="553D7D45">
      <w:pPr>
        <w:snapToGrid w:val="0"/>
        <w:spacing w:before="50" w:after="50" w:line="360" w:lineRule="exact"/>
        <w:ind w:right="-817" w:rightChars="-389" w:firstLine="420"/>
        <w:rPr>
          <w:rFonts w:hint="eastAsia" w:ascii="宋体" w:hAnsi="宋体"/>
          <w:color w:val="auto"/>
          <w:szCs w:val="21"/>
          <w:highlight w:val="none"/>
        </w:rPr>
      </w:pPr>
      <w:r>
        <w:rPr>
          <w:rFonts w:hint="eastAsia" w:ascii="宋体" w:hAnsi="宋体"/>
          <w:color w:val="auto"/>
          <w:szCs w:val="21"/>
          <w:highlight w:val="none"/>
        </w:rPr>
        <w:t>日期：    年    月    日</w:t>
      </w:r>
    </w:p>
    <w:p w14:paraId="34C18E88">
      <w:pPr>
        <w:snapToGrid w:val="0"/>
        <w:spacing w:line="380" w:lineRule="exact"/>
        <w:ind w:firstLine="422" w:firstLineChars="200"/>
        <w:jc w:val="left"/>
        <w:rPr>
          <w:rFonts w:hint="eastAsia" w:ascii="宋体"/>
          <w:b/>
          <w:color w:val="auto"/>
          <w:szCs w:val="21"/>
          <w:highlight w:val="none"/>
        </w:rPr>
      </w:pPr>
      <w:r>
        <w:rPr>
          <w:b/>
          <w:color w:val="auto"/>
          <w:highlight w:val="none"/>
        </w:rPr>
        <w:br w:type="page"/>
      </w:r>
      <w:r>
        <w:rPr>
          <w:rFonts w:hint="eastAsia"/>
          <w:b/>
          <w:color w:val="auto"/>
          <w:highlight w:val="none"/>
          <w:lang w:eastAsia="zh-CN"/>
        </w:rPr>
        <w:t>（五）</w:t>
      </w:r>
      <w:r>
        <w:rPr>
          <w:rFonts w:hint="eastAsia" w:ascii="宋体"/>
          <w:b/>
          <w:color w:val="auto"/>
          <w:szCs w:val="21"/>
          <w:highlight w:val="none"/>
        </w:rPr>
        <w:t>其他文书、文件格式</w:t>
      </w:r>
    </w:p>
    <w:p w14:paraId="3703B5E3">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.残疾人福利性单位声明函格式</w:t>
      </w:r>
    </w:p>
    <w:p w14:paraId="0E758AE9">
      <w:pPr>
        <w:spacing w:line="588" w:lineRule="exact"/>
        <w:jc w:val="center"/>
        <w:rPr>
          <w:rFonts w:hint="eastAsia" w:ascii="宋体" w:hAnsi="宋体" w:cs="宋体"/>
          <w:b/>
          <w:color w:val="auto"/>
          <w:spacing w:val="6"/>
          <w:sz w:val="32"/>
          <w:szCs w:val="32"/>
          <w:highlight w:val="none"/>
        </w:rPr>
      </w:pPr>
    </w:p>
    <w:p w14:paraId="7BD2EEDD">
      <w:pPr>
        <w:spacing w:line="588" w:lineRule="exact"/>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残疾人福利性单位声明函</w:t>
      </w:r>
    </w:p>
    <w:p w14:paraId="72723F1D">
      <w:pPr>
        <w:spacing w:line="360" w:lineRule="auto"/>
        <w:contextualSpacing/>
        <w:rPr>
          <w:rFonts w:hint="eastAsia" w:ascii="宋体" w:hAnsi="宋体" w:cs="宋体"/>
          <w:b/>
          <w:color w:val="auto"/>
          <w:spacing w:val="6"/>
          <w:sz w:val="30"/>
          <w:szCs w:val="30"/>
          <w:highlight w:val="none"/>
        </w:rPr>
      </w:pPr>
    </w:p>
    <w:p w14:paraId="5A522B37">
      <w:pPr>
        <w:spacing w:line="360" w:lineRule="auto"/>
        <w:ind w:firstLine="504" w:firstLineChars="200"/>
        <w:contextualSpacing/>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pacing w:val="6"/>
          <w:sz w:val="24"/>
          <w:highlight w:val="none"/>
          <w:lang w:eastAsia="zh-CN"/>
        </w:rPr>
        <w:t>〔2017〕141号</w:t>
      </w:r>
      <w:r>
        <w:rPr>
          <w:rFonts w:hint="eastAsia" w:ascii="宋体" w:hAnsi="宋体" w:cs="宋体"/>
          <w:color w:val="auto"/>
          <w:spacing w:val="6"/>
          <w:sz w:val="24"/>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750F88EB">
      <w:pPr>
        <w:spacing w:line="360" w:lineRule="auto"/>
        <w:ind w:firstLine="504" w:firstLineChars="200"/>
        <w:contextualSpacing/>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5AF0D6D8">
      <w:pPr>
        <w:spacing w:line="360" w:lineRule="auto"/>
        <w:ind w:firstLine="504" w:firstLineChars="200"/>
        <w:contextualSpacing/>
        <w:rPr>
          <w:rFonts w:hint="eastAsia" w:ascii="宋体" w:hAnsi="宋体" w:cs="宋体"/>
          <w:color w:val="auto"/>
          <w:spacing w:val="6"/>
          <w:sz w:val="24"/>
          <w:highlight w:val="none"/>
        </w:rPr>
      </w:pPr>
    </w:p>
    <w:p w14:paraId="1BEA7A0E">
      <w:pPr>
        <w:spacing w:line="360" w:lineRule="auto"/>
        <w:ind w:firstLine="504" w:firstLineChars="200"/>
        <w:contextualSpacing/>
        <w:rPr>
          <w:rFonts w:hint="eastAsia" w:ascii="宋体" w:hAnsi="宋体" w:cs="宋体"/>
          <w:color w:val="auto"/>
          <w:spacing w:val="6"/>
          <w:sz w:val="24"/>
          <w:highlight w:val="none"/>
        </w:rPr>
      </w:pPr>
    </w:p>
    <w:p w14:paraId="36F7D788">
      <w:pPr>
        <w:tabs>
          <w:tab w:val="left" w:pos="4860"/>
        </w:tabs>
        <w:spacing w:line="360" w:lineRule="auto"/>
        <w:ind w:right="1560" w:firstLine="504" w:firstLineChars="200"/>
        <w:contextualSpacing/>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单位名称（电子公章）：</w:t>
      </w:r>
    </w:p>
    <w:p w14:paraId="711916C6">
      <w:pPr>
        <w:tabs>
          <w:tab w:val="left" w:pos="4860"/>
        </w:tabs>
        <w:spacing w:line="360" w:lineRule="auto"/>
        <w:ind w:right="1560" w:firstLine="504" w:firstLineChars="200"/>
        <w:contextualSpacing/>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日  期：</w:t>
      </w:r>
    </w:p>
    <w:p w14:paraId="775292A8">
      <w:pPr>
        <w:spacing w:line="360" w:lineRule="auto"/>
        <w:contextualSpacing/>
        <w:rPr>
          <w:rFonts w:hint="eastAsia" w:ascii="宋体" w:hAnsi="宋体" w:cs="宋体"/>
          <w:color w:val="auto"/>
          <w:sz w:val="24"/>
          <w:highlight w:val="none"/>
        </w:rPr>
      </w:pPr>
    </w:p>
    <w:p w14:paraId="3CCACF09">
      <w:pPr>
        <w:spacing w:line="360" w:lineRule="auto"/>
        <w:contextualSpacing/>
        <w:rPr>
          <w:rFonts w:hint="eastAsia" w:ascii="宋体" w:hAnsi="宋体" w:cs="宋体"/>
          <w:color w:val="auto"/>
          <w:sz w:val="24"/>
          <w:highlight w:val="none"/>
        </w:rPr>
      </w:pPr>
    </w:p>
    <w:p w14:paraId="0DE12957">
      <w:pPr>
        <w:spacing w:line="360" w:lineRule="auto"/>
        <w:contextualSpacing/>
        <w:rPr>
          <w:rFonts w:hint="eastAsia" w:ascii="宋体" w:hAnsi="宋体" w:cs="宋体"/>
          <w:color w:val="auto"/>
          <w:sz w:val="24"/>
          <w:highlight w:val="none"/>
        </w:rPr>
      </w:pPr>
    </w:p>
    <w:p w14:paraId="0A60878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762926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质疑函（格式）</w:t>
      </w:r>
    </w:p>
    <w:p w14:paraId="2892E543">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7EC63B7">
      <w:pPr>
        <w:pStyle w:val="2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788193CD">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957CCCB">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9C78B4B">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3546D63">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4D32D09E">
      <w:pPr>
        <w:pStyle w:val="25"/>
        <w:snapToGrid w:val="0"/>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F2606D9">
      <w:pPr>
        <w:pStyle w:val="25"/>
        <w:snapToGrid w:val="0"/>
        <w:spacing w:line="360" w:lineRule="auto"/>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FEE798D">
      <w:pPr>
        <w:pStyle w:val="2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19F0B66B">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36BC8D8">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E346100">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5C63AD2">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w:t>
      </w:r>
    </w:p>
    <w:p w14:paraId="23DD1FB0">
      <w:pPr>
        <w:pStyle w:val="25"/>
        <w:spacing w:line="360" w:lineRule="auto"/>
        <w:ind w:left="25" w:leftChars="12" w:firstLine="352" w:firstLineChars="147"/>
        <w:rPr>
          <w:rFonts w:hint="eastAsia"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7B54F539">
      <w:pPr>
        <w:pStyle w:val="25"/>
        <w:spacing w:line="360" w:lineRule="auto"/>
        <w:ind w:left="25" w:leftChars="12" w:firstLine="352" w:firstLineChars="147"/>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20F54FB2">
      <w:pPr>
        <w:pStyle w:val="25"/>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605F6F2F">
      <w:pPr>
        <w:pStyle w:val="25"/>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16EE11C9">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50C89C3A">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55998A4D">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462D2218">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质疑事项2</w:t>
      </w:r>
    </w:p>
    <w:p w14:paraId="0DC2B7E4">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w:t>
      </w:r>
    </w:p>
    <w:p w14:paraId="32D3DA88">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3778AA2C">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70A74C6">
      <w:pPr>
        <w:pStyle w:val="25"/>
        <w:spacing w:line="360" w:lineRule="auto"/>
        <w:ind w:left="25" w:leftChars="12" w:firstLine="352" w:firstLineChars="147"/>
        <w:rPr>
          <w:rFonts w:hint="eastAsia" w:hAnsi="宋体" w:cs="宋体"/>
          <w:color w:val="auto"/>
          <w:sz w:val="24"/>
          <w:szCs w:val="24"/>
          <w:highlight w:val="none"/>
        </w:rPr>
      </w:pPr>
    </w:p>
    <w:p w14:paraId="037D3730">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576B697F">
      <w:pPr>
        <w:pStyle w:val="25"/>
        <w:spacing w:line="360" w:lineRule="auto"/>
        <w:ind w:left="25" w:leftChars="12" w:firstLine="352" w:firstLineChars="147"/>
        <w:rPr>
          <w:rFonts w:hint="eastAsia" w:hAnsi="宋体" w:cs="宋体"/>
          <w:color w:val="auto"/>
          <w:sz w:val="24"/>
          <w:szCs w:val="24"/>
          <w:highlight w:val="none"/>
        </w:rPr>
      </w:pPr>
    </w:p>
    <w:p w14:paraId="0E97326E">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3DD091F3">
      <w:pPr>
        <w:pStyle w:val="25"/>
        <w:snapToGrid w:val="0"/>
        <w:spacing w:line="360" w:lineRule="auto"/>
        <w:rPr>
          <w:rFonts w:hint="eastAsia" w:hAnsi="宋体" w:cs="宋体"/>
          <w:b/>
          <w:color w:val="auto"/>
          <w:sz w:val="24"/>
          <w:szCs w:val="24"/>
          <w:highlight w:val="none"/>
        </w:rPr>
      </w:pPr>
    </w:p>
    <w:p w14:paraId="46825EE0">
      <w:pPr>
        <w:pStyle w:val="25"/>
        <w:snapToGrid w:val="0"/>
        <w:spacing w:line="360" w:lineRule="auto"/>
        <w:rPr>
          <w:rFonts w:hint="eastAsia" w:hAnsi="宋体" w:cs="宋体"/>
          <w:b/>
          <w:color w:val="auto"/>
          <w:sz w:val="21"/>
          <w:highlight w:val="none"/>
        </w:rPr>
      </w:pPr>
      <w:r>
        <w:rPr>
          <w:rFonts w:hint="eastAsia" w:hAnsi="宋体" w:cs="宋体"/>
          <w:b/>
          <w:color w:val="auto"/>
          <w:sz w:val="21"/>
          <w:highlight w:val="none"/>
        </w:rPr>
        <w:t>说明：</w:t>
      </w:r>
    </w:p>
    <w:p w14:paraId="625E2E8B">
      <w:pPr>
        <w:pStyle w:val="25"/>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2A168484">
      <w:pPr>
        <w:pStyle w:val="25"/>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81626C">
      <w:pPr>
        <w:pStyle w:val="25"/>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770B9FEA">
      <w:pPr>
        <w:pStyle w:val="25"/>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1B0B1AFA">
      <w:pPr>
        <w:pStyle w:val="25"/>
        <w:spacing w:line="360" w:lineRule="auto"/>
        <w:ind w:left="25" w:leftChars="12" w:firstLine="310" w:firstLineChars="147"/>
        <w:rPr>
          <w:rFonts w:hint="eastAsia" w:hAnsi="宋体" w:cs="宋体"/>
          <w:b/>
          <w:color w:val="auto"/>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02526834">
      <w:pPr>
        <w:pStyle w:val="25"/>
        <w:snapToGrid w:val="0"/>
        <w:rPr>
          <w:rFonts w:hint="eastAsia" w:hAnsi="宋体" w:cs="宋体"/>
          <w:b/>
          <w:color w:val="auto"/>
          <w:sz w:val="24"/>
          <w:szCs w:val="24"/>
          <w:highlight w:val="none"/>
        </w:rPr>
      </w:pPr>
    </w:p>
    <w:p w14:paraId="5082DB67">
      <w:pPr>
        <w:spacing w:line="360" w:lineRule="auto"/>
        <w:jc w:val="left"/>
        <w:rPr>
          <w:rFonts w:hint="eastAsia"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.投诉书（格式）</w:t>
      </w:r>
    </w:p>
    <w:p w14:paraId="18FCD2FE">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5B69C26E">
      <w:pPr>
        <w:pStyle w:val="2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3D97AEB">
      <w:pPr>
        <w:pStyle w:val="25"/>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24BCCEC">
      <w:pPr>
        <w:pStyle w:val="25"/>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7CD6A8C">
      <w:pPr>
        <w:pStyle w:val="25"/>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4703FB2">
      <w:pPr>
        <w:pStyle w:val="25"/>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AF9A23B">
      <w:pPr>
        <w:pStyle w:val="25"/>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B859391">
      <w:pPr>
        <w:pStyle w:val="25"/>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77C6718">
      <w:pPr>
        <w:pStyle w:val="25"/>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83591FC">
      <w:pPr>
        <w:pStyle w:val="25"/>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66113954">
      <w:pPr>
        <w:pStyle w:val="25"/>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55C49206">
      <w:pPr>
        <w:pStyle w:val="25"/>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779CAF1">
      <w:pPr>
        <w:pStyle w:val="25"/>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FFA6720">
      <w:pPr>
        <w:pStyle w:val="25"/>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6EA458B9">
      <w:pPr>
        <w:pStyle w:val="25"/>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w:t>
      </w:r>
    </w:p>
    <w:p w14:paraId="10677F37">
      <w:pPr>
        <w:pStyle w:val="25"/>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2024B465">
      <w:pPr>
        <w:pStyle w:val="25"/>
        <w:snapToGrid w:val="0"/>
        <w:spacing w:line="360" w:lineRule="auto"/>
        <w:ind w:firstLine="480" w:firstLineChars="200"/>
        <w:jc w:val="left"/>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04C47512">
      <w:pPr>
        <w:pStyle w:val="25"/>
        <w:snapToGrid w:val="0"/>
        <w:spacing w:line="360" w:lineRule="auto"/>
        <w:ind w:firstLine="480" w:firstLineChars="200"/>
        <w:jc w:val="left"/>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435E5EA">
      <w:pPr>
        <w:pStyle w:val="25"/>
        <w:snapToGrid w:val="0"/>
        <w:spacing w:line="360" w:lineRule="auto"/>
        <w:ind w:firstLine="482" w:firstLineChars="200"/>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7B9D8F97">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3345B630">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9A4279F">
      <w:pPr>
        <w:pStyle w:val="2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F0CF526">
      <w:pPr>
        <w:pStyle w:val="2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2C412669">
      <w:pPr>
        <w:pStyle w:val="2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32616F78">
      <w:pPr>
        <w:pStyle w:val="25"/>
        <w:spacing w:line="360" w:lineRule="auto"/>
        <w:ind w:left="25" w:leftChars="12" w:firstLine="472" w:firstLineChars="197"/>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C32385F">
      <w:pPr>
        <w:pStyle w:val="25"/>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140694D2">
      <w:pPr>
        <w:pStyle w:val="25"/>
        <w:spacing w:line="360" w:lineRule="auto"/>
        <w:ind w:left="25" w:leftChars="12" w:firstLine="480" w:firstLineChars="20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54DB5F59">
      <w:pPr>
        <w:pStyle w:val="25"/>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219A207">
      <w:pPr>
        <w:pStyle w:val="25"/>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D16306C">
      <w:pPr>
        <w:pStyle w:val="25"/>
        <w:spacing w:line="360" w:lineRule="auto"/>
        <w:ind w:firstLine="480" w:firstLineChars="20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564A0C05">
      <w:pPr>
        <w:pStyle w:val="25"/>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0993CF46">
      <w:pPr>
        <w:pStyle w:val="25"/>
        <w:spacing w:line="360" w:lineRule="auto"/>
        <w:ind w:left="25" w:leftChars="12" w:firstLine="472" w:firstLineChars="197"/>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2F56EADD">
      <w:pPr>
        <w:pStyle w:val="25"/>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487D500">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1226F3C3">
      <w:pPr>
        <w:pStyle w:val="25"/>
        <w:spacing w:line="360" w:lineRule="auto"/>
        <w:ind w:firstLine="480" w:firstLineChars="20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6EB74DC">
      <w:pPr>
        <w:pStyle w:val="25"/>
        <w:spacing w:line="360" w:lineRule="auto"/>
        <w:ind w:left="25" w:leftChars="12" w:firstLine="352" w:firstLineChars="147"/>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7253324">
      <w:pPr>
        <w:pStyle w:val="25"/>
        <w:spacing w:line="360" w:lineRule="auto"/>
        <w:ind w:left="25" w:leftChars="12" w:firstLine="472" w:firstLineChars="197"/>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F16055A">
      <w:pPr>
        <w:pStyle w:val="25"/>
        <w:spacing w:line="360" w:lineRule="auto"/>
        <w:ind w:left="25" w:leftChars="12" w:firstLine="472" w:firstLineChars="197"/>
        <w:rPr>
          <w:rFonts w:hint="eastAsia" w:hAnsi="宋体" w:cs="宋体"/>
          <w:bCs/>
          <w:color w:val="auto"/>
          <w:sz w:val="24"/>
          <w:szCs w:val="24"/>
          <w:highlight w:val="none"/>
        </w:rPr>
      </w:pPr>
      <w:r>
        <w:rPr>
          <w:rFonts w:hint="eastAsia" w:hAnsi="宋体" w:cs="宋体"/>
          <w:bCs/>
          <w:color w:val="auto"/>
          <w:sz w:val="24"/>
          <w:szCs w:val="24"/>
          <w:highlight w:val="none"/>
        </w:rPr>
        <w:t>……</w:t>
      </w:r>
    </w:p>
    <w:p w14:paraId="34E743B6">
      <w:pPr>
        <w:pStyle w:val="25"/>
        <w:spacing w:line="360" w:lineRule="auto"/>
        <w:ind w:left="25" w:leftChars="12"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53457F7D">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EF080A0">
      <w:pPr>
        <w:pStyle w:val="25"/>
        <w:spacing w:line="360" w:lineRule="auto"/>
        <w:ind w:left="25" w:leftChars="12" w:firstLine="352" w:firstLineChars="147"/>
        <w:rPr>
          <w:rFonts w:hint="eastAsia" w:hAnsi="宋体" w:cs="宋体"/>
          <w:color w:val="auto"/>
          <w:sz w:val="24"/>
          <w:szCs w:val="24"/>
          <w:highlight w:val="none"/>
        </w:rPr>
      </w:pPr>
    </w:p>
    <w:p w14:paraId="07D11654">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6CCFF647">
      <w:pPr>
        <w:pStyle w:val="25"/>
        <w:spacing w:line="360" w:lineRule="auto"/>
        <w:ind w:left="25" w:leftChars="12" w:firstLine="352" w:firstLineChars="147"/>
        <w:rPr>
          <w:rFonts w:hint="eastAsia" w:hAnsi="宋体" w:cs="宋体"/>
          <w:color w:val="auto"/>
          <w:sz w:val="24"/>
          <w:szCs w:val="24"/>
          <w:highlight w:val="none"/>
        </w:rPr>
      </w:pPr>
    </w:p>
    <w:p w14:paraId="68C7D1E5">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color w:val="auto"/>
          <w:sz w:val="24"/>
          <w:szCs w:val="24"/>
          <w:highlight w:val="none"/>
        </w:rPr>
        <w:t>日期：</w:t>
      </w:r>
    </w:p>
    <w:p w14:paraId="721CDB0D">
      <w:pPr>
        <w:pStyle w:val="25"/>
        <w:spacing w:line="360" w:lineRule="auto"/>
        <w:ind w:left="25" w:leftChars="12" w:firstLine="472" w:firstLineChars="197"/>
        <w:rPr>
          <w:rFonts w:hint="eastAsia" w:hAnsi="宋体" w:cs="宋体"/>
          <w:color w:val="auto"/>
          <w:sz w:val="24"/>
          <w:szCs w:val="24"/>
          <w:highlight w:val="none"/>
        </w:rPr>
      </w:pPr>
      <w:r>
        <w:rPr>
          <w:rFonts w:hint="eastAsia" w:hAnsi="宋体" w:cs="宋体"/>
          <w:bCs/>
          <w:color w:val="auto"/>
          <w:sz w:val="24"/>
          <w:szCs w:val="24"/>
          <w:highlight w:val="none"/>
        </w:rPr>
        <w:t xml:space="preserve">                                                                              </w:t>
      </w:r>
    </w:p>
    <w:p w14:paraId="5D334078">
      <w:pPr>
        <w:pStyle w:val="25"/>
        <w:snapToGrid w:val="0"/>
        <w:spacing w:line="360" w:lineRule="auto"/>
        <w:rPr>
          <w:rFonts w:hint="eastAsia" w:hAnsi="宋体" w:cs="宋体"/>
          <w:b/>
          <w:color w:val="auto"/>
          <w:sz w:val="21"/>
          <w:highlight w:val="none"/>
        </w:rPr>
      </w:pPr>
      <w:r>
        <w:rPr>
          <w:rFonts w:hint="eastAsia" w:hAnsi="宋体" w:cs="宋体"/>
          <w:b/>
          <w:color w:val="auto"/>
          <w:sz w:val="21"/>
          <w:highlight w:val="none"/>
        </w:rPr>
        <w:t>说明：</w:t>
      </w:r>
    </w:p>
    <w:p w14:paraId="26FC9CE5">
      <w:pPr>
        <w:pStyle w:val="25"/>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71728F8A">
      <w:pPr>
        <w:pStyle w:val="25"/>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F0ABB1F">
      <w:pPr>
        <w:pStyle w:val="25"/>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721EF3B5">
      <w:pPr>
        <w:pStyle w:val="25"/>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7063EC19">
      <w:pPr>
        <w:pStyle w:val="25"/>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3EFD714A">
      <w:pPr>
        <w:pStyle w:val="25"/>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sectPr>
      <w:headerReference r:id="rId7" w:type="first"/>
      <w:footerReference r:id="rId10" w:type="first"/>
      <w:headerReference r:id="rId6" w:type="default"/>
      <w:footerReference r:id="rId8" w:type="default"/>
      <w:footerReference r:id="rId9" w:type="even"/>
      <w:pgSz w:w="11906" w:h="16838"/>
      <w:pgMar w:top="1134" w:right="1304" w:bottom="1134" w:left="1304" w:header="851" w:footer="992" w:gutter="0"/>
      <w:pgNumType w:start="1"/>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PingFang-SC-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8A3E">
    <w:pPr>
      <w:pStyle w:val="31"/>
      <w:framePr w:wrap="around" w:vAnchor="text" w:hAnchor="margin" w:xAlign="center" w:y="1"/>
      <w:rPr>
        <w:rStyle w:val="52"/>
      </w:rPr>
    </w:pPr>
    <w:r>
      <w:fldChar w:fldCharType="begin"/>
    </w:r>
    <w:r>
      <w:rPr>
        <w:rStyle w:val="52"/>
      </w:rPr>
      <w:instrText xml:space="preserve">PAGE  </w:instrText>
    </w:r>
    <w:r>
      <w:fldChar w:fldCharType="end"/>
    </w:r>
  </w:p>
  <w:p w14:paraId="63823E85">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DCBAF">
    <w:pPr>
      <w:pStyle w:val="31"/>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9849">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64F41">
                          <w:pPr>
                            <w:pStyle w:val="31"/>
                            <w:jc w:val="center"/>
                          </w:pPr>
                          <w:r>
                            <w:fldChar w:fldCharType="begin"/>
                          </w:r>
                          <w:r>
                            <w:instrText xml:space="preserve"> PAGE   \* MERGEFORMAT </w:instrText>
                          </w:r>
                          <w:r>
                            <w:fldChar w:fldCharType="separate"/>
                          </w:r>
                          <w:r>
                            <w:rPr>
                              <w:lang w:val="zh-CN"/>
                            </w:rPr>
                            <w:t>111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17764F41">
                    <w:pPr>
                      <w:pStyle w:val="31"/>
                      <w:jc w:val="center"/>
                    </w:pPr>
                    <w:r>
                      <w:fldChar w:fldCharType="begin"/>
                    </w:r>
                    <w:r>
                      <w:instrText xml:space="preserve"> PAGE   \* MERGEFORMAT </w:instrText>
                    </w:r>
                    <w:r>
                      <w:fldChar w:fldCharType="separate"/>
                    </w:r>
                    <w:r>
                      <w:rPr>
                        <w:lang w:val="zh-CN"/>
                      </w:rPr>
                      <w:t>111</w:t>
                    </w:r>
                    <w:r>
                      <w:fldChar w:fldCharType="end"/>
                    </w:r>
                  </w:p>
                </w:txbxContent>
              </v:textbox>
            </v:shape>
          </w:pict>
        </mc:Fallback>
      </mc:AlternateContent>
    </w:r>
  </w:p>
  <w:p w14:paraId="43A1C3AE">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3AE3C">
    <w:pPr>
      <w:pStyle w:val="31"/>
      <w:framePr w:wrap="around" w:vAnchor="text" w:hAnchor="margin" w:xAlign="center" w:y="1"/>
      <w:rPr>
        <w:rStyle w:val="52"/>
      </w:rPr>
    </w:pPr>
    <w:r>
      <w:fldChar w:fldCharType="begin"/>
    </w:r>
    <w:r>
      <w:rPr>
        <w:rStyle w:val="52"/>
      </w:rPr>
      <w:instrText xml:space="preserve">PAGE  </w:instrText>
    </w:r>
    <w:r>
      <w:fldChar w:fldCharType="end"/>
    </w:r>
  </w:p>
  <w:p w14:paraId="7576058C">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3142">
    <w:pPr>
      <w:pStyle w:val="31"/>
      <w:ind w:right="360"/>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EA63EB">
                          <w:pPr>
                            <w:pStyle w:val="3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2EA63EB">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BCF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E0329">
    <w:pPr>
      <w:pStyle w:val="32"/>
    </w:pPr>
    <w:r>
      <w:rPr>
        <w:rFonts w:hint="eastAsia"/>
      </w:rPr>
      <w:t>学院21支</w:t>
    </w:r>
    <w:r>
      <w:rPr>
        <w:rFonts w:hint="eastAsia"/>
        <w:lang w:eastAsia="zh-CN"/>
      </w:rPr>
      <w:t>“</w:t>
    </w:r>
    <w:r>
      <w:rPr>
        <w:rFonts w:hint="eastAsia"/>
      </w:rPr>
      <w:t>金课</w:t>
    </w:r>
    <w:r>
      <w:rPr>
        <w:rFonts w:hint="eastAsia"/>
        <w:lang w:eastAsia="zh-CN"/>
      </w:rPr>
      <w:t>”</w:t>
    </w:r>
    <w:r>
      <w:rPr>
        <w:rFonts w:hint="eastAsia"/>
      </w:rPr>
      <w:t>课程开发团队能力训练及课程伴生建设服务项目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8AAF">
    <w:pPr>
      <w:pStyle w:val="32"/>
    </w:pPr>
    <w:r>
      <w:rPr>
        <w:rFonts w:hint="eastAsia"/>
      </w:rPr>
      <w:t>学院21支</w:t>
    </w:r>
    <w:r>
      <w:rPr>
        <w:rFonts w:hint="eastAsia"/>
        <w:lang w:eastAsia="zh-CN"/>
      </w:rPr>
      <w:t>“</w:t>
    </w:r>
    <w:r>
      <w:rPr>
        <w:rFonts w:hint="eastAsia"/>
      </w:rPr>
      <w:t>金课</w:t>
    </w:r>
    <w:r>
      <w:rPr>
        <w:rFonts w:hint="eastAsia"/>
        <w:lang w:eastAsia="zh-CN"/>
      </w:rPr>
      <w:t>”</w:t>
    </w:r>
    <w:r>
      <w:rPr>
        <w:rFonts w:hint="eastAsia"/>
      </w:rPr>
      <w:t>课程开发团队能力训练及课程伴生建设服务项目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76337"/>
    <w:multiLevelType w:val="singleLevel"/>
    <w:tmpl w:val="DF976337"/>
    <w:lvl w:ilvl="0" w:tentative="0">
      <w:start w:val="2"/>
      <w:numFmt w:val="decimal"/>
      <w:suff w:val="space"/>
      <w:lvlText w:val="%1."/>
      <w:lvlJc w:val="left"/>
    </w:lvl>
  </w:abstractNum>
  <w:abstractNum w:abstractNumId="1">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711461B3"/>
    <w:multiLevelType w:val="multilevel"/>
    <w:tmpl w:val="711461B3"/>
    <w:lvl w:ilvl="0" w:tentative="0">
      <w:start w:val="1"/>
      <w:numFmt w:val="decimal"/>
      <w:suff w:val="nothing"/>
      <w:lvlText w:val="%1"/>
      <w:lvlJc w:val="center"/>
      <w:pPr>
        <w:tabs>
          <w:tab w:val="left" w:pos="0"/>
        </w:tabs>
        <w:ind w:left="0" w:firstLine="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NGIyNmQ4ZTg0Y2ExNDk2MDQ2OGI3MDcyZTc3NTUifQ=="/>
  </w:docVars>
  <w:rsids>
    <w:rsidRoot w:val="00F9008B"/>
    <w:rsid w:val="0000010C"/>
    <w:rsid w:val="000004FE"/>
    <w:rsid w:val="00000FE0"/>
    <w:rsid w:val="00001068"/>
    <w:rsid w:val="0000114A"/>
    <w:rsid w:val="00001731"/>
    <w:rsid w:val="00001C2D"/>
    <w:rsid w:val="00001C55"/>
    <w:rsid w:val="00001CA8"/>
    <w:rsid w:val="00001FAE"/>
    <w:rsid w:val="00002291"/>
    <w:rsid w:val="00002DBF"/>
    <w:rsid w:val="00002EC0"/>
    <w:rsid w:val="00003224"/>
    <w:rsid w:val="000033F5"/>
    <w:rsid w:val="0000358C"/>
    <w:rsid w:val="00003BEF"/>
    <w:rsid w:val="00004130"/>
    <w:rsid w:val="0000431F"/>
    <w:rsid w:val="00004634"/>
    <w:rsid w:val="00004D8B"/>
    <w:rsid w:val="000059E2"/>
    <w:rsid w:val="000061EA"/>
    <w:rsid w:val="00006AE7"/>
    <w:rsid w:val="00006B9B"/>
    <w:rsid w:val="00006C35"/>
    <w:rsid w:val="000072B1"/>
    <w:rsid w:val="00007329"/>
    <w:rsid w:val="00007E28"/>
    <w:rsid w:val="00007E84"/>
    <w:rsid w:val="00010401"/>
    <w:rsid w:val="000105A1"/>
    <w:rsid w:val="000107AD"/>
    <w:rsid w:val="00010835"/>
    <w:rsid w:val="00011842"/>
    <w:rsid w:val="00012137"/>
    <w:rsid w:val="000121FF"/>
    <w:rsid w:val="00012456"/>
    <w:rsid w:val="000125B8"/>
    <w:rsid w:val="00012692"/>
    <w:rsid w:val="00013446"/>
    <w:rsid w:val="00013509"/>
    <w:rsid w:val="000135BC"/>
    <w:rsid w:val="000135DC"/>
    <w:rsid w:val="000136D6"/>
    <w:rsid w:val="00014085"/>
    <w:rsid w:val="00014DD9"/>
    <w:rsid w:val="00014EE0"/>
    <w:rsid w:val="000151E4"/>
    <w:rsid w:val="00015577"/>
    <w:rsid w:val="000156E4"/>
    <w:rsid w:val="000159A7"/>
    <w:rsid w:val="00015FB8"/>
    <w:rsid w:val="0001609F"/>
    <w:rsid w:val="0001635B"/>
    <w:rsid w:val="00016549"/>
    <w:rsid w:val="00016BF7"/>
    <w:rsid w:val="0001767E"/>
    <w:rsid w:val="0001776D"/>
    <w:rsid w:val="00017F31"/>
    <w:rsid w:val="00020607"/>
    <w:rsid w:val="0002103A"/>
    <w:rsid w:val="000217E4"/>
    <w:rsid w:val="00021852"/>
    <w:rsid w:val="00021A12"/>
    <w:rsid w:val="00022622"/>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CDC"/>
    <w:rsid w:val="0003263B"/>
    <w:rsid w:val="0003282C"/>
    <w:rsid w:val="00032F6D"/>
    <w:rsid w:val="0003304A"/>
    <w:rsid w:val="0003317E"/>
    <w:rsid w:val="00033413"/>
    <w:rsid w:val="000337F3"/>
    <w:rsid w:val="00034C27"/>
    <w:rsid w:val="00034E2A"/>
    <w:rsid w:val="0003577F"/>
    <w:rsid w:val="00036466"/>
    <w:rsid w:val="0003675E"/>
    <w:rsid w:val="00037F87"/>
    <w:rsid w:val="00037FA2"/>
    <w:rsid w:val="000400D0"/>
    <w:rsid w:val="000425AC"/>
    <w:rsid w:val="00042F4A"/>
    <w:rsid w:val="00043BE5"/>
    <w:rsid w:val="00044003"/>
    <w:rsid w:val="00044527"/>
    <w:rsid w:val="00044897"/>
    <w:rsid w:val="00044ACF"/>
    <w:rsid w:val="00044EF2"/>
    <w:rsid w:val="000454F4"/>
    <w:rsid w:val="00045D1E"/>
    <w:rsid w:val="00045E69"/>
    <w:rsid w:val="00045EF4"/>
    <w:rsid w:val="00046547"/>
    <w:rsid w:val="000466D7"/>
    <w:rsid w:val="00046753"/>
    <w:rsid w:val="00047254"/>
    <w:rsid w:val="00047E41"/>
    <w:rsid w:val="0005022B"/>
    <w:rsid w:val="00050771"/>
    <w:rsid w:val="000513F3"/>
    <w:rsid w:val="00052287"/>
    <w:rsid w:val="000522E0"/>
    <w:rsid w:val="000532F4"/>
    <w:rsid w:val="000536AE"/>
    <w:rsid w:val="00054CD5"/>
    <w:rsid w:val="00054D03"/>
    <w:rsid w:val="000550AC"/>
    <w:rsid w:val="0005584D"/>
    <w:rsid w:val="00055CC3"/>
    <w:rsid w:val="00055CEE"/>
    <w:rsid w:val="000566FA"/>
    <w:rsid w:val="00056A2B"/>
    <w:rsid w:val="00056DA8"/>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315D"/>
    <w:rsid w:val="00073549"/>
    <w:rsid w:val="0007483E"/>
    <w:rsid w:val="000751DB"/>
    <w:rsid w:val="0007542D"/>
    <w:rsid w:val="0007578F"/>
    <w:rsid w:val="00075E43"/>
    <w:rsid w:val="00076791"/>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F82"/>
    <w:rsid w:val="00086506"/>
    <w:rsid w:val="00086B6E"/>
    <w:rsid w:val="00086C64"/>
    <w:rsid w:val="0008781A"/>
    <w:rsid w:val="00090951"/>
    <w:rsid w:val="00090A61"/>
    <w:rsid w:val="000918F5"/>
    <w:rsid w:val="000919B5"/>
    <w:rsid w:val="00091C1D"/>
    <w:rsid w:val="00091E08"/>
    <w:rsid w:val="000922D8"/>
    <w:rsid w:val="000932E7"/>
    <w:rsid w:val="0009333A"/>
    <w:rsid w:val="000933C3"/>
    <w:rsid w:val="00093459"/>
    <w:rsid w:val="00093B8B"/>
    <w:rsid w:val="000951E7"/>
    <w:rsid w:val="00095B82"/>
    <w:rsid w:val="00096098"/>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90E"/>
    <w:rsid w:val="000A5B49"/>
    <w:rsid w:val="000A5FE5"/>
    <w:rsid w:val="000A6684"/>
    <w:rsid w:val="000A7194"/>
    <w:rsid w:val="000A7218"/>
    <w:rsid w:val="000A740A"/>
    <w:rsid w:val="000A7446"/>
    <w:rsid w:val="000A7E7F"/>
    <w:rsid w:val="000A7ECD"/>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DAF"/>
    <w:rsid w:val="000C071C"/>
    <w:rsid w:val="000C0BB4"/>
    <w:rsid w:val="000C0BEE"/>
    <w:rsid w:val="000C1CB9"/>
    <w:rsid w:val="000C2159"/>
    <w:rsid w:val="000C21BB"/>
    <w:rsid w:val="000C289B"/>
    <w:rsid w:val="000C3F01"/>
    <w:rsid w:val="000C410D"/>
    <w:rsid w:val="000C420D"/>
    <w:rsid w:val="000C4773"/>
    <w:rsid w:val="000C4944"/>
    <w:rsid w:val="000C4E24"/>
    <w:rsid w:val="000C5C4A"/>
    <w:rsid w:val="000C5F01"/>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C9B"/>
    <w:rsid w:val="000D35FD"/>
    <w:rsid w:val="000D3D2D"/>
    <w:rsid w:val="000D3D99"/>
    <w:rsid w:val="000D4653"/>
    <w:rsid w:val="000D4696"/>
    <w:rsid w:val="000D4817"/>
    <w:rsid w:val="000D4D0C"/>
    <w:rsid w:val="000D4FB9"/>
    <w:rsid w:val="000D54B4"/>
    <w:rsid w:val="000D584B"/>
    <w:rsid w:val="000D5F55"/>
    <w:rsid w:val="000D6372"/>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266"/>
    <w:rsid w:val="000E2A50"/>
    <w:rsid w:val="000E30F2"/>
    <w:rsid w:val="000E316B"/>
    <w:rsid w:val="000E3D08"/>
    <w:rsid w:val="000E4728"/>
    <w:rsid w:val="000E4D1F"/>
    <w:rsid w:val="000E53F6"/>
    <w:rsid w:val="000E5658"/>
    <w:rsid w:val="000E5698"/>
    <w:rsid w:val="000E5723"/>
    <w:rsid w:val="000E581B"/>
    <w:rsid w:val="000E64B2"/>
    <w:rsid w:val="000E65D2"/>
    <w:rsid w:val="000E6919"/>
    <w:rsid w:val="000E6B1B"/>
    <w:rsid w:val="000E6F0C"/>
    <w:rsid w:val="000E732D"/>
    <w:rsid w:val="000F07ED"/>
    <w:rsid w:val="000F0CF2"/>
    <w:rsid w:val="000F1A32"/>
    <w:rsid w:val="000F1CC2"/>
    <w:rsid w:val="000F1D15"/>
    <w:rsid w:val="000F270A"/>
    <w:rsid w:val="000F34C8"/>
    <w:rsid w:val="000F38BC"/>
    <w:rsid w:val="000F3E2A"/>
    <w:rsid w:val="000F4D26"/>
    <w:rsid w:val="000F5639"/>
    <w:rsid w:val="000F58A4"/>
    <w:rsid w:val="000F5D43"/>
    <w:rsid w:val="000F6833"/>
    <w:rsid w:val="000F6A24"/>
    <w:rsid w:val="000F7616"/>
    <w:rsid w:val="000F7DE9"/>
    <w:rsid w:val="000F7F7A"/>
    <w:rsid w:val="001002F4"/>
    <w:rsid w:val="001011FC"/>
    <w:rsid w:val="0010165F"/>
    <w:rsid w:val="00101E7C"/>
    <w:rsid w:val="001023DC"/>
    <w:rsid w:val="00102572"/>
    <w:rsid w:val="00102946"/>
    <w:rsid w:val="00102FBF"/>
    <w:rsid w:val="0010333D"/>
    <w:rsid w:val="0010372A"/>
    <w:rsid w:val="00103F41"/>
    <w:rsid w:val="0010415C"/>
    <w:rsid w:val="00104662"/>
    <w:rsid w:val="00104F34"/>
    <w:rsid w:val="001053C5"/>
    <w:rsid w:val="001055AD"/>
    <w:rsid w:val="00105C14"/>
    <w:rsid w:val="001065A3"/>
    <w:rsid w:val="00106610"/>
    <w:rsid w:val="00106831"/>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4058"/>
    <w:rsid w:val="0011449E"/>
    <w:rsid w:val="001153EF"/>
    <w:rsid w:val="00115D55"/>
    <w:rsid w:val="00115E45"/>
    <w:rsid w:val="00115F85"/>
    <w:rsid w:val="0011688E"/>
    <w:rsid w:val="00116ACD"/>
    <w:rsid w:val="0011718F"/>
    <w:rsid w:val="00117B7D"/>
    <w:rsid w:val="001205A8"/>
    <w:rsid w:val="00122A6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888"/>
    <w:rsid w:val="00131F17"/>
    <w:rsid w:val="0013212F"/>
    <w:rsid w:val="001323F9"/>
    <w:rsid w:val="0013251F"/>
    <w:rsid w:val="00133088"/>
    <w:rsid w:val="00133346"/>
    <w:rsid w:val="001335B1"/>
    <w:rsid w:val="00133B4E"/>
    <w:rsid w:val="0013410F"/>
    <w:rsid w:val="001346AF"/>
    <w:rsid w:val="00134990"/>
    <w:rsid w:val="001354D1"/>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884"/>
    <w:rsid w:val="00150827"/>
    <w:rsid w:val="00150B0D"/>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FE"/>
    <w:rsid w:val="00157823"/>
    <w:rsid w:val="0015790D"/>
    <w:rsid w:val="00157C5E"/>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CCC"/>
    <w:rsid w:val="00163F22"/>
    <w:rsid w:val="0016417B"/>
    <w:rsid w:val="0016470E"/>
    <w:rsid w:val="001649D3"/>
    <w:rsid w:val="00164E0A"/>
    <w:rsid w:val="001652D7"/>
    <w:rsid w:val="00165A5F"/>
    <w:rsid w:val="00166223"/>
    <w:rsid w:val="0016793E"/>
    <w:rsid w:val="00167D4D"/>
    <w:rsid w:val="0017054C"/>
    <w:rsid w:val="00170635"/>
    <w:rsid w:val="0017070D"/>
    <w:rsid w:val="00170837"/>
    <w:rsid w:val="00171035"/>
    <w:rsid w:val="001713B7"/>
    <w:rsid w:val="00171ADB"/>
    <w:rsid w:val="00171E2C"/>
    <w:rsid w:val="00172029"/>
    <w:rsid w:val="001733A4"/>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EEF"/>
    <w:rsid w:val="00181F3E"/>
    <w:rsid w:val="00182FE0"/>
    <w:rsid w:val="00183911"/>
    <w:rsid w:val="001845FB"/>
    <w:rsid w:val="00185DA6"/>
    <w:rsid w:val="00185F64"/>
    <w:rsid w:val="00186096"/>
    <w:rsid w:val="0018772E"/>
    <w:rsid w:val="00187A94"/>
    <w:rsid w:val="0019029E"/>
    <w:rsid w:val="00190804"/>
    <w:rsid w:val="0019088F"/>
    <w:rsid w:val="00190C51"/>
    <w:rsid w:val="00193ACC"/>
    <w:rsid w:val="00193BFE"/>
    <w:rsid w:val="00195322"/>
    <w:rsid w:val="0019560E"/>
    <w:rsid w:val="001958E3"/>
    <w:rsid w:val="0019601B"/>
    <w:rsid w:val="00196048"/>
    <w:rsid w:val="00196A82"/>
    <w:rsid w:val="0019769B"/>
    <w:rsid w:val="001979F9"/>
    <w:rsid w:val="00197FFE"/>
    <w:rsid w:val="001A0D25"/>
    <w:rsid w:val="001A0E14"/>
    <w:rsid w:val="001A1570"/>
    <w:rsid w:val="001A1917"/>
    <w:rsid w:val="001A1C64"/>
    <w:rsid w:val="001A1E7F"/>
    <w:rsid w:val="001A2918"/>
    <w:rsid w:val="001A2D02"/>
    <w:rsid w:val="001A3076"/>
    <w:rsid w:val="001A31A5"/>
    <w:rsid w:val="001A389C"/>
    <w:rsid w:val="001A3B75"/>
    <w:rsid w:val="001A46FB"/>
    <w:rsid w:val="001A5944"/>
    <w:rsid w:val="001A5FB1"/>
    <w:rsid w:val="001A698A"/>
    <w:rsid w:val="001A6CCC"/>
    <w:rsid w:val="001A6E3B"/>
    <w:rsid w:val="001A70C8"/>
    <w:rsid w:val="001A71C9"/>
    <w:rsid w:val="001A7429"/>
    <w:rsid w:val="001A760C"/>
    <w:rsid w:val="001A799B"/>
    <w:rsid w:val="001A7AC7"/>
    <w:rsid w:val="001A7C38"/>
    <w:rsid w:val="001B02F8"/>
    <w:rsid w:val="001B2104"/>
    <w:rsid w:val="001B2279"/>
    <w:rsid w:val="001B2729"/>
    <w:rsid w:val="001B2866"/>
    <w:rsid w:val="001B2881"/>
    <w:rsid w:val="001B2B73"/>
    <w:rsid w:val="001B3675"/>
    <w:rsid w:val="001B37C8"/>
    <w:rsid w:val="001B4B2C"/>
    <w:rsid w:val="001B4F10"/>
    <w:rsid w:val="001B5154"/>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1258"/>
    <w:rsid w:val="001D1AB8"/>
    <w:rsid w:val="001D2069"/>
    <w:rsid w:val="001D286F"/>
    <w:rsid w:val="001D2C94"/>
    <w:rsid w:val="001D33D9"/>
    <w:rsid w:val="001D36F6"/>
    <w:rsid w:val="001D4303"/>
    <w:rsid w:val="001D45E5"/>
    <w:rsid w:val="001D461A"/>
    <w:rsid w:val="001D4A9D"/>
    <w:rsid w:val="001D4AAD"/>
    <w:rsid w:val="001D5AFA"/>
    <w:rsid w:val="001D784A"/>
    <w:rsid w:val="001E04A4"/>
    <w:rsid w:val="001E07C5"/>
    <w:rsid w:val="001E176D"/>
    <w:rsid w:val="001E1BCE"/>
    <w:rsid w:val="001E1E05"/>
    <w:rsid w:val="001E2086"/>
    <w:rsid w:val="001E339F"/>
    <w:rsid w:val="001E3629"/>
    <w:rsid w:val="001E3806"/>
    <w:rsid w:val="001E3E7D"/>
    <w:rsid w:val="001E40F0"/>
    <w:rsid w:val="001E4172"/>
    <w:rsid w:val="001E4F08"/>
    <w:rsid w:val="001E5490"/>
    <w:rsid w:val="001E5730"/>
    <w:rsid w:val="001E5E2E"/>
    <w:rsid w:val="001E6352"/>
    <w:rsid w:val="001E70AD"/>
    <w:rsid w:val="001E7237"/>
    <w:rsid w:val="001E7AF6"/>
    <w:rsid w:val="001F01B8"/>
    <w:rsid w:val="001F0FC3"/>
    <w:rsid w:val="001F1188"/>
    <w:rsid w:val="001F1B8D"/>
    <w:rsid w:val="001F274F"/>
    <w:rsid w:val="001F289C"/>
    <w:rsid w:val="001F2BF9"/>
    <w:rsid w:val="001F392C"/>
    <w:rsid w:val="001F3AF2"/>
    <w:rsid w:val="001F6008"/>
    <w:rsid w:val="001F604B"/>
    <w:rsid w:val="001F641B"/>
    <w:rsid w:val="001F6D4D"/>
    <w:rsid w:val="0020130D"/>
    <w:rsid w:val="00201916"/>
    <w:rsid w:val="00201D06"/>
    <w:rsid w:val="00201E9F"/>
    <w:rsid w:val="00202F25"/>
    <w:rsid w:val="002035B3"/>
    <w:rsid w:val="00203929"/>
    <w:rsid w:val="00203CD6"/>
    <w:rsid w:val="00204460"/>
    <w:rsid w:val="002051EA"/>
    <w:rsid w:val="00205CBC"/>
    <w:rsid w:val="00206259"/>
    <w:rsid w:val="002074B7"/>
    <w:rsid w:val="0020758D"/>
    <w:rsid w:val="00207C7B"/>
    <w:rsid w:val="00211470"/>
    <w:rsid w:val="00211922"/>
    <w:rsid w:val="0021213A"/>
    <w:rsid w:val="0021265F"/>
    <w:rsid w:val="00213817"/>
    <w:rsid w:val="00214428"/>
    <w:rsid w:val="002145EB"/>
    <w:rsid w:val="0021474D"/>
    <w:rsid w:val="00214F82"/>
    <w:rsid w:val="00215033"/>
    <w:rsid w:val="00215834"/>
    <w:rsid w:val="00215AA4"/>
    <w:rsid w:val="00215CC2"/>
    <w:rsid w:val="00215ED8"/>
    <w:rsid w:val="00217700"/>
    <w:rsid w:val="002177E2"/>
    <w:rsid w:val="002205F3"/>
    <w:rsid w:val="0022085B"/>
    <w:rsid w:val="00220E53"/>
    <w:rsid w:val="0022176C"/>
    <w:rsid w:val="002225D1"/>
    <w:rsid w:val="002230FA"/>
    <w:rsid w:val="00223DF2"/>
    <w:rsid w:val="00224C0C"/>
    <w:rsid w:val="002256C2"/>
    <w:rsid w:val="002256D0"/>
    <w:rsid w:val="00225C8E"/>
    <w:rsid w:val="00226428"/>
    <w:rsid w:val="002265A9"/>
    <w:rsid w:val="002266CB"/>
    <w:rsid w:val="00227052"/>
    <w:rsid w:val="002272D5"/>
    <w:rsid w:val="0022738E"/>
    <w:rsid w:val="00227906"/>
    <w:rsid w:val="00227934"/>
    <w:rsid w:val="00227E21"/>
    <w:rsid w:val="00231D05"/>
    <w:rsid w:val="0023256A"/>
    <w:rsid w:val="002336E2"/>
    <w:rsid w:val="00233AC2"/>
    <w:rsid w:val="00233BAF"/>
    <w:rsid w:val="00235420"/>
    <w:rsid w:val="00235700"/>
    <w:rsid w:val="0024065B"/>
    <w:rsid w:val="002409A6"/>
    <w:rsid w:val="00240C63"/>
    <w:rsid w:val="00240EA5"/>
    <w:rsid w:val="00241132"/>
    <w:rsid w:val="00241205"/>
    <w:rsid w:val="002418C5"/>
    <w:rsid w:val="0024261D"/>
    <w:rsid w:val="00242712"/>
    <w:rsid w:val="00242DFB"/>
    <w:rsid w:val="002434B2"/>
    <w:rsid w:val="00243807"/>
    <w:rsid w:val="002440AC"/>
    <w:rsid w:val="00244365"/>
    <w:rsid w:val="0024459A"/>
    <w:rsid w:val="00244771"/>
    <w:rsid w:val="00244903"/>
    <w:rsid w:val="00244AFB"/>
    <w:rsid w:val="002453DF"/>
    <w:rsid w:val="00245A81"/>
    <w:rsid w:val="002462A5"/>
    <w:rsid w:val="00246B86"/>
    <w:rsid w:val="00247335"/>
    <w:rsid w:val="002473EF"/>
    <w:rsid w:val="002477B9"/>
    <w:rsid w:val="00247CBE"/>
    <w:rsid w:val="00250A1F"/>
    <w:rsid w:val="00250ADA"/>
    <w:rsid w:val="00250F1D"/>
    <w:rsid w:val="00251FF1"/>
    <w:rsid w:val="002520BA"/>
    <w:rsid w:val="00252234"/>
    <w:rsid w:val="002528E3"/>
    <w:rsid w:val="00252944"/>
    <w:rsid w:val="00252D55"/>
    <w:rsid w:val="00252D82"/>
    <w:rsid w:val="00253006"/>
    <w:rsid w:val="002533F5"/>
    <w:rsid w:val="00253C60"/>
    <w:rsid w:val="00253F21"/>
    <w:rsid w:val="0025429D"/>
    <w:rsid w:val="002549E9"/>
    <w:rsid w:val="00254FF6"/>
    <w:rsid w:val="00255099"/>
    <w:rsid w:val="002555C6"/>
    <w:rsid w:val="00255E14"/>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3EC7"/>
    <w:rsid w:val="0026491B"/>
    <w:rsid w:val="00264A36"/>
    <w:rsid w:val="00264B06"/>
    <w:rsid w:val="00264C1B"/>
    <w:rsid w:val="00265D10"/>
    <w:rsid w:val="00265E2E"/>
    <w:rsid w:val="002661AB"/>
    <w:rsid w:val="0026742B"/>
    <w:rsid w:val="002674FE"/>
    <w:rsid w:val="002702F6"/>
    <w:rsid w:val="00270748"/>
    <w:rsid w:val="0027117F"/>
    <w:rsid w:val="002712DC"/>
    <w:rsid w:val="00271875"/>
    <w:rsid w:val="002718FF"/>
    <w:rsid w:val="00271955"/>
    <w:rsid w:val="00272278"/>
    <w:rsid w:val="00272432"/>
    <w:rsid w:val="00272633"/>
    <w:rsid w:val="00272E48"/>
    <w:rsid w:val="00272FBF"/>
    <w:rsid w:val="00273A10"/>
    <w:rsid w:val="00273A58"/>
    <w:rsid w:val="00274CAB"/>
    <w:rsid w:val="00274E8A"/>
    <w:rsid w:val="00275FCE"/>
    <w:rsid w:val="002766B8"/>
    <w:rsid w:val="0027680F"/>
    <w:rsid w:val="002777C0"/>
    <w:rsid w:val="00281006"/>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5154"/>
    <w:rsid w:val="00285BF2"/>
    <w:rsid w:val="00285C78"/>
    <w:rsid w:val="002863CE"/>
    <w:rsid w:val="00287E20"/>
    <w:rsid w:val="00291492"/>
    <w:rsid w:val="00291527"/>
    <w:rsid w:val="0029199A"/>
    <w:rsid w:val="00291BBE"/>
    <w:rsid w:val="00291FEB"/>
    <w:rsid w:val="00293146"/>
    <w:rsid w:val="0029361E"/>
    <w:rsid w:val="00293D68"/>
    <w:rsid w:val="0029408A"/>
    <w:rsid w:val="00294352"/>
    <w:rsid w:val="002944A0"/>
    <w:rsid w:val="002946E4"/>
    <w:rsid w:val="0029495C"/>
    <w:rsid w:val="002957D9"/>
    <w:rsid w:val="00295B52"/>
    <w:rsid w:val="00296024"/>
    <w:rsid w:val="00296293"/>
    <w:rsid w:val="00296AF7"/>
    <w:rsid w:val="002972F9"/>
    <w:rsid w:val="002977CA"/>
    <w:rsid w:val="00297ED7"/>
    <w:rsid w:val="002A0007"/>
    <w:rsid w:val="002A03AA"/>
    <w:rsid w:val="002A056D"/>
    <w:rsid w:val="002A07FE"/>
    <w:rsid w:val="002A094D"/>
    <w:rsid w:val="002A0CAF"/>
    <w:rsid w:val="002A0DDB"/>
    <w:rsid w:val="002A1565"/>
    <w:rsid w:val="002A16A9"/>
    <w:rsid w:val="002A171F"/>
    <w:rsid w:val="002A2941"/>
    <w:rsid w:val="002A2DC4"/>
    <w:rsid w:val="002A3E69"/>
    <w:rsid w:val="002A44F9"/>
    <w:rsid w:val="002A49EF"/>
    <w:rsid w:val="002A4B8B"/>
    <w:rsid w:val="002A5107"/>
    <w:rsid w:val="002A535E"/>
    <w:rsid w:val="002A6406"/>
    <w:rsid w:val="002A6432"/>
    <w:rsid w:val="002A6CF0"/>
    <w:rsid w:val="002A6FFC"/>
    <w:rsid w:val="002A7010"/>
    <w:rsid w:val="002A70BA"/>
    <w:rsid w:val="002A7A57"/>
    <w:rsid w:val="002A7BB2"/>
    <w:rsid w:val="002A7DCB"/>
    <w:rsid w:val="002B0685"/>
    <w:rsid w:val="002B0B53"/>
    <w:rsid w:val="002B1617"/>
    <w:rsid w:val="002B1D11"/>
    <w:rsid w:val="002B273B"/>
    <w:rsid w:val="002B29AA"/>
    <w:rsid w:val="002B2A7E"/>
    <w:rsid w:val="002B2F1B"/>
    <w:rsid w:val="002B5AFB"/>
    <w:rsid w:val="002B6320"/>
    <w:rsid w:val="002B66AC"/>
    <w:rsid w:val="002B6852"/>
    <w:rsid w:val="002B77E1"/>
    <w:rsid w:val="002C0714"/>
    <w:rsid w:val="002C0A96"/>
    <w:rsid w:val="002C1BF4"/>
    <w:rsid w:val="002C1E0D"/>
    <w:rsid w:val="002C2266"/>
    <w:rsid w:val="002C28EB"/>
    <w:rsid w:val="002C3265"/>
    <w:rsid w:val="002C3AED"/>
    <w:rsid w:val="002C3E56"/>
    <w:rsid w:val="002C414C"/>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69B"/>
    <w:rsid w:val="002D29F3"/>
    <w:rsid w:val="002D3126"/>
    <w:rsid w:val="002D3529"/>
    <w:rsid w:val="002D3D0A"/>
    <w:rsid w:val="002D3EF0"/>
    <w:rsid w:val="002D478E"/>
    <w:rsid w:val="002D47AE"/>
    <w:rsid w:val="002D4A94"/>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51DF"/>
    <w:rsid w:val="002E57B9"/>
    <w:rsid w:val="002E6127"/>
    <w:rsid w:val="002E6885"/>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44D9"/>
    <w:rsid w:val="00304D8A"/>
    <w:rsid w:val="00305216"/>
    <w:rsid w:val="0030555B"/>
    <w:rsid w:val="003061F5"/>
    <w:rsid w:val="00306A49"/>
    <w:rsid w:val="00306D27"/>
    <w:rsid w:val="0030739C"/>
    <w:rsid w:val="00310D51"/>
    <w:rsid w:val="00311B36"/>
    <w:rsid w:val="00311C92"/>
    <w:rsid w:val="00313321"/>
    <w:rsid w:val="003133AE"/>
    <w:rsid w:val="0031371B"/>
    <w:rsid w:val="00314156"/>
    <w:rsid w:val="0031535B"/>
    <w:rsid w:val="003154DD"/>
    <w:rsid w:val="00316F76"/>
    <w:rsid w:val="003170F4"/>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72C6"/>
    <w:rsid w:val="00327752"/>
    <w:rsid w:val="00327C7C"/>
    <w:rsid w:val="00330009"/>
    <w:rsid w:val="003301E6"/>
    <w:rsid w:val="00330740"/>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3560"/>
    <w:rsid w:val="00343A20"/>
    <w:rsid w:val="0034402B"/>
    <w:rsid w:val="0034449E"/>
    <w:rsid w:val="00344D46"/>
    <w:rsid w:val="003465A5"/>
    <w:rsid w:val="00346817"/>
    <w:rsid w:val="003471D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51B"/>
    <w:rsid w:val="003555ED"/>
    <w:rsid w:val="00355911"/>
    <w:rsid w:val="0035636B"/>
    <w:rsid w:val="00357424"/>
    <w:rsid w:val="00357BE9"/>
    <w:rsid w:val="003601A2"/>
    <w:rsid w:val="00361789"/>
    <w:rsid w:val="0036196D"/>
    <w:rsid w:val="00361A59"/>
    <w:rsid w:val="003627BD"/>
    <w:rsid w:val="00362997"/>
    <w:rsid w:val="00362C59"/>
    <w:rsid w:val="00363040"/>
    <w:rsid w:val="003630B7"/>
    <w:rsid w:val="00363786"/>
    <w:rsid w:val="003638A4"/>
    <w:rsid w:val="003639BF"/>
    <w:rsid w:val="00363E41"/>
    <w:rsid w:val="00363FD2"/>
    <w:rsid w:val="0036572E"/>
    <w:rsid w:val="00366168"/>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6D7"/>
    <w:rsid w:val="003807F7"/>
    <w:rsid w:val="00381610"/>
    <w:rsid w:val="00382106"/>
    <w:rsid w:val="00382657"/>
    <w:rsid w:val="00382708"/>
    <w:rsid w:val="00382B82"/>
    <w:rsid w:val="003844BF"/>
    <w:rsid w:val="003854D5"/>
    <w:rsid w:val="0038552A"/>
    <w:rsid w:val="003859EA"/>
    <w:rsid w:val="0038709E"/>
    <w:rsid w:val="00387D30"/>
    <w:rsid w:val="00391753"/>
    <w:rsid w:val="00391C7F"/>
    <w:rsid w:val="00392454"/>
    <w:rsid w:val="00392C85"/>
    <w:rsid w:val="00392FD8"/>
    <w:rsid w:val="00393E11"/>
    <w:rsid w:val="00394475"/>
    <w:rsid w:val="0039517A"/>
    <w:rsid w:val="00395B51"/>
    <w:rsid w:val="00396796"/>
    <w:rsid w:val="00396EC6"/>
    <w:rsid w:val="003970BA"/>
    <w:rsid w:val="0039746C"/>
    <w:rsid w:val="00397DC6"/>
    <w:rsid w:val="003A0E82"/>
    <w:rsid w:val="003A0FAC"/>
    <w:rsid w:val="003A184D"/>
    <w:rsid w:val="003A1FB7"/>
    <w:rsid w:val="003A371E"/>
    <w:rsid w:val="003A3957"/>
    <w:rsid w:val="003A462A"/>
    <w:rsid w:val="003A595F"/>
    <w:rsid w:val="003A5EEC"/>
    <w:rsid w:val="003A6B7A"/>
    <w:rsid w:val="003A79AE"/>
    <w:rsid w:val="003A7CA3"/>
    <w:rsid w:val="003B00B6"/>
    <w:rsid w:val="003B01C4"/>
    <w:rsid w:val="003B0BB0"/>
    <w:rsid w:val="003B11EE"/>
    <w:rsid w:val="003B15F8"/>
    <w:rsid w:val="003B230B"/>
    <w:rsid w:val="003B23BC"/>
    <w:rsid w:val="003B28BA"/>
    <w:rsid w:val="003B2DB5"/>
    <w:rsid w:val="003B2F05"/>
    <w:rsid w:val="003B3966"/>
    <w:rsid w:val="003B39B7"/>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997"/>
    <w:rsid w:val="003C4DA5"/>
    <w:rsid w:val="003C5666"/>
    <w:rsid w:val="003C60CC"/>
    <w:rsid w:val="003C64F4"/>
    <w:rsid w:val="003C724B"/>
    <w:rsid w:val="003C73DB"/>
    <w:rsid w:val="003D0185"/>
    <w:rsid w:val="003D02CB"/>
    <w:rsid w:val="003D0382"/>
    <w:rsid w:val="003D069C"/>
    <w:rsid w:val="003D191E"/>
    <w:rsid w:val="003D22A5"/>
    <w:rsid w:val="003D23A4"/>
    <w:rsid w:val="003D3414"/>
    <w:rsid w:val="003D3426"/>
    <w:rsid w:val="003D3654"/>
    <w:rsid w:val="003D3721"/>
    <w:rsid w:val="003D413A"/>
    <w:rsid w:val="003D6722"/>
    <w:rsid w:val="003D7428"/>
    <w:rsid w:val="003D77F2"/>
    <w:rsid w:val="003D78CC"/>
    <w:rsid w:val="003D7D01"/>
    <w:rsid w:val="003D7ED8"/>
    <w:rsid w:val="003E0003"/>
    <w:rsid w:val="003E0099"/>
    <w:rsid w:val="003E08C7"/>
    <w:rsid w:val="003E1A7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51EE"/>
    <w:rsid w:val="003F574E"/>
    <w:rsid w:val="003F60D6"/>
    <w:rsid w:val="003F68E9"/>
    <w:rsid w:val="003F7E15"/>
    <w:rsid w:val="003F7FDA"/>
    <w:rsid w:val="00400E65"/>
    <w:rsid w:val="004013AD"/>
    <w:rsid w:val="00401E20"/>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C3E"/>
    <w:rsid w:val="004275CD"/>
    <w:rsid w:val="00427E74"/>
    <w:rsid w:val="00427FEB"/>
    <w:rsid w:val="00427FF2"/>
    <w:rsid w:val="004305C0"/>
    <w:rsid w:val="00430B20"/>
    <w:rsid w:val="00430B6C"/>
    <w:rsid w:val="0043227C"/>
    <w:rsid w:val="004335C0"/>
    <w:rsid w:val="00435121"/>
    <w:rsid w:val="00435715"/>
    <w:rsid w:val="0043571B"/>
    <w:rsid w:val="00435EE0"/>
    <w:rsid w:val="00435F29"/>
    <w:rsid w:val="0043610C"/>
    <w:rsid w:val="004366FF"/>
    <w:rsid w:val="00437D83"/>
    <w:rsid w:val="004401DD"/>
    <w:rsid w:val="00440344"/>
    <w:rsid w:val="00441264"/>
    <w:rsid w:val="00441B0F"/>
    <w:rsid w:val="004425C6"/>
    <w:rsid w:val="00443D5D"/>
    <w:rsid w:val="00445CBA"/>
    <w:rsid w:val="004463CB"/>
    <w:rsid w:val="004466F7"/>
    <w:rsid w:val="00446858"/>
    <w:rsid w:val="00447304"/>
    <w:rsid w:val="00447CDD"/>
    <w:rsid w:val="00450127"/>
    <w:rsid w:val="0045075F"/>
    <w:rsid w:val="004516AD"/>
    <w:rsid w:val="00451E84"/>
    <w:rsid w:val="00451EA3"/>
    <w:rsid w:val="00451F01"/>
    <w:rsid w:val="004546A7"/>
    <w:rsid w:val="00454831"/>
    <w:rsid w:val="004548DF"/>
    <w:rsid w:val="00456CC0"/>
    <w:rsid w:val="00457933"/>
    <w:rsid w:val="00457C78"/>
    <w:rsid w:val="00460735"/>
    <w:rsid w:val="00460AD5"/>
    <w:rsid w:val="00460EB8"/>
    <w:rsid w:val="00461090"/>
    <w:rsid w:val="00461991"/>
    <w:rsid w:val="00461C43"/>
    <w:rsid w:val="00462125"/>
    <w:rsid w:val="00463216"/>
    <w:rsid w:val="0046334D"/>
    <w:rsid w:val="00463C95"/>
    <w:rsid w:val="00463E1C"/>
    <w:rsid w:val="00464052"/>
    <w:rsid w:val="00465153"/>
    <w:rsid w:val="00465602"/>
    <w:rsid w:val="004656A4"/>
    <w:rsid w:val="00466AFD"/>
    <w:rsid w:val="00470696"/>
    <w:rsid w:val="00472177"/>
    <w:rsid w:val="00472234"/>
    <w:rsid w:val="004724C9"/>
    <w:rsid w:val="00472585"/>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90954"/>
    <w:rsid w:val="0049102F"/>
    <w:rsid w:val="0049277A"/>
    <w:rsid w:val="00492B38"/>
    <w:rsid w:val="00492FE4"/>
    <w:rsid w:val="00493035"/>
    <w:rsid w:val="00493321"/>
    <w:rsid w:val="004936DE"/>
    <w:rsid w:val="0049544E"/>
    <w:rsid w:val="00495670"/>
    <w:rsid w:val="0049567B"/>
    <w:rsid w:val="0049604B"/>
    <w:rsid w:val="00496AC9"/>
    <w:rsid w:val="004A040E"/>
    <w:rsid w:val="004A042D"/>
    <w:rsid w:val="004A11E0"/>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F21"/>
    <w:rsid w:val="004B08DB"/>
    <w:rsid w:val="004B1422"/>
    <w:rsid w:val="004B15DD"/>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4C"/>
    <w:rsid w:val="004B7995"/>
    <w:rsid w:val="004C02B3"/>
    <w:rsid w:val="004C098E"/>
    <w:rsid w:val="004C0BBE"/>
    <w:rsid w:val="004C0E2F"/>
    <w:rsid w:val="004C222E"/>
    <w:rsid w:val="004C2561"/>
    <w:rsid w:val="004C2806"/>
    <w:rsid w:val="004C3ADD"/>
    <w:rsid w:val="004C428E"/>
    <w:rsid w:val="004C441A"/>
    <w:rsid w:val="004C4775"/>
    <w:rsid w:val="004C483D"/>
    <w:rsid w:val="004C48A9"/>
    <w:rsid w:val="004C4D05"/>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3A57"/>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623E"/>
    <w:rsid w:val="004E6589"/>
    <w:rsid w:val="004E6CF9"/>
    <w:rsid w:val="004E734E"/>
    <w:rsid w:val="004E7EC0"/>
    <w:rsid w:val="004E7F48"/>
    <w:rsid w:val="004F014E"/>
    <w:rsid w:val="004F023B"/>
    <w:rsid w:val="004F0BC6"/>
    <w:rsid w:val="004F1123"/>
    <w:rsid w:val="004F1715"/>
    <w:rsid w:val="004F17DA"/>
    <w:rsid w:val="004F3BD2"/>
    <w:rsid w:val="004F4372"/>
    <w:rsid w:val="004F43E0"/>
    <w:rsid w:val="004F45EB"/>
    <w:rsid w:val="004F521B"/>
    <w:rsid w:val="004F52BB"/>
    <w:rsid w:val="004F5582"/>
    <w:rsid w:val="004F59B8"/>
    <w:rsid w:val="004F62A7"/>
    <w:rsid w:val="004F62F9"/>
    <w:rsid w:val="004F66B3"/>
    <w:rsid w:val="004F7352"/>
    <w:rsid w:val="004F7889"/>
    <w:rsid w:val="0050015C"/>
    <w:rsid w:val="00500418"/>
    <w:rsid w:val="005009EB"/>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9D4"/>
    <w:rsid w:val="00510CF4"/>
    <w:rsid w:val="0051160A"/>
    <w:rsid w:val="005118BA"/>
    <w:rsid w:val="00512D87"/>
    <w:rsid w:val="005130DA"/>
    <w:rsid w:val="00513DDA"/>
    <w:rsid w:val="00513E19"/>
    <w:rsid w:val="005148B4"/>
    <w:rsid w:val="00514B29"/>
    <w:rsid w:val="005152B1"/>
    <w:rsid w:val="005152F0"/>
    <w:rsid w:val="00515856"/>
    <w:rsid w:val="005163E6"/>
    <w:rsid w:val="005172EC"/>
    <w:rsid w:val="0051740D"/>
    <w:rsid w:val="005178CE"/>
    <w:rsid w:val="00521356"/>
    <w:rsid w:val="00521CAB"/>
    <w:rsid w:val="005224EF"/>
    <w:rsid w:val="00522654"/>
    <w:rsid w:val="00522835"/>
    <w:rsid w:val="0052293D"/>
    <w:rsid w:val="00522AF4"/>
    <w:rsid w:val="00523499"/>
    <w:rsid w:val="00523BC7"/>
    <w:rsid w:val="00523C08"/>
    <w:rsid w:val="00523C10"/>
    <w:rsid w:val="00523E23"/>
    <w:rsid w:val="005245D5"/>
    <w:rsid w:val="005247FE"/>
    <w:rsid w:val="00524889"/>
    <w:rsid w:val="0052575D"/>
    <w:rsid w:val="00525A53"/>
    <w:rsid w:val="00526569"/>
    <w:rsid w:val="00526726"/>
    <w:rsid w:val="00526F91"/>
    <w:rsid w:val="00527256"/>
    <w:rsid w:val="00527B57"/>
    <w:rsid w:val="00527C8D"/>
    <w:rsid w:val="00527C9C"/>
    <w:rsid w:val="00530AC4"/>
    <w:rsid w:val="00531F7B"/>
    <w:rsid w:val="0053309E"/>
    <w:rsid w:val="00533169"/>
    <w:rsid w:val="00533194"/>
    <w:rsid w:val="005332C8"/>
    <w:rsid w:val="0053464E"/>
    <w:rsid w:val="005352C8"/>
    <w:rsid w:val="005354C1"/>
    <w:rsid w:val="00535E7A"/>
    <w:rsid w:val="00535F99"/>
    <w:rsid w:val="00536356"/>
    <w:rsid w:val="00536CBB"/>
    <w:rsid w:val="00536DDD"/>
    <w:rsid w:val="00537033"/>
    <w:rsid w:val="00540A37"/>
    <w:rsid w:val="00540B49"/>
    <w:rsid w:val="005418DB"/>
    <w:rsid w:val="005434EA"/>
    <w:rsid w:val="00545D55"/>
    <w:rsid w:val="005461AB"/>
    <w:rsid w:val="00546C6A"/>
    <w:rsid w:val="00546FBA"/>
    <w:rsid w:val="00547F04"/>
    <w:rsid w:val="00550924"/>
    <w:rsid w:val="00550D63"/>
    <w:rsid w:val="00550EF1"/>
    <w:rsid w:val="00551075"/>
    <w:rsid w:val="005513C8"/>
    <w:rsid w:val="005521D2"/>
    <w:rsid w:val="0055236E"/>
    <w:rsid w:val="0055352C"/>
    <w:rsid w:val="005538A6"/>
    <w:rsid w:val="005539A0"/>
    <w:rsid w:val="00554F94"/>
    <w:rsid w:val="00555161"/>
    <w:rsid w:val="00555DE6"/>
    <w:rsid w:val="00555EB3"/>
    <w:rsid w:val="005567F6"/>
    <w:rsid w:val="00556E29"/>
    <w:rsid w:val="00557474"/>
    <w:rsid w:val="00557DAA"/>
    <w:rsid w:val="00557DAD"/>
    <w:rsid w:val="00561138"/>
    <w:rsid w:val="00561699"/>
    <w:rsid w:val="0056194F"/>
    <w:rsid w:val="005619E1"/>
    <w:rsid w:val="00562629"/>
    <w:rsid w:val="005628F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F55"/>
    <w:rsid w:val="0057540E"/>
    <w:rsid w:val="005757B6"/>
    <w:rsid w:val="0058000F"/>
    <w:rsid w:val="00580557"/>
    <w:rsid w:val="0058074F"/>
    <w:rsid w:val="00580A76"/>
    <w:rsid w:val="00581042"/>
    <w:rsid w:val="00581703"/>
    <w:rsid w:val="00581B15"/>
    <w:rsid w:val="005821DD"/>
    <w:rsid w:val="00583908"/>
    <w:rsid w:val="00584757"/>
    <w:rsid w:val="00584E21"/>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C0"/>
    <w:rsid w:val="005A6B6D"/>
    <w:rsid w:val="005A6ED5"/>
    <w:rsid w:val="005A6F0E"/>
    <w:rsid w:val="005A6F57"/>
    <w:rsid w:val="005A7235"/>
    <w:rsid w:val="005A795B"/>
    <w:rsid w:val="005A7BAF"/>
    <w:rsid w:val="005B05FA"/>
    <w:rsid w:val="005B0652"/>
    <w:rsid w:val="005B1213"/>
    <w:rsid w:val="005B1B55"/>
    <w:rsid w:val="005B1DBD"/>
    <w:rsid w:val="005B26B0"/>
    <w:rsid w:val="005B3EBD"/>
    <w:rsid w:val="005B48E8"/>
    <w:rsid w:val="005B56D9"/>
    <w:rsid w:val="005B5BA3"/>
    <w:rsid w:val="005B5E62"/>
    <w:rsid w:val="005B7E97"/>
    <w:rsid w:val="005B7F46"/>
    <w:rsid w:val="005C09A7"/>
    <w:rsid w:val="005C102D"/>
    <w:rsid w:val="005C132C"/>
    <w:rsid w:val="005C17FB"/>
    <w:rsid w:val="005C1833"/>
    <w:rsid w:val="005C1838"/>
    <w:rsid w:val="005C18C2"/>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802"/>
    <w:rsid w:val="005C7B50"/>
    <w:rsid w:val="005D029E"/>
    <w:rsid w:val="005D0427"/>
    <w:rsid w:val="005D0776"/>
    <w:rsid w:val="005D07AE"/>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AB6"/>
    <w:rsid w:val="005E7B1E"/>
    <w:rsid w:val="005E7CBC"/>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A22"/>
    <w:rsid w:val="005F7B9D"/>
    <w:rsid w:val="00600501"/>
    <w:rsid w:val="00600B0C"/>
    <w:rsid w:val="00602DFA"/>
    <w:rsid w:val="006031D1"/>
    <w:rsid w:val="006033BF"/>
    <w:rsid w:val="00603702"/>
    <w:rsid w:val="00603B4B"/>
    <w:rsid w:val="00603F20"/>
    <w:rsid w:val="00604F37"/>
    <w:rsid w:val="0060508A"/>
    <w:rsid w:val="006055AF"/>
    <w:rsid w:val="00605942"/>
    <w:rsid w:val="00605C9F"/>
    <w:rsid w:val="006068E8"/>
    <w:rsid w:val="00606ADB"/>
    <w:rsid w:val="006072DE"/>
    <w:rsid w:val="006075F4"/>
    <w:rsid w:val="006078A8"/>
    <w:rsid w:val="00607BAD"/>
    <w:rsid w:val="00607EC7"/>
    <w:rsid w:val="0061048A"/>
    <w:rsid w:val="00610AE7"/>
    <w:rsid w:val="00611178"/>
    <w:rsid w:val="0061148D"/>
    <w:rsid w:val="00611D01"/>
    <w:rsid w:val="006122EC"/>
    <w:rsid w:val="006124B3"/>
    <w:rsid w:val="00612611"/>
    <w:rsid w:val="0061279A"/>
    <w:rsid w:val="00613009"/>
    <w:rsid w:val="006132EA"/>
    <w:rsid w:val="00613CA5"/>
    <w:rsid w:val="0061401C"/>
    <w:rsid w:val="0061420B"/>
    <w:rsid w:val="00614D33"/>
    <w:rsid w:val="0061537D"/>
    <w:rsid w:val="0061537F"/>
    <w:rsid w:val="006156D7"/>
    <w:rsid w:val="00615DEA"/>
    <w:rsid w:val="00616A60"/>
    <w:rsid w:val="00616EE6"/>
    <w:rsid w:val="006171FB"/>
    <w:rsid w:val="00617A2A"/>
    <w:rsid w:val="006207F4"/>
    <w:rsid w:val="00620C67"/>
    <w:rsid w:val="00621646"/>
    <w:rsid w:val="00621803"/>
    <w:rsid w:val="006220F1"/>
    <w:rsid w:val="00623E46"/>
    <w:rsid w:val="00624604"/>
    <w:rsid w:val="00624D2C"/>
    <w:rsid w:val="00624F7F"/>
    <w:rsid w:val="00625145"/>
    <w:rsid w:val="00626768"/>
    <w:rsid w:val="00627402"/>
    <w:rsid w:val="00627474"/>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761"/>
    <w:rsid w:val="006425FC"/>
    <w:rsid w:val="00642631"/>
    <w:rsid w:val="00642DF5"/>
    <w:rsid w:val="0064304A"/>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16B7"/>
    <w:rsid w:val="006518E4"/>
    <w:rsid w:val="00651FB8"/>
    <w:rsid w:val="0065239B"/>
    <w:rsid w:val="00652BA0"/>
    <w:rsid w:val="00653045"/>
    <w:rsid w:val="00653A25"/>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639"/>
    <w:rsid w:val="00661655"/>
    <w:rsid w:val="0066174D"/>
    <w:rsid w:val="00661E36"/>
    <w:rsid w:val="006631D3"/>
    <w:rsid w:val="00663D0F"/>
    <w:rsid w:val="00664525"/>
    <w:rsid w:val="0066465B"/>
    <w:rsid w:val="00664C81"/>
    <w:rsid w:val="0066504B"/>
    <w:rsid w:val="0066521A"/>
    <w:rsid w:val="0066540C"/>
    <w:rsid w:val="00665EAE"/>
    <w:rsid w:val="006661EA"/>
    <w:rsid w:val="00666909"/>
    <w:rsid w:val="00666EBC"/>
    <w:rsid w:val="00667189"/>
    <w:rsid w:val="0066749E"/>
    <w:rsid w:val="00667CCB"/>
    <w:rsid w:val="00667EFD"/>
    <w:rsid w:val="00670475"/>
    <w:rsid w:val="00670B8C"/>
    <w:rsid w:val="00670C4A"/>
    <w:rsid w:val="00671F3E"/>
    <w:rsid w:val="00672482"/>
    <w:rsid w:val="00672A18"/>
    <w:rsid w:val="006735D0"/>
    <w:rsid w:val="006739E9"/>
    <w:rsid w:val="00674D52"/>
    <w:rsid w:val="00674F93"/>
    <w:rsid w:val="0067546F"/>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4079"/>
    <w:rsid w:val="006848EE"/>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6B7B"/>
    <w:rsid w:val="006A78F8"/>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C1818"/>
    <w:rsid w:val="006C1F8B"/>
    <w:rsid w:val="006C2721"/>
    <w:rsid w:val="006C3868"/>
    <w:rsid w:val="006C38FF"/>
    <w:rsid w:val="006C3E6E"/>
    <w:rsid w:val="006C3EEA"/>
    <w:rsid w:val="006C3F92"/>
    <w:rsid w:val="006C43A6"/>
    <w:rsid w:val="006C4A4A"/>
    <w:rsid w:val="006C53EB"/>
    <w:rsid w:val="006C5434"/>
    <w:rsid w:val="006C5D29"/>
    <w:rsid w:val="006C650D"/>
    <w:rsid w:val="006C69A5"/>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3023"/>
    <w:rsid w:val="006E3369"/>
    <w:rsid w:val="006E3D12"/>
    <w:rsid w:val="006E449C"/>
    <w:rsid w:val="006E4726"/>
    <w:rsid w:val="006E4E72"/>
    <w:rsid w:val="006E50D0"/>
    <w:rsid w:val="006E663E"/>
    <w:rsid w:val="006E6EDF"/>
    <w:rsid w:val="006E7BA5"/>
    <w:rsid w:val="006F01E8"/>
    <w:rsid w:val="006F02D7"/>
    <w:rsid w:val="006F0EBB"/>
    <w:rsid w:val="006F1E96"/>
    <w:rsid w:val="006F2D24"/>
    <w:rsid w:val="006F37F7"/>
    <w:rsid w:val="006F3909"/>
    <w:rsid w:val="006F4036"/>
    <w:rsid w:val="006F428E"/>
    <w:rsid w:val="006F48E1"/>
    <w:rsid w:val="006F4FA0"/>
    <w:rsid w:val="006F5160"/>
    <w:rsid w:val="006F5374"/>
    <w:rsid w:val="006F60DF"/>
    <w:rsid w:val="006F6766"/>
    <w:rsid w:val="006F68C1"/>
    <w:rsid w:val="006F6CE2"/>
    <w:rsid w:val="006F6E10"/>
    <w:rsid w:val="007014F8"/>
    <w:rsid w:val="0070150D"/>
    <w:rsid w:val="007016D2"/>
    <w:rsid w:val="007018D8"/>
    <w:rsid w:val="00701979"/>
    <w:rsid w:val="007029E8"/>
    <w:rsid w:val="00703107"/>
    <w:rsid w:val="00703138"/>
    <w:rsid w:val="00703277"/>
    <w:rsid w:val="0070356D"/>
    <w:rsid w:val="00703981"/>
    <w:rsid w:val="00703CDF"/>
    <w:rsid w:val="00703D7E"/>
    <w:rsid w:val="0070495F"/>
    <w:rsid w:val="00704B6E"/>
    <w:rsid w:val="00704F73"/>
    <w:rsid w:val="0070508D"/>
    <w:rsid w:val="0070542E"/>
    <w:rsid w:val="00705E73"/>
    <w:rsid w:val="007060D4"/>
    <w:rsid w:val="0070624C"/>
    <w:rsid w:val="00706451"/>
    <w:rsid w:val="00707E0F"/>
    <w:rsid w:val="0071068A"/>
    <w:rsid w:val="00710E19"/>
    <w:rsid w:val="00710E52"/>
    <w:rsid w:val="0071154B"/>
    <w:rsid w:val="0071174F"/>
    <w:rsid w:val="0071196A"/>
    <w:rsid w:val="007131CF"/>
    <w:rsid w:val="007133C0"/>
    <w:rsid w:val="00713613"/>
    <w:rsid w:val="007137C6"/>
    <w:rsid w:val="007138FC"/>
    <w:rsid w:val="0071393D"/>
    <w:rsid w:val="00713E79"/>
    <w:rsid w:val="00714245"/>
    <w:rsid w:val="00715441"/>
    <w:rsid w:val="00715739"/>
    <w:rsid w:val="0071576C"/>
    <w:rsid w:val="00715C94"/>
    <w:rsid w:val="007165F0"/>
    <w:rsid w:val="00716A09"/>
    <w:rsid w:val="007170DB"/>
    <w:rsid w:val="00717880"/>
    <w:rsid w:val="00717CA8"/>
    <w:rsid w:val="007205E7"/>
    <w:rsid w:val="007209C4"/>
    <w:rsid w:val="00721E9E"/>
    <w:rsid w:val="007227FE"/>
    <w:rsid w:val="007233C3"/>
    <w:rsid w:val="00723C95"/>
    <w:rsid w:val="007244E7"/>
    <w:rsid w:val="0072505F"/>
    <w:rsid w:val="00725B00"/>
    <w:rsid w:val="0072680C"/>
    <w:rsid w:val="00726B3D"/>
    <w:rsid w:val="00726C64"/>
    <w:rsid w:val="007310B7"/>
    <w:rsid w:val="00731237"/>
    <w:rsid w:val="0073207E"/>
    <w:rsid w:val="00732523"/>
    <w:rsid w:val="00732664"/>
    <w:rsid w:val="00732BA7"/>
    <w:rsid w:val="00733184"/>
    <w:rsid w:val="007333EA"/>
    <w:rsid w:val="00733601"/>
    <w:rsid w:val="00733A57"/>
    <w:rsid w:val="00733F36"/>
    <w:rsid w:val="007340CE"/>
    <w:rsid w:val="00734781"/>
    <w:rsid w:val="007349FC"/>
    <w:rsid w:val="00734B6F"/>
    <w:rsid w:val="00735293"/>
    <w:rsid w:val="00735376"/>
    <w:rsid w:val="007363EA"/>
    <w:rsid w:val="00736A02"/>
    <w:rsid w:val="00736E06"/>
    <w:rsid w:val="00736E37"/>
    <w:rsid w:val="00737286"/>
    <w:rsid w:val="007373DB"/>
    <w:rsid w:val="00737F27"/>
    <w:rsid w:val="00737FD3"/>
    <w:rsid w:val="007407DB"/>
    <w:rsid w:val="00740BFC"/>
    <w:rsid w:val="00740F76"/>
    <w:rsid w:val="00741037"/>
    <w:rsid w:val="007422B3"/>
    <w:rsid w:val="007424BF"/>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1452"/>
    <w:rsid w:val="007521A5"/>
    <w:rsid w:val="00753959"/>
    <w:rsid w:val="00753DD6"/>
    <w:rsid w:val="00754A4A"/>
    <w:rsid w:val="007566FB"/>
    <w:rsid w:val="007567A8"/>
    <w:rsid w:val="00756D6A"/>
    <w:rsid w:val="0076043F"/>
    <w:rsid w:val="00760F66"/>
    <w:rsid w:val="007611F8"/>
    <w:rsid w:val="00761200"/>
    <w:rsid w:val="00761931"/>
    <w:rsid w:val="00761BD1"/>
    <w:rsid w:val="007627BA"/>
    <w:rsid w:val="0076291E"/>
    <w:rsid w:val="00762D81"/>
    <w:rsid w:val="0076317B"/>
    <w:rsid w:val="007643D5"/>
    <w:rsid w:val="00765366"/>
    <w:rsid w:val="00765914"/>
    <w:rsid w:val="0076614D"/>
    <w:rsid w:val="0076624C"/>
    <w:rsid w:val="0076627D"/>
    <w:rsid w:val="00766304"/>
    <w:rsid w:val="00767A28"/>
    <w:rsid w:val="00767DD2"/>
    <w:rsid w:val="0077082B"/>
    <w:rsid w:val="00770E60"/>
    <w:rsid w:val="00771C8F"/>
    <w:rsid w:val="0077266E"/>
    <w:rsid w:val="0077292E"/>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804DD"/>
    <w:rsid w:val="00780F3B"/>
    <w:rsid w:val="0078115B"/>
    <w:rsid w:val="007816EE"/>
    <w:rsid w:val="00782071"/>
    <w:rsid w:val="00782946"/>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68E"/>
    <w:rsid w:val="00787F5E"/>
    <w:rsid w:val="0079024D"/>
    <w:rsid w:val="007911B8"/>
    <w:rsid w:val="00791DAE"/>
    <w:rsid w:val="007930E8"/>
    <w:rsid w:val="00793A57"/>
    <w:rsid w:val="00793A9C"/>
    <w:rsid w:val="00793F28"/>
    <w:rsid w:val="007944D2"/>
    <w:rsid w:val="00794B19"/>
    <w:rsid w:val="00794FFA"/>
    <w:rsid w:val="00795B8D"/>
    <w:rsid w:val="00795F0E"/>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629D"/>
    <w:rsid w:val="007A6610"/>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E13"/>
    <w:rsid w:val="007B4046"/>
    <w:rsid w:val="007B4300"/>
    <w:rsid w:val="007B565C"/>
    <w:rsid w:val="007B595F"/>
    <w:rsid w:val="007B5D75"/>
    <w:rsid w:val="007B5E0C"/>
    <w:rsid w:val="007B6D5E"/>
    <w:rsid w:val="007B7115"/>
    <w:rsid w:val="007B736B"/>
    <w:rsid w:val="007C0853"/>
    <w:rsid w:val="007C0C90"/>
    <w:rsid w:val="007C0E07"/>
    <w:rsid w:val="007C0E86"/>
    <w:rsid w:val="007C249E"/>
    <w:rsid w:val="007C26CF"/>
    <w:rsid w:val="007C271B"/>
    <w:rsid w:val="007C2C14"/>
    <w:rsid w:val="007C3A55"/>
    <w:rsid w:val="007C4166"/>
    <w:rsid w:val="007C44E1"/>
    <w:rsid w:val="007C4670"/>
    <w:rsid w:val="007C48DD"/>
    <w:rsid w:val="007C4A05"/>
    <w:rsid w:val="007C5711"/>
    <w:rsid w:val="007C57B9"/>
    <w:rsid w:val="007C6325"/>
    <w:rsid w:val="007C73A3"/>
    <w:rsid w:val="007C7975"/>
    <w:rsid w:val="007C7EF5"/>
    <w:rsid w:val="007D06AC"/>
    <w:rsid w:val="007D0741"/>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0BD1"/>
    <w:rsid w:val="007E107F"/>
    <w:rsid w:val="007E2FD7"/>
    <w:rsid w:val="007E310B"/>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4657"/>
    <w:rsid w:val="007F5609"/>
    <w:rsid w:val="007F5625"/>
    <w:rsid w:val="007F568A"/>
    <w:rsid w:val="007F59F7"/>
    <w:rsid w:val="007F5E21"/>
    <w:rsid w:val="007F6413"/>
    <w:rsid w:val="007F676E"/>
    <w:rsid w:val="007F6B11"/>
    <w:rsid w:val="007F6E2B"/>
    <w:rsid w:val="007F7D12"/>
    <w:rsid w:val="007F7F02"/>
    <w:rsid w:val="00800258"/>
    <w:rsid w:val="00800C97"/>
    <w:rsid w:val="0080220F"/>
    <w:rsid w:val="008026A7"/>
    <w:rsid w:val="00802735"/>
    <w:rsid w:val="008028C2"/>
    <w:rsid w:val="00802DDB"/>
    <w:rsid w:val="008037D8"/>
    <w:rsid w:val="00803B7E"/>
    <w:rsid w:val="00803DA6"/>
    <w:rsid w:val="008040D9"/>
    <w:rsid w:val="0080436E"/>
    <w:rsid w:val="00804937"/>
    <w:rsid w:val="00804E1E"/>
    <w:rsid w:val="00804E43"/>
    <w:rsid w:val="008050F5"/>
    <w:rsid w:val="0080519C"/>
    <w:rsid w:val="0080553F"/>
    <w:rsid w:val="00810BC2"/>
    <w:rsid w:val="00811683"/>
    <w:rsid w:val="00811AFF"/>
    <w:rsid w:val="00812373"/>
    <w:rsid w:val="00813F3A"/>
    <w:rsid w:val="008140E8"/>
    <w:rsid w:val="00814795"/>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641D"/>
    <w:rsid w:val="008267CA"/>
    <w:rsid w:val="0082722B"/>
    <w:rsid w:val="00827C1B"/>
    <w:rsid w:val="0083016B"/>
    <w:rsid w:val="008301F1"/>
    <w:rsid w:val="00830C0E"/>
    <w:rsid w:val="008313E0"/>
    <w:rsid w:val="008317EC"/>
    <w:rsid w:val="0083195D"/>
    <w:rsid w:val="00831B7B"/>
    <w:rsid w:val="00831D90"/>
    <w:rsid w:val="008324F3"/>
    <w:rsid w:val="00832691"/>
    <w:rsid w:val="0083296B"/>
    <w:rsid w:val="00833547"/>
    <w:rsid w:val="00833852"/>
    <w:rsid w:val="00833AB9"/>
    <w:rsid w:val="00833B62"/>
    <w:rsid w:val="00834820"/>
    <w:rsid w:val="00834C82"/>
    <w:rsid w:val="00834DB6"/>
    <w:rsid w:val="00834F93"/>
    <w:rsid w:val="00840C4A"/>
    <w:rsid w:val="008411B9"/>
    <w:rsid w:val="0084122F"/>
    <w:rsid w:val="00841573"/>
    <w:rsid w:val="00841D08"/>
    <w:rsid w:val="00842D43"/>
    <w:rsid w:val="0084323E"/>
    <w:rsid w:val="00843D50"/>
    <w:rsid w:val="0084464E"/>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AF7"/>
    <w:rsid w:val="00857BE5"/>
    <w:rsid w:val="00860109"/>
    <w:rsid w:val="008601BD"/>
    <w:rsid w:val="00860359"/>
    <w:rsid w:val="00860E43"/>
    <w:rsid w:val="00861252"/>
    <w:rsid w:val="0086171A"/>
    <w:rsid w:val="0086226C"/>
    <w:rsid w:val="00863C07"/>
    <w:rsid w:val="008644A4"/>
    <w:rsid w:val="00864A6C"/>
    <w:rsid w:val="00864BB1"/>
    <w:rsid w:val="00864DF7"/>
    <w:rsid w:val="00865278"/>
    <w:rsid w:val="008654F9"/>
    <w:rsid w:val="008658C0"/>
    <w:rsid w:val="00866388"/>
    <w:rsid w:val="00866FE3"/>
    <w:rsid w:val="0086722D"/>
    <w:rsid w:val="00867D56"/>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80017"/>
    <w:rsid w:val="00880305"/>
    <w:rsid w:val="0088088A"/>
    <w:rsid w:val="00880A3F"/>
    <w:rsid w:val="00880EE2"/>
    <w:rsid w:val="00881732"/>
    <w:rsid w:val="008818A2"/>
    <w:rsid w:val="00881FF9"/>
    <w:rsid w:val="0088213D"/>
    <w:rsid w:val="008821C6"/>
    <w:rsid w:val="0088243D"/>
    <w:rsid w:val="0088251A"/>
    <w:rsid w:val="00882D28"/>
    <w:rsid w:val="00883A67"/>
    <w:rsid w:val="008848E9"/>
    <w:rsid w:val="00884FD8"/>
    <w:rsid w:val="00885231"/>
    <w:rsid w:val="00885244"/>
    <w:rsid w:val="008857C7"/>
    <w:rsid w:val="008858B3"/>
    <w:rsid w:val="00885BF6"/>
    <w:rsid w:val="008866CF"/>
    <w:rsid w:val="00886782"/>
    <w:rsid w:val="008869A1"/>
    <w:rsid w:val="00886B3F"/>
    <w:rsid w:val="0089015D"/>
    <w:rsid w:val="0089021A"/>
    <w:rsid w:val="0089022E"/>
    <w:rsid w:val="00890475"/>
    <w:rsid w:val="00890A7C"/>
    <w:rsid w:val="00890D11"/>
    <w:rsid w:val="008910EE"/>
    <w:rsid w:val="00891A26"/>
    <w:rsid w:val="008923F8"/>
    <w:rsid w:val="008928F1"/>
    <w:rsid w:val="00892BBF"/>
    <w:rsid w:val="00892DB5"/>
    <w:rsid w:val="008942BD"/>
    <w:rsid w:val="0089478A"/>
    <w:rsid w:val="0089480A"/>
    <w:rsid w:val="00894FE5"/>
    <w:rsid w:val="00895658"/>
    <w:rsid w:val="008956DA"/>
    <w:rsid w:val="00895BA9"/>
    <w:rsid w:val="00895D79"/>
    <w:rsid w:val="0089601B"/>
    <w:rsid w:val="0089655D"/>
    <w:rsid w:val="00896784"/>
    <w:rsid w:val="00897824"/>
    <w:rsid w:val="00897BCB"/>
    <w:rsid w:val="00897C07"/>
    <w:rsid w:val="00897DBA"/>
    <w:rsid w:val="008A02FA"/>
    <w:rsid w:val="008A06A8"/>
    <w:rsid w:val="008A1AAC"/>
    <w:rsid w:val="008A20CA"/>
    <w:rsid w:val="008A239B"/>
    <w:rsid w:val="008A2956"/>
    <w:rsid w:val="008A2EA1"/>
    <w:rsid w:val="008A2EF6"/>
    <w:rsid w:val="008A3480"/>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100"/>
    <w:rsid w:val="008A7139"/>
    <w:rsid w:val="008A776D"/>
    <w:rsid w:val="008A7C74"/>
    <w:rsid w:val="008B04C0"/>
    <w:rsid w:val="008B09E1"/>
    <w:rsid w:val="008B0A83"/>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C2"/>
    <w:rsid w:val="008B787A"/>
    <w:rsid w:val="008C0A89"/>
    <w:rsid w:val="008C0E71"/>
    <w:rsid w:val="008C1852"/>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714"/>
    <w:rsid w:val="008C7F4F"/>
    <w:rsid w:val="008D00F3"/>
    <w:rsid w:val="008D0F27"/>
    <w:rsid w:val="008D11F0"/>
    <w:rsid w:val="008D13CB"/>
    <w:rsid w:val="008D15A2"/>
    <w:rsid w:val="008D18CD"/>
    <w:rsid w:val="008D1F86"/>
    <w:rsid w:val="008D20E0"/>
    <w:rsid w:val="008D2B6E"/>
    <w:rsid w:val="008D335C"/>
    <w:rsid w:val="008D35B7"/>
    <w:rsid w:val="008D4007"/>
    <w:rsid w:val="008D436A"/>
    <w:rsid w:val="008D4C72"/>
    <w:rsid w:val="008D5368"/>
    <w:rsid w:val="008D561B"/>
    <w:rsid w:val="008D582B"/>
    <w:rsid w:val="008D5CF9"/>
    <w:rsid w:val="008D5D0A"/>
    <w:rsid w:val="008D6794"/>
    <w:rsid w:val="008D7F65"/>
    <w:rsid w:val="008E0178"/>
    <w:rsid w:val="008E02F8"/>
    <w:rsid w:val="008E12AF"/>
    <w:rsid w:val="008E1DC9"/>
    <w:rsid w:val="008E211C"/>
    <w:rsid w:val="008E28EC"/>
    <w:rsid w:val="008E2BB3"/>
    <w:rsid w:val="008E2BC5"/>
    <w:rsid w:val="008E2C79"/>
    <w:rsid w:val="008E2DEA"/>
    <w:rsid w:val="008E3176"/>
    <w:rsid w:val="008E3564"/>
    <w:rsid w:val="008E3A0B"/>
    <w:rsid w:val="008E3A90"/>
    <w:rsid w:val="008E3AAB"/>
    <w:rsid w:val="008E4043"/>
    <w:rsid w:val="008E4520"/>
    <w:rsid w:val="008E54E8"/>
    <w:rsid w:val="008E5740"/>
    <w:rsid w:val="008E5868"/>
    <w:rsid w:val="008E5DC8"/>
    <w:rsid w:val="008E6465"/>
    <w:rsid w:val="008E6C57"/>
    <w:rsid w:val="008E7082"/>
    <w:rsid w:val="008E72AF"/>
    <w:rsid w:val="008F0952"/>
    <w:rsid w:val="008F1154"/>
    <w:rsid w:val="008F1B84"/>
    <w:rsid w:val="008F1B9D"/>
    <w:rsid w:val="008F1DB6"/>
    <w:rsid w:val="008F39C0"/>
    <w:rsid w:val="008F39E4"/>
    <w:rsid w:val="008F57CD"/>
    <w:rsid w:val="008F5960"/>
    <w:rsid w:val="008F5CD0"/>
    <w:rsid w:val="008F629A"/>
    <w:rsid w:val="008F6A9B"/>
    <w:rsid w:val="008F6F03"/>
    <w:rsid w:val="008F7603"/>
    <w:rsid w:val="008F769D"/>
    <w:rsid w:val="008F76DC"/>
    <w:rsid w:val="008F7D2F"/>
    <w:rsid w:val="009013C5"/>
    <w:rsid w:val="0090147B"/>
    <w:rsid w:val="00901649"/>
    <w:rsid w:val="00901CBA"/>
    <w:rsid w:val="00901DC6"/>
    <w:rsid w:val="009021DC"/>
    <w:rsid w:val="00903026"/>
    <w:rsid w:val="0090357B"/>
    <w:rsid w:val="00903832"/>
    <w:rsid w:val="009044BE"/>
    <w:rsid w:val="009048EB"/>
    <w:rsid w:val="00904913"/>
    <w:rsid w:val="009050B3"/>
    <w:rsid w:val="00905298"/>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20189"/>
    <w:rsid w:val="00920203"/>
    <w:rsid w:val="00920997"/>
    <w:rsid w:val="00920B1E"/>
    <w:rsid w:val="00920DD5"/>
    <w:rsid w:val="00921161"/>
    <w:rsid w:val="00922492"/>
    <w:rsid w:val="009224EB"/>
    <w:rsid w:val="0092272F"/>
    <w:rsid w:val="00922BE2"/>
    <w:rsid w:val="00922EDE"/>
    <w:rsid w:val="009237D9"/>
    <w:rsid w:val="0092406C"/>
    <w:rsid w:val="00924096"/>
    <w:rsid w:val="009243BC"/>
    <w:rsid w:val="009244D5"/>
    <w:rsid w:val="0092523A"/>
    <w:rsid w:val="009252F1"/>
    <w:rsid w:val="00925588"/>
    <w:rsid w:val="00925AF5"/>
    <w:rsid w:val="00926268"/>
    <w:rsid w:val="009264A2"/>
    <w:rsid w:val="0092715D"/>
    <w:rsid w:val="00927299"/>
    <w:rsid w:val="00930632"/>
    <w:rsid w:val="009310BC"/>
    <w:rsid w:val="00931D3F"/>
    <w:rsid w:val="009324C4"/>
    <w:rsid w:val="00932671"/>
    <w:rsid w:val="00932A7A"/>
    <w:rsid w:val="00932D26"/>
    <w:rsid w:val="009330BF"/>
    <w:rsid w:val="00933817"/>
    <w:rsid w:val="00934510"/>
    <w:rsid w:val="0093476C"/>
    <w:rsid w:val="00935A1E"/>
    <w:rsid w:val="00935AA3"/>
    <w:rsid w:val="00935B7C"/>
    <w:rsid w:val="00935E3A"/>
    <w:rsid w:val="00936005"/>
    <w:rsid w:val="0093607C"/>
    <w:rsid w:val="00940008"/>
    <w:rsid w:val="00940FFA"/>
    <w:rsid w:val="00941503"/>
    <w:rsid w:val="0094187D"/>
    <w:rsid w:val="009423ED"/>
    <w:rsid w:val="00942C90"/>
    <w:rsid w:val="00942F29"/>
    <w:rsid w:val="00942FB6"/>
    <w:rsid w:val="009434EB"/>
    <w:rsid w:val="00943EA6"/>
    <w:rsid w:val="009443F2"/>
    <w:rsid w:val="009448F2"/>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FCE"/>
    <w:rsid w:val="009521CC"/>
    <w:rsid w:val="0095226C"/>
    <w:rsid w:val="00952C05"/>
    <w:rsid w:val="00952D52"/>
    <w:rsid w:val="009540B7"/>
    <w:rsid w:val="009543D0"/>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23A"/>
    <w:rsid w:val="009607AB"/>
    <w:rsid w:val="009615DB"/>
    <w:rsid w:val="00962683"/>
    <w:rsid w:val="00962E23"/>
    <w:rsid w:val="0096487C"/>
    <w:rsid w:val="00964BC2"/>
    <w:rsid w:val="00964D4A"/>
    <w:rsid w:val="00964EAE"/>
    <w:rsid w:val="00965023"/>
    <w:rsid w:val="009650B7"/>
    <w:rsid w:val="0096515D"/>
    <w:rsid w:val="00965841"/>
    <w:rsid w:val="00966623"/>
    <w:rsid w:val="009678DB"/>
    <w:rsid w:val="00970728"/>
    <w:rsid w:val="009707C9"/>
    <w:rsid w:val="00971E0B"/>
    <w:rsid w:val="00972101"/>
    <w:rsid w:val="00972FB5"/>
    <w:rsid w:val="009736FE"/>
    <w:rsid w:val="00973B96"/>
    <w:rsid w:val="00973E3C"/>
    <w:rsid w:val="00974763"/>
    <w:rsid w:val="009757CA"/>
    <w:rsid w:val="00976E76"/>
    <w:rsid w:val="00977A14"/>
    <w:rsid w:val="00977E9B"/>
    <w:rsid w:val="009807BF"/>
    <w:rsid w:val="009809CE"/>
    <w:rsid w:val="0098131F"/>
    <w:rsid w:val="00981479"/>
    <w:rsid w:val="00981F74"/>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367E"/>
    <w:rsid w:val="00993FE4"/>
    <w:rsid w:val="0099425E"/>
    <w:rsid w:val="00994CDC"/>
    <w:rsid w:val="009969CD"/>
    <w:rsid w:val="0099770A"/>
    <w:rsid w:val="00997769"/>
    <w:rsid w:val="00997A2E"/>
    <w:rsid w:val="009A02E6"/>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F71"/>
    <w:rsid w:val="009D111C"/>
    <w:rsid w:val="009D17A0"/>
    <w:rsid w:val="009D1F7A"/>
    <w:rsid w:val="009D2873"/>
    <w:rsid w:val="009D2942"/>
    <w:rsid w:val="009D3A1A"/>
    <w:rsid w:val="009D426A"/>
    <w:rsid w:val="009D5BDB"/>
    <w:rsid w:val="009D6B03"/>
    <w:rsid w:val="009D6B3D"/>
    <w:rsid w:val="009D7422"/>
    <w:rsid w:val="009D78E7"/>
    <w:rsid w:val="009E0742"/>
    <w:rsid w:val="009E1291"/>
    <w:rsid w:val="009E12BC"/>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F3"/>
    <w:rsid w:val="009E7534"/>
    <w:rsid w:val="009E7E98"/>
    <w:rsid w:val="009F00EE"/>
    <w:rsid w:val="009F0827"/>
    <w:rsid w:val="009F0BED"/>
    <w:rsid w:val="009F1673"/>
    <w:rsid w:val="009F3255"/>
    <w:rsid w:val="009F34AA"/>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F86"/>
    <w:rsid w:val="00A0034D"/>
    <w:rsid w:val="00A00BFB"/>
    <w:rsid w:val="00A00DCF"/>
    <w:rsid w:val="00A010BF"/>
    <w:rsid w:val="00A0126C"/>
    <w:rsid w:val="00A012DA"/>
    <w:rsid w:val="00A0187E"/>
    <w:rsid w:val="00A026F0"/>
    <w:rsid w:val="00A02F2D"/>
    <w:rsid w:val="00A02F61"/>
    <w:rsid w:val="00A03E0E"/>
    <w:rsid w:val="00A040D1"/>
    <w:rsid w:val="00A04A0A"/>
    <w:rsid w:val="00A050A8"/>
    <w:rsid w:val="00A056A3"/>
    <w:rsid w:val="00A05B51"/>
    <w:rsid w:val="00A06286"/>
    <w:rsid w:val="00A06318"/>
    <w:rsid w:val="00A063BC"/>
    <w:rsid w:val="00A068E1"/>
    <w:rsid w:val="00A06A80"/>
    <w:rsid w:val="00A06D8A"/>
    <w:rsid w:val="00A0711F"/>
    <w:rsid w:val="00A07B0B"/>
    <w:rsid w:val="00A102A0"/>
    <w:rsid w:val="00A10860"/>
    <w:rsid w:val="00A114FA"/>
    <w:rsid w:val="00A11AF3"/>
    <w:rsid w:val="00A12C09"/>
    <w:rsid w:val="00A13084"/>
    <w:rsid w:val="00A1327F"/>
    <w:rsid w:val="00A13817"/>
    <w:rsid w:val="00A138D3"/>
    <w:rsid w:val="00A13E0F"/>
    <w:rsid w:val="00A144B7"/>
    <w:rsid w:val="00A149B4"/>
    <w:rsid w:val="00A14BDC"/>
    <w:rsid w:val="00A152D3"/>
    <w:rsid w:val="00A15F4F"/>
    <w:rsid w:val="00A160AB"/>
    <w:rsid w:val="00A16745"/>
    <w:rsid w:val="00A16747"/>
    <w:rsid w:val="00A17E93"/>
    <w:rsid w:val="00A20013"/>
    <w:rsid w:val="00A2056F"/>
    <w:rsid w:val="00A20582"/>
    <w:rsid w:val="00A20C65"/>
    <w:rsid w:val="00A21767"/>
    <w:rsid w:val="00A21FD5"/>
    <w:rsid w:val="00A22751"/>
    <w:rsid w:val="00A22940"/>
    <w:rsid w:val="00A23102"/>
    <w:rsid w:val="00A233D8"/>
    <w:rsid w:val="00A2343F"/>
    <w:rsid w:val="00A23505"/>
    <w:rsid w:val="00A2428B"/>
    <w:rsid w:val="00A247E5"/>
    <w:rsid w:val="00A248BD"/>
    <w:rsid w:val="00A24D81"/>
    <w:rsid w:val="00A24EA5"/>
    <w:rsid w:val="00A25173"/>
    <w:rsid w:val="00A252F0"/>
    <w:rsid w:val="00A259F2"/>
    <w:rsid w:val="00A26463"/>
    <w:rsid w:val="00A2660E"/>
    <w:rsid w:val="00A26916"/>
    <w:rsid w:val="00A26B47"/>
    <w:rsid w:val="00A26FF1"/>
    <w:rsid w:val="00A27806"/>
    <w:rsid w:val="00A3068C"/>
    <w:rsid w:val="00A3127F"/>
    <w:rsid w:val="00A31922"/>
    <w:rsid w:val="00A31BCC"/>
    <w:rsid w:val="00A31C70"/>
    <w:rsid w:val="00A325BB"/>
    <w:rsid w:val="00A3297A"/>
    <w:rsid w:val="00A32A58"/>
    <w:rsid w:val="00A32EEC"/>
    <w:rsid w:val="00A336C5"/>
    <w:rsid w:val="00A339D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7E3"/>
    <w:rsid w:val="00A44AAD"/>
    <w:rsid w:val="00A44D3B"/>
    <w:rsid w:val="00A45241"/>
    <w:rsid w:val="00A45280"/>
    <w:rsid w:val="00A45BF7"/>
    <w:rsid w:val="00A463B5"/>
    <w:rsid w:val="00A463BA"/>
    <w:rsid w:val="00A46675"/>
    <w:rsid w:val="00A471A3"/>
    <w:rsid w:val="00A47597"/>
    <w:rsid w:val="00A47E44"/>
    <w:rsid w:val="00A47F91"/>
    <w:rsid w:val="00A507D7"/>
    <w:rsid w:val="00A50A5C"/>
    <w:rsid w:val="00A50BE2"/>
    <w:rsid w:val="00A50CC6"/>
    <w:rsid w:val="00A50E40"/>
    <w:rsid w:val="00A51462"/>
    <w:rsid w:val="00A51946"/>
    <w:rsid w:val="00A51FF7"/>
    <w:rsid w:val="00A52079"/>
    <w:rsid w:val="00A52143"/>
    <w:rsid w:val="00A521E9"/>
    <w:rsid w:val="00A5298E"/>
    <w:rsid w:val="00A52B3E"/>
    <w:rsid w:val="00A5313B"/>
    <w:rsid w:val="00A5320E"/>
    <w:rsid w:val="00A53F7B"/>
    <w:rsid w:val="00A54090"/>
    <w:rsid w:val="00A54282"/>
    <w:rsid w:val="00A549D3"/>
    <w:rsid w:val="00A54DF0"/>
    <w:rsid w:val="00A57E98"/>
    <w:rsid w:val="00A60849"/>
    <w:rsid w:val="00A6105B"/>
    <w:rsid w:val="00A61355"/>
    <w:rsid w:val="00A61668"/>
    <w:rsid w:val="00A621D3"/>
    <w:rsid w:val="00A628F8"/>
    <w:rsid w:val="00A62B7A"/>
    <w:rsid w:val="00A632EA"/>
    <w:rsid w:val="00A6339D"/>
    <w:rsid w:val="00A634BE"/>
    <w:rsid w:val="00A63AD7"/>
    <w:rsid w:val="00A63BFD"/>
    <w:rsid w:val="00A6491F"/>
    <w:rsid w:val="00A64C72"/>
    <w:rsid w:val="00A64D1A"/>
    <w:rsid w:val="00A65320"/>
    <w:rsid w:val="00A65BA5"/>
    <w:rsid w:val="00A66354"/>
    <w:rsid w:val="00A66E37"/>
    <w:rsid w:val="00A66ECF"/>
    <w:rsid w:val="00A67E38"/>
    <w:rsid w:val="00A703E4"/>
    <w:rsid w:val="00A704C9"/>
    <w:rsid w:val="00A70DC6"/>
    <w:rsid w:val="00A71080"/>
    <w:rsid w:val="00A71986"/>
    <w:rsid w:val="00A71E73"/>
    <w:rsid w:val="00A72740"/>
    <w:rsid w:val="00A73A64"/>
    <w:rsid w:val="00A742AD"/>
    <w:rsid w:val="00A746D7"/>
    <w:rsid w:val="00A74AB2"/>
    <w:rsid w:val="00A75A27"/>
    <w:rsid w:val="00A75A46"/>
    <w:rsid w:val="00A75B36"/>
    <w:rsid w:val="00A7663A"/>
    <w:rsid w:val="00A7696B"/>
    <w:rsid w:val="00A769D4"/>
    <w:rsid w:val="00A804C7"/>
    <w:rsid w:val="00A80857"/>
    <w:rsid w:val="00A80A39"/>
    <w:rsid w:val="00A80DF0"/>
    <w:rsid w:val="00A80E64"/>
    <w:rsid w:val="00A81A16"/>
    <w:rsid w:val="00A823A7"/>
    <w:rsid w:val="00A825C8"/>
    <w:rsid w:val="00A82742"/>
    <w:rsid w:val="00A82A29"/>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33AE"/>
    <w:rsid w:val="00A93863"/>
    <w:rsid w:val="00A93928"/>
    <w:rsid w:val="00A9415E"/>
    <w:rsid w:val="00A9423F"/>
    <w:rsid w:val="00A94EBD"/>
    <w:rsid w:val="00A9510D"/>
    <w:rsid w:val="00A956AC"/>
    <w:rsid w:val="00A95D2A"/>
    <w:rsid w:val="00A96214"/>
    <w:rsid w:val="00A967E8"/>
    <w:rsid w:val="00A97F4B"/>
    <w:rsid w:val="00AA04C5"/>
    <w:rsid w:val="00AA10B1"/>
    <w:rsid w:val="00AA2803"/>
    <w:rsid w:val="00AA2BF2"/>
    <w:rsid w:val="00AA2D68"/>
    <w:rsid w:val="00AA2D6F"/>
    <w:rsid w:val="00AA3987"/>
    <w:rsid w:val="00AA3B68"/>
    <w:rsid w:val="00AA3E79"/>
    <w:rsid w:val="00AA4FB4"/>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A7E"/>
    <w:rsid w:val="00AB7538"/>
    <w:rsid w:val="00AB77F3"/>
    <w:rsid w:val="00AC0256"/>
    <w:rsid w:val="00AC0AAD"/>
    <w:rsid w:val="00AC1231"/>
    <w:rsid w:val="00AC1992"/>
    <w:rsid w:val="00AC1E14"/>
    <w:rsid w:val="00AC2CFA"/>
    <w:rsid w:val="00AC3263"/>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085"/>
    <w:rsid w:val="00AD0949"/>
    <w:rsid w:val="00AD0F1D"/>
    <w:rsid w:val="00AD1179"/>
    <w:rsid w:val="00AD1359"/>
    <w:rsid w:val="00AD19F0"/>
    <w:rsid w:val="00AD1FCE"/>
    <w:rsid w:val="00AD26E1"/>
    <w:rsid w:val="00AD29CC"/>
    <w:rsid w:val="00AD3268"/>
    <w:rsid w:val="00AD3652"/>
    <w:rsid w:val="00AD3DE2"/>
    <w:rsid w:val="00AD4261"/>
    <w:rsid w:val="00AD46F5"/>
    <w:rsid w:val="00AD51A3"/>
    <w:rsid w:val="00AD598B"/>
    <w:rsid w:val="00AD7154"/>
    <w:rsid w:val="00AD797D"/>
    <w:rsid w:val="00AD7E02"/>
    <w:rsid w:val="00AE0034"/>
    <w:rsid w:val="00AE0483"/>
    <w:rsid w:val="00AE08DD"/>
    <w:rsid w:val="00AE13BD"/>
    <w:rsid w:val="00AE1AF9"/>
    <w:rsid w:val="00AE1E60"/>
    <w:rsid w:val="00AE2068"/>
    <w:rsid w:val="00AE2258"/>
    <w:rsid w:val="00AE277E"/>
    <w:rsid w:val="00AE2A36"/>
    <w:rsid w:val="00AE2BC6"/>
    <w:rsid w:val="00AE3251"/>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10F0"/>
    <w:rsid w:val="00AF24E7"/>
    <w:rsid w:val="00AF272B"/>
    <w:rsid w:val="00AF291B"/>
    <w:rsid w:val="00AF2DAA"/>
    <w:rsid w:val="00AF2EBD"/>
    <w:rsid w:val="00AF33AE"/>
    <w:rsid w:val="00AF44B1"/>
    <w:rsid w:val="00AF5800"/>
    <w:rsid w:val="00AF6986"/>
    <w:rsid w:val="00AF69FE"/>
    <w:rsid w:val="00AF6D1B"/>
    <w:rsid w:val="00AF73ED"/>
    <w:rsid w:val="00AF7D69"/>
    <w:rsid w:val="00AF7ED2"/>
    <w:rsid w:val="00B004D8"/>
    <w:rsid w:val="00B00830"/>
    <w:rsid w:val="00B00CC5"/>
    <w:rsid w:val="00B016D2"/>
    <w:rsid w:val="00B02091"/>
    <w:rsid w:val="00B02B43"/>
    <w:rsid w:val="00B03D36"/>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76"/>
    <w:rsid w:val="00B142D9"/>
    <w:rsid w:val="00B14BC4"/>
    <w:rsid w:val="00B158A3"/>
    <w:rsid w:val="00B15B25"/>
    <w:rsid w:val="00B15C36"/>
    <w:rsid w:val="00B15EA0"/>
    <w:rsid w:val="00B17A4E"/>
    <w:rsid w:val="00B17B30"/>
    <w:rsid w:val="00B17C2F"/>
    <w:rsid w:val="00B2153E"/>
    <w:rsid w:val="00B21FA7"/>
    <w:rsid w:val="00B22022"/>
    <w:rsid w:val="00B225E4"/>
    <w:rsid w:val="00B23F7A"/>
    <w:rsid w:val="00B240B1"/>
    <w:rsid w:val="00B24208"/>
    <w:rsid w:val="00B24728"/>
    <w:rsid w:val="00B248A9"/>
    <w:rsid w:val="00B24D28"/>
    <w:rsid w:val="00B24F1C"/>
    <w:rsid w:val="00B25D76"/>
    <w:rsid w:val="00B27032"/>
    <w:rsid w:val="00B30003"/>
    <w:rsid w:val="00B31201"/>
    <w:rsid w:val="00B31B4B"/>
    <w:rsid w:val="00B31E36"/>
    <w:rsid w:val="00B32E26"/>
    <w:rsid w:val="00B338B7"/>
    <w:rsid w:val="00B34061"/>
    <w:rsid w:val="00B34376"/>
    <w:rsid w:val="00B3440A"/>
    <w:rsid w:val="00B34441"/>
    <w:rsid w:val="00B35534"/>
    <w:rsid w:val="00B35A87"/>
    <w:rsid w:val="00B35AFD"/>
    <w:rsid w:val="00B35F9A"/>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EB"/>
    <w:rsid w:val="00B45152"/>
    <w:rsid w:val="00B45E54"/>
    <w:rsid w:val="00B464E4"/>
    <w:rsid w:val="00B4689A"/>
    <w:rsid w:val="00B46D5F"/>
    <w:rsid w:val="00B46E7B"/>
    <w:rsid w:val="00B47DC5"/>
    <w:rsid w:val="00B505B3"/>
    <w:rsid w:val="00B50882"/>
    <w:rsid w:val="00B50A74"/>
    <w:rsid w:val="00B520A0"/>
    <w:rsid w:val="00B5257E"/>
    <w:rsid w:val="00B525CE"/>
    <w:rsid w:val="00B52CFD"/>
    <w:rsid w:val="00B545A8"/>
    <w:rsid w:val="00B56527"/>
    <w:rsid w:val="00B5703E"/>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11AB"/>
    <w:rsid w:val="00B714F0"/>
    <w:rsid w:val="00B71A40"/>
    <w:rsid w:val="00B71C8C"/>
    <w:rsid w:val="00B71CB4"/>
    <w:rsid w:val="00B71FD7"/>
    <w:rsid w:val="00B725E7"/>
    <w:rsid w:val="00B72C07"/>
    <w:rsid w:val="00B72DF7"/>
    <w:rsid w:val="00B72F42"/>
    <w:rsid w:val="00B73E44"/>
    <w:rsid w:val="00B74290"/>
    <w:rsid w:val="00B74510"/>
    <w:rsid w:val="00B74BD4"/>
    <w:rsid w:val="00B74BF7"/>
    <w:rsid w:val="00B76185"/>
    <w:rsid w:val="00B76BCD"/>
    <w:rsid w:val="00B779E6"/>
    <w:rsid w:val="00B804E2"/>
    <w:rsid w:val="00B811B2"/>
    <w:rsid w:val="00B82213"/>
    <w:rsid w:val="00B8276E"/>
    <w:rsid w:val="00B83A62"/>
    <w:rsid w:val="00B83B59"/>
    <w:rsid w:val="00B84252"/>
    <w:rsid w:val="00B8468F"/>
    <w:rsid w:val="00B84FC6"/>
    <w:rsid w:val="00B857F5"/>
    <w:rsid w:val="00B86D6C"/>
    <w:rsid w:val="00B86F47"/>
    <w:rsid w:val="00B874B4"/>
    <w:rsid w:val="00B8787A"/>
    <w:rsid w:val="00B87887"/>
    <w:rsid w:val="00B90123"/>
    <w:rsid w:val="00B90196"/>
    <w:rsid w:val="00B911C1"/>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B0D"/>
    <w:rsid w:val="00BB524C"/>
    <w:rsid w:val="00BB5DAB"/>
    <w:rsid w:val="00BB6195"/>
    <w:rsid w:val="00BB61A3"/>
    <w:rsid w:val="00BB67EA"/>
    <w:rsid w:val="00BB707E"/>
    <w:rsid w:val="00BB7568"/>
    <w:rsid w:val="00BC007C"/>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DB"/>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6D43"/>
    <w:rsid w:val="00BD7090"/>
    <w:rsid w:val="00BD7490"/>
    <w:rsid w:val="00BD767F"/>
    <w:rsid w:val="00BE096B"/>
    <w:rsid w:val="00BE09C3"/>
    <w:rsid w:val="00BE0C27"/>
    <w:rsid w:val="00BE15BB"/>
    <w:rsid w:val="00BE198F"/>
    <w:rsid w:val="00BE5682"/>
    <w:rsid w:val="00BE5964"/>
    <w:rsid w:val="00BE660B"/>
    <w:rsid w:val="00BE6AFE"/>
    <w:rsid w:val="00BE6BBE"/>
    <w:rsid w:val="00BE7021"/>
    <w:rsid w:val="00BE7300"/>
    <w:rsid w:val="00BE76F7"/>
    <w:rsid w:val="00BE784F"/>
    <w:rsid w:val="00BF0238"/>
    <w:rsid w:val="00BF0717"/>
    <w:rsid w:val="00BF1750"/>
    <w:rsid w:val="00BF178E"/>
    <w:rsid w:val="00BF189F"/>
    <w:rsid w:val="00BF1B44"/>
    <w:rsid w:val="00BF1F01"/>
    <w:rsid w:val="00BF23CC"/>
    <w:rsid w:val="00BF243F"/>
    <w:rsid w:val="00BF4C2B"/>
    <w:rsid w:val="00BF507A"/>
    <w:rsid w:val="00BF53F1"/>
    <w:rsid w:val="00BF5717"/>
    <w:rsid w:val="00BF5B9D"/>
    <w:rsid w:val="00BF5C45"/>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5DB"/>
    <w:rsid w:val="00C07FBC"/>
    <w:rsid w:val="00C11113"/>
    <w:rsid w:val="00C11687"/>
    <w:rsid w:val="00C11E28"/>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C92"/>
    <w:rsid w:val="00C1706B"/>
    <w:rsid w:val="00C17DB7"/>
    <w:rsid w:val="00C17E48"/>
    <w:rsid w:val="00C17F0B"/>
    <w:rsid w:val="00C201E7"/>
    <w:rsid w:val="00C20AA2"/>
    <w:rsid w:val="00C20B91"/>
    <w:rsid w:val="00C21155"/>
    <w:rsid w:val="00C2146C"/>
    <w:rsid w:val="00C214D7"/>
    <w:rsid w:val="00C21561"/>
    <w:rsid w:val="00C217EE"/>
    <w:rsid w:val="00C22784"/>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639"/>
    <w:rsid w:val="00C32808"/>
    <w:rsid w:val="00C32AD2"/>
    <w:rsid w:val="00C33114"/>
    <w:rsid w:val="00C34193"/>
    <w:rsid w:val="00C347FD"/>
    <w:rsid w:val="00C34DAE"/>
    <w:rsid w:val="00C34E1E"/>
    <w:rsid w:val="00C34E5A"/>
    <w:rsid w:val="00C36219"/>
    <w:rsid w:val="00C3698E"/>
    <w:rsid w:val="00C36CCA"/>
    <w:rsid w:val="00C36E1C"/>
    <w:rsid w:val="00C36F42"/>
    <w:rsid w:val="00C3718A"/>
    <w:rsid w:val="00C379C5"/>
    <w:rsid w:val="00C37EEE"/>
    <w:rsid w:val="00C40453"/>
    <w:rsid w:val="00C40E71"/>
    <w:rsid w:val="00C41879"/>
    <w:rsid w:val="00C41A7C"/>
    <w:rsid w:val="00C42CEF"/>
    <w:rsid w:val="00C42D55"/>
    <w:rsid w:val="00C43080"/>
    <w:rsid w:val="00C4370E"/>
    <w:rsid w:val="00C43823"/>
    <w:rsid w:val="00C4384B"/>
    <w:rsid w:val="00C4393C"/>
    <w:rsid w:val="00C43F2D"/>
    <w:rsid w:val="00C44068"/>
    <w:rsid w:val="00C442AE"/>
    <w:rsid w:val="00C4518B"/>
    <w:rsid w:val="00C45780"/>
    <w:rsid w:val="00C458D6"/>
    <w:rsid w:val="00C45A5F"/>
    <w:rsid w:val="00C4655A"/>
    <w:rsid w:val="00C466BF"/>
    <w:rsid w:val="00C47385"/>
    <w:rsid w:val="00C47555"/>
    <w:rsid w:val="00C476AC"/>
    <w:rsid w:val="00C47E67"/>
    <w:rsid w:val="00C47FD9"/>
    <w:rsid w:val="00C50C1A"/>
    <w:rsid w:val="00C50E1E"/>
    <w:rsid w:val="00C51508"/>
    <w:rsid w:val="00C51D73"/>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F"/>
    <w:rsid w:val="00C6211D"/>
    <w:rsid w:val="00C62B32"/>
    <w:rsid w:val="00C63DED"/>
    <w:rsid w:val="00C63E88"/>
    <w:rsid w:val="00C64F97"/>
    <w:rsid w:val="00C65585"/>
    <w:rsid w:val="00C656EB"/>
    <w:rsid w:val="00C65DF4"/>
    <w:rsid w:val="00C67B49"/>
    <w:rsid w:val="00C711F5"/>
    <w:rsid w:val="00C713A1"/>
    <w:rsid w:val="00C71828"/>
    <w:rsid w:val="00C72105"/>
    <w:rsid w:val="00C74520"/>
    <w:rsid w:val="00C74954"/>
    <w:rsid w:val="00C76028"/>
    <w:rsid w:val="00C76184"/>
    <w:rsid w:val="00C7673D"/>
    <w:rsid w:val="00C76A80"/>
    <w:rsid w:val="00C76C27"/>
    <w:rsid w:val="00C76F07"/>
    <w:rsid w:val="00C77EF6"/>
    <w:rsid w:val="00C80B4B"/>
    <w:rsid w:val="00C80D63"/>
    <w:rsid w:val="00C812D5"/>
    <w:rsid w:val="00C81BEA"/>
    <w:rsid w:val="00C81DF5"/>
    <w:rsid w:val="00C82188"/>
    <w:rsid w:val="00C8242B"/>
    <w:rsid w:val="00C82A50"/>
    <w:rsid w:val="00C82AED"/>
    <w:rsid w:val="00C83240"/>
    <w:rsid w:val="00C83381"/>
    <w:rsid w:val="00C83607"/>
    <w:rsid w:val="00C83768"/>
    <w:rsid w:val="00C83B18"/>
    <w:rsid w:val="00C840C3"/>
    <w:rsid w:val="00C841B4"/>
    <w:rsid w:val="00C84266"/>
    <w:rsid w:val="00C849E0"/>
    <w:rsid w:val="00C84B74"/>
    <w:rsid w:val="00C8512A"/>
    <w:rsid w:val="00C85378"/>
    <w:rsid w:val="00C85970"/>
    <w:rsid w:val="00C85E9B"/>
    <w:rsid w:val="00C874C8"/>
    <w:rsid w:val="00C90165"/>
    <w:rsid w:val="00C902DA"/>
    <w:rsid w:val="00C90733"/>
    <w:rsid w:val="00C921C4"/>
    <w:rsid w:val="00C9235F"/>
    <w:rsid w:val="00C9257F"/>
    <w:rsid w:val="00C9319C"/>
    <w:rsid w:val="00C934F6"/>
    <w:rsid w:val="00C93874"/>
    <w:rsid w:val="00C93A4C"/>
    <w:rsid w:val="00C944EB"/>
    <w:rsid w:val="00C94FD2"/>
    <w:rsid w:val="00C95341"/>
    <w:rsid w:val="00C95B76"/>
    <w:rsid w:val="00C964C3"/>
    <w:rsid w:val="00C96635"/>
    <w:rsid w:val="00C966B7"/>
    <w:rsid w:val="00C969DB"/>
    <w:rsid w:val="00C97A4A"/>
    <w:rsid w:val="00C97DC9"/>
    <w:rsid w:val="00C97EE3"/>
    <w:rsid w:val="00CA042A"/>
    <w:rsid w:val="00CA12BA"/>
    <w:rsid w:val="00CA165C"/>
    <w:rsid w:val="00CA1C0D"/>
    <w:rsid w:val="00CA1DAE"/>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4AD"/>
    <w:rsid w:val="00CB2C59"/>
    <w:rsid w:val="00CB2D9C"/>
    <w:rsid w:val="00CB34AB"/>
    <w:rsid w:val="00CB3529"/>
    <w:rsid w:val="00CB38A9"/>
    <w:rsid w:val="00CB4728"/>
    <w:rsid w:val="00CB59E7"/>
    <w:rsid w:val="00CB5D27"/>
    <w:rsid w:val="00CB5E4A"/>
    <w:rsid w:val="00CB6FCA"/>
    <w:rsid w:val="00CB724D"/>
    <w:rsid w:val="00CB73EA"/>
    <w:rsid w:val="00CB76E3"/>
    <w:rsid w:val="00CB7D4E"/>
    <w:rsid w:val="00CC002B"/>
    <w:rsid w:val="00CC07E5"/>
    <w:rsid w:val="00CC09F0"/>
    <w:rsid w:val="00CC0C11"/>
    <w:rsid w:val="00CC1F52"/>
    <w:rsid w:val="00CC233F"/>
    <w:rsid w:val="00CC27FD"/>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25F3"/>
    <w:rsid w:val="00CD27FF"/>
    <w:rsid w:val="00CD2DF3"/>
    <w:rsid w:val="00CD305C"/>
    <w:rsid w:val="00CD3A6D"/>
    <w:rsid w:val="00CD3E5A"/>
    <w:rsid w:val="00CD3E63"/>
    <w:rsid w:val="00CD40A3"/>
    <w:rsid w:val="00CD4CD3"/>
    <w:rsid w:val="00CD589F"/>
    <w:rsid w:val="00CD60C9"/>
    <w:rsid w:val="00CD6345"/>
    <w:rsid w:val="00CD6BBB"/>
    <w:rsid w:val="00CD7482"/>
    <w:rsid w:val="00CE07C1"/>
    <w:rsid w:val="00CE1567"/>
    <w:rsid w:val="00CE186F"/>
    <w:rsid w:val="00CE20E3"/>
    <w:rsid w:val="00CE273A"/>
    <w:rsid w:val="00CE321C"/>
    <w:rsid w:val="00CE32E8"/>
    <w:rsid w:val="00CE3700"/>
    <w:rsid w:val="00CE3B69"/>
    <w:rsid w:val="00CE4559"/>
    <w:rsid w:val="00CE5118"/>
    <w:rsid w:val="00CE5487"/>
    <w:rsid w:val="00CE59B5"/>
    <w:rsid w:val="00CE59DB"/>
    <w:rsid w:val="00CE5D3A"/>
    <w:rsid w:val="00CE67D8"/>
    <w:rsid w:val="00CE7381"/>
    <w:rsid w:val="00CE7447"/>
    <w:rsid w:val="00CE74CE"/>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E56"/>
    <w:rsid w:val="00D01744"/>
    <w:rsid w:val="00D01C03"/>
    <w:rsid w:val="00D025CE"/>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21F5"/>
    <w:rsid w:val="00D126E4"/>
    <w:rsid w:val="00D131BF"/>
    <w:rsid w:val="00D13A90"/>
    <w:rsid w:val="00D140E6"/>
    <w:rsid w:val="00D158EF"/>
    <w:rsid w:val="00D15C14"/>
    <w:rsid w:val="00D15E74"/>
    <w:rsid w:val="00D15FAA"/>
    <w:rsid w:val="00D16ECB"/>
    <w:rsid w:val="00D16EEE"/>
    <w:rsid w:val="00D17167"/>
    <w:rsid w:val="00D17BA5"/>
    <w:rsid w:val="00D2058D"/>
    <w:rsid w:val="00D2176E"/>
    <w:rsid w:val="00D2182A"/>
    <w:rsid w:val="00D2193D"/>
    <w:rsid w:val="00D22105"/>
    <w:rsid w:val="00D2211C"/>
    <w:rsid w:val="00D22B55"/>
    <w:rsid w:val="00D23055"/>
    <w:rsid w:val="00D230AD"/>
    <w:rsid w:val="00D2320E"/>
    <w:rsid w:val="00D251AB"/>
    <w:rsid w:val="00D25240"/>
    <w:rsid w:val="00D25AC6"/>
    <w:rsid w:val="00D261D3"/>
    <w:rsid w:val="00D319DF"/>
    <w:rsid w:val="00D31C02"/>
    <w:rsid w:val="00D3225E"/>
    <w:rsid w:val="00D324BC"/>
    <w:rsid w:val="00D33565"/>
    <w:rsid w:val="00D33761"/>
    <w:rsid w:val="00D33762"/>
    <w:rsid w:val="00D34BD1"/>
    <w:rsid w:val="00D35177"/>
    <w:rsid w:val="00D356C0"/>
    <w:rsid w:val="00D356E1"/>
    <w:rsid w:val="00D40609"/>
    <w:rsid w:val="00D40983"/>
    <w:rsid w:val="00D41188"/>
    <w:rsid w:val="00D417D3"/>
    <w:rsid w:val="00D418D5"/>
    <w:rsid w:val="00D41DB1"/>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36DC"/>
    <w:rsid w:val="00D63F4C"/>
    <w:rsid w:val="00D64613"/>
    <w:rsid w:val="00D64702"/>
    <w:rsid w:val="00D66BFD"/>
    <w:rsid w:val="00D66C91"/>
    <w:rsid w:val="00D674EE"/>
    <w:rsid w:val="00D67535"/>
    <w:rsid w:val="00D67BC9"/>
    <w:rsid w:val="00D67DBC"/>
    <w:rsid w:val="00D704D9"/>
    <w:rsid w:val="00D70BD2"/>
    <w:rsid w:val="00D713F2"/>
    <w:rsid w:val="00D72705"/>
    <w:rsid w:val="00D738BF"/>
    <w:rsid w:val="00D73B93"/>
    <w:rsid w:val="00D73C95"/>
    <w:rsid w:val="00D745C1"/>
    <w:rsid w:val="00D756F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D02"/>
    <w:rsid w:val="00D82D0F"/>
    <w:rsid w:val="00D83A5A"/>
    <w:rsid w:val="00D84157"/>
    <w:rsid w:val="00D84BD7"/>
    <w:rsid w:val="00D84DCA"/>
    <w:rsid w:val="00D85114"/>
    <w:rsid w:val="00D857BC"/>
    <w:rsid w:val="00D85CC6"/>
    <w:rsid w:val="00D86A92"/>
    <w:rsid w:val="00D871B6"/>
    <w:rsid w:val="00D875E1"/>
    <w:rsid w:val="00D90275"/>
    <w:rsid w:val="00D902F5"/>
    <w:rsid w:val="00D9075D"/>
    <w:rsid w:val="00D90959"/>
    <w:rsid w:val="00D91410"/>
    <w:rsid w:val="00D91438"/>
    <w:rsid w:val="00D91594"/>
    <w:rsid w:val="00D91ABE"/>
    <w:rsid w:val="00D91DFB"/>
    <w:rsid w:val="00D921DA"/>
    <w:rsid w:val="00D92C2F"/>
    <w:rsid w:val="00D92F7F"/>
    <w:rsid w:val="00D930AC"/>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32C"/>
    <w:rsid w:val="00DA0526"/>
    <w:rsid w:val="00DA0639"/>
    <w:rsid w:val="00DA0B8C"/>
    <w:rsid w:val="00DA0CF7"/>
    <w:rsid w:val="00DA0E96"/>
    <w:rsid w:val="00DA1203"/>
    <w:rsid w:val="00DA18DA"/>
    <w:rsid w:val="00DA1F0C"/>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75A3"/>
    <w:rsid w:val="00DC0574"/>
    <w:rsid w:val="00DC0C65"/>
    <w:rsid w:val="00DC0F69"/>
    <w:rsid w:val="00DC16BF"/>
    <w:rsid w:val="00DC16E1"/>
    <w:rsid w:val="00DC16FC"/>
    <w:rsid w:val="00DC1881"/>
    <w:rsid w:val="00DC1ED7"/>
    <w:rsid w:val="00DC3A6F"/>
    <w:rsid w:val="00DC3D1C"/>
    <w:rsid w:val="00DC43E1"/>
    <w:rsid w:val="00DC5199"/>
    <w:rsid w:val="00DC5A32"/>
    <w:rsid w:val="00DC5E4E"/>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D49"/>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40A"/>
    <w:rsid w:val="00DF1A9A"/>
    <w:rsid w:val="00DF1C2D"/>
    <w:rsid w:val="00DF1F8A"/>
    <w:rsid w:val="00DF248E"/>
    <w:rsid w:val="00DF3577"/>
    <w:rsid w:val="00DF4063"/>
    <w:rsid w:val="00DF5F13"/>
    <w:rsid w:val="00DF63DD"/>
    <w:rsid w:val="00DF6B62"/>
    <w:rsid w:val="00DF7BD0"/>
    <w:rsid w:val="00DF7BDF"/>
    <w:rsid w:val="00E0005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F4"/>
    <w:rsid w:val="00E10D4E"/>
    <w:rsid w:val="00E1100C"/>
    <w:rsid w:val="00E11489"/>
    <w:rsid w:val="00E11711"/>
    <w:rsid w:val="00E11E63"/>
    <w:rsid w:val="00E12696"/>
    <w:rsid w:val="00E1310D"/>
    <w:rsid w:val="00E13359"/>
    <w:rsid w:val="00E138BF"/>
    <w:rsid w:val="00E14EFA"/>
    <w:rsid w:val="00E151B9"/>
    <w:rsid w:val="00E158C4"/>
    <w:rsid w:val="00E161E6"/>
    <w:rsid w:val="00E167C9"/>
    <w:rsid w:val="00E1698C"/>
    <w:rsid w:val="00E16BDB"/>
    <w:rsid w:val="00E172BE"/>
    <w:rsid w:val="00E17CF7"/>
    <w:rsid w:val="00E205D6"/>
    <w:rsid w:val="00E216EC"/>
    <w:rsid w:val="00E2189A"/>
    <w:rsid w:val="00E21A60"/>
    <w:rsid w:val="00E22B5A"/>
    <w:rsid w:val="00E22B68"/>
    <w:rsid w:val="00E231C9"/>
    <w:rsid w:val="00E23EBF"/>
    <w:rsid w:val="00E23FD5"/>
    <w:rsid w:val="00E24669"/>
    <w:rsid w:val="00E24C48"/>
    <w:rsid w:val="00E25981"/>
    <w:rsid w:val="00E26141"/>
    <w:rsid w:val="00E266F5"/>
    <w:rsid w:val="00E270D3"/>
    <w:rsid w:val="00E27FC7"/>
    <w:rsid w:val="00E30700"/>
    <w:rsid w:val="00E31360"/>
    <w:rsid w:val="00E31D28"/>
    <w:rsid w:val="00E325FF"/>
    <w:rsid w:val="00E32CB8"/>
    <w:rsid w:val="00E3440F"/>
    <w:rsid w:val="00E34F3A"/>
    <w:rsid w:val="00E35F99"/>
    <w:rsid w:val="00E35F9A"/>
    <w:rsid w:val="00E3637F"/>
    <w:rsid w:val="00E364B6"/>
    <w:rsid w:val="00E36723"/>
    <w:rsid w:val="00E3713C"/>
    <w:rsid w:val="00E3767B"/>
    <w:rsid w:val="00E37E1C"/>
    <w:rsid w:val="00E40126"/>
    <w:rsid w:val="00E40CBF"/>
    <w:rsid w:val="00E40E7D"/>
    <w:rsid w:val="00E40EE4"/>
    <w:rsid w:val="00E413C6"/>
    <w:rsid w:val="00E420D5"/>
    <w:rsid w:val="00E42517"/>
    <w:rsid w:val="00E42948"/>
    <w:rsid w:val="00E42D55"/>
    <w:rsid w:val="00E42FFE"/>
    <w:rsid w:val="00E4316E"/>
    <w:rsid w:val="00E435AB"/>
    <w:rsid w:val="00E44275"/>
    <w:rsid w:val="00E44705"/>
    <w:rsid w:val="00E44777"/>
    <w:rsid w:val="00E4535F"/>
    <w:rsid w:val="00E466BC"/>
    <w:rsid w:val="00E4686A"/>
    <w:rsid w:val="00E47732"/>
    <w:rsid w:val="00E479FD"/>
    <w:rsid w:val="00E504D6"/>
    <w:rsid w:val="00E50B6F"/>
    <w:rsid w:val="00E50EBE"/>
    <w:rsid w:val="00E50F69"/>
    <w:rsid w:val="00E50FC6"/>
    <w:rsid w:val="00E52372"/>
    <w:rsid w:val="00E52786"/>
    <w:rsid w:val="00E52F05"/>
    <w:rsid w:val="00E540CA"/>
    <w:rsid w:val="00E55B28"/>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2AF"/>
    <w:rsid w:val="00E644C6"/>
    <w:rsid w:val="00E64555"/>
    <w:rsid w:val="00E64595"/>
    <w:rsid w:val="00E646BB"/>
    <w:rsid w:val="00E64D24"/>
    <w:rsid w:val="00E64FAF"/>
    <w:rsid w:val="00E653A6"/>
    <w:rsid w:val="00E6549C"/>
    <w:rsid w:val="00E654B9"/>
    <w:rsid w:val="00E6589D"/>
    <w:rsid w:val="00E65E8C"/>
    <w:rsid w:val="00E665E7"/>
    <w:rsid w:val="00E668DB"/>
    <w:rsid w:val="00E66C96"/>
    <w:rsid w:val="00E70130"/>
    <w:rsid w:val="00E71063"/>
    <w:rsid w:val="00E715FC"/>
    <w:rsid w:val="00E71A45"/>
    <w:rsid w:val="00E71C21"/>
    <w:rsid w:val="00E72F23"/>
    <w:rsid w:val="00E730FC"/>
    <w:rsid w:val="00E73481"/>
    <w:rsid w:val="00E7385A"/>
    <w:rsid w:val="00E73CE6"/>
    <w:rsid w:val="00E74780"/>
    <w:rsid w:val="00E74956"/>
    <w:rsid w:val="00E752F7"/>
    <w:rsid w:val="00E75848"/>
    <w:rsid w:val="00E759D4"/>
    <w:rsid w:val="00E76A3C"/>
    <w:rsid w:val="00E76F9B"/>
    <w:rsid w:val="00E771FC"/>
    <w:rsid w:val="00E773E5"/>
    <w:rsid w:val="00E77BDD"/>
    <w:rsid w:val="00E806D3"/>
    <w:rsid w:val="00E81C34"/>
    <w:rsid w:val="00E81D83"/>
    <w:rsid w:val="00E821BB"/>
    <w:rsid w:val="00E822E9"/>
    <w:rsid w:val="00E826FE"/>
    <w:rsid w:val="00E8275E"/>
    <w:rsid w:val="00E827AF"/>
    <w:rsid w:val="00E82DE9"/>
    <w:rsid w:val="00E83253"/>
    <w:rsid w:val="00E83831"/>
    <w:rsid w:val="00E844AB"/>
    <w:rsid w:val="00E84C97"/>
    <w:rsid w:val="00E85005"/>
    <w:rsid w:val="00E85296"/>
    <w:rsid w:val="00E8533B"/>
    <w:rsid w:val="00E85E4E"/>
    <w:rsid w:val="00E86327"/>
    <w:rsid w:val="00E86DF0"/>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FBC"/>
    <w:rsid w:val="00EA20A1"/>
    <w:rsid w:val="00EA212B"/>
    <w:rsid w:val="00EA2D44"/>
    <w:rsid w:val="00EA3A1D"/>
    <w:rsid w:val="00EA3CD7"/>
    <w:rsid w:val="00EA3E2D"/>
    <w:rsid w:val="00EA429D"/>
    <w:rsid w:val="00EA43AF"/>
    <w:rsid w:val="00EA4676"/>
    <w:rsid w:val="00EA47FB"/>
    <w:rsid w:val="00EA4C7C"/>
    <w:rsid w:val="00EA4D4C"/>
    <w:rsid w:val="00EA554F"/>
    <w:rsid w:val="00EA6250"/>
    <w:rsid w:val="00EA66A4"/>
    <w:rsid w:val="00EA6819"/>
    <w:rsid w:val="00EA6A1E"/>
    <w:rsid w:val="00EA75BD"/>
    <w:rsid w:val="00EA7C47"/>
    <w:rsid w:val="00EB0B15"/>
    <w:rsid w:val="00EB0F0F"/>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9D4"/>
    <w:rsid w:val="00EB6FE9"/>
    <w:rsid w:val="00EB72FF"/>
    <w:rsid w:val="00EB756F"/>
    <w:rsid w:val="00EB79C8"/>
    <w:rsid w:val="00EB7E78"/>
    <w:rsid w:val="00EC0301"/>
    <w:rsid w:val="00EC09C6"/>
    <w:rsid w:val="00EC0EA5"/>
    <w:rsid w:val="00EC1056"/>
    <w:rsid w:val="00EC1470"/>
    <w:rsid w:val="00EC222E"/>
    <w:rsid w:val="00EC2716"/>
    <w:rsid w:val="00EC2DBB"/>
    <w:rsid w:val="00EC358E"/>
    <w:rsid w:val="00EC3FD2"/>
    <w:rsid w:val="00EC4095"/>
    <w:rsid w:val="00EC43B5"/>
    <w:rsid w:val="00EC4537"/>
    <w:rsid w:val="00EC4960"/>
    <w:rsid w:val="00EC4AE3"/>
    <w:rsid w:val="00EC54EE"/>
    <w:rsid w:val="00EC59B2"/>
    <w:rsid w:val="00EC5A3B"/>
    <w:rsid w:val="00EC786C"/>
    <w:rsid w:val="00EC7ADD"/>
    <w:rsid w:val="00ED04FE"/>
    <w:rsid w:val="00ED0DD0"/>
    <w:rsid w:val="00ED1989"/>
    <w:rsid w:val="00ED28F2"/>
    <w:rsid w:val="00ED3145"/>
    <w:rsid w:val="00ED3309"/>
    <w:rsid w:val="00ED356E"/>
    <w:rsid w:val="00ED3BDA"/>
    <w:rsid w:val="00ED5A3B"/>
    <w:rsid w:val="00ED5C30"/>
    <w:rsid w:val="00ED5E02"/>
    <w:rsid w:val="00ED5EED"/>
    <w:rsid w:val="00ED612A"/>
    <w:rsid w:val="00ED6B1C"/>
    <w:rsid w:val="00ED6CF7"/>
    <w:rsid w:val="00ED6F33"/>
    <w:rsid w:val="00ED7716"/>
    <w:rsid w:val="00ED7737"/>
    <w:rsid w:val="00ED7747"/>
    <w:rsid w:val="00ED7CF4"/>
    <w:rsid w:val="00EE0786"/>
    <w:rsid w:val="00EE1B0E"/>
    <w:rsid w:val="00EE22FB"/>
    <w:rsid w:val="00EE2407"/>
    <w:rsid w:val="00EE26AE"/>
    <w:rsid w:val="00EE29C8"/>
    <w:rsid w:val="00EE2A54"/>
    <w:rsid w:val="00EE2FC2"/>
    <w:rsid w:val="00EE3B88"/>
    <w:rsid w:val="00EE4B75"/>
    <w:rsid w:val="00EE4DBD"/>
    <w:rsid w:val="00EE6AC6"/>
    <w:rsid w:val="00EE6E26"/>
    <w:rsid w:val="00EE784F"/>
    <w:rsid w:val="00EE7A1D"/>
    <w:rsid w:val="00EF0500"/>
    <w:rsid w:val="00EF1002"/>
    <w:rsid w:val="00EF143F"/>
    <w:rsid w:val="00EF1D3B"/>
    <w:rsid w:val="00EF23D8"/>
    <w:rsid w:val="00EF2A5A"/>
    <w:rsid w:val="00EF2A87"/>
    <w:rsid w:val="00EF3A74"/>
    <w:rsid w:val="00EF3AE9"/>
    <w:rsid w:val="00EF3EA5"/>
    <w:rsid w:val="00EF49FB"/>
    <w:rsid w:val="00EF55D6"/>
    <w:rsid w:val="00EF644D"/>
    <w:rsid w:val="00EF6D29"/>
    <w:rsid w:val="00EF7138"/>
    <w:rsid w:val="00EF7E0B"/>
    <w:rsid w:val="00F00881"/>
    <w:rsid w:val="00F00917"/>
    <w:rsid w:val="00F010BB"/>
    <w:rsid w:val="00F012C1"/>
    <w:rsid w:val="00F0175F"/>
    <w:rsid w:val="00F01A41"/>
    <w:rsid w:val="00F03280"/>
    <w:rsid w:val="00F0362A"/>
    <w:rsid w:val="00F0385C"/>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6BB"/>
    <w:rsid w:val="00F11027"/>
    <w:rsid w:val="00F111BA"/>
    <w:rsid w:val="00F116DD"/>
    <w:rsid w:val="00F11D9F"/>
    <w:rsid w:val="00F11E31"/>
    <w:rsid w:val="00F12C53"/>
    <w:rsid w:val="00F13AA1"/>
    <w:rsid w:val="00F13F2A"/>
    <w:rsid w:val="00F15097"/>
    <w:rsid w:val="00F153F8"/>
    <w:rsid w:val="00F15671"/>
    <w:rsid w:val="00F16695"/>
    <w:rsid w:val="00F202E3"/>
    <w:rsid w:val="00F20C6E"/>
    <w:rsid w:val="00F20D6C"/>
    <w:rsid w:val="00F2255F"/>
    <w:rsid w:val="00F225CF"/>
    <w:rsid w:val="00F22882"/>
    <w:rsid w:val="00F22985"/>
    <w:rsid w:val="00F22AEF"/>
    <w:rsid w:val="00F22F7A"/>
    <w:rsid w:val="00F2343C"/>
    <w:rsid w:val="00F23CFC"/>
    <w:rsid w:val="00F24076"/>
    <w:rsid w:val="00F240CB"/>
    <w:rsid w:val="00F2492F"/>
    <w:rsid w:val="00F2500D"/>
    <w:rsid w:val="00F2596D"/>
    <w:rsid w:val="00F25CAA"/>
    <w:rsid w:val="00F26AD6"/>
    <w:rsid w:val="00F2711C"/>
    <w:rsid w:val="00F27253"/>
    <w:rsid w:val="00F277E8"/>
    <w:rsid w:val="00F27B04"/>
    <w:rsid w:val="00F27E3D"/>
    <w:rsid w:val="00F301D0"/>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61AE"/>
    <w:rsid w:val="00F36240"/>
    <w:rsid w:val="00F363EB"/>
    <w:rsid w:val="00F365DE"/>
    <w:rsid w:val="00F366DA"/>
    <w:rsid w:val="00F367CF"/>
    <w:rsid w:val="00F36D37"/>
    <w:rsid w:val="00F3719A"/>
    <w:rsid w:val="00F379BF"/>
    <w:rsid w:val="00F37EA7"/>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B91"/>
    <w:rsid w:val="00F44542"/>
    <w:rsid w:val="00F448DD"/>
    <w:rsid w:val="00F44D6A"/>
    <w:rsid w:val="00F44DB8"/>
    <w:rsid w:val="00F45760"/>
    <w:rsid w:val="00F45925"/>
    <w:rsid w:val="00F46BA6"/>
    <w:rsid w:val="00F46C97"/>
    <w:rsid w:val="00F4703E"/>
    <w:rsid w:val="00F50781"/>
    <w:rsid w:val="00F50CA3"/>
    <w:rsid w:val="00F517ED"/>
    <w:rsid w:val="00F519AA"/>
    <w:rsid w:val="00F51F3F"/>
    <w:rsid w:val="00F528B5"/>
    <w:rsid w:val="00F528E7"/>
    <w:rsid w:val="00F52C8A"/>
    <w:rsid w:val="00F5352D"/>
    <w:rsid w:val="00F53615"/>
    <w:rsid w:val="00F53A91"/>
    <w:rsid w:val="00F54783"/>
    <w:rsid w:val="00F547E9"/>
    <w:rsid w:val="00F5494E"/>
    <w:rsid w:val="00F54ABE"/>
    <w:rsid w:val="00F55804"/>
    <w:rsid w:val="00F55F1A"/>
    <w:rsid w:val="00F56310"/>
    <w:rsid w:val="00F5684C"/>
    <w:rsid w:val="00F57210"/>
    <w:rsid w:val="00F577FC"/>
    <w:rsid w:val="00F602F0"/>
    <w:rsid w:val="00F60C90"/>
    <w:rsid w:val="00F619EE"/>
    <w:rsid w:val="00F61CF5"/>
    <w:rsid w:val="00F61FF9"/>
    <w:rsid w:val="00F62069"/>
    <w:rsid w:val="00F62159"/>
    <w:rsid w:val="00F62A7C"/>
    <w:rsid w:val="00F62B93"/>
    <w:rsid w:val="00F633E5"/>
    <w:rsid w:val="00F63C89"/>
    <w:rsid w:val="00F647EC"/>
    <w:rsid w:val="00F64FAB"/>
    <w:rsid w:val="00F65CEA"/>
    <w:rsid w:val="00F65F15"/>
    <w:rsid w:val="00F66443"/>
    <w:rsid w:val="00F675EA"/>
    <w:rsid w:val="00F7074A"/>
    <w:rsid w:val="00F70AD6"/>
    <w:rsid w:val="00F71687"/>
    <w:rsid w:val="00F71708"/>
    <w:rsid w:val="00F717C1"/>
    <w:rsid w:val="00F71CDB"/>
    <w:rsid w:val="00F725D3"/>
    <w:rsid w:val="00F7281E"/>
    <w:rsid w:val="00F72C1A"/>
    <w:rsid w:val="00F72C3D"/>
    <w:rsid w:val="00F737AB"/>
    <w:rsid w:val="00F74216"/>
    <w:rsid w:val="00F74F0F"/>
    <w:rsid w:val="00F75731"/>
    <w:rsid w:val="00F75841"/>
    <w:rsid w:val="00F76333"/>
    <w:rsid w:val="00F77100"/>
    <w:rsid w:val="00F8090F"/>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1669"/>
    <w:rsid w:val="00F916DE"/>
    <w:rsid w:val="00F9184F"/>
    <w:rsid w:val="00F91943"/>
    <w:rsid w:val="00F9231D"/>
    <w:rsid w:val="00F92A66"/>
    <w:rsid w:val="00F931CF"/>
    <w:rsid w:val="00F93A31"/>
    <w:rsid w:val="00F93D6E"/>
    <w:rsid w:val="00F9423D"/>
    <w:rsid w:val="00F94609"/>
    <w:rsid w:val="00F95182"/>
    <w:rsid w:val="00F957D2"/>
    <w:rsid w:val="00F95D94"/>
    <w:rsid w:val="00F96F86"/>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6E7"/>
    <w:rsid w:val="00FB0822"/>
    <w:rsid w:val="00FB1093"/>
    <w:rsid w:val="00FB13A0"/>
    <w:rsid w:val="00FB227E"/>
    <w:rsid w:val="00FB267D"/>
    <w:rsid w:val="00FB2A18"/>
    <w:rsid w:val="00FB2BF4"/>
    <w:rsid w:val="00FB2C8D"/>
    <w:rsid w:val="00FB2DC6"/>
    <w:rsid w:val="00FB59D4"/>
    <w:rsid w:val="00FB5E81"/>
    <w:rsid w:val="00FB6E6C"/>
    <w:rsid w:val="00FB71B0"/>
    <w:rsid w:val="00FB7ABA"/>
    <w:rsid w:val="00FB7C21"/>
    <w:rsid w:val="00FB7C46"/>
    <w:rsid w:val="00FC04E0"/>
    <w:rsid w:val="00FC0D98"/>
    <w:rsid w:val="00FC0E2F"/>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AE7"/>
    <w:rsid w:val="00FD0B44"/>
    <w:rsid w:val="00FD0F70"/>
    <w:rsid w:val="00FD2315"/>
    <w:rsid w:val="00FD29A7"/>
    <w:rsid w:val="00FD2B15"/>
    <w:rsid w:val="00FD3092"/>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76E2"/>
    <w:rsid w:val="00FF027B"/>
    <w:rsid w:val="00FF1174"/>
    <w:rsid w:val="00FF165A"/>
    <w:rsid w:val="00FF1B72"/>
    <w:rsid w:val="00FF1CF1"/>
    <w:rsid w:val="00FF1F4C"/>
    <w:rsid w:val="00FF35DC"/>
    <w:rsid w:val="00FF3A6A"/>
    <w:rsid w:val="00FF3C7A"/>
    <w:rsid w:val="00FF3E09"/>
    <w:rsid w:val="00FF411C"/>
    <w:rsid w:val="00FF44C6"/>
    <w:rsid w:val="00FF4B2E"/>
    <w:rsid w:val="00FF4E4B"/>
    <w:rsid w:val="00FF4E4E"/>
    <w:rsid w:val="00FF5049"/>
    <w:rsid w:val="00FF5D1F"/>
    <w:rsid w:val="00FF5F95"/>
    <w:rsid w:val="00FF6126"/>
    <w:rsid w:val="00FF61F5"/>
    <w:rsid w:val="00FF62AA"/>
    <w:rsid w:val="00FF64D7"/>
    <w:rsid w:val="00FF6B6C"/>
    <w:rsid w:val="00FF6DD4"/>
    <w:rsid w:val="011774F7"/>
    <w:rsid w:val="011C626C"/>
    <w:rsid w:val="013637D1"/>
    <w:rsid w:val="018A7C3B"/>
    <w:rsid w:val="01AA2C10"/>
    <w:rsid w:val="01C963F3"/>
    <w:rsid w:val="01CF660A"/>
    <w:rsid w:val="01DD1E9F"/>
    <w:rsid w:val="01E50D53"/>
    <w:rsid w:val="01F62F61"/>
    <w:rsid w:val="021D673F"/>
    <w:rsid w:val="02511F45"/>
    <w:rsid w:val="026B46C2"/>
    <w:rsid w:val="02AD7AC3"/>
    <w:rsid w:val="02BF3353"/>
    <w:rsid w:val="02CD7145"/>
    <w:rsid w:val="02DC3F04"/>
    <w:rsid w:val="035C6DF3"/>
    <w:rsid w:val="037738D8"/>
    <w:rsid w:val="037D56E7"/>
    <w:rsid w:val="03A013D6"/>
    <w:rsid w:val="03B15391"/>
    <w:rsid w:val="03C52BEB"/>
    <w:rsid w:val="03D60954"/>
    <w:rsid w:val="03DD3466"/>
    <w:rsid w:val="03F84983"/>
    <w:rsid w:val="04277401"/>
    <w:rsid w:val="044C664D"/>
    <w:rsid w:val="04820ADC"/>
    <w:rsid w:val="04900210"/>
    <w:rsid w:val="04EF43C3"/>
    <w:rsid w:val="04FE4606"/>
    <w:rsid w:val="04FF037E"/>
    <w:rsid w:val="05047743"/>
    <w:rsid w:val="05243941"/>
    <w:rsid w:val="053B5ED5"/>
    <w:rsid w:val="05465FAD"/>
    <w:rsid w:val="05597A8E"/>
    <w:rsid w:val="05740424"/>
    <w:rsid w:val="0576184E"/>
    <w:rsid w:val="05C814D1"/>
    <w:rsid w:val="05E019A3"/>
    <w:rsid w:val="05E03F92"/>
    <w:rsid w:val="05F751A4"/>
    <w:rsid w:val="05FB28F4"/>
    <w:rsid w:val="06071298"/>
    <w:rsid w:val="066F5090"/>
    <w:rsid w:val="06734B80"/>
    <w:rsid w:val="067508F8"/>
    <w:rsid w:val="06B036DE"/>
    <w:rsid w:val="06C4362D"/>
    <w:rsid w:val="06F753B6"/>
    <w:rsid w:val="072034F0"/>
    <w:rsid w:val="073C1416"/>
    <w:rsid w:val="073C7668"/>
    <w:rsid w:val="074D717F"/>
    <w:rsid w:val="075F0692"/>
    <w:rsid w:val="076A5F83"/>
    <w:rsid w:val="077948BA"/>
    <w:rsid w:val="07894D94"/>
    <w:rsid w:val="079052BE"/>
    <w:rsid w:val="079B25E0"/>
    <w:rsid w:val="07B40FAC"/>
    <w:rsid w:val="07B62F76"/>
    <w:rsid w:val="07BA233A"/>
    <w:rsid w:val="07C96579"/>
    <w:rsid w:val="07DB054A"/>
    <w:rsid w:val="07F910B5"/>
    <w:rsid w:val="081E0B1B"/>
    <w:rsid w:val="08236132"/>
    <w:rsid w:val="08262232"/>
    <w:rsid w:val="085B58CB"/>
    <w:rsid w:val="08A90D2D"/>
    <w:rsid w:val="08AC6809"/>
    <w:rsid w:val="08B01A1D"/>
    <w:rsid w:val="08E73603"/>
    <w:rsid w:val="08F53B23"/>
    <w:rsid w:val="09906519"/>
    <w:rsid w:val="099C619C"/>
    <w:rsid w:val="09A11A04"/>
    <w:rsid w:val="09EB0ED1"/>
    <w:rsid w:val="09ED2BA1"/>
    <w:rsid w:val="0A053C89"/>
    <w:rsid w:val="0A070656"/>
    <w:rsid w:val="0A081A83"/>
    <w:rsid w:val="0A2F0DBE"/>
    <w:rsid w:val="0A302F08"/>
    <w:rsid w:val="0A6B75FC"/>
    <w:rsid w:val="0A6F565E"/>
    <w:rsid w:val="0A913ED8"/>
    <w:rsid w:val="0AAF4A50"/>
    <w:rsid w:val="0ACC2AB1"/>
    <w:rsid w:val="0AE778EA"/>
    <w:rsid w:val="0AEC4F01"/>
    <w:rsid w:val="0B24171E"/>
    <w:rsid w:val="0B5C3243"/>
    <w:rsid w:val="0B642CE9"/>
    <w:rsid w:val="0B8D2240"/>
    <w:rsid w:val="0BC32D2D"/>
    <w:rsid w:val="0BC77F22"/>
    <w:rsid w:val="0BD75BB1"/>
    <w:rsid w:val="0BDF05C2"/>
    <w:rsid w:val="0C193AD3"/>
    <w:rsid w:val="0C466B45"/>
    <w:rsid w:val="0C4F3999"/>
    <w:rsid w:val="0C564D28"/>
    <w:rsid w:val="0C6F5DE9"/>
    <w:rsid w:val="0C807FF6"/>
    <w:rsid w:val="0C8353F1"/>
    <w:rsid w:val="0C9B6BDE"/>
    <w:rsid w:val="0CAE02B5"/>
    <w:rsid w:val="0CBE28CD"/>
    <w:rsid w:val="0CD10852"/>
    <w:rsid w:val="0CDB6FDB"/>
    <w:rsid w:val="0CDE52DC"/>
    <w:rsid w:val="0D3F4828"/>
    <w:rsid w:val="0D4B4161"/>
    <w:rsid w:val="0D4E59FF"/>
    <w:rsid w:val="0D584403"/>
    <w:rsid w:val="0D5D3E94"/>
    <w:rsid w:val="0D613984"/>
    <w:rsid w:val="0D9A50E8"/>
    <w:rsid w:val="0DB05D1A"/>
    <w:rsid w:val="0DB859E5"/>
    <w:rsid w:val="0DCF4D92"/>
    <w:rsid w:val="0DE637E0"/>
    <w:rsid w:val="0DEE2D3E"/>
    <w:rsid w:val="0DEE7765"/>
    <w:rsid w:val="0DF30354"/>
    <w:rsid w:val="0DF76096"/>
    <w:rsid w:val="0DFA7935"/>
    <w:rsid w:val="0DFC36AD"/>
    <w:rsid w:val="0E1704E7"/>
    <w:rsid w:val="0E1D083B"/>
    <w:rsid w:val="0E415563"/>
    <w:rsid w:val="0E5B5064"/>
    <w:rsid w:val="0E7E0566"/>
    <w:rsid w:val="0EB3626A"/>
    <w:rsid w:val="0ED10B65"/>
    <w:rsid w:val="0EE228A3"/>
    <w:rsid w:val="0F0547E3"/>
    <w:rsid w:val="0F24110D"/>
    <w:rsid w:val="0F4C6A04"/>
    <w:rsid w:val="0F730BD4"/>
    <w:rsid w:val="0F9554E6"/>
    <w:rsid w:val="0FA4224E"/>
    <w:rsid w:val="0FDC5544"/>
    <w:rsid w:val="0FF10BD9"/>
    <w:rsid w:val="0FF94E74"/>
    <w:rsid w:val="101C0A97"/>
    <w:rsid w:val="101F1965"/>
    <w:rsid w:val="10260EB5"/>
    <w:rsid w:val="102869DB"/>
    <w:rsid w:val="10493156"/>
    <w:rsid w:val="104D4694"/>
    <w:rsid w:val="104E74EA"/>
    <w:rsid w:val="10526AE6"/>
    <w:rsid w:val="106043C7"/>
    <w:rsid w:val="106B1D32"/>
    <w:rsid w:val="10AA73F0"/>
    <w:rsid w:val="10AF4A06"/>
    <w:rsid w:val="10DC4D6D"/>
    <w:rsid w:val="10F67974"/>
    <w:rsid w:val="10F845FF"/>
    <w:rsid w:val="113450FE"/>
    <w:rsid w:val="11380EA0"/>
    <w:rsid w:val="113B273E"/>
    <w:rsid w:val="1147290C"/>
    <w:rsid w:val="114E06C3"/>
    <w:rsid w:val="11561326"/>
    <w:rsid w:val="116F4196"/>
    <w:rsid w:val="11AB1672"/>
    <w:rsid w:val="11BF5650"/>
    <w:rsid w:val="11D16BFE"/>
    <w:rsid w:val="11D706B9"/>
    <w:rsid w:val="11D84431"/>
    <w:rsid w:val="120C61BC"/>
    <w:rsid w:val="121A67F7"/>
    <w:rsid w:val="124318AA"/>
    <w:rsid w:val="1247062C"/>
    <w:rsid w:val="12685FCD"/>
    <w:rsid w:val="126B6810"/>
    <w:rsid w:val="12940358"/>
    <w:rsid w:val="12A6008B"/>
    <w:rsid w:val="12A63F9E"/>
    <w:rsid w:val="12CA1FCB"/>
    <w:rsid w:val="12E12E71"/>
    <w:rsid w:val="130A23C8"/>
    <w:rsid w:val="132F28D0"/>
    <w:rsid w:val="133E02C4"/>
    <w:rsid w:val="13743CE5"/>
    <w:rsid w:val="13B05373"/>
    <w:rsid w:val="13BD568C"/>
    <w:rsid w:val="13E7095B"/>
    <w:rsid w:val="13F84916"/>
    <w:rsid w:val="141F65E1"/>
    <w:rsid w:val="14446EDD"/>
    <w:rsid w:val="146F2C7A"/>
    <w:rsid w:val="14845EDE"/>
    <w:rsid w:val="148B12E6"/>
    <w:rsid w:val="148D32B1"/>
    <w:rsid w:val="149E4992"/>
    <w:rsid w:val="149F4D92"/>
    <w:rsid w:val="14CD5DA3"/>
    <w:rsid w:val="14FE41AE"/>
    <w:rsid w:val="152D05F0"/>
    <w:rsid w:val="15596CB3"/>
    <w:rsid w:val="15610299"/>
    <w:rsid w:val="158305A9"/>
    <w:rsid w:val="15B14D7D"/>
    <w:rsid w:val="15E20E8C"/>
    <w:rsid w:val="160F7CF5"/>
    <w:rsid w:val="164D5520"/>
    <w:rsid w:val="165F2A2B"/>
    <w:rsid w:val="166041CE"/>
    <w:rsid w:val="16610551"/>
    <w:rsid w:val="167B536C"/>
    <w:rsid w:val="16AF2E86"/>
    <w:rsid w:val="16B60684"/>
    <w:rsid w:val="16B7304C"/>
    <w:rsid w:val="16D105F3"/>
    <w:rsid w:val="16D90A2F"/>
    <w:rsid w:val="170E5D26"/>
    <w:rsid w:val="171F61B2"/>
    <w:rsid w:val="176D73C9"/>
    <w:rsid w:val="176E561B"/>
    <w:rsid w:val="17BB6387"/>
    <w:rsid w:val="17BD3EAD"/>
    <w:rsid w:val="17BE59A2"/>
    <w:rsid w:val="17C57205"/>
    <w:rsid w:val="17CD0B5B"/>
    <w:rsid w:val="17FB49D5"/>
    <w:rsid w:val="18075128"/>
    <w:rsid w:val="180C6BE2"/>
    <w:rsid w:val="181A30AD"/>
    <w:rsid w:val="182836DA"/>
    <w:rsid w:val="183512E3"/>
    <w:rsid w:val="185C1918"/>
    <w:rsid w:val="189A7199"/>
    <w:rsid w:val="18AB01A9"/>
    <w:rsid w:val="18B84674"/>
    <w:rsid w:val="18CE58F5"/>
    <w:rsid w:val="18EE0096"/>
    <w:rsid w:val="18F13165"/>
    <w:rsid w:val="18F558C8"/>
    <w:rsid w:val="191E4E1F"/>
    <w:rsid w:val="193948C5"/>
    <w:rsid w:val="194523AC"/>
    <w:rsid w:val="1950171A"/>
    <w:rsid w:val="19622F5E"/>
    <w:rsid w:val="19632832"/>
    <w:rsid w:val="19AF5A77"/>
    <w:rsid w:val="19E219A9"/>
    <w:rsid w:val="19F45BB5"/>
    <w:rsid w:val="1A442DE9"/>
    <w:rsid w:val="1A484105"/>
    <w:rsid w:val="1A495ECC"/>
    <w:rsid w:val="1A9133CF"/>
    <w:rsid w:val="1ADE294C"/>
    <w:rsid w:val="1AE65365"/>
    <w:rsid w:val="1B205547"/>
    <w:rsid w:val="1B300E3A"/>
    <w:rsid w:val="1B574618"/>
    <w:rsid w:val="1B813443"/>
    <w:rsid w:val="1BCD48DA"/>
    <w:rsid w:val="1BEF4851"/>
    <w:rsid w:val="1BF105C9"/>
    <w:rsid w:val="1BFB31F6"/>
    <w:rsid w:val="1C252021"/>
    <w:rsid w:val="1C281B11"/>
    <w:rsid w:val="1C33298F"/>
    <w:rsid w:val="1C3564ED"/>
    <w:rsid w:val="1C3B1844"/>
    <w:rsid w:val="1C4F0B8B"/>
    <w:rsid w:val="1C6E1C1A"/>
    <w:rsid w:val="1C6F14EE"/>
    <w:rsid w:val="1CB735C0"/>
    <w:rsid w:val="1CD203FA"/>
    <w:rsid w:val="1CD55680"/>
    <w:rsid w:val="1CEE2F53"/>
    <w:rsid w:val="1CF73B37"/>
    <w:rsid w:val="1CFE2A48"/>
    <w:rsid w:val="1D321E13"/>
    <w:rsid w:val="1D440BCC"/>
    <w:rsid w:val="1D5C7CC4"/>
    <w:rsid w:val="1D813BCE"/>
    <w:rsid w:val="1D954F84"/>
    <w:rsid w:val="1DBA49EB"/>
    <w:rsid w:val="1DBC044E"/>
    <w:rsid w:val="1DD720A7"/>
    <w:rsid w:val="1DFA0158"/>
    <w:rsid w:val="1E1C7453"/>
    <w:rsid w:val="1E757B3D"/>
    <w:rsid w:val="1E890F8D"/>
    <w:rsid w:val="1EC024D4"/>
    <w:rsid w:val="1EDF2B6B"/>
    <w:rsid w:val="1EF9256C"/>
    <w:rsid w:val="1F1C0DD2"/>
    <w:rsid w:val="1F3B03AF"/>
    <w:rsid w:val="1F4849CA"/>
    <w:rsid w:val="1F873477"/>
    <w:rsid w:val="1F882FF2"/>
    <w:rsid w:val="1F8A4FBC"/>
    <w:rsid w:val="1F950A93"/>
    <w:rsid w:val="1FC906EB"/>
    <w:rsid w:val="1FF163E5"/>
    <w:rsid w:val="1FFB1A16"/>
    <w:rsid w:val="20337402"/>
    <w:rsid w:val="203B6335"/>
    <w:rsid w:val="204D5FEA"/>
    <w:rsid w:val="20605D1D"/>
    <w:rsid w:val="208337BA"/>
    <w:rsid w:val="20887022"/>
    <w:rsid w:val="2095099D"/>
    <w:rsid w:val="20D109C9"/>
    <w:rsid w:val="20D83B05"/>
    <w:rsid w:val="20DA787E"/>
    <w:rsid w:val="20E83230"/>
    <w:rsid w:val="20F621DE"/>
    <w:rsid w:val="211803A6"/>
    <w:rsid w:val="21455F84"/>
    <w:rsid w:val="21A12149"/>
    <w:rsid w:val="21B26104"/>
    <w:rsid w:val="21C66F9D"/>
    <w:rsid w:val="21D12E2C"/>
    <w:rsid w:val="21DD5D6E"/>
    <w:rsid w:val="21E32762"/>
    <w:rsid w:val="21F52495"/>
    <w:rsid w:val="21FF3314"/>
    <w:rsid w:val="22230DB0"/>
    <w:rsid w:val="22231FC3"/>
    <w:rsid w:val="222F59A7"/>
    <w:rsid w:val="225E74E7"/>
    <w:rsid w:val="229677D4"/>
    <w:rsid w:val="22995516"/>
    <w:rsid w:val="22B660C8"/>
    <w:rsid w:val="22B91715"/>
    <w:rsid w:val="22BB36DF"/>
    <w:rsid w:val="22FA21AD"/>
    <w:rsid w:val="230B6414"/>
    <w:rsid w:val="23294AEC"/>
    <w:rsid w:val="233F60BE"/>
    <w:rsid w:val="2376721E"/>
    <w:rsid w:val="23775858"/>
    <w:rsid w:val="2383244E"/>
    <w:rsid w:val="238E494F"/>
    <w:rsid w:val="23C465C3"/>
    <w:rsid w:val="24084702"/>
    <w:rsid w:val="24311EAA"/>
    <w:rsid w:val="24412260"/>
    <w:rsid w:val="24572F93"/>
    <w:rsid w:val="246B6FCE"/>
    <w:rsid w:val="24977600"/>
    <w:rsid w:val="24A81A41"/>
    <w:rsid w:val="24B831E2"/>
    <w:rsid w:val="24BB3999"/>
    <w:rsid w:val="24CF521F"/>
    <w:rsid w:val="250B120F"/>
    <w:rsid w:val="25276E09"/>
    <w:rsid w:val="25290DD3"/>
    <w:rsid w:val="257A518B"/>
    <w:rsid w:val="258B7398"/>
    <w:rsid w:val="25950217"/>
    <w:rsid w:val="25F018F1"/>
    <w:rsid w:val="25F74973"/>
    <w:rsid w:val="260F65E4"/>
    <w:rsid w:val="26382437"/>
    <w:rsid w:val="264834DB"/>
    <w:rsid w:val="265E685B"/>
    <w:rsid w:val="266D2F42"/>
    <w:rsid w:val="26A50560"/>
    <w:rsid w:val="26C30DB4"/>
    <w:rsid w:val="27026624"/>
    <w:rsid w:val="27042DFE"/>
    <w:rsid w:val="27076EF2"/>
    <w:rsid w:val="27082493"/>
    <w:rsid w:val="270F55EE"/>
    <w:rsid w:val="2714293E"/>
    <w:rsid w:val="27174F2F"/>
    <w:rsid w:val="271F53A2"/>
    <w:rsid w:val="272F1A96"/>
    <w:rsid w:val="273B3040"/>
    <w:rsid w:val="274243CE"/>
    <w:rsid w:val="275F0ADD"/>
    <w:rsid w:val="27606603"/>
    <w:rsid w:val="27750300"/>
    <w:rsid w:val="27AF30E6"/>
    <w:rsid w:val="27B64475"/>
    <w:rsid w:val="27D330A9"/>
    <w:rsid w:val="27F52753"/>
    <w:rsid w:val="27F54F9D"/>
    <w:rsid w:val="28110526"/>
    <w:rsid w:val="28125B4F"/>
    <w:rsid w:val="283261F1"/>
    <w:rsid w:val="283C7070"/>
    <w:rsid w:val="2865609B"/>
    <w:rsid w:val="28681C13"/>
    <w:rsid w:val="28697739"/>
    <w:rsid w:val="28940C5A"/>
    <w:rsid w:val="289947F7"/>
    <w:rsid w:val="28AD3BB3"/>
    <w:rsid w:val="28C20B7D"/>
    <w:rsid w:val="28C826B1"/>
    <w:rsid w:val="28D64DCE"/>
    <w:rsid w:val="28D9666D"/>
    <w:rsid w:val="2916166F"/>
    <w:rsid w:val="29181BE3"/>
    <w:rsid w:val="291E6775"/>
    <w:rsid w:val="29235312"/>
    <w:rsid w:val="293555BC"/>
    <w:rsid w:val="294100A6"/>
    <w:rsid w:val="294A57BC"/>
    <w:rsid w:val="29564161"/>
    <w:rsid w:val="29752839"/>
    <w:rsid w:val="297B0CF7"/>
    <w:rsid w:val="29817476"/>
    <w:rsid w:val="29A7676B"/>
    <w:rsid w:val="29BC27DC"/>
    <w:rsid w:val="29CA4207"/>
    <w:rsid w:val="2A0B0AA8"/>
    <w:rsid w:val="2A164599"/>
    <w:rsid w:val="2A2658E2"/>
    <w:rsid w:val="2ABA24CE"/>
    <w:rsid w:val="2AD90BA6"/>
    <w:rsid w:val="2AE80DE9"/>
    <w:rsid w:val="2AE9690F"/>
    <w:rsid w:val="2B603075"/>
    <w:rsid w:val="2B7E34FB"/>
    <w:rsid w:val="2B822DA1"/>
    <w:rsid w:val="2BD80E5D"/>
    <w:rsid w:val="2BF05AF4"/>
    <w:rsid w:val="2C0B1233"/>
    <w:rsid w:val="2C4E2ECE"/>
    <w:rsid w:val="2C5C1A8E"/>
    <w:rsid w:val="2C626979"/>
    <w:rsid w:val="2C7C3EDF"/>
    <w:rsid w:val="2C994A91"/>
    <w:rsid w:val="2CB52EF4"/>
    <w:rsid w:val="2CB74F17"/>
    <w:rsid w:val="2CBB6EF5"/>
    <w:rsid w:val="2D1A7254"/>
    <w:rsid w:val="2D2F064D"/>
    <w:rsid w:val="2D577A9F"/>
    <w:rsid w:val="2D5D3336"/>
    <w:rsid w:val="2D656721"/>
    <w:rsid w:val="2D8079FF"/>
    <w:rsid w:val="2D8D5C78"/>
    <w:rsid w:val="2DDA25AC"/>
    <w:rsid w:val="2E2959A0"/>
    <w:rsid w:val="2E666BF4"/>
    <w:rsid w:val="2E884DBD"/>
    <w:rsid w:val="2EA133AF"/>
    <w:rsid w:val="2EDD2DD9"/>
    <w:rsid w:val="2F084123"/>
    <w:rsid w:val="2F1A178D"/>
    <w:rsid w:val="2F453233"/>
    <w:rsid w:val="2F4800A8"/>
    <w:rsid w:val="2F594063"/>
    <w:rsid w:val="2F5E5B1E"/>
    <w:rsid w:val="2F713AA3"/>
    <w:rsid w:val="2F723467"/>
    <w:rsid w:val="2F7361D1"/>
    <w:rsid w:val="2FB63264"/>
    <w:rsid w:val="2FDB716E"/>
    <w:rsid w:val="30696528"/>
    <w:rsid w:val="308275EA"/>
    <w:rsid w:val="30850E88"/>
    <w:rsid w:val="30A9726C"/>
    <w:rsid w:val="30BC0795"/>
    <w:rsid w:val="31305298"/>
    <w:rsid w:val="3138414C"/>
    <w:rsid w:val="313A1C72"/>
    <w:rsid w:val="31434FCB"/>
    <w:rsid w:val="31A22367"/>
    <w:rsid w:val="31F2254D"/>
    <w:rsid w:val="32717916"/>
    <w:rsid w:val="32951856"/>
    <w:rsid w:val="32A0292F"/>
    <w:rsid w:val="32A02B99"/>
    <w:rsid w:val="32C37246"/>
    <w:rsid w:val="32F95E6C"/>
    <w:rsid w:val="32FF15C5"/>
    <w:rsid w:val="330578E0"/>
    <w:rsid w:val="3306047F"/>
    <w:rsid w:val="330B1B18"/>
    <w:rsid w:val="331C1F78"/>
    <w:rsid w:val="332B21BB"/>
    <w:rsid w:val="332B5D17"/>
    <w:rsid w:val="33310A59"/>
    <w:rsid w:val="33364265"/>
    <w:rsid w:val="337C33C6"/>
    <w:rsid w:val="337C341A"/>
    <w:rsid w:val="33AE06F6"/>
    <w:rsid w:val="33BA709B"/>
    <w:rsid w:val="33D414D0"/>
    <w:rsid w:val="33E505BB"/>
    <w:rsid w:val="33EB36F8"/>
    <w:rsid w:val="33F14847"/>
    <w:rsid w:val="34086433"/>
    <w:rsid w:val="34125129"/>
    <w:rsid w:val="34256C0A"/>
    <w:rsid w:val="34876910"/>
    <w:rsid w:val="34A55F9D"/>
    <w:rsid w:val="34C71A6F"/>
    <w:rsid w:val="34E56399"/>
    <w:rsid w:val="350E769E"/>
    <w:rsid w:val="35156C7E"/>
    <w:rsid w:val="35613C72"/>
    <w:rsid w:val="35727436"/>
    <w:rsid w:val="35887450"/>
    <w:rsid w:val="35A324DC"/>
    <w:rsid w:val="35B87CB9"/>
    <w:rsid w:val="35CD358A"/>
    <w:rsid w:val="35E13004"/>
    <w:rsid w:val="360867E3"/>
    <w:rsid w:val="360C62D3"/>
    <w:rsid w:val="36156BBB"/>
    <w:rsid w:val="36486BE0"/>
    <w:rsid w:val="364A2958"/>
    <w:rsid w:val="3659703F"/>
    <w:rsid w:val="3676199F"/>
    <w:rsid w:val="36857E34"/>
    <w:rsid w:val="368E1A09"/>
    <w:rsid w:val="36903B99"/>
    <w:rsid w:val="36DD37CC"/>
    <w:rsid w:val="36EB68C6"/>
    <w:rsid w:val="36FC3260"/>
    <w:rsid w:val="37006181"/>
    <w:rsid w:val="37863E63"/>
    <w:rsid w:val="378B3228"/>
    <w:rsid w:val="378F4DA2"/>
    <w:rsid w:val="37A24CCF"/>
    <w:rsid w:val="37A91900"/>
    <w:rsid w:val="37AB1075"/>
    <w:rsid w:val="37B07132"/>
    <w:rsid w:val="37C329C2"/>
    <w:rsid w:val="37CB1876"/>
    <w:rsid w:val="37E172EC"/>
    <w:rsid w:val="37F92887"/>
    <w:rsid w:val="382F44FB"/>
    <w:rsid w:val="38526424"/>
    <w:rsid w:val="385F359C"/>
    <w:rsid w:val="38767A34"/>
    <w:rsid w:val="38926838"/>
    <w:rsid w:val="389B749B"/>
    <w:rsid w:val="389C00E6"/>
    <w:rsid w:val="38D94467"/>
    <w:rsid w:val="390E4110"/>
    <w:rsid w:val="39860B3F"/>
    <w:rsid w:val="39934616"/>
    <w:rsid w:val="39B8407C"/>
    <w:rsid w:val="3A080B60"/>
    <w:rsid w:val="3A1846C8"/>
    <w:rsid w:val="3A2B0CF2"/>
    <w:rsid w:val="3A323E2F"/>
    <w:rsid w:val="3A7C32FC"/>
    <w:rsid w:val="3AC53FE9"/>
    <w:rsid w:val="3AF83BA1"/>
    <w:rsid w:val="3B1672AC"/>
    <w:rsid w:val="3B2A2D58"/>
    <w:rsid w:val="3B337E5E"/>
    <w:rsid w:val="3B5E642D"/>
    <w:rsid w:val="3B653D90"/>
    <w:rsid w:val="3B677E26"/>
    <w:rsid w:val="3B8C3A12"/>
    <w:rsid w:val="3B90705F"/>
    <w:rsid w:val="3B9A0687"/>
    <w:rsid w:val="3BA80B19"/>
    <w:rsid w:val="3BC27434"/>
    <w:rsid w:val="3BDD601C"/>
    <w:rsid w:val="3BE23F15"/>
    <w:rsid w:val="3BED44B1"/>
    <w:rsid w:val="3C3C71E7"/>
    <w:rsid w:val="3C3E4D0D"/>
    <w:rsid w:val="3C4240EC"/>
    <w:rsid w:val="3C48192B"/>
    <w:rsid w:val="3C5A58BF"/>
    <w:rsid w:val="3C6D114E"/>
    <w:rsid w:val="3CAF5C0A"/>
    <w:rsid w:val="3CB054DF"/>
    <w:rsid w:val="3CB9570A"/>
    <w:rsid w:val="3CC1149A"/>
    <w:rsid w:val="3CE138EA"/>
    <w:rsid w:val="3CF17FD1"/>
    <w:rsid w:val="3CF67395"/>
    <w:rsid w:val="3D404AB5"/>
    <w:rsid w:val="3D4E0F7F"/>
    <w:rsid w:val="3D711B40"/>
    <w:rsid w:val="3DA74B34"/>
    <w:rsid w:val="3DC254CA"/>
    <w:rsid w:val="3DD0408A"/>
    <w:rsid w:val="3DF24001"/>
    <w:rsid w:val="3DFC6C2D"/>
    <w:rsid w:val="3E06185A"/>
    <w:rsid w:val="3E0E4BB3"/>
    <w:rsid w:val="3E374E7B"/>
    <w:rsid w:val="3E7964D0"/>
    <w:rsid w:val="3E800AA6"/>
    <w:rsid w:val="3E8A4792"/>
    <w:rsid w:val="3EA3354D"/>
    <w:rsid w:val="3EC86B10"/>
    <w:rsid w:val="3ECC2AA4"/>
    <w:rsid w:val="3ED540C6"/>
    <w:rsid w:val="3F11495A"/>
    <w:rsid w:val="3F3A1FEB"/>
    <w:rsid w:val="3F406FEE"/>
    <w:rsid w:val="3F5605BF"/>
    <w:rsid w:val="3FC14255"/>
    <w:rsid w:val="3FC217B1"/>
    <w:rsid w:val="3FDD483D"/>
    <w:rsid w:val="40296848"/>
    <w:rsid w:val="40890521"/>
    <w:rsid w:val="40A67243"/>
    <w:rsid w:val="40B03CFF"/>
    <w:rsid w:val="40B6725D"/>
    <w:rsid w:val="40F40C4B"/>
    <w:rsid w:val="40F5525D"/>
    <w:rsid w:val="413806B2"/>
    <w:rsid w:val="414803DC"/>
    <w:rsid w:val="416845DA"/>
    <w:rsid w:val="416A65A4"/>
    <w:rsid w:val="418A2B71"/>
    <w:rsid w:val="41DD42A4"/>
    <w:rsid w:val="41EF2605"/>
    <w:rsid w:val="421A58D4"/>
    <w:rsid w:val="42253D73"/>
    <w:rsid w:val="425B7C9B"/>
    <w:rsid w:val="42680DF6"/>
    <w:rsid w:val="42784CF1"/>
    <w:rsid w:val="42B27797"/>
    <w:rsid w:val="42DC527F"/>
    <w:rsid w:val="42DE4B54"/>
    <w:rsid w:val="42E5528F"/>
    <w:rsid w:val="430976F7"/>
    <w:rsid w:val="43340C18"/>
    <w:rsid w:val="43562321"/>
    <w:rsid w:val="438F40A0"/>
    <w:rsid w:val="43B34232"/>
    <w:rsid w:val="43BD6E5F"/>
    <w:rsid w:val="43C006FD"/>
    <w:rsid w:val="43CC52F4"/>
    <w:rsid w:val="44110F59"/>
    <w:rsid w:val="44134942"/>
    <w:rsid w:val="441647C1"/>
    <w:rsid w:val="442742D8"/>
    <w:rsid w:val="444E3F5B"/>
    <w:rsid w:val="44613C8E"/>
    <w:rsid w:val="44697081"/>
    <w:rsid w:val="44B07D93"/>
    <w:rsid w:val="44DD6235"/>
    <w:rsid w:val="44E4041B"/>
    <w:rsid w:val="44E4602A"/>
    <w:rsid w:val="44E9255A"/>
    <w:rsid w:val="451F76A5"/>
    <w:rsid w:val="456926CF"/>
    <w:rsid w:val="45BE2A1A"/>
    <w:rsid w:val="45C320C4"/>
    <w:rsid w:val="45C40201"/>
    <w:rsid w:val="45C73FC5"/>
    <w:rsid w:val="45CC0FA9"/>
    <w:rsid w:val="45CE5353"/>
    <w:rsid w:val="45DC10F2"/>
    <w:rsid w:val="45EA2E9B"/>
    <w:rsid w:val="45EA380F"/>
    <w:rsid w:val="45F10C48"/>
    <w:rsid w:val="46444DBA"/>
    <w:rsid w:val="46483D2F"/>
    <w:rsid w:val="46955E71"/>
    <w:rsid w:val="46EE10DD"/>
    <w:rsid w:val="46EE732F"/>
    <w:rsid w:val="46F661E4"/>
    <w:rsid w:val="46FF2A7C"/>
    <w:rsid w:val="470628CB"/>
    <w:rsid w:val="47080934"/>
    <w:rsid w:val="471746ED"/>
    <w:rsid w:val="474D04FA"/>
    <w:rsid w:val="47521F98"/>
    <w:rsid w:val="475D6648"/>
    <w:rsid w:val="477C0DDF"/>
    <w:rsid w:val="47863A0C"/>
    <w:rsid w:val="478657BA"/>
    <w:rsid w:val="47941C85"/>
    <w:rsid w:val="47A40C1E"/>
    <w:rsid w:val="47AF4143"/>
    <w:rsid w:val="47BC567F"/>
    <w:rsid w:val="47DF7A24"/>
    <w:rsid w:val="47E9061B"/>
    <w:rsid w:val="47ED3A8B"/>
    <w:rsid w:val="47F423C4"/>
    <w:rsid w:val="480908C5"/>
    <w:rsid w:val="485E04E5"/>
    <w:rsid w:val="486C49B0"/>
    <w:rsid w:val="48733F90"/>
    <w:rsid w:val="488C5052"/>
    <w:rsid w:val="48B60321"/>
    <w:rsid w:val="49080B7C"/>
    <w:rsid w:val="49247038"/>
    <w:rsid w:val="492E435B"/>
    <w:rsid w:val="49591C7C"/>
    <w:rsid w:val="49920446"/>
    <w:rsid w:val="49EA64D4"/>
    <w:rsid w:val="4A0C324A"/>
    <w:rsid w:val="4A121587"/>
    <w:rsid w:val="4A162E25"/>
    <w:rsid w:val="4A1B043B"/>
    <w:rsid w:val="4A280DAA"/>
    <w:rsid w:val="4A2C2648"/>
    <w:rsid w:val="4A437992"/>
    <w:rsid w:val="4A5676C5"/>
    <w:rsid w:val="4A6D4A0F"/>
    <w:rsid w:val="4A7B537E"/>
    <w:rsid w:val="4A7E6C1C"/>
    <w:rsid w:val="4A9106FD"/>
    <w:rsid w:val="4A9E3F3D"/>
    <w:rsid w:val="4AC565F9"/>
    <w:rsid w:val="4AD6546A"/>
    <w:rsid w:val="4ADC085D"/>
    <w:rsid w:val="4AED6BE2"/>
    <w:rsid w:val="4AF54187"/>
    <w:rsid w:val="4AF60EA8"/>
    <w:rsid w:val="4B103789"/>
    <w:rsid w:val="4B2C48CA"/>
    <w:rsid w:val="4B71624D"/>
    <w:rsid w:val="4B887D52"/>
    <w:rsid w:val="4BD4518C"/>
    <w:rsid w:val="4BF944CE"/>
    <w:rsid w:val="4BFC604B"/>
    <w:rsid w:val="4C03387D"/>
    <w:rsid w:val="4C0D364D"/>
    <w:rsid w:val="4C115F9A"/>
    <w:rsid w:val="4C132092"/>
    <w:rsid w:val="4C2D54A9"/>
    <w:rsid w:val="4C87000A"/>
    <w:rsid w:val="4C8A7685"/>
    <w:rsid w:val="4CBE1552"/>
    <w:rsid w:val="4D292E6F"/>
    <w:rsid w:val="4D4001B9"/>
    <w:rsid w:val="4D8C1650"/>
    <w:rsid w:val="4D97427D"/>
    <w:rsid w:val="4DAB7D28"/>
    <w:rsid w:val="4DC31516"/>
    <w:rsid w:val="4E2E1F87"/>
    <w:rsid w:val="4E571C5E"/>
    <w:rsid w:val="4E5D1019"/>
    <w:rsid w:val="4E6F0D56"/>
    <w:rsid w:val="4E7E71EB"/>
    <w:rsid w:val="4E9407BC"/>
    <w:rsid w:val="4EA84268"/>
    <w:rsid w:val="4EAC5711"/>
    <w:rsid w:val="4EC76DE4"/>
    <w:rsid w:val="4EE03A01"/>
    <w:rsid w:val="4F005E52"/>
    <w:rsid w:val="4F1B712F"/>
    <w:rsid w:val="4F2A2ECF"/>
    <w:rsid w:val="4F6040FF"/>
    <w:rsid w:val="4F691C49"/>
    <w:rsid w:val="4FEA4E77"/>
    <w:rsid w:val="501A1195"/>
    <w:rsid w:val="504306EC"/>
    <w:rsid w:val="505A77E4"/>
    <w:rsid w:val="5060129E"/>
    <w:rsid w:val="50720FD1"/>
    <w:rsid w:val="50A218B6"/>
    <w:rsid w:val="50A54F03"/>
    <w:rsid w:val="50AD025B"/>
    <w:rsid w:val="50CA6717"/>
    <w:rsid w:val="510F4A72"/>
    <w:rsid w:val="51646B6C"/>
    <w:rsid w:val="51A451BA"/>
    <w:rsid w:val="51B2004B"/>
    <w:rsid w:val="51CD69B3"/>
    <w:rsid w:val="5212481A"/>
    <w:rsid w:val="52320A18"/>
    <w:rsid w:val="52344790"/>
    <w:rsid w:val="524331A6"/>
    <w:rsid w:val="52524C16"/>
    <w:rsid w:val="52772096"/>
    <w:rsid w:val="52791BA2"/>
    <w:rsid w:val="527F195C"/>
    <w:rsid w:val="52833022"/>
    <w:rsid w:val="52B4142D"/>
    <w:rsid w:val="52C5363A"/>
    <w:rsid w:val="53195734"/>
    <w:rsid w:val="532F6D06"/>
    <w:rsid w:val="53AC65A8"/>
    <w:rsid w:val="53B01EB6"/>
    <w:rsid w:val="53C2401E"/>
    <w:rsid w:val="53E77A90"/>
    <w:rsid w:val="53F3339E"/>
    <w:rsid w:val="54224ABC"/>
    <w:rsid w:val="54556AEA"/>
    <w:rsid w:val="54BF40B9"/>
    <w:rsid w:val="54D23DEC"/>
    <w:rsid w:val="54E1370E"/>
    <w:rsid w:val="54EA0F6C"/>
    <w:rsid w:val="55083AC5"/>
    <w:rsid w:val="550A7A2A"/>
    <w:rsid w:val="55110DB9"/>
    <w:rsid w:val="55214D74"/>
    <w:rsid w:val="55494FB9"/>
    <w:rsid w:val="55583378"/>
    <w:rsid w:val="55622629"/>
    <w:rsid w:val="55770A92"/>
    <w:rsid w:val="55886659"/>
    <w:rsid w:val="55886BA1"/>
    <w:rsid w:val="559D089E"/>
    <w:rsid w:val="55A34211"/>
    <w:rsid w:val="55B55BE8"/>
    <w:rsid w:val="55C67DF5"/>
    <w:rsid w:val="55D10548"/>
    <w:rsid w:val="55EF09CE"/>
    <w:rsid w:val="55FF50B5"/>
    <w:rsid w:val="560501F2"/>
    <w:rsid w:val="56503B63"/>
    <w:rsid w:val="566B274A"/>
    <w:rsid w:val="56794E67"/>
    <w:rsid w:val="56870CAC"/>
    <w:rsid w:val="568A7075"/>
    <w:rsid w:val="569972B8"/>
    <w:rsid w:val="569A45DF"/>
    <w:rsid w:val="57087F99"/>
    <w:rsid w:val="571B337B"/>
    <w:rsid w:val="57222B83"/>
    <w:rsid w:val="573B609F"/>
    <w:rsid w:val="57462870"/>
    <w:rsid w:val="576D604E"/>
    <w:rsid w:val="577D71D5"/>
    <w:rsid w:val="579C48DF"/>
    <w:rsid w:val="57A471F5"/>
    <w:rsid w:val="57AC6B77"/>
    <w:rsid w:val="57AC70BC"/>
    <w:rsid w:val="57C8447E"/>
    <w:rsid w:val="57E91B79"/>
    <w:rsid w:val="57EE3633"/>
    <w:rsid w:val="57EF2F07"/>
    <w:rsid w:val="581A7F84"/>
    <w:rsid w:val="58514A77"/>
    <w:rsid w:val="589216FF"/>
    <w:rsid w:val="589917F1"/>
    <w:rsid w:val="58BC728D"/>
    <w:rsid w:val="59347A5E"/>
    <w:rsid w:val="59650D6C"/>
    <w:rsid w:val="59A07D9A"/>
    <w:rsid w:val="59AA0910"/>
    <w:rsid w:val="59AD1771"/>
    <w:rsid w:val="59CD1026"/>
    <w:rsid w:val="59CD26F2"/>
    <w:rsid w:val="5A3A2DDD"/>
    <w:rsid w:val="5A461504"/>
    <w:rsid w:val="5A47502D"/>
    <w:rsid w:val="5A5359CF"/>
    <w:rsid w:val="5A8262B5"/>
    <w:rsid w:val="5A8B5169"/>
    <w:rsid w:val="5A8E4C59"/>
    <w:rsid w:val="5A981634"/>
    <w:rsid w:val="5AA93841"/>
    <w:rsid w:val="5AAE6DC3"/>
    <w:rsid w:val="5ABC17C7"/>
    <w:rsid w:val="5ACB37B8"/>
    <w:rsid w:val="5AF52F61"/>
    <w:rsid w:val="5B5437AD"/>
    <w:rsid w:val="5B590DC3"/>
    <w:rsid w:val="5B5E462C"/>
    <w:rsid w:val="5B6A1223"/>
    <w:rsid w:val="5B6A7475"/>
    <w:rsid w:val="5B6F05E7"/>
    <w:rsid w:val="5B767BC7"/>
    <w:rsid w:val="5BAE2B14"/>
    <w:rsid w:val="5BC85F49"/>
    <w:rsid w:val="5BC87CF7"/>
    <w:rsid w:val="5C205D85"/>
    <w:rsid w:val="5C2313D1"/>
    <w:rsid w:val="5C5A1297"/>
    <w:rsid w:val="5C5B500F"/>
    <w:rsid w:val="5C7E485A"/>
    <w:rsid w:val="5CBA3AE4"/>
    <w:rsid w:val="5D221689"/>
    <w:rsid w:val="5D336228"/>
    <w:rsid w:val="5D3970FE"/>
    <w:rsid w:val="5D3F048D"/>
    <w:rsid w:val="5D431D2B"/>
    <w:rsid w:val="5D861B31"/>
    <w:rsid w:val="5D8A795A"/>
    <w:rsid w:val="5DD72473"/>
    <w:rsid w:val="5DDC3F2E"/>
    <w:rsid w:val="5DF179D9"/>
    <w:rsid w:val="5E1B2CA8"/>
    <w:rsid w:val="5E6A153A"/>
    <w:rsid w:val="5E9A1E1F"/>
    <w:rsid w:val="5EA467FA"/>
    <w:rsid w:val="5EBD6C77"/>
    <w:rsid w:val="5EC0115A"/>
    <w:rsid w:val="5ED366C5"/>
    <w:rsid w:val="5EF534F9"/>
    <w:rsid w:val="5F0454EA"/>
    <w:rsid w:val="5F0D6EDA"/>
    <w:rsid w:val="5F2D1205"/>
    <w:rsid w:val="5F2E2567"/>
    <w:rsid w:val="5F5A335C"/>
    <w:rsid w:val="5F5D2E4C"/>
    <w:rsid w:val="5F666F20"/>
    <w:rsid w:val="5F7206A6"/>
    <w:rsid w:val="5F9C4986"/>
    <w:rsid w:val="5FBC4017"/>
    <w:rsid w:val="5FD0793B"/>
    <w:rsid w:val="5FEA46E0"/>
    <w:rsid w:val="5FFE6DFA"/>
    <w:rsid w:val="6008725C"/>
    <w:rsid w:val="600B3E06"/>
    <w:rsid w:val="6017749F"/>
    <w:rsid w:val="6051475F"/>
    <w:rsid w:val="606326E4"/>
    <w:rsid w:val="6089214B"/>
    <w:rsid w:val="60933C0D"/>
    <w:rsid w:val="60B66CA4"/>
    <w:rsid w:val="60BA67A8"/>
    <w:rsid w:val="60BF59C2"/>
    <w:rsid w:val="60C43183"/>
    <w:rsid w:val="60C90799"/>
    <w:rsid w:val="60CE4002"/>
    <w:rsid w:val="60CF1B28"/>
    <w:rsid w:val="60E23609"/>
    <w:rsid w:val="611C2FBF"/>
    <w:rsid w:val="61517B2E"/>
    <w:rsid w:val="615D7134"/>
    <w:rsid w:val="616109D2"/>
    <w:rsid w:val="61671D60"/>
    <w:rsid w:val="616E30EF"/>
    <w:rsid w:val="618648DC"/>
    <w:rsid w:val="618D5C6B"/>
    <w:rsid w:val="61C87393"/>
    <w:rsid w:val="62540537"/>
    <w:rsid w:val="62634C1E"/>
    <w:rsid w:val="62774225"/>
    <w:rsid w:val="62AF1C11"/>
    <w:rsid w:val="62B8336A"/>
    <w:rsid w:val="62C4120E"/>
    <w:rsid w:val="62E33669"/>
    <w:rsid w:val="631D6B7A"/>
    <w:rsid w:val="63424833"/>
    <w:rsid w:val="63520F1A"/>
    <w:rsid w:val="63536A40"/>
    <w:rsid w:val="63620A31"/>
    <w:rsid w:val="63AF53BD"/>
    <w:rsid w:val="63B23767"/>
    <w:rsid w:val="63D45C95"/>
    <w:rsid w:val="641066DF"/>
    <w:rsid w:val="642F3009"/>
    <w:rsid w:val="64405216"/>
    <w:rsid w:val="64441196"/>
    <w:rsid w:val="644A7E43"/>
    <w:rsid w:val="647832E7"/>
    <w:rsid w:val="648A0240"/>
    <w:rsid w:val="64CF321D"/>
    <w:rsid w:val="64D23995"/>
    <w:rsid w:val="64EC57AB"/>
    <w:rsid w:val="64FA3B1E"/>
    <w:rsid w:val="65091B75"/>
    <w:rsid w:val="652341F0"/>
    <w:rsid w:val="652C70D8"/>
    <w:rsid w:val="654523B9"/>
    <w:rsid w:val="655645C6"/>
    <w:rsid w:val="656C5B97"/>
    <w:rsid w:val="65890E41"/>
    <w:rsid w:val="65D21A26"/>
    <w:rsid w:val="6603588E"/>
    <w:rsid w:val="66486604"/>
    <w:rsid w:val="66756CCD"/>
    <w:rsid w:val="66763171"/>
    <w:rsid w:val="6692162D"/>
    <w:rsid w:val="669272D6"/>
    <w:rsid w:val="66963A9D"/>
    <w:rsid w:val="66974E96"/>
    <w:rsid w:val="669C06FE"/>
    <w:rsid w:val="66BC2B4E"/>
    <w:rsid w:val="66C33EDD"/>
    <w:rsid w:val="6707201B"/>
    <w:rsid w:val="672A0BC3"/>
    <w:rsid w:val="67346B89"/>
    <w:rsid w:val="674A1F08"/>
    <w:rsid w:val="67670D0C"/>
    <w:rsid w:val="67957627"/>
    <w:rsid w:val="67E660D5"/>
    <w:rsid w:val="67FD51CC"/>
    <w:rsid w:val="68103152"/>
    <w:rsid w:val="6817003C"/>
    <w:rsid w:val="684B418A"/>
    <w:rsid w:val="685C0145"/>
    <w:rsid w:val="686B482C"/>
    <w:rsid w:val="68945B31"/>
    <w:rsid w:val="689B6EBF"/>
    <w:rsid w:val="68AC5ACD"/>
    <w:rsid w:val="68BE7D5D"/>
    <w:rsid w:val="69110F2F"/>
    <w:rsid w:val="69252C2D"/>
    <w:rsid w:val="693370F8"/>
    <w:rsid w:val="693A0274"/>
    <w:rsid w:val="693E5A9D"/>
    <w:rsid w:val="694F1A58"/>
    <w:rsid w:val="696564AE"/>
    <w:rsid w:val="697414BE"/>
    <w:rsid w:val="69912070"/>
    <w:rsid w:val="69A41627"/>
    <w:rsid w:val="69AA5856"/>
    <w:rsid w:val="69D72179"/>
    <w:rsid w:val="69D87C9F"/>
    <w:rsid w:val="69EC54F9"/>
    <w:rsid w:val="6A2829D5"/>
    <w:rsid w:val="6A611A43"/>
    <w:rsid w:val="6A647492"/>
    <w:rsid w:val="6A710359"/>
    <w:rsid w:val="6A7A48B2"/>
    <w:rsid w:val="6A892D47"/>
    <w:rsid w:val="6A9736B6"/>
    <w:rsid w:val="6AA3205B"/>
    <w:rsid w:val="6AA61B4B"/>
    <w:rsid w:val="6B240C67"/>
    <w:rsid w:val="6B241A17"/>
    <w:rsid w:val="6B39476E"/>
    <w:rsid w:val="6B56531F"/>
    <w:rsid w:val="6BBD0EFB"/>
    <w:rsid w:val="6BBF1117"/>
    <w:rsid w:val="6BFD1C3F"/>
    <w:rsid w:val="6C0A7EB8"/>
    <w:rsid w:val="6C3C2767"/>
    <w:rsid w:val="6C40575A"/>
    <w:rsid w:val="6C5001CC"/>
    <w:rsid w:val="6C554612"/>
    <w:rsid w:val="6C6121CE"/>
    <w:rsid w:val="6C68355C"/>
    <w:rsid w:val="6C9248A4"/>
    <w:rsid w:val="6CA976D1"/>
    <w:rsid w:val="6D11628A"/>
    <w:rsid w:val="6D2C27DC"/>
    <w:rsid w:val="6D4318D3"/>
    <w:rsid w:val="6D943EDD"/>
    <w:rsid w:val="6D9E4D5C"/>
    <w:rsid w:val="6DBB3B60"/>
    <w:rsid w:val="6DC36FA3"/>
    <w:rsid w:val="6DCD73EF"/>
    <w:rsid w:val="6DEF3809"/>
    <w:rsid w:val="6E0A23F1"/>
    <w:rsid w:val="6E1148C4"/>
    <w:rsid w:val="6E3851B0"/>
    <w:rsid w:val="6E4753F3"/>
    <w:rsid w:val="6E492FEB"/>
    <w:rsid w:val="6E7543A1"/>
    <w:rsid w:val="6E8C5474"/>
    <w:rsid w:val="6E8E3022"/>
    <w:rsid w:val="6E914282"/>
    <w:rsid w:val="6E9360A4"/>
    <w:rsid w:val="6E9C0F6F"/>
    <w:rsid w:val="6EBC7B8F"/>
    <w:rsid w:val="6F1C23DC"/>
    <w:rsid w:val="6F2A129E"/>
    <w:rsid w:val="6FAA3E8C"/>
    <w:rsid w:val="6FE56C72"/>
    <w:rsid w:val="6FE6736D"/>
    <w:rsid w:val="6FEE22B5"/>
    <w:rsid w:val="70182BA3"/>
    <w:rsid w:val="70375785"/>
    <w:rsid w:val="7040746B"/>
    <w:rsid w:val="70AA23BB"/>
    <w:rsid w:val="70C06F69"/>
    <w:rsid w:val="70E92792"/>
    <w:rsid w:val="71044B32"/>
    <w:rsid w:val="711D41EA"/>
    <w:rsid w:val="712F423E"/>
    <w:rsid w:val="71423F34"/>
    <w:rsid w:val="714F5473"/>
    <w:rsid w:val="71614A1E"/>
    <w:rsid w:val="71793B16"/>
    <w:rsid w:val="71AD7318"/>
    <w:rsid w:val="71CD3E62"/>
    <w:rsid w:val="71DD22F7"/>
    <w:rsid w:val="71E7506F"/>
    <w:rsid w:val="720158B9"/>
    <w:rsid w:val="722577FA"/>
    <w:rsid w:val="725458D4"/>
    <w:rsid w:val="726D70E7"/>
    <w:rsid w:val="72730565"/>
    <w:rsid w:val="72874010"/>
    <w:rsid w:val="729055BB"/>
    <w:rsid w:val="72B232E3"/>
    <w:rsid w:val="72B56DCF"/>
    <w:rsid w:val="72DC1889"/>
    <w:rsid w:val="72E871A5"/>
    <w:rsid w:val="72EC6569"/>
    <w:rsid w:val="72FB055A"/>
    <w:rsid w:val="733F2B3D"/>
    <w:rsid w:val="736B1B84"/>
    <w:rsid w:val="738E4907"/>
    <w:rsid w:val="739C1D3D"/>
    <w:rsid w:val="739D2629"/>
    <w:rsid w:val="73B04E6C"/>
    <w:rsid w:val="74123DAE"/>
    <w:rsid w:val="741300E6"/>
    <w:rsid w:val="742C30C1"/>
    <w:rsid w:val="743C0E2B"/>
    <w:rsid w:val="74571501"/>
    <w:rsid w:val="74715F31"/>
    <w:rsid w:val="74911176"/>
    <w:rsid w:val="74AF10D9"/>
    <w:rsid w:val="750156D5"/>
    <w:rsid w:val="75175B20"/>
    <w:rsid w:val="751B0A84"/>
    <w:rsid w:val="752244C4"/>
    <w:rsid w:val="75647617"/>
    <w:rsid w:val="75811726"/>
    <w:rsid w:val="758D5DE2"/>
    <w:rsid w:val="75942919"/>
    <w:rsid w:val="75E023B5"/>
    <w:rsid w:val="75E8797A"/>
    <w:rsid w:val="76085468"/>
    <w:rsid w:val="761745A9"/>
    <w:rsid w:val="762A1882"/>
    <w:rsid w:val="763149BF"/>
    <w:rsid w:val="76402E54"/>
    <w:rsid w:val="7657219D"/>
    <w:rsid w:val="76654669"/>
    <w:rsid w:val="769136B0"/>
    <w:rsid w:val="76DB2B7D"/>
    <w:rsid w:val="76E41A31"/>
    <w:rsid w:val="76F8372F"/>
    <w:rsid w:val="771340C5"/>
    <w:rsid w:val="773710A5"/>
    <w:rsid w:val="774C5829"/>
    <w:rsid w:val="778A35E9"/>
    <w:rsid w:val="77AB69F3"/>
    <w:rsid w:val="77D71596"/>
    <w:rsid w:val="78175E36"/>
    <w:rsid w:val="78436C2C"/>
    <w:rsid w:val="784B5AE0"/>
    <w:rsid w:val="7860158C"/>
    <w:rsid w:val="7863089F"/>
    <w:rsid w:val="78B0501F"/>
    <w:rsid w:val="78C513CB"/>
    <w:rsid w:val="78D21D5D"/>
    <w:rsid w:val="78E24696"/>
    <w:rsid w:val="78F722BA"/>
    <w:rsid w:val="79102FB2"/>
    <w:rsid w:val="79366578"/>
    <w:rsid w:val="79652BD2"/>
    <w:rsid w:val="799E6C98"/>
    <w:rsid w:val="79B1616E"/>
    <w:rsid w:val="79BF33E8"/>
    <w:rsid w:val="79C504F4"/>
    <w:rsid w:val="79CD3719"/>
    <w:rsid w:val="79D51B05"/>
    <w:rsid w:val="79E306C6"/>
    <w:rsid w:val="7A036672"/>
    <w:rsid w:val="7A146AD1"/>
    <w:rsid w:val="7A256189"/>
    <w:rsid w:val="7A4606C0"/>
    <w:rsid w:val="7A5944E4"/>
    <w:rsid w:val="7A6E36DB"/>
    <w:rsid w:val="7A7C6425"/>
    <w:rsid w:val="7A8552D9"/>
    <w:rsid w:val="7A9E5A95"/>
    <w:rsid w:val="7AAA36FF"/>
    <w:rsid w:val="7ACA53E2"/>
    <w:rsid w:val="7AFA4803"/>
    <w:rsid w:val="7B4707E1"/>
    <w:rsid w:val="7B4909FD"/>
    <w:rsid w:val="7B5A49B8"/>
    <w:rsid w:val="7B6704F4"/>
    <w:rsid w:val="7B7A6E08"/>
    <w:rsid w:val="7BCE0F02"/>
    <w:rsid w:val="7BE16C5B"/>
    <w:rsid w:val="7BF72207"/>
    <w:rsid w:val="7C1032C9"/>
    <w:rsid w:val="7C5238E1"/>
    <w:rsid w:val="7C72188D"/>
    <w:rsid w:val="7C7575D0"/>
    <w:rsid w:val="7C9C4E59"/>
    <w:rsid w:val="7CB63E70"/>
    <w:rsid w:val="7CDD764F"/>
    <w:rsid w:val="7CE87DA1"/>
    <w:rsid w:val="7CF331B8"/>
    <w:rsid w:val="7CFC55FB"/>
    <w:rsid w:val="7D066D89"/>
    <w:rsid w:val="7D0D15B6"/>
    <w:rsid w:val="7D4278A5"/>
    <w:rsid w:val="7D5316BF"/>
    <w:rsid w:val="7D766E9F"/>
    <w:rsid w:val="7D891584"/>
    <w:rsid w:val="7DA0242A"/>
    <w:rsid w:val="7DBB7264"/>
    <w:rsid w:val="7DD02D0F"/>
    <w:rsid w:val="7DFF1847"/>
    <w:rsid w:val="7E2F1D63"/>
    <w:rsid w:val="7E5A4CCF"/>
    <w:rsid w:val="7E5E47BF"/>
    <w:rsid w:val="7E813828"/>
    <w:rsid w:val="7E8A5B44"/>
    <w:rsid w:val="7EA87882"/>
    <w:rsid w:val="7ECD724F"/>
    <w:rsid w:val="7EDF4902"/>
    <w:rsid w:val="7F037115"/>
    <w:rsid w:val="7F065B02"/>
    <w:rsid w:val="7F14777D"/>
    <w:rsid w:val="7FC76394"/>
    <w:rsid w:val="7FF134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9"/>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60"/>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1"/>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2"/>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3"/>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4"/>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table of authorities"/>
    <w:basedOn w:val="1"/>
    <w:next w:val="1"/>
    <w:unhideWhenUsed/>
    <w:qFormat/>
    <w:uiPriority w:val="99"/>
    <w:pPr>
      <w:ind w:left="420" w:leftChars="200"/>
    </w:p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5"/>
    <w:unhideWhenUsed/>
    <w:qFormat/>
    <w:uiPriority w:val="0"/>
    <w:pPr>
      <w:shd w:val="clear" w:color="auto" w:fill="000080"/>
    </w:pPr>
    <w:rPr>
      <w:rFonts w:hint="eastAsia" w:ascii="宋体" w:hAnsi="宋体"/>
      <w:kern w:val="0"/>
      <w:sz w:val="20"/>
      <w:szCs w:val="20"/>
    </w:rPr>
  </w:style>
  <w:style w:type="paragraph" w:styleId="17">
    <w:name w:val="annotation text"/>
    <w:basedOn w:val="1"/>
    <w:link w:val="66"/>
    <w:unhideWhenUsed/>
    <w:qFormat/>
    <w:uiPriority w:val="0"/>
    <w:pPr>
      <w:jc w:val="left"/>
    </w:pPr>
  </w:style>
  <w:style w:type="paragraph" w:styleId="18">
    <w:name w:val="Body Text 3"/>
    <w:basedOn w:val="1"/>
    <w:link w:val="67"/>
    <w:qFormat/>
    <w:uiPriority w:val="0"/>
    <w:pPr>
      <w:spacing w:line="500" w:lineRule="exact"/>
    </w:pPr>
    <w:rPr>
      <w:b/>
      <w:bCs/>
      <w:kern w:val="0"/>
      <w:sz w:val="24"/>
    </w:rPr>
  </w:style>
  <w:style w:type="paragraph" w:styleId="19">
    <w:name w:val="Body Text"/>
    <w:basedOn w:val="1"/>
    <w:link w:val="68"/>
    <w:qFormat/>
    <w:uiPriority w:val="99"/>
    <w:pPr>
      <w:spacing w:line="380" w:lineRule="exact"/>
    </w:pPr>
    <w:rPr>
      <w:kern w:val="0"/>
      <w:sz w:val="24"/>
    </w:rPr>
  </w:style>
  <w:style w:type="paragraph" w:styleId="20">
    <w:name w:val="Body Text Indent"/>
    <w:basedOn w:val="1"/>
    <w:link w:val="69"/>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eastAsia="宋体" w:cs="Times New Roman"/>
      <w:szCs w:val="22"/>
    </w:rPr>
  </w:style>
  <w:style w:type="paragraph" w:styleId="24">
    <w:name w:val="toc 3"/>
    <w:basedOn w:val="1"/>
    <w:next w:val="1"/>
    <w:unhideWhenUsed/>
    <w:qFormat/>
    <w:uiPriority w:val="39"/>
    <w:pPr>
      <w:ind w:left="840" w:leftChars="400"/>
    </w:pPr>
    <w:rPr>
      <w:rFonts w:ascii="Calibri" w:hAnsi="Calibri" w:eastAsia="宋体" w:cs="Times New Roman"/>
      <w:szCs w:val="22"/>
    </w:rPr>
  </w:style>
  <w:style w:type="paragraph" w:styleId="25">
    <w:name w:val="Plain Text"/>
    <w:basedOn w:val="1"/>
    <w:next w:val="5"/>
    <w:link w:val="70"/>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eastAsia="宋体" w:cs="Times New Roman"/>
      <w:szCs w:val="22"/>
    </w:rPr>
  </w:style>
  <w:style w:type="paragraph" w:styleId="27">
    <w:name w:val="Date"/>
    <w:basedOn w:val="1"/>
    <w:next w:val="1"/>
    <w:link w:val="71"/>
    <w:qFormat/>
    <w:uiPriority w:val="0"/>
    <w:pPr>
      <w:ind w:left="100" w:leftChars="2500"/>
    </w:pPr>
    <w:rPr>
      <w:rFonts w:ascii="宋体" w:hAnsi="Courier New"/>
      <w:kern w:val="0"/>
      <w:sz w:val="20"/>
      <w:szCs w:val="21"/>
    </w:rPr>
  </w:style>
  <w:style w:type="paragraph" w:styleId="28">
    <w:name w:val="Body Text Indent 2"/>
    <w:basedOn w:val="1"/>
    <w:link w:val="72"/>
    <w:qFormat/>
    <w:uiPriority w:val="0"/>
    <w:pPr>
      <w:ind w:firstLine="630"/>
    </w:pPr>
    <w:rPr>
      <w:kern w:val="0"/>
      <w:sz w:val="32"/>
      <w:szCs w:val="20"/>
    </w:rPr>
  </w:style>
  <w:style w:type="paragraph" w:styleId="29">
    <w:name w:val="endnote text"/>
    <w:basedOn w:val="1"/>
    <w:link w:val="73"/>
    <w:unhideWhenUsed/>
    <w:qFormat/>
    <w:uiPriority w:val="99"/>
    <w:pPr>
      <w:snapToGrid w:val="0"/>
      <w:jc w:val="left"/>
    </w:pPr>
  </w:style>
  <w:style w:type="paragraph" w:styleId="30">
    <w:name w:val="Balloon Text"/>
    <w:basedOn w:val="1"/>
    <w:link w:val="74"/>
    <w:semiHidden/>
    <w:qFormat/>
    <w:uiPriority w:val="0"/>
    <w:rPr>
      <w:kern w:val="0"/>
      <w:sz w:val="18"/>
      <w:szCs w:val="18"/>
    </w:rPr>
  </w:style>
  <w:style w:type="paragraph" w:styleId="31">
    <w:name w:val="footer"/>
    <w:basedOn w:val="1"/>
    <w:link w:val="75"/>
    <w:unhideWhenUsed/>
    <w:qFormat/>
    <w:uiPriority w:val="99"/>
    <w:pPr>
      <w:tabs>
        <w:tab w:val="center" w:pos="4153"/>
        <w:tab w:val="right" w:pos="8306"/>
      </w:tabs>
      <w:snapToGrid w:val="0"/>
      <w:jc w:val="left"/>
    </w:pPr>
    <w:rPr>
      <w:kern w:val="0"/>
      <w:sz w:val="18"/>
      <w:szCs w:val="18"/>
    </w:rPr>
  </w:style>
  <w:style w:type="paragraph" w:styleId="32">
    <w:name w:val="header"/>
    <w:basedOn w:val="1"/>
    <w:link w:val="76"/>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eastAsia="宋体" w:cs="Times New Roman"/>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7"/>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eastAsia="宋体" w:cs="Times New Roman"/>
      <w:szCs w:val="22"/>
    </w:rPr>
  </w:style>
  <w:style w:type="paragraph" w:styleId="38">
    <w:name w:val="Body Text Indent 3"/>
    <w:basedOn w:val="1"/>
    <w:link w:val="78"/>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eastAsia="宋体" w:cs="Times New Roman"/>
      <w:szCs w:val="22"/>
    </w:rPr>
  </w:style>
  <w:style w:type="paragraph" w:styleId="41">
    <w:name w:val="Body Text 2"/>
    <w:basedOn w:val="1"/>
    <w:link w:val="79"/>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0"/>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81"/>
    <w:unhideWhenUsed/>
    <w:qFormat/>
    <w:uiPriority w:val="99"/>
    <w:rPr>
      <w:b/>
      <w:bCs/>
    </w:rPr>
  </w:style>
  <w:style w:type="paragraph" w:styleId="46">
    <w:name w:val="Body Text First Indent"/>
    <w:basedOn w:val="19"/>
    <w:next w:val="37"/>
    <w:unhideWhenUsed/>
    <w:qFormat/>
    <w:uiPriority w:val="99"/>
    <w:pPr>
      <w:adjustRightInd/>
      <w:spacing w:after="120" w:line="240" w:lineRule="auto"/>
      <w:ind w:firstLine="420" w:firstLineChars="100"/>
      <w:jc w:val="both"/>
    </w:pPr>
    <w:rPr>
      <w:rFonts w:ascii="Times New Roman"/>
      <w:kern w:val="2"/>
      <w:sz w:val="21"/>
      <w:szCs w:val="24"/>
    </w:rPr>
  </w:style>
  <w:style w:type="table" w:styleId="48">
    <w:name w:val="Table Grid"/>
    <w:basedOn w:val="4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Hyperlink"/>
    <w:qFormat/>
    <w:uiPriority w:val="0"/>
    <w:rPr>
      <w:color w:val="0000FF"/>
      <w:u w:val="singl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character" w:customStyle="1" w:styleId="57">
    <w:name w:val="标题 1 字符1"/>
    <w:link w:val="2"/>
    <w:qFormat/>
    <w:uiPriority w:val="0"/>
    <w:rPr>
      <w:rFonts w:ascii="Times New Roman" w:hAnsi="Times New Roman" w:eastAsia="宋体" w:cs="Times New Roman"/>
      <w:b/>
      <w:bCs/>
      <w:kern w:val="44"/>
      <w:sz w:val="44"/>
      <w:szCs w:val="44"/>
    </w:rPr>
  </w:style>
  <w:style w:type="character" w:customStyle="1" w:styleId="58">
    <w:name w:val="标题 2 字符"/>
    <w:link w:val="3"/>
    <w:qFormat/>
    <w:uiPriority w:val="0"/>
    <w:rPr>
      <w:rFonts w:ascii="Arial" w:hAnsi="Arial" w:eastAsia="黑体" w:cs="Times New Roman"/>
      <w:b/>
      <w:bCs/>
      <w:sz w:val="32"/>
      <w:szCs w:val="32"/>
    </w:rPr>
  </w:style>
  <w:style w:type="character" w:customStyle="1" w:styleId="59">
    <w:name w:val="标题 3 字符"/>
    <w:link w:val="4"/>
    <w:qFormat/>
    <w:uiPriority w:val="0"/>
    <w:rPr>
      <w:rFonts w:ascii="Times New Roman" w:hAnsi="Times New Roman" w:eastAsia="宋体" w:cs="Times New Roman"/>
      <w:b/>
      <w:bCs/>
      <w:sz w:val="32"/>
      <w:szCs w:val="32"/>
    </w:rPr>
  </w:style>
  <w:style w:type="character" w:customStyle="1" w:styleId="60">
    <w:name w:val="标题 5 字符"/>
    <w:link w:val="6"/>
    <w:qFormat/>
    <w:uiPriority w:val="0"/>
    <w:rPr>
      <w:b/>
      <w:kern w:val="2"/>
      <w:sz w:val="28"/>
      <w:szCs w:val="24"/>
    </w:rPr>
  </w:style>
  <w:style w:type="character" w:customStyle="1" w:styleId="61">
    <w:name w:val="标题 6 字符"/>
    <w:link w:val="8"/>
    <w:qFormat/>
    <w:uiPriority w:val="0"/>
    <w:rPr>
      <w:rFonts w:ascii="Arial" w:hAnsi="Arial" w:eastAsia="黑体"/>
      <w:b/>
      <w:kern w:val="2"/>
      <w:sz w:val="24"/>
      <w:szCs w:val="24"/>
    </w:rPr>
  </w:style>
  <w:style w:type="character" w:customStyle="1" w:styleId="62">
    <w:name w:val="标题 7 字符"/>
    <w:link w:val="9"/>
    <w:qFormat/>
    <w:uiPriority w:val="0"/>
    <w:rPr>
      <w:rFonts w:ascii="Times New Roman" w:hAnsi="Times New Roman"/>
      <w:b/>
      <w:kern w:val="2"/>
      <w:sz w:val="24"/>
      <w:szCs w:val="24"/>
    </w:rPr>
  </w:style>
  <w:style w:type="character" w:customStyle="1" w:styleId="63">
    <w:name w:val="标题 8 字符"/>
    <w:link w:val="10"/>
    <w:qFormat/>
    <w:uiPriority w:val="0"/>
    <w:rPr>
      <w:rFonts w:ascii="Arial" w:hAnsi="Arial" w:eastAsia="黑体"/>
      <w:kern w:val="2"/>
      <w:sz w:val="24"/>
      <w:szCs w:val="24"/>
    </w:rPr>
  </w:style>
  <w:style w:type="character" w:customStyle="1" w:styleId="64">
    <w:name w:val="标题 9 字符"/>
    <w:link w:val="11"/>
    <w:qFormat/>
    <w:uiPriority w:val="0"/>
    <w:rPr>
      <w:rFonts w:ascii="Arial" w:hAnsi="Arial" w:eastAsia="黑体"/>
      <w:kern w:val="2"/>
      <w:sz w:val="21"/>
      <w:szCs w:val="24"/>
    </w:rPr>
  </w:style>
  <w:style w:type="character" w:customStyle="1" w:styleId="65">
    <w:name w:val="文档结构图 字符"/>
    <w:link w:val="16"/>
    <w:qFormat/>
    <w:uiPriority w:val="0"/>
    <w:rPr>
      <w:rFonts w:hint="eastAsia" w:ascii="宋体" w:hAnsi="宋体" w:eastAsia="宋体" w:cs="宋体"/>
    </w:rPr>
  </w:style>
  <w:style w:type="character" w:customStyle="1" w:styleId="66">
    <w:name w:val="批注文字 字符2"/>
    <w:link w:val="17"/>
    <w:qFormat/>
    <w:uiPriority w:val="0"/>
    <w:rPr>
      <w:rFonts w:ascii="Times New Roman" w:hAnsi="Times New Roman"/>
      <w:kern w:val="2"/>
      <w:sz w:val="21"/>
      <w:szCs w:val="24"/>
    </w:rPr>
  </w:style>
  <w:style w:type="character" w:customStyle="1" w:styleId="67">
    <w:name w:val="正文文本 3 字符"/>
    <w:link w:val="18"/>
    <w:qFormat/>
    <w:uiPriority w:val="0"/>
    <w:rPr>
      <w:rFonts w:ascii="Times New Roman" w:hAnsi="Times New Roman" w:eastAsia="宋体" w:cs="Times New Roman"/>
      <w:b/>
      <w:bCs/>
      <w:sz w:val="24"/>
      <w:szCs w:val="24"/>
    </w:rPr>
  </w:style>
  <w:style w:type="character" w:customStyle="1" w:styleId="68">
    <w:name w:val="正文文本 字符"/>
    <w:link w:val="19"/>
    <w:qFormat/>
    <w:uiPriority w:val="99"/>
    <w:rPr>
      <w:rFonts w:ascii="Times New Roman" w:hAnsi="Times New Roman" w:eastAsia="宋体" w:cs="Times New Roman"/>
      <w:sz w:val="24"/>
      <w:szCs w:val="24"/>
    </w:rPr>
  </w:style>
  <w:style w:type="character" w:customStyle="1" w:styleId="69">
    <w:name w:val="正文文本缩进 字符1"/>
    <w:link w:val="20"/>
    <w:qFormat/>
    <w:uiPriority w:val="0"/>
    <w:rPr>
      <w:rFonts w:ascii="仿宋_GB2312" w:hAnsi="Times New Roman" w:eastAsia="仿宋_GB2312" w:cs="Times New Roman"/>
      <w:sz w:val="32"/>
      <w:szCs w:val="20"/>
    </w:rPr>
  </w:style>
  <w:style w:type="character" w:customStyle="1" w:styleId="70">
    <w:name w:val="纯文本 字符2"/>
    <w:link w:val="25"/>
    <w:qFormat/>
    <w:uiPriority w:val="0"/>
    <w:rPr>
      <w:rFonts w:ascii="宋体" w:hAnsi="Courier New" w:eastAsia="宋体" w:cs="Courier New"/>
      <w:szCs w:val="21"/>
    </w:rPr>
  </w:style>
  <w:style w:type="character" w:customStyle="1" w:styleId="71">
    <w:name w:val="日期 字符"/>
    <w:link w:val="27"/>
    <w:qFormat/>
    <w:uiPriority w:val="0"/>
    <w:rPr>
      <w:rFonts w:ascii="宋体" w:hAnsi="Courier New" w:eastAsia="宋体" w:cs="Courier New"/>
      <w:szCs w:val="21"/>
    </w:rPr>
  </w:style>
  <w:style w:type="character" w:customStyle="1" w:styleId="72">
    <w:name w:val="正文文本缩进 2 字符"/>
    <w:link w:val="28"/>
    <w:qFormat/>
    <w:uiPriority w:val="0"/>
    <w:rPr>
      <w:rFonts w:ascii="Times New Roman" w:hAnsi="Times New Roman" w:eastAsia="宋体" w:cs="Times New Roman"/>
      <w:sz w:val="32"/>
      <w:szCs w:val="20"/>
    </w:rPr>
  </w:style>
  <w:style w:type="character" w:customStyle="1" w:styleId="73">
    <w:name w:val="尾注文本 字符"/>
    <w:link w:val="29"/>
    <w:semiHidden/>
    <w:qFormat/>
    <w:uiPriority w:val="99"/>
    <w:rPr>
      <w:rFonts w:ascii="Times New Roman" w:hAnsi="Times New Roman"/>
      <w:kern w:val="2"/>
      <w:sz w:val="21"/>
      <w:szCs w:val="24"/>
    </w:rPr>
  </w:style>
  <w:style w:type="character" w:customStyle="1" w:styleId="74">
    <w:name w:val="批注框文本 字符"/>
    <w:link w:val="30"/>
    <w:semiHidden/>
    <w:qFormat/>
    <w:uiPriority w:val="0"/>
    <w:rPr>
      <w:rFonts w:ascii="Times New Roman" w:hAnsi="Times New Roman" w:eastAsia="宋体" w:cs="Times New Roman"/>
      <w:sz w:val="18"/>
      <w:szCs w:val="18"/>
    </w:rPr>
  </w:style>
  <w:style w:type="character" w:customStyle="1" w:styleId="75">
    <w:name w:val="页脚 字符1"/>
    <w:link w:val="31"/>
    <w:qFormat/>
    <w:uiPriority w:val="99"/>
    <w:rPr>
      <w:sz w:val="18"/>
      <w:szCs w:val="18"/>
    </w:rPr>
  </w:style>
  <w:style w:type="character" w:customStyle="1" w:styleId="76">
    <w:name w:val="页眉 字符"/>
    <w:link w:val="32"/>
    <w:qFormat/>
    <w:uiPriority w:val="99"/>
    <w:rPr>
      <w:rFonts w:ascii="Times New Roman" w:hAnsi="Times New Roman"/>
      <w:kern w:val="2"/>
      <w:sz w:val="18"/>
      <w:szCs w:val="18"/>
    </w:rPr>
  </w:style>
  <w:style w:type="character" w:customStyle="1" w:styleId="77">
    <w:name w:val="脚注文本 字符"/>
    <w:link w:val="36"/>
    <w:semiHidden/>
    <w:qFormat/>
    <w:uiPriority w:val="99"/>
    <w:rPr>
      <w:rFonts w:ascii="Times New Roman" w:hAnsi="Times New Roman"/>
      <w:kern w:val="2"/>
      <w:sz w:val="18"/>
      <w:szCs w:val="18"/>
    </w:rPr>
  </w:style>
  <w:style w:type="character" w:customStyle="1" w:styleId="78">
    <w:name w:val="正文文本缩进 3 字符"/>
    <w:link w:val="38"/>
    <w:qFormat/>
    <w:uiPriority w:val="0"/>
    <w:rPr>
      <w:rFonts w:ascii="Times New Roman" w:hAnsi="Times New Roman" w:eastAsia="宋体" w:cs="Times New Roman"/>
      <w:sz w:val="16"/>
      <w:szCs w:val="16"/>
    </w:rPr>
  </w:style>
  <w:style w:type="character" w:customStyle="1" w:styleId="79">
    <w:name w:val="正文文本 2 字符"/>
    <w:link w:val="41"/>
    <w:qFormat/>
    <w:uiPriority w:val="0"/>
    <w:rPr>
      <w:rFonts w:ascii="Times New Roman" w:hAnsi="Times New Roman" w:eastAsia="宋体" w:cs="Times New Roman"/>
      <w:szCs w:val="24"/>
    </w:rPr>
  </w:style>
  <w:style w:type="character" w:customStyle="1" w:styleId="80">
    <w:name w:val="标题 字符"/>
    <w:link w:val="44"/>
    <w:qFormat/>
    <w:uiPriority w:val="10"/>
    <w:rPr>
      <w:rFonts w:ascii="Cambria" w:hAnsi="Cambria" w:cs="Times New Roman"/>
      <w:b/>
      <w:bCs/>
      <w:kern w:val="2"/>
      <w:sz w:val="32"/>
      <w:szCs w:val="32"/>
    </w:rPr>
  </w:style>
  <w:style w:type="character" w:customStyle="1" w:styleId="81">
    <w:name w:val="批注主题 字符"/>
    <w:link w:val="45"/>
    <w:semiHidden/>
    <w:qFormat/>
    <w:uiPriority w:val="99"/>
    <w:rPr>
      <w:rFonts w:ascii="Times New Roman" w:hAnsi="Times New Roman"/>
      <w:b/>
      <w:bCs/>
      <w:kern w:val="2"/>
      <w:sz w:val="21"/>
      <w:szCs w:val="24"/>
    </w:rPr>
  </w:style>
  <w:style w:type="character" w:customStyle="1" w:styleId="82">
    <w:name w:val="标题 1 Char"/>
    <w:link w:val="2"/>
    <w:qFormat/>
    <w:uiPriority w:val="0"/>
    <w:rPr>
      <w:b/>
    </w:rPr>
  </w:style>
  <w:style w:type="character" w:customStyle="1" w:styleId="83">
    <w:name w:val="正文文本缩进 字符"/>
    <w:qFormat/>
    <w:uiPriority w:val="0"/>
    <w:rPr>
      <w:rFonts w:ascii="仿宋_GB2312" w:hAnsi="Times New Roman" w:eastAsia="仿宋_GB2312" w:cs="Times New Roman"/>
      <w:sz w:val="32"/>
      <w:szCs w:val="20"/>
    </w:rPr>
  </w:style>
  <w:style w:type="character" w:customStyle="1" w:styleId="84">
    <w:name w:val="textcontents"/>
    <w:qFormat/>
    <w:uiPriority w:val="0"/>
  </w:style>
  <w:style w:type="character" w:customStyle="1" w:styleId="85">
    <w:name w:val="批注文字 Char"/>
    <w:qFormat/>
    <w:uiPriority w:val="0"/>
    <w:rPr>
      <w:rFonts w:ascii="Times New Roman" w:hAnsi="Times New Roman"/>
      <w:kern w:val="2"/>
      <w:sz w:val="21"/>
      <w:szCs w:val="24"/>
    </w:rPr>
  </w:style>
  <w:style w:type="character" w:customStyle="1" w:styleId="86">
    <w:name w:val="纯文本 Char"/>
    <w:qFormat/>
    <w:uiPriority w:val="0"/>
    <w:rPr>
      <w:rFonts w:ascii="宋体" w:hAnsi="Courier New" w:eastAsia="宋体"/>
      <w:kern w:val="2"/>
      <w:sz w:val="21"/>
      <w:lang w:val="en-US" w:eastAsia="zh-CN" w:bidi="ar-SA"/>
    </w:rPr>
  </w:style>
  <w:style w:type="character" w:customStyle="1" w:styleId="87">
    <w:name w:val="NormalCharacter"/>
    <w:qFormat/>
    <w:uiPriority w:val="0"/>
  </w:style>
  <w:style w:type="character" w:customStyle="1" w:styleId="88">
    <w:name w:val="font01"/>
    <w:qFormat/>
    <w:uiPriority w:val="0"/>
    <w:rPr>
      <w:rFonts w:hint="eastAsia" w:ascii="宋体" w:hAnsi="宋体" w:eastAsia="宋体" w:cs="宋体"/>
      <w:color w:val="000000"/>
      <w:sz w:val="21"/>
      <w:szCs w:val="21"/>
      <w:u w:val="none"/>
    </w:rPr>
  </w:style>
  <w:style w:type="character" w:customStyle="1" w:styleId="89">
    <w:name w:val="批注文字 字符"/>
    <w:qFormat/>
    <w:uiPriority w:val="0"/>
    <w:rPr>
      <w:rFonts w:ascii="Times New Roman" w:hAnsi="Times New Roman"/>
      <w:kern w:val="2"/>
      <w:sz w:val="21"/>
      <w:szCs w:val="24"/>
    </w:rPr>
  </w:style>
  <w:style w:type="character" w:customStyle="1" w:styleId="90">
    <w:name w:val="标题 5 Char"/>
    <w:qFormat/>
    <w:uiPriority w:val="0"/>
    <w:rPr>
      <w:b/>
      <w:kern w:val="2"/>
      <w:sz w:val="28"/>
      <w:szCs w:val="24"/>
    </w:rPr>
  </w:style>
  <w:style w:type="character" w:customStyle="1" w:styleId="91">
    <w:name w:val="font61"/>
    <w:qFormat/>
    <w:uiPriority w:val="0"/>
    <w:rPr>
      <w:rFonts w:hint="default" w:ascii="Times New Roman" w:hAnsi="Times New Roman" w:cs="Times New Roman"/>
      <w:color w:val="000000"/>
      <w:sz w:val="21"/>
      <w:szCs w:val="21"/>
      <w:u w:val="none"/>
    </w:rPr>
  </w:style>
  <w:style w:type="character" w:customStyle="1" w:styleId="92">
    <w:name w:val="headline-content4"/>
    <w:qFormat/>
    <w:uiPriority w:val="0"/>
  </w:style>
  <w:style w:type="character" w:customStyle="1" w:styleId="93">
    <w:name w:val="批注文字 Char1"/>
    <w:semiHidden/>
    <w:qFormat/>
    <w:locked/>
    <w:uiPriority w:val="0"/>
    <w:rPr>
      <w:rFonts w:ascii="Times New Roman" w:hAnsi="Times New Roman"/>
      <w:kern w:val="2"/>
      <w:sz w:val="21"/>
      <w:szCs w:val="24"/>
    </w:rPr>
  </w:style>
  <w:style w:type="character" w:customStyle="1" w:styleId="94">
    <w:name w:val="普通文字 Char Char2"/>
    <w:qFormat/>
    <w:uiPriority w:val="0"/>
    <w:rPr>
      <w:rFonts w:ascii="宋体" w:hAnsi="Courier New" w:eastAsia="宋体"/>
      <w:kern w:val="2"/>
      <w:sz w:val="21"/>
      <w:lang w:val="en-US" w:eastAsia="zh-CN" w:bidi="ar-SA"/>
    </w:rPr>
  </w:style>
  <w:style w:type="character" w:customStyle="1" w:styleId="95">
    <w:name w:val="纯文本 字符"/>
    <w:qFormat/>
    <w:uiPriority w:val="0"/>
    <w:rPr>
      <w:rFonts w:ascii="宋体" w:hAnsi="Courier New" w:eastAsia="宋体" w:cs="Courier New"/>
      <w:szCs w:val="21"/>
    </w:rPr>
  </w:style>
  <w:style w:type="character" w:customStyle="1" w:styleId="9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7">
    <w:name w:val="批注文字 字符1"/>
    <w:qFormat/>
    <w:uiPriority w:val="0"/>
    <w:rPr>
      <w:rFonts w:ascii="Times New Roman" w:hAnsi="Times New Roman"/>
      <w:kern w:val="2"/>
      <w:sz w:val="21"/>
      <w:szCs w:val="24"/>
    </w:rPr>
  </w:style>
  <w:style w:type="character" w:customStyle="1" w:styleId="98">
    <w:name w:val="apple-style-span"/>
    <w:qFormat/>
    <w:uiPriority w:val="0"/>
  </w:style>
  <w:style w:type="character" w:customStyle="1" w:styleId="99">
    <w:name w:val="font41"/>
    <w:qFormat/>
    <w:uiPriority w:val="0"/>
    <w:rPr>
      <w:rFonts w:hint="default" w:ascii="Times New Roman" w:hAnsi="Times New Roman" w:cs="Times New Roman"/>
      <w:color w:val="000000"/>
      <w:sz w:val="21"/>
      <w:szCs w:val="21"/>
      <w:u w:val="none"/>
    </w:rPr>
  </w:style>
  <w:style w:type="character" w:customStyle="1" w:styleId="100">
    <w:name w:val="font51"/>
    <w:qFormat/>
    <w:uiPriority w:val="0"/>
    <w:rPr>
      <w:rFonts w:hint="default" w:ascii="Times New Roman" w:hAnsi="Times New Roman" w:cs="Times New Roman"/>
      <w:color w:val="000000"/>
      <w:sz w:val="21"/>
      <w:szCs w:val="21"/>
      <w:u w:val="none"/>
    </w:rPr>
  </w:style>
  <w:style w:type="character" w:customStyle="1" w:styleId="101">
    <w:name w:val="正文文本 Char1"/>
    <w:semiHidden/>
    <w:qFormat/>
    <w:locked/>
    <w:uiPriority w:val="99"/>
    <w:rPr>
      <w:sz w:val="24"/>
      <w:szCs w:val="24"/>
    </w:rPr>
  </w:style>
  <w:style w:type="character" w:customStyle="1" w:styleId="102">
    <w:name w:val="页脚 字符"/>
    <w:qFormat/>
    <w:uiPriority w:val="99"/>
  </w:style>
  <w:style w:type="character" w:customStyle="1" w:styleId="103">
    <w:name w:val="case31"/>
    <w:qFormat/>
    <w:uiPriority w:val="0"/>
    <w:rPr>
      <w:rFonts w:hint="default" w:ascii="_x000B__x000C_" w:hAnsi="_x000B__x000C_"/>
      <w:sz w:val="21"/>
      <w:szCs w:val="21"/>
    </w:rPr>
  </w:style>
  <w:style w:type="character" w:customStyle="1" w:styleId="104">
    <w:name w:val="标题 1 字符"/>
    <w:qFormat/>
    <w:uiPriority w:val="9"/>
    <w:rPr>
      <w:rFonts w:ascii="Times New Roman" w:hAnsi="Times New Roman" w:eastAsia="宋体" w:cs="Times New Roman"/>
      <w:b/>
      <w:bCs/>
      <w:kern w:val="44"/>
      <w:sz w:val="44"/>
      <w:szCs w:val="44"/>
    </w:rPr>
  </w:style>
  <w:style w:type="character" w:customStyle="1" w:styleId="105">
    <w:name w:val="纯文本 字符1"/>
    <w:qFormat/>
    <w:uiPriority w:val="0"/>
    <w:rPr>
      <w:rFonts w:ascii="宋体" w:hAnsi="Courier New"/>
    </w:rPr>
  </w:style>
  <w:style w:type="paragraph" w:styleId="106">
    <w:name w:val="List Paragraph"/>
    <w:basedOn w:val="1"/>
    <w:qFormat/>
    <w:uiPriority w:val="34"/>
    <w:pPr>
      <w:ind w:firstLine="420" w:firstLineChars="200"/>
    </w:pPr>
  </w:style>
  <w:style w:type="paragraph" w:customStyle="1" w:styleId="107">
    <w:name w:val="Char1"/>
    <w:basedOn w:val="1"/>
    <w:qFormat/>
    <w:uiPriority w:val="0"/>
    <w:rPr>
      <w:szCs w:val="21"/>
    </w:rPr>
  </w:style>
  <w:style w:type="paragraph" w:customStyle="1" w:styleId="10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0">
    <w:name w:val="正文首行缩进两字符"/>
    <w:basedOn w:val="1"/>
    <w:qFormat/>
    <w:uiPriority w:val="0"/>
    <w:pPr>
      <w:spacing w:line="360" w:lineRule="auto"/>
      <w:ind w:firstLine="200" w:firstLineChars="200"/>
    </w:pPr>
  </w:style>
  <w:style w:type="paragraph" w:customStyle="1" w:styleId="111">
    <w:name w:val="表格"/>
    <w:basedOn w:val="1"/>
    <w:qFormat/>
    <w:uiPriority w:val="0"/>
    <w:pPr>
      <w:spacing w:line="400" w:lineRule="exact"/>
    </w:pPr>
    <w:rPr>
      <w:sz w:val="24"/>
    </w:rPr>
  </w:style>
  <w:style w:type="paragraph" w:customStyle="1" w:styleId="112">
    <w:name w:val="正文段"/>
    <w:basedOn w:val="1"/>
    <w:qFormat/>
    <w:uiPriority w:val="0"/>
    <w:pPr>
      <w:widowControl/>
      <w:snapToGrid w:val="0"/>
      <w:spacing w:after="50" w:afterLines="50"/>
      <w:ind w:firstLine="200" w:firstLineChars="200"/>
    </w:pPr>
    <w:rPr>
      <w:kern w:val="0"/>
      <w:sz w:val="24"/>
      <w:szCs w:val="20"/>
    </w:rPr>
  </w:style>
  <w:style w:type="paragraph" w:customStyle="1" w:styleId="113">
    <w:name w:val="正文2"/>
    <w:basedOn w:val="1"/>
    <w:qFormat/>
    <w:uiPriority w:val="0"/>
    <w:pPr>
      <w:adjustRightInd w:val="0"/>
      <w:spacing w:before="156" w:line="360" w:lineRule="auto"/>
      <w:ind w:firstLine="510" w:firstLineChars="200"/>
    </w:pPr>
    <w:rPr>
      <w:rFonts w:cs="Times New Roman"/>
      <w:sz w:val="24"/>
      <w:szCs w:val="20"/>
    </w:rPr>
  </w:style>
  <w:style w:type="paragraph" w:customStyle="1" w:styleId="11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默认段落字体 Para Char Char Char Char Char Char Char Char Char1 Char Char Char Char"/>
    <w:basedOn w:val="1"/>
    <w:qFormat/>
    <w:uiPriority w:val="0"/>
    <w:rPr>
      <w:rFonts w:ascii="Tahoma" w:hAnsi="Tahoma"/>
      <w:sz w:val="24"/>
      <w:szCs w:val="20"/>
    </w:rPr>
  </w:style>
  <w:style w:type="paragraph" w:customStyle="1" w:styleId="1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7">
    <w:name w:val="Plain Text"/>
    <w:basedOn w:val="1"/>
    <w:qFormat/>
    <w:uiPriority w:val="0"/>
    <w:rPr>
      <w:rFonts w:ascii="宋体" w:hAnsi="Courier New" w:cs="Century"/>
      <w:szCs w:val="21"/>
    </w:rPr>
  </w:style>
  <w:style w:type="paragraph" w:customStyle="1" w:styleId="11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19">
    <w:name w:val="样式 首行缩进:  2 字符"/>
    <w:basedOn w:val="1"/>
    <w:qFormat/>
    <w:uiPriority w:val="0"/>
    <w:pPr>
      <w:spacing w:line="400" w:lineRule="exact"/>
      <w:ind w:firstLine="200" w:firstLineChars="200"/>
    </w:pPr>
    <w:rPr>
      <w:rFonts w:cs="宋体"/>
      <w:sz w:val="24"/>
    </w:rPr>
  </w:style>
  <w:style w:type="paragraph" w:customStyle="1" w:styleId="12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21">
    <w:name w:val="_Style 120"/>
    <w:unhideWhenUsed/>
    <w:qFormat/>
    <w:uiPriority w:val="99"/>
    <w:rPr>
      <w:rFonts w:ascii="Times New Roman" w:hAnsi="Times New Roman" w:eastAsia="宋体" w:cs="Times New Roman"/>
      <w:kern w:val="2"/>
      <w:sz w:val="21"/>
      <w:szCs w:val="24"/>
      <w:lang w:val="en-US" w:eastAsia="zh-CN" w:bidi="ar-SA"/>
    </w:rPr>
  </w:style>
  <w:style w:type="table" w:customStyle="1" w:styleId="122">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23">
    <w:name w:val="font11"/>
    <w:qFormat/>
    <w:uiPriority w:val="0"/>
    <w:rPr>
      <w:rFonts w:hint="eastAsia" w:ascii="宋体" w:hAnsi="宋体" w:eastAsia="宋体" w:cs="宋体"/>
      <w:color w:val="000000"/>
      <w:sz w:val="22"/>
      <w:szCs w:val="22"/>
      <w:u w:val="none"/>
    </w:rPr>
  </w:style>
  <w:style w:type="paragraph" w:customStyle="1" w:styleId="124">
    <w:name w:val="纯文本1"/>
    <w:basedOn w:val="1"/>
    <w:next w:val="1"/>
    <w:qFormat/>
    <w:uiPriority w:val="0"/>
    <w:rPr>
      <w:rFonts w:ascii="宋体" w:hAnsi="宋体"/>
      <w:sz w:val="20"/>
      <w:szCs w:val="21"/>
    </w:rPr>
  </w:style>
  <w:style w:type="paragraph" w:customStyle="1" w:styleId="125">
    <w:name w:val="首行缩进"/>
    <w:basedOn w:val="1"/>
    <w:qFormat/>
    <w:uiPriority w:val="0"/>
    <w:pPr>
      <w:ind w:firstLine="480" w:firstLineChars="200"/>
    </w:pPr>
    <w:rPr>
      <w:lang w:val="zh-CN"/>
    </w:rPr>
  </w:style>
  <w:style w:type="character" w:customStyle="1" w:styleId="126">
    <w:name w:val="15"/>
    <w:qFormat/>
    <w:uiPriority w:val="0"/>
    <w:rPr>
      <w:rFonts w:hint="default"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75</Pages>
  <Words>21654</Words>
  <Characters>22510</Characters>
  <Lines>663</Lines>
  <Paragraphs>186</Paragraphs>
  <TotalTime>25</TotalTime>
  <ScaleCrop>false</ScaleCrop>
  <LinksUpToDate>false</LinksUpToDate>
  <CharactersWithSpaces>22572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2022-12-07T03:30:00Z</dcterms:created>
  <dc:creator>番茄花园</dc:creator>
  <cp:lastModifiedBy>批注</cp:lastModifiedBy>
  <cp:lastPrinted>2025-07-08T15:44:00Z</cp:lastPrinted>
  <dcterms:modified xsi:type="dcterms:W3CDTF">2025-08-25T02:08:26Z</dcterms:modified>
  <dc:title>公开招标采购文件范本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3A2774F727FD41339F87F962E4CE2686_13</vt:lpwstr>
  </property>
  <property fmtid="{D5CDD505-2E9C-101B-9397-08002B2CF9AE}" pid="4" name="KSOTemplateDocerSaveRecord">
    <vt:lpwstr>eyJoZGlkIjoiMWI0YzI0MzUwNzViMzI1NDA4NzdiOTNhNWI1YzY2ZGMiLCJ1c2VySWQiOiIxMjg1MDgzOTc4In0=</vt:lpwstr>
  </property>
</Properties>
</file>