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404CD">
      <w:pPr>
        <w:pStyle w:val="15"/>
        <w:ind w:firstLine="0" w:firstLineChars="0"/>
        <w:jc w:val="center"/>
        <w:rPr>
          <w:rFonts w:hint="eastAsia" w:hAnsi="宋体" w:eastAsia="宋体" w:cs="宋体"/>
          <w:bCs/>
          <w:color w:val="auto"/>
          <w:sz w:val="64"/>
          <w:szCs w:val="64"/>
          <w:highlight w:val="none"/>
          <w:lang w:eastAsia="zh-CN"/>
        </w:rPr>
      </w:pPr>
      <w:r>
        <w:rPr>
          <w:rFonts w:hint="eastAsia" w:hAnsi="宋体" w:cs="宋体"/>
          <w:bCs/>
          <w:color w:val="auto"/>
          <w:sz w:val="56"/>
          <w:szCs w:val="56"/>
          <w:highlight w:val="none"/>
          <w:lang w:eastAsia="zh-CN"/>
        </w:rPr>
        <w:t>广西中吉银工程项目管理有限公司</w:t>
      </w:r>
    </w:p>
    <w:p w14:paraId="1A6D858D">
      <w:pPr>
        <w:bidi w:val="0"/>
        <w:rPr>
          <w:color w:val="auto"/>
          <w:highlight w:val="none"/>
        </w:rPr>
      </w:pPr>
    </w:p>
    <w:p w14:paraId="2FD534ED">
      <w:pPr>
        <w:pStyle w:val="28"/>
        <w:rPr>
          <w:color w:val="auto"/>
        </w:rPr>
      </w:pPr>
    </w:p>
    <w:p w14:paraId="312DED43">
      <w:pPr>
        <w:ind w:firstLine="420"/>
        <w:rPr>
          <w:rFonts w:ascii="宋体" w:hAnsi="宋体" w:eastAsia="宋体" w:cs="宋体"/>
          <w:color w:val="auto"/>
          <w:highlight w:val="none"/>
        </w:rPr>
      </w:pPr>
    </w:p>
    <w:p w14:paraId="317CB5C4">
      <w:pPr>
        <w:pStyle w:val="15"/>
        <w:ind w:firstLine="0" w:firstLineChars="0"/>
        <w:jc w:val="center"/>
        <w:rPr>
          <w:rFonts w:hAnsi="宋体" w:cs="宋体"/>
          <w:b/>
          <w:color w:val="auto"/>
          <w:sz w:val="56"/>
          <w:szCs w:val="56"/>
          <w:highlight w:val="none"/>
        </w:rPr>
      </w:pPr>
      <w:r>
        <w:rPr>
          <w:rFonts w:hint="eastAsia" w:hAnsi="宋体" w:cs="宋体"/>
          <w:b/>
          <w:color w:val="auto"/>
          <w:sz w:val="56"/>
          <w:szCs w:val="56"/>
          <w:highlight w:val="none"/>
        </w:rPr>
        <w:t>竞争性</w:t>
      </w:r>
      <w:r>
        <w:rPr>
          <w:rFonts w:hint="eastAsia" w:hAnsi="宋体" w:cs="宋体"/>
          <w:b/>
          <w:color w:val="auto"/>
          <w:sz w:val="56"/>
          <w:szCs w:val="56"/>
          <w:highlight w:val="none"/>
          <w:lang w:eastAsia="zh-CN"/>
        </w:rPr>
        <w:t>谈判</w:t>
      </w:r>
      <w:r>
        <w:rPr>
          <w:rFonts w:hint="eastAsia" w:hAnsi="宋体" w:cs="宋体"/>
          <w:b/>
          <w:color w:val="auto"/>
          <w:sz w:val="56"/>
          <w:szCs w:val="56"/>
          <w:highlight w:val="none"/>
        </w:rPr>
        <w:t>文件</w:t>
      </w:r>
    </w:p>
    <w:p w14:paraId="1BD4BDB9">
      <w:pPr>
        <w:pStyle w:val="15"/>
        <w:ind w:firstLine="402"/>
        <w:rPr>
          <w:rFonts w:hAnsi="宋体" w:cs="宋体"/>
          <w:b/>
          <w:color w:val="auto"/>
          <w:highlight w:val="none"/>
        </w:rPr>
      </w:pPr>
    </w:p>
    <w:p w14:paraId="33EA967D">
      <w:pPr>
        <w:pStyle w:val="15"/>
        <w:ind w:firstLine="402"/>
        <w:rPr>
          <w:rFonts w:hAnsi="宋体" w:cs="宋体"/>
          <w:b/>
          <w:color w:val="auto"/>
          <w:highlight w:val="none"/>
        </w:rPr>
      </w:pPr>
    </w:p>
    <w:p w14:paraId="23FA456A">
      <w:pPr>
        <w:snapToGrid w:val="0"/>
        <w:spacing w:beforeLines="50"/>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（全流程电子化采购）</w:t>
      </w:r>
    </w:p>
    <w:p w14:paraId="3448DC9E">
      <w:pPr>
        <w:pStyle w:val="15"/>
        <w:ind w:firstLine="402"/>
        <w:rPr>
          <w:rFonts w:hAnsi="宋体" w:cs="宋体"/>
          <w:b/>
          <w:color w:val="auto"/>
          <w:highlight w:val="none"/>
        </w:rPr>
      </w:pPr>
    </w:p>
    <w:p w14:paraId="33FB4A0A">
      <w:pPr>
        <w:rPr>
          <w:rFonts w:ascii="宋体" w:hAnsi="宋体" w:eastAsia="宋体" w:cs="宋体"/>
          <w:b/>
          <w:color w:val="auto"/>
          <w:highlight w:val="none"/>
        </w:rPr>
      </w:pPr>
    </w:p>
    <w:p w14:paraId="164BE57F">
      <w:pPr>
        <w:pStyle w:val="18"/>
        <w:rPr>
          <w:rFonts w:ascii="宋体" w:hAnsi="宋体" w:eastAsia="宋体" w:cs="宋体"/>
          <w:b/>
          <w:color w:val="auto"/>
          <w:highlight w:val="none"/>
        </w:rPr>
      </w:pPr>
    </w:p>
    <w:p w14:paraId="3A965462">
      <w:pPr>
        <w:pStyle w:val="18"/>
        <w:jc w:val="center"/>
        <w:rPr>
          <w:rFonts w:ascii="宋体" w:hAnsi="宋体" w:eastAsia="宋体" w:cs="宋体"/>
          <w:b/>
          <w:color w:val="auto"/>
          <w:highlight w:val="none"/>
        </w:rPr>
      </w:pPr>
      <w:r>
        <w:rPr>
          <w:rFonts w:hint="eastAsia" w:ascii="宋体" w:hAnsi="宋体" w:eastAsia="宋体" w:cs="宋体"/>
          <w:color w:val="auto"/>
          <w:sz w:val="30"/>
          <w:szCs w:val="72"/>
          <w:highlight w:val="none"/>
          <w:lang w:eastAsia="zh-CN"/>
        </w:rPr>
        <w:drawing>
          <wp:inline distT="0" distB="0" distL="114300" distR="114300">
            <wp:extent cx="2158365" cy="2158365"/>
            <wp:effectExtent l="0" t="0" r="0" b="0"/>
            <wp:docPr id="2" name="图片 1" descr="ceb6a3e180d97727ba36d00d8913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eb6a3e180d97727ba36d00d8913d5a"/>
                    <pic:cNvPicPr>
                      <a:picLocks noChangeAspect="1"/>
                    </pic:cNvPicPr>
                  </pic:nvPicPr>
                  <pic:blipFill>
                    <a:blip r:embed="rId15"/>
                    <a:stretch>
                      <a:fillRect/>
                    </a:stretch>
                  </pic:blipFill>
                  <pic:spPr>
                    <a:xfrm>
                      <a:off x="0" y="0"/>
                      <a:ext cx="2158365" cy="2158365"/>
                    </a:xfrm>
                    <a:prstGeom prst="rect">
                      <a:avLst/>
                    </a:prstGeom>
                    <a:noFill/>
                    <a:ln>
                      <a:noFill/>
                    </a:ln>
                  </pic:spPr>
                </pic:pic>
              </a:graphicData>
            </a:graphic>
          </wp:inline>
        </w:drawing>
      </w:r>
    </w:p>
    <w:p w14:paraId="5E769266">
      <w:pPr>
        <w:pStyle w:val="18"/>
        <w:rPr>
          <w:rFonts w:ascii="宋体" w:hAnsi="宋体" w:eastAsia="宋体" w:cs="宋体"/>
          <w:b/>
          <w:color w:val="auto"/>
          <w:highlight w:val="none"/>
        </w:rPr>
      </w:pPr>
    </w:p>
    <w:p w14:paraId="265E77FF">
      <w:pPr>
        <w:pStyle w:val="15"/>
        <w:rPr>
          <w:rFonts w:hAnsi="宋体" w:cs="宋体"/>
          <w:b/>
          <w:color w:val="auto"/>
          <w:highlight w:val="none"/>
        </w:rPr>
      </w:pPr>
    </w:p>
    <w:p w14:paraId="0700D8DA">
      <w:pPr>
        <w:pStyle w:val="15"/>
        <w:spacing w:line="360" w:lineRule="auto"/>
        <w:ind w:firstLine="1200" w:firstLineChars="400"/>
        <w:jc w:val="both"/>
        <w:rPr>
          <w:rFonts w:hint="default" w:hAnsi="宋体" w:eastAsia="宋体" w:cs="宋体"/>
          <w:bCs/>
          <w:color w:val="auto"/>
          <w:sz w:val="30"/>
          <w:szCs w:val="72"/>
          <w:highlight w:val="none"/>
          <w:lang w:val="en-US" w:eastAsia="zh-CN"/>
        </w:rPr>
      </w:pPr>
      <w:r>
        <w:rPr>
          <w:rFonts w:hint="eastAsia" w:hAnsi="宋体" w:cs="宋体"/>
          <w:bCs/>
          <w:color w:val="auto"/>
          <w:sz w:val="30"/>
          <w:szCs w:val="72"/>
          <w:highlight w:val="none"/>
        </w:rPr>
        <w:t>项目名称：</w:t>
      </w:r>
      <w:r>
        <w:rPr>
          <w:rFonts w:hint="eastAsia" w:hAnsi="宋体" w:cs="宋体"/>
          <w:bCs/>
          <w:color w:val="auto"/>
          <w:sz w:val="30"/>
          <w:szCs w:val="72"/>
          <w:highlight w:val="none"/>
          <w:lang w:val="en-US" w:eastAsia="zh-CN"/>
        </w:rPr>
        <w:t>江南校区医疗服务采购</w:t>
      </w:r>
    </w:p>
    <w:p w14:paraId="6E641580">
      <w:pPr>
        <w:pStyle w:val="15"/>
        <w:ind w:firstLine="1200" w:firstLineChars="400"/>
        <w:rPr>
          <w:rFonts w:hint="eastAsia" w:hAnsi="宋体" w:eastAsia="宋体" w:cs="宋体"/>
          <w:bCs/>
          <w:color w:val="auto"/>
          <w:sz w:val="30"/>
          <w:szCs w:val="72"/>
          <w:highlight w:val="none"/>
          <w:lang w:val="en-US" w:eastAsia="zh-CN"/>
        </w:rPr>
      </w:pPr>
      <w:r>
        <w:rPr>
          <w:rFonts w:hint="eastAsia" w:hAnsi="宋体" w:cs="宋体"/>
          <w:bCs/>
          <w:color w:val="auto"/>
          <w:sz w:val="30"/>
          <w:szCs w:val="72"/>
          <w:highlight w:val="none"/>
        </w:rPr>
        <w:t>项目编号：</w:t>
      </w:r>
      <w:r>
        <w:rPr>
          <w:rFonts w:hint="eastAsia" w:hAnsi="宋体" w:cs="宋体"/>
          <w:bCs/>
          <w:color w:val="auto"/>
          <w:sz w:val="30"/>
          <w:szCs w:val="72"/>
          <w:highlight w:val="none"/>
          <w:lang w:val="en-US" w:eastAsia="zh-CN"/>
        </w:rPr>
        <w:t>GXZC2025-</w:t>
      </w:r>
      <w:bookmarkStart w:id="80" w:name="_GoBack"/>
      <w:r>
        <w:rPr>
          <w:rFonts w:hint="eastAsia" w:hAnsi="宋体" w:cs="宋体"/>
          <w:bCs/>
          <w:color w:val="auto"/>
          <w:sz w:val="30"/>
          <w:szCs w:val="72"/>
          <w:highlight w:val="none"/>
          <w:lang w:val="en-US" w:eastAsia="zh-CN"/>
        </w:rPr>
        <w:t>J3-002241</w:t>
      </w:r>
      <w:bookmarkEnd w:id="80"/>
      <w:r>
        <w:rPr>
          <w:rFonts w:hint="eastAsia" w:hAnsi="宋体" w:cs="宋体"/>
          <w:bCs/>
          <w:color w:val="auto"/>
          <w:sz w:val="30"/>
          <w:szCs w:val="72"/>
          <w:highlight w:val="none"/>
          <w:lang w:val="en-US" w:eastAsia="zh-CN"/>
        </w:rPr>
        <w:t>-GXZJ</w:t>
      </w:r>
    </w:p>
    <w:p w14:paraId="19017147">
      <w:pPr>
        <w:pStyle w:val="15"/>
        <w:ind w:firstLine="1200" w:firstLineChars="400"/>
        <w:jc w:val="both"/>
        <w:rPr>
          <w:rFonts w:hint="eastAsia" w:hAnsi="宋体" w:eastAsia="宋体" w:cs="宋体"/>
          <w:bCs/>
          <w:color w:val="auto"/>
          <w:sz w:val="30"/>
          <w:szCs w:val="72"/>
          <w:highlight w:val="none"/>
          <w:lang w:eastAsia="zh-CN"/>
        </w:rPr>
      </w:pPr>
      <w:r>
        <w:rPr>
          <w:rFonts w:hint="eastAsia" w:hAnsi="宋体" w:cs="宋体"/>
          <w:bCs/>
          <w:color w:val="auto"/>
          <w:sz w:val="30"/>
          <w:szCs w:val="72"/>
          <w:highlight w:val="none"/>
        </w:rPr>
        <w:t>采购人：</w:t>
      </w:r>
      <w:r>
        <w:rPr>
          <w:rFonts w:hint="eastAsia" w:hAnsi="宋体" w:cs="宋体"/>
          <w:bCs/>
          <w:color w:val="auto"/>
          <w:spacing w:val="-6"/>
          <w:sz w:val="30"/>
          <w:szCs w:val="72"/>
          <w:highlight w:val="none"/>
          <w:lang w:eastAsia="zh-CN"/>
        </w:rPr>
        <w:t>广西机电职业技术学院</w:t>
      </w:r>
    </w:p>
    <w:p w14:paraId="54890406">
      <w:pPr>
        <w:pStyle w:val="15"/>
        <w:ind w:firstLine="1200" w:firstLineChars="400"/>
        <w:jc w:val="both"/>
        <w:rPr>
          <w:rFonts w:hint="eastAsia" w:hAnsi="宋体" w:eastAsia="宋体" w:cs="宋体"/>
          <w:bCs/>
          <w:color w:val="auto"/>
          <w:sz w:val="30"/>
          <w:szCs w:val="72"/>
          <w:highlight w:val="none"/>
          <w:lang w:eastAsia="zh-CN"/>
        </w:rPr>
      </w:pPr>
      <w:r>
        <w:rPr>
          <w:rFonts w:hint="eastAsia" w:hAnsi="宋体" w:cs="宋体"/>
          <w:bCs/>
          <w:color w:val="auto"/>
          <w:sz w:val="30"/>
          <w:szCs w:val="72"/>
          <w:highlight w:val="none"/>
        </w:rPr>
        <w:t>采购代理机构：</w:t>
      </w:r>
      <w:r>
        <w:rPr>
          <w:rFonts w:hint="eastAsia" w:hAnsi="宋体" w:cs="宋体"/>
          <w:bCs/>
          <w:color w:val="auto"/>
          <w:sz w:val="30"/>
          <w:szCs w:val="72"/>
          <w:highlight w:val="none"/>
          <w:lang w:eastAsia="zh-CN"/>
        </w:rPr>
        <w:t>广西中吉银工程项目管理有限公司</w:t>
      </w:r>
    </w:p>
    <w:p w14:paraId="153A5C31">
      <w:pPr>
        <w:pStyle w:val="15"/>
        <w:ind w:firstLine="3300" w:firstLineChars="1100"/>
        <w:rPr>
          <w:rFonts w:hint="eastAsia" w:hAnsi="宋体" w:cs="宋体"/>
          <w:bCs/>
          <w:color w:val="auto"/>
          <w:sz w:val="30"/>
          <w:szCs w:val="72"/>
          <w:highlight w:val="none"/>
          <w:lang w:eastAsia="zh-CN"/>
        </w:rPr>
      </w:pPr>
    </w:p>
    <w:p w14:paraId="1CA17A6B">
      <w:pPr>
        <w:pStyle w:val="15"/>
        <w:ind w:firstLine="3300" w:firstLineChars="1100"/>
        <w:rPr>
          <w:rFonts w:hint="default" w:hAnsi="宋体" w:eastAsia="宋体" w:cs="宋体"/>
          <w:bCs/>
          <w:color w:val="auto"/>
          <w:sz w:val="30"/>
          <w:szCs w:val="72"/>
          <w:highlight w:val="none"/>
          <w:lang w:val="en-US" w:eastAsia="zh-CN"/>
        </w:rPr>
      </w:pPr>
      <w:r>
        <w:rPr>
          <w:rFonts w:hint="eastAsia" w:hAnsi="宋体" w:cs="宋体"/>
          <w:bCs/>
          <w:color w:val="auto"/>
          <w:sz w:val="30"/>
          <w:szCs w:val="72"/>
          <w:highlight w:val="none"/>
          <w:lang w:eastAsia="zh-CN"/>
        </w:rPr>
        <w:t>202</w:t>
      </w:r>
      <w:r>
        <w:rPr>
          <w:rFonts w:hint="eastAsia" w:hAnsi="宋体" w:cs="宋体"/>
          <w:bCs/>
          <w:color w:val="auto"/>
          <w:sz w:val="30"/>
          <w:szCs w:val="72"/>
          <w:highlight w:val="none"/>
          <w:lang w:val="en-US" w:eastAsia="zh-CN"/>
        </w:rPr>
        <w:t>5</w:t>
      </w:r>
      <w:r>
        <w:rPr>
          <w:rFonts w:hint="eastAsia" w:hAnsi="宋体" w:cs="宋体"/>
          <w:bCs/>
          <w:color w:val="auto"/>
          <w:sz w:val="30"/>
          <w:szCs w:val="72"/>
          <w:highlight w:val="none"/>
          <w:lang w:eastAsia="zh-CN"/>
        </w:rPr>
        <w:t>年</w:t>
      </w:r>
      <w:r>
        <w:rPr>
          <w:rFonts w:hint="eastAsia" w:hAnsi="宋体" w:cs="宋体"/>
          <w:bCs/>
          <w:color w:val="auto"/>
          <w:sz w:val="30"/>
          <w:szCs w:val="72"/>
          <w:highlight w:val="none"/>
          <w:lang w:val="en-US" w:eastAsia="zh-CN"/>
        </w:rPr>
        <w:t>8</w:t>
      </w:r>
      <w:r>
        <w:rPr>
          <w:rFonts w:hint="eastAsia" w:hAnsi="宋体" w:cs="宋体"/>
          <w:bCs/>
          <w:color w:val="auto"/>
          <w:sz w:val="30"/>
          <w:szCs w:val="72"/>
          <w:highlight w:val="none"/>
        </w:rPr>
        <w:t>月</w:t>
      </w:r>
      <w:r>
        <w:rPr>
          <w:rFonts w:hint="eastAsia" w:hAnsi="宋体" w:cs="宋体"/>
          <w:bCs/>
          <w:color w:val="auto"/>
          <w:sz w:val="30"/>
          <w:szCs w:val="72"/>
          <w:highlight w:val="none"/>
          <w:lang w:val="en-US" w:eastAsia="zh-CN"/>
        </w:rPr>
        <w:t>4日</w:t>
      </w:r>
    </w:p>
    <w:p w14:paraId="775914BE">
      <w:pPr>
        <w:ind w:firstLine="574"/>
        <w:rPr>
          <w:rFonts w:ascii="宋体" w:hAnsi="宋体" w:eastAsia="宋体" w:cs="宋体"/>
          <w:b/>
          <w:bCs/>
          <w:color w:val="auto"/>
          <w:w w:val="95"/>
          <w:kern w:val="0"/>
          <w:sz w:val="30"/>
          <w:szCs w:val="30"/>
          <w:highlight w:val="none"/>
          <w:lang w:val="zh-CN"/>
        </w:rPr>
        <w:sectPr>
          <w:headerReference r:id="rId4" w:type="first"/>
          <w:footerReference r:id="rId7" w:type="first"/>
          <w:footerReference r:id="rId5" w:type="default"/>
          <w:headerReference r:id="rId3" w:type="even"/>
          <w:footerReference r:id="rId6" w:type="even"/>
          <w:pgSz w:w="11906" w:h="16838"/>
          <w:pgMar w:top="1440" w:right="1440" w:bottom="1440" w:left="1440" w:header="851" w:footer="992" w:gutter="0"/>
          <w:cols w:space="720" w:num="1"/>
          <w:docGrid w:type="lines" w:linePitch="312" w:charSpace="0"/>
        </w:sectPr>
      </w:pPr>
    </w:p>
    <w:p w14:paraId="0F7D7E1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5A7595A">
      <w:pPr>
        <w:spacing w:line="400" w:lineRule="exact"/>
        <w:jc w:val="center"/>
        <w:rPr>
          <w:rFonts w:ascii="宋体" w:hAnsi="宋体"/>
          <w:b/>
          <w:color w:val="auto"/>
          <w:sz w:val="44"/>
          <w:szCs w:val="44"/>
          <w:highlight w:val="none"/>
        </w:rPr>
      </w:pPr>
    </w:p>
    <w:p w14:paraId="48264279">
      <w:pPr>
        <w:pStyle w:val="20"/>
        <w:tabs>
          <w:tab w:val="right" w:leader="dot" w:pos="8869"/>
        </w:tabs>
        <w:rPr>
          <w:rFonts w:asciiTheme="minorHAnsi" w:hAnsiTheme="minorHAnsi" w:eastAsiaTheme="minorEastAsia" w:cstheme="minorBidi"/>
          <w:color w:val="auto"/>
          <w:sz w:val="28"/>
          <w:szCs w:val="28"/>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w:instrText>
      </w:r>
      <w:r>
        <w:rPr>
          <w:rFonts w:hint="eastAsia" w:ascii="宋体" w:hAnsi="宋体"/>
          <w:b/>
          <w:color w:val="auto"/>
          <w:sz w:val="28"/>
          <w:szCs w:val="28"/>
          <w:highlight w:val="none"/>
        </w:rPr>
        <w:instrText xml:space="preserve">TOC \o "1-3" \h \z \u</w:instrText>
      </w:r>
      <w:r>
        <w:rPr>
          <w:rFonts w:ascii="宋体" w:hAnsi="宋体"/>
          <w:b/>
          <w:color w:val="auto"/>
          <w:sz w:val="28"/>
          <w:szCs w:val="28"/>
          <w:highlight w:val="none"/>
        </w:rPr>
        <w:instrText xml:space="preserve"> </w:instrText>
      </w:r>
      <w:r>
        <w:rPr>
          <w:rFonts w:ascii="宋体" w:hAnsi="宋体"/>
          <w:b/>
          <w:color w:val="auto"/>
          <w:sz w:val="28"/>
          <w:szCs w:val="28"/>
          <w:highlight w:val="none"/>
        </w:rPr>
        <w:fldChar w:fldCharType="separate"/>
      </w:r>
      <w:r>
        <w:rPr>
          <w:color w:val="auto"/>
          <w:sz w:val="20"/>
          <w:szCs w:val="22"/>
          <w:highlight w:val="none"/>
        </w:rPr>
        <w:fldChar w:fldCharType="begin"/>
      </w:r>
      <w:r>
        <w:rPr>
          <w:color w:val="auto"/>
          <w:sz w:val="20"/>
          <w:szCs w:val="22"/>
          <w:highlight w:val="none"/>
        </w:rPr>
        <w:instrText xml:space="preserve"> HYPERLINK \l "_Toc129703548" </w:instrText>
      </w:r>
      <w:r>
        <w:rPr>
          <w:color w:val="auto"/>
          <w:sz w:val="20"/>
          <w:szCs w:val="22"/>
          <w:highlight w:val="none"/>
        </w:rPr>
        <w:fldChar w:fldCharType="separate"/>
      </w:r>
      <w:r>
        <w:rPr>
          <w:rStyle w:val="33"/>
          <w:rFonts w:hint="eastAsia"/>
          <w:color w:val="auto"/>
          <w:sz w:val="28"/>
          <w:szCs w:val="28"/>
          <w:highlight w:val="none"/>
        </w:rPr>
        <w:t>第一章</w:t>
      </w:r>
      <w:r>
        <w:rPr>
          <w:rStyle w:val="33"/>
          <w:color w:val="auto"/>
          <w:sz w:val="28"/>
          <w:szCs w:val="28"/>
          <w:highlight w:val="none"/>
        </w:rPr>
        <w:t xml:space="preserve"> </w:t>
      </w:r>
      <w:r>
        <w:rPr>
          <w:rStyle w:val="33"/>
          <w:rFonts w:hint="eastAsia"/>
          <w:color w:val="auto"/>
          <w:sz w:val="28"/>
          <w:szCs w:val="28"/>
          <w:highlight w:val="none"/>
        </w:rPr>
        <w:t>竞争性谈判公告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_Toc129703548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662B4C63">
      <w:pPr>
        <w:pStyle w:val="20"/>
        <w:tabs>
          <w:tab w:val="right" w:leader="dot" w:pos="8869"/>
        </w:tabs>
        <w:rPr>
          <w:rFonts w:asciiTheme="minorHAnsi" w:hAnsiTheme="minorHAnsi" w:eastAsiaTheme="minorEastAsia" w:cstheme="minorBidi"/>
          <w:color w:val="auto"/>
          <w:sz w:val="28"/>
          <w:szCs w:val="28"/>
          <w:highlight w:val="none"/>
        </w:rPr>
      </w:pPr>
      <w:r>
        <w:rPr>
          <w:color w:val="auto"/>
          <w:sz w:val="20"/>
          <w:szCs w:val="22"/>
          <w:highlight w:val="none"/>
        </w:rPr>
        <w:fldChar w:fldCharType="begin"/>
      </w:r>
      <w:r>
        <w:rPr>
          <w:color w:val="auto"/>
          <w:sz w:val="20"/>
          <w:szCs w:val="22"/>
          <w:highlight w:val="none"/>
        </w:rPr>
        <w:instrText xml:space="preserve"> HYPERLINK \l "_Toc129703549" </w:instrText>
      </w:r>
      <w:r>
        <w:rPr>
          <w:color w:val="auto"/>
          <w:sz w:val="20"/>
          <w:szCs w:val="22"/>
          <w:highlight w:val="none"/>
        </w:rPr>
        <w:fldChar w:fldCharType="separate"/>
      </w:r>
      <w:r>
        <w:rPr>
          <w:rStyle w:val="33"/>
          <w:rFonts w:hint="eastAsia"/>
          <w:color w:val="auto"/>
          <w:sz w:val="28"/>
          <w:szCs w:val="28"/>
          <w:highlight w:val="none"/>
        </w:rPr>
        <w:t>第二章</w:t>
      </w:r>
      <w:r>
        <w:rPr>
          <w:rStyle w:val="33"/>
          <w:color w:val="auto"/>
          <w:sz w:val="28"/>
          <w:szCs w:val="28"/>
          <w:highlight w:val="none"/>
        </w:rPr>
        <w:t xml:space="preserve"> </w:t>
      </w:r>
      <w:r>
        <w:rPr>
          <w:rStyle w:val="33"/>
          <w:rFonts w:hint="eastAsia"/>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_Toc129703549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125914D5">
      <w:pPr>
        <w:pStyle w:val="20"/>
        <w:tabs>
          <w:tab w:val="right" w:leader="dot" w:pos="8869"/>
        </w:tabs>
        <w:rPr>
          <w:rFonts w:asciiTheme="minorHAnsi" w:hAnsiTheme="minorHAnsi" w:eastAsiaTheme="minorEastAsia" w:cstheme="minorBidi"/>
          <w:color w:val="auto"/>
          <w:sz w:val="28"/>
          <w:szCs w:val="28"/>
          <w:highlight w:val="none"/>
        </w:rPr>
      </w:pPr>
      <w:r>
        <w:rPr>
          <w:color w:val="auto"/>
          <w:sz w:val="20"/>
          <w:szCs w:val="22"/>
          <w:highlight w:val="none"/>
        </w:rPr>
        <w:fldChar w:fldCharType="begin"/>
      </w:r>
      <w:r>
        <w:rPr>
          <w:color w:val="auto"/>
          <w:sz w:val="20"/>
          <w:szCs w:val="22"/>
          <w:highlight w:val="none"/>
        </w:rPr>
        <w:instrText xml:space="preserve"> HYPERLINK \l "_Toc129703550" </w:instrText>
      </w:r>
      <w:r>
        <w:rPr>
          <w:color w:val="auto"/>
          <w:sz w:val="20"/>
          <w:szCs w:val="22"/>
          <w:highlight w:val="none"/>
        </w:rPr>
        <w:fldChar w:fldCharType="separate"/>
      </w:r>
      <w:r>
        <w:rPr>
          <w:rStyle w:val="33"/>
          <w:rFonts w:hint="eastAsia"/>
          <w:color w:val="auto"/>
          <w:sz w:val="28"/>
          <w:szCs w:val="28"/>
          <w:highlight w:val="none"/>
        </w:rPr>
        <w:t>第三章</w:t>
      </w:r>
      <w:r>
        <w:rPr>
          <w:rStyle w:val="33"/>
          <w:color w:val="auto"/>
          <w:sz w:val="28"/>
          <w:szCs w:val="28"/>
          <w:highlight w:val="none"/>
        </w:rPr>
        <w:t xml:space="preserve"> </w:t>
      </w:r>
      <w:r>
        <w:rPr>
          <w:rStyle w:val="33"/>
          <w:rFonts w:hint="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_Toc129703550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77F23805">
      <w:pPr>
        <w:pStyle w:val="20"/>
        <w:tabs>
          <w:tab w:val="right" w:leader="dot" w:pos="8869"/>
        </w:tabs>
        <w:rPr>
          <w:rFonts w:asciiTheme="minorHAnsi" w:hAnsiTheme="minorHAnsi" w:eastAsiaTheme="minorEastAsia" w:cstheme="minorBidi"/>
          <w:color w:val="auto"/>
          <w:sz w:val="28"/>
          <w:szCs w:val="28"/>
          <w:highlight w:val="none"/>
        </w:rPr>
      </w:pPr>
      <w:r>
        <w:rPr>
          <w:color w:val="auto"/>
          <w:sz w:val="20"/>
          <w:szCs w:val="22"/>
          <w:highlight w:val="none"/>
        </w:rPr>
        <w:fldChar w:fldCharType="begin"/>
      </w:r>
      <w:r>
        <w:rPr>
          <w:color w:val="auto"/>
          <w:sz w:val="20"/>
          <w:szCs w:val="22"/>
          <w:highlight w:val="none"/>
        </w:rPr>
        <w:instrText xml:space="preserve"> HYPERLINK \l "_Toc129703551" </w:instrText>
      </w:r>
      <w:r>
        <w:rPr>
          <w:color w:val="auto"/>
          <w:sz w:val="20"/>
          <w:szCs w:val="22"/>
          <w:highlight w:val="none"/>
        </w:rPr>
        <w:fldChar w:fldCharType="separate"/>
      </w:r>
      <w:r>
        <w:rPr>
          <w:rStyle w:val="33"/>
          <w:rFonts w:hint="eastAsia" w:ascii="宋体" w:hAnsi="宋体" w:cs="宋体"/>
          <w:color w:val="auto"/>
          <w:sz w:val="28"/>
          <w:szCs w:val="28"/>
          <w:highlight w:val="none"/>
        </w:rPr>
        <w:t>第四章</w:t>
      </w:r>
      <w:r>
        <w:rPr>
          <w:rStyle w:val="33"/>
          <w:rFonts w:ascii="宋体" w:hAnsi="宋体" w:cs="宋体"/>
          <w:color w:val="auto"/>
          <w:sz w:val="28"/>
          <w:szCs w:val="28"/>
          <w:highlight w:val="none"/>
        </w:rPr>
        <w:t xml:space="preserve"> </w:t>
      </w:r>
      <w:r>
        <w:rPr>
          <w:rStyle w:val="33"/>
          <w:rFonts w:hint="eastAsia" w:ascii="宋体" w:hAnsi="宋体" w:cs="宋体"/>
          <w:color w:val="auto"/>
          <w:sz w:val="28"/>
          <w:szCs w:val="28"/>
          <w:highlight w:val="none"/>
        </w:rPr>
        <w:t>评审程序和评定成交的标准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_Toc129703551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44CE39F4">
      <w:pPr>
        <w:pStyle w:val="20"/>
        <w:tabs>
          <w:tab w:val="right" w:leader="dot" w:pos="8869"/>
        </w:tabs>
        <w:rPr>
          <w:rFonts w:asciiTheme="minorHAnsi" w:hAnsiTheme="minorHAnsi" w:eastAsiaTheme="minorEastAsia" w:cstheme="minorBidi"/>
          <w:color w:val="auto"/>
          <w:sz w:val="28"/>
          <w:szCs w:val="28"/>
          <w:highlight w:val="none"/>
        </w:rPr>
      </w:pPr>
      <w:r>
        <w:rPr>
          <w:color w:val="auto"/>
          <w:sz w:val="20"/>
          <w:szCs w:val="22"/>
          <w:highlight w:val="none"/>
        </w:rPr>
        <w:fldChar w:fldCharType="begin"/>
      </w:r>
      <w:r>
        <w:rPr>
          <w:color w:val="auto"/>
          <w:sz w:val="20"/>
          <w:szCs w:val="22"/>
          <w:highlight w:val="none"/>
        </w:rPr>
        <w:instrText xml:space="preserve"> HYPERLINK \l "_Toc129703552" </w:instrText>
      </w:r>
      <w:r>
        <w:rPr>
          <w:color w:val="auto"/>
          <w:sz w:val="20"/>
          <w:szCs w:val="22"/>
          <w:highlight w:val="none"/>
        </w:rPr>
        <w:fldChar w:fldCharType="separate"/>
      </w:r>
      <w:r>
        <w:rPr>
          <w:rStyle w:val="33"/>
          <w:rFonts w:hint="eastAsia" w:ascii="宋体" w:hAnsi="宋体" w:cs="宋体"/>
          <w:color w:val="auto"/>
          <w:sz w:val="28"/>
          <w:szCs w:val="28"/>
          <w:highlight w:val="none"/>
        </w:rPr>
        <w:t>第五章</w:t>
      </w:r>
      <w:r>
        <w:rPr>
          <w:rStyle w:val="33"/>
          <w:rFonts w:ascii="宋体" w:hAnsi="宋体" w:cs="宋体"/>
          <w:color w:val="auto"/>
          <w:sz w:val="28"/>
          <w:szCs w:val="28"/>
          <w:highlight w:val="none"/>
        </w:rPr>
        <w:t xml:space="preserve"> </w:t>
      </w:r>
      <w:r>
        <w:rPr>
          <w:rStyle w:val="33"/>
          <w:rFonts w:hint="eastAsia" w:ascii="宋体" w:hAnsi="宋体" w:cs="宋体"/>
          <w:color w:val="auto"/>
          <w:sz w:val="28"/>
          <w:szCs w:val="28"/>
          <w:highlight w:val="no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_Toc129703552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43D1625F">
      <w:pPr>
        <w:pStyle w:val="20"/>
        <w:tabs>
          <w:tab w:val="right" w:leader="dot" w:pos="8869"/>
        </w:tabs>
        <w:rPr>
          <w:rFonts w:asciiTheme="minorHAnsi" w:hAnsiTheme="minorHAnsi" w:eastAsiaTheme="minorEastAsia" w:cstheme="minorBidi"/>
          <w:color w:val="auto"/>
          <w:sz w:val="28"/>
          <w:szCs w:val="28"/>
          <w:highlight w:val="none"/>
        </w:rPr>
      </w:pPr>
      <w:r>
        <w:rPr>
          <w:color w:val="auto"/>
          <w:sz w:val="20"/>
          <w:szCs w:val="22"/>
          <w:highlight w:val="none"/>
        </w:rPr>
        <w:fldChar w:fldCharType="begin"/>
      </w:r>
      <w:r>
        <w:rPr>
          <w:color w:val="auto"/>
          <w:sz w:val="20"/>
          <w:szCs w:val="22"/>
          <w:highlight w:val="none"/>
        </w:rPr>
        <w:instrText xml:space="preserve"> HYPERLINK \l "_Toc129703553" </w:instrText>
      </w:r>
      <w:r>
        <w:rPr>
          <w:color w:val="auto"/>
          <w:sz w:val="20"/>
          <w:szCs w:val="22"/>
          <w:highlight w:val="none"/>
        </w:rPr>
        <w:fldChar w:fldCharType="separate"/>
      </w:r>
      <w:r>
        <w:rPr>
          <w:rStyle w:val="33"/>
          <w:rFonts w:hint="eastAsia" w:ascii="宋体" w:hAnsi="宋体" w:cs="宋体"/>
          <w:color w:val="auto"/>
          <w:sz w:val="28"/>
          <w:szCs w:val="28"/>
          <w:highlight w:val="none"/>
        </w:rPr>
        <w:t>第六章</w:t>
      </w:r>
      <w:r>
        <w:rPr>
          <w:rStyle w:val="33"/>
          <w:rFonts w:ascii="宋体" w:hAnsi="宋体" w:cs="宋体"/>
          <w:color w:val="auto"/>
          <w:sz w:val="28"/>
          <w:szCs w:val="28"/>
          <w:highlight w:val="none"/>
        </w:rPr>
        <w:t xml:space="preserve"> </w:t>
      </w:r>
      <w:r>
        <w:rPr>
          <w:rStyle w:val="33"/>
          <w:rFonts w:hint="eastAsia" w:ascii="宋体" w:hAnsi="宋体" w:cs="宋体"/>
          <w:color w:val="auto"/>
          <w:sz w:val="28"/>
          <w:szCs w:val="28"/>
          <w:highlight w:val="none"/>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_Toc129703553 \h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color w:val="auto"/>
          <w:sz w:val="28"/>
          <w:szCs w:val="28"/>
          <w:highlight w:val="none"/>
        </w:rPr>
        <w:fldChar w:fldCharType="end"/>
      </w:r>
    </w:p>
    <w:p w14:paraId="11DC7856">
      <w:pPr>
        <w:pStyle w:val="21"/>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8"/>
          <w:szCs w:val="28"/>
          <w:highlight w:val="none"/>
        </w:rPr>
        <w:fldChar w:fldCharType="end"/>
      </w:r>
    </w:p>
    <w:p w14:paraId="0288578C">
      <w:pPr>
        <w:spacing w:line="400" w:lineRule="exact"/>
        <w:jc w:val="left"/>
        <w:rPr>
          <w:rFonts w:ascii="宋体" w:hAnsi="宋体"/>
          <w:b/>
          <w:color w:val="auto"/>
          <w:sz w:val="32"/>
          <w:szCs w:val="32"/>
          <w:highlight w:val="none"/>
        </w:rPr>
      </w:pPr>
    </w:p>
    <w:p w14:paraId="4AF38001">
      <w:pPr>
        <w:spacing w:line="400" w:lineRule="exact"/>
        <w:jc w:val="center"/>
        <w:rPr>
          <w:rFonts w:ascii="宋体" w:hAnsi="宋体"/>
          <w:b/>
          <w:color w:val="auto"/>
          <w:sz w:val="32"/>
          <w:szCs w:val="32"/>
          <w:highlight w:val="none"/>
        </w:rPr>
      </w:pPr>
    </w:p>
    <w:p w14:paraId="68027778">
      <w:pPr>
        <w:spacing w:line="400" w:lineRule="exact"/>
        <w:jc w:val="center"/>
        <w:rPr>
          <w:rFonts w:ascii="宋体" w:hAnsi="宋体"/>
          <w:b/>
          <w:color w:val="auto"/>
          <w:sz w:val="32"/>
          <w:szCs w:val="32"/>
          <w:highlight w:val="none"/>
        </w:rPr>
      </w:pPr>
    </w:p>
    <w:p w14:paraId="4ED3A667">
      <w:pPr>
        <w:spacing w:line="400" w:lineRule="exact"/>
        <w:jc w:val="center"/>
        <w:rPr>
          <w:rFonts w:ascii="宋体" w:hAnsi="宋体"/>
          <w:b/>
          <w:color w:val="auto"/>
          <w:sz w:val="32"/>
          <w:szCs w:val="32"/>
          <w:highlight w:val="none"/>
        </w:rPr>
      </w:pPr>
    </w:p>
    <w:p w14:paraId="7589737F">
      <w:pPr>
        <w:spacing w:line="400" w:lineRule="exact"/>
        <w:jc w:val="center"/>
        <w:rPr>
          <w:rFonts w:ascii="宋体" w:hAnsi="宋体"/>
          <w:b/>
          <w:color w:val="auto"/>
          <w:sz w:val="32"/>
          <w:szCs w:val="32"/>
          <w:highlight w:val="none"/>
        </w:rPr>
      </w:pPr>
    </w:p>
    <w:p w14:paraId="1E67F5CC">
      <w:pPr>
        <w:spacing w:line="400" w:lineRule="exact"/>
        <w:rPr>
          <w:rFonts w:ascii="宋体" w:hAnsi="宋体"/>
          <w:b/>
          <w:color w:val="auto"/>
          <w:sz w:val="32"/>
          <w:szCs w:val="32"/>
          <w:highlight w:val="none"/>
        </w:rPr>
        <w:sectPr>
          <w:headerReference r:id="rId9" w:type="first"/>
          <w:footerReference r:id="rId11" w:type="first"/>
          <w:headerReference r:id="rId8" w:type="default"/>
          <w:footerReference r:id="rId10" w:type="default"/>
          <w:pgSz w:w="11906" w:h="16838"/>
          <w:pgMar w:top="1440" w:right="1440" w:bottom="1440" w:left="1587" w:header="851" w:footer="992" w:gutter="0"/>
          <w:pgNumType w:start="0"/>
          <w:cols w:space="720" w:num="1"/>
          <w:titlePg/>
          <w:docGrid w:type="lines" w:linePitch="312" w:charSpace="0"/>
        </w:sectPr>
      </w:pPr>
    </w:p>
    <w:p w14:paraId="324CBC18">
      <w:pPr>
        <w:pStyle w:val="2"/>
        <w:spacing w:after="100" w:line="480" w:lineRule="auto"/>
        <w:jc w:val="center"/>
        <w:rPr>
          <w:color w:val="auto"/>
          <w:highlight w:val="none"/>
        </w:rPr>
      </w:pPr>
      <w:bookmarkStart w:id="0" w:name="_Toc129703548"/>
      <w:r>
        <w:rPr>
          <w:rFonts w:hint="eastAsia"/>
          <w:color w:val="auto"/>
          <w:highlight w:val="none"/>
        </w:rPr>
        <w:t>第一章 竞争性谈判公告</w:t>
      </w:r>
      <w:bookmarkEnd w:id="0"/>
    </w:p>
    <w:p w14:paraId="2E7E65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 w:val="28"/>
          <w:szCs w:val="28"/>
          <w:highlight w:val="none"/>
        </w:rPr>
      </w:pPr>
      <w:r>
        <w:rPr>
          <w:rFonts w:hint="eastAsia" w:ascii="宋体" w:hAnsi="宋体"/>
          <w:b/>
          <w:bCs/>
          <w:color w:val="auto"/>
          <w:sz w:val="28"/>
          <w:szCs w:val="28"/>
          <w:highlight w:val="none"/>
          <w:lang w:eastAsia="zh-CN"/>
        </w:rPr>
        <w:t>广西中吉银工程项目管理有限公司关于江南校区医疗服务</w:t>
      </w:r>
      <w:r>
        <w:rPr>
          <w:rFonts w:hint="eastAsia" w:ascii="宋体" w:hAnsi="宋体"/>
          <w:b/>
          <w:bCs/>
          <w:color w:val="auto"/>
          <w:sz w:val="28"/>
          <w:szCs w:val="28"/>
          <w:highlight w:val="none"/>
          <w:lang w:val="en-US" w:eastAsia="zh-CN"/>
        </w:rPr>
        <w:t>采购</w:t>
      </w:r>
      <w:r>
        <w:rPr>
          <w:rFonts w:hint="eastAsia" w:ascii="宋体" w:hAnsi="宋体"/>
          <w:b/>
          <w:bCs/>
          <w:color w:val="auto"/>
          <w:sz w:val="28"/>
          <w:szCs w:val="28"/>
          <w:highlight w:val="none"/>
          <w:lang w:eastAsia="zh-CN"/>
        </w:rPr>
        <w:t>（GXZC2025-J3-002241-GXZJ）的</w:t>
      </w:r>
      <w:r>
        <w:rPr>
          <w:rFonts w:hint="eastAsia" w:ascii="宋体" w:hAnsi="宋体"/>
          <w:b/>
          <w:bCs/>
          <w:color w:val="auto"/>
          <w:sz w:val="28"/>
          <w:szCs w:val="28"/>
          <w:highlight w:val="none"/>
        </w:rPr>
        <w:t>竞争性谈判公告</w:t>
      </w:r>
    </w:p>
    <w:p w14:paraId="48BF3E7E">
      <w:pPr>
        <w:spacing w:line="360" w:lineRule="auto"/>
        <w:rPr>
          <w:rFonts w:ascii="宋体" w:hAnsi="宋体"/>
          <w:color w:val="auto"/>
          <w:szCs w:val="21"/>
          <w:highlight w:val="none"/>
        </w:rPr>
      </w:pPr>
    </w:p>
    <w:p w14:paraId="0F68B8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7A1F8B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eastAsia="zh-CN"/>
        </w:rPr>
        <w:t>江南校区医疗服务</w:t>
      </w:r>
      <w:r>
        <w:rPr>
          <w:rFonts w:hint="eastAsia" w:ascii="宋体" w:hAnsi="宋体"/>
          <w:color w:val="auto"/>
          <w:szCs w:val="21"/>
          <w:highlight w:val="none"/>
          <w:u w:val="single"/>
          <w:lang w:val="en-US" w:eastAsia="zh-CN"/>
        </w:rPr>
        <w:t>采购</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）获取竞争性谈判文件，并于</w:t>
      </w:r>
      <w:r>
        <w:rPr>
          <w:rFonts w:hint="eastAsia" w:ascii="宋体" w:hAnsi="宋体"/>
          <w:color w:val="auto"/>
          <w:szCs w:val="21"/>
          <w:highlight w:val="none"/>
          <w:u w:val="single"/>
          <w:lang w:eastAsia="zh-CN"/>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lang w:eastAsia="zh-CN"/>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00</w:t>
      </w:r>
      <w:r>
        <w:rPr>
          <w:rFonts w:hint="eastAsia" w:ascii="宋体" w:hAnsi="宋体"/>
          <w:bCs/>
          <w:color w:val="auto"/>
          <w:szCs w:val="21"/>
          <w:highlight w:val="none"/>
          <w:u w:val="none"/>
        </w:rPr>
        <w:t>（</w:t>
      </w:r>
      <w:r>
        <w:rPr>
          <w:rFonts w:hint="eastAsia" w:ascii="宋体" w:hAnsi="宋体"/>
          <w:bCs/>
          <w:color w:val="auto"/>
          <w:szCs w:val="21"/>
          <w:highlight w:val="none"/>
        </w:rPr>
        <w:t>北京时间）前提交</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36A25DA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highlight w:val="none"/>
        </w:rPr>
      </w:pPr>
      <w:bookmarkStart w:id="2" w:name="_Toc71366040"/>
      <w:bookmarkStart w:id="3" w:name="_Toc35393798"/>
      <w:bookmarkStart w:id="4" w:name="_Toc35393629"/>
      <w:bookmarkStart w:id="5" w:name="_Toc71365362"/>
      <w:bookmarkStart w:id="6" w:name="_Toc28359089"/>
      <w:bookmarkStart w:id="7" w:name="_Toc28359012"/>
      <w:r>
        <w:rPr>
          <w:rFonts w:hint="eastAsia" w:ascii="宋体" w:hAnsi="宋体" w:eastAsia="宋体" w:cs="宋体"/>
          <w:b/>
          <w:bCs/>
          <w:color w:val="auto"/>
          <w:sz w:val="24"/>
          <w:highlight w:val="none"/>
        </w:rPr>
        <w:t>一、项目基本情况</w:t>
      </w:r>
      <w:bookmarkEnd w:id="2"/>
      <w:bookmarkEnd w:id="3"/>
      <w:bookmarkEnd w:id="4"/>
      <w:bookmarkEnd w:id="5"/>
      <w:bookmarkEnd w:id="6"/>
      <w:bookmarkEnd w:id="7"/>
    </w:p>
    <w:p w14:paraId="211E561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项目编号：GXZC2025-J3-002241-GXZJ   </w:t>
      </w:r>
      <w:bookmarkStart w:id="8" w:name="OLE_LINK3"/>
    </w:p>
    <w:bookmarkEnd w:id="8"/>
    <w:p w14:paraId="12B9B8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江南校区医疗服务</w:t>
      </w:r>
      <w:r>
        <w:rPr>
          <w:rFonts w:hint="eastAsia" w:ascii="宋体" w:hAnsi="宋体"/>
          <w:color w:val="auto"/>
          <w:szCs w:val="21"/>
          <w:highlight w:val="none"/>
          <w:lang w:val="en-US" w:eastAsia="zh-CN"/>
        </w:rPr>
        <w:t>采购</w:t>
      </w:r>
    </w:p>
    <w:p w14:paraId="258217B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采购方式：竞争性谈判</w:t>
      </w:r>
    </w:p>
    <w:p w14:paraId="13F92BC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预算</w:t>
      </w:r>
      <w:r>
        <w:rPr>
          <w:rFonts w:hint="eastAsia" w:ascii="宋体" w:hAnsi="宋体"/>
          <w:color w:val="auto"/>
          <w:szCs w:val="21"/>
          <w:highlight w:val="none"/>
          <w:lang w:val="en-US" w:eastAsia="zh-CN"/>
        </w:rPr>
        <w:t>总</w:t>
      </w:r>
      <w:r>
        <w:rPr>
          <w:rFonts w:hint="eastAsia" w:ascii="宋体" w:hAnsi="宋体"/>
          <w:color w:val="auto"/>
          <w:szCs w:val="21"/>
          <w:highlight w:val="none"/>
        </w:rPr>
        <w:t>金额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rPr>
        <w:t>：</w:t>
      </w:r>
      <w:r>
        <w:rPr>
          <w:rFonts w:hint="eastAsia" w:ascii="宋体" w:hAnsi="宋体"/>
          <w:iCs/>
          <w:color w:val="auto"/>
          <w:szCs w:val="21"/>
          <w:highlight w:val="none"/>
          <w:u w:val="none"/>
          <w:lang w:val="en-US" w:eastAsia="zh-CN"/>
        </w:rPr>
        <w:t>1200000.00</w:t>
      </w:r>
    </w:p>
    <w:p w14:paraId="1DD5744F">
      <w:pPr>
        <w:keepNext w:val="0"/>
        <w:pageBreakBefore w:val="0"/>
        <w:widowControl/>
        <w:kinsoku/>
        <w:overflowPunct/>
        <w:topLinePunct w:val="0"/>
        <w:autoSpaceDE/>
        <w:autoSpaceDN/>
        <w:bidi w:val="0"/>
        <w:adjustRightInd w:val="0"/>
        <w:snapToGrid w:val="0"/>
        <w:spacing w:line="400" w:lineRule="exact"/>
        <w:ind w:firstLine="420" w:firstLineChars="200"/>
        <w:jc w:val="left"/>
        <w:textAlignment w:val="auto"/>
        <w:rPr>
          <w:rFonts w:ascii="宋体" w:hAnsi="宋体" w:cs="宋体"/>
          <w:color w:val="auto"/>
          <w:kern w:val="0"/>
          <w:szCs w:val="21"/>
        </w:rPr>
      </w:pPr>
      <w:r>
        <w:rPr>
          <w:rFonts w:ascii="宋体" w:hAnsi="宋体" w:cs="宋体"/>
          <w:color w:val="auto"/>
          <w:kern w:val="0"/>
          <w:szCs w:val="21"/>
        </w:rPr>
        <w:t>采购需求：</w:t>
      </w:r>
    </w:p>
    <w:p w14:paraId="5F80F40B">
      <w:pPr>
        <w:keepNext w:val="0"/>
        <w:pageBreakBefore w:val="0"/>
        <w:kinsoku/>
        <w:overflowPunct/>
        <w:topLinePunct w:val="0"/>
        <w:autoSpaceDE/>
        <w:autoSpaceDN/>
        <w:bidi w:val="0"/>
        <w:spacing w:line="400" w:lineRule="exact"/>
        <w:ind w:left="420" w:leftChars="200"/>
        <w:textAlignment w:val="auto"/>
        <w:rPr>
          <w:rFonts w:ascii="宋体" w:hAnsi="宋体" w:cs="宋体"/>
          <w:color w:val="auto"/>
          <w:kern w:val="0"/>
          <w:szCs w:val="21"/>
        </w:rPr>
      </w:pPr>
    </w:p>
    <w:p w14:paraId="4ECE2FD2">
      <w:pPr>
        <w:keepNext w:val="0"/>
        <w:pageBreakBefore w:val="0"/>
        <w:kinsoku/>
        <w:overflowPunct/>
        <w:topLinePunct w:val="0"/>
        <w:autoSpaceDE/>
        <w:autoSpaceDN/>
        <w:bidi w:val="0"/>
        <w:spacing w:line="400" w:lineRule="exact"/>
        <w:ind w:left="420" w:leftChars="200"/>
        <w:textAlignment w:val="auto"/>
        <w:rPr>
          <w:rFonts w:hint="default" w:ascii="宋体" w:hAnsi="宋体"/>
          <w:color w:val="auto"/>
          <w:lang w:val="en-US"/>
        </w:rPr>
      </w:pPr>
      <w:r>
        <w:rPr>
          <w:rFonts w:hint="eastAsia" w:ascii="宋体" w:hAnsi="宋体"/>
          <w:color w:val="auto"/>
        </w:rPr>
        <w:t>标项名称：</w:t>
      </w:r>
      <w:r>
        <w:rPr>
          <w:rFonts w:hint="eastAsia" w:ascii="宋体" w:hAnsi="宋体"/>
          <w:color w:val="auto"/>
          <w:szCs w:val="21"/>
          <w:highlight w:val="none"/>
          <w:lang w:eastAsia="zh-CN"/>
        </w:rPr>
        <w:t>江南校区医疗服务</w:t>
      </w:r>
      <w:r>
        <w:rPr>
          <w:rFonts w:hint="eastAsia" w:ascii="宋体" w:hAnsi="宋体"/>
          <w:color w:val="auto"/>
          <w:szCs w:val="21"/>
          <w:highlight w:val="none"/>
          <w:lang w:val="en-US" w:eastAsia="zh-CN"/>
        </w:rPr>
        <w:t>采购</w:t>
      </w:r>
    </w:p>
    <w:p w14:paraId="4D8F9037">
      <w:pPr>
        <w:keepNext w:val="0"/>
        <w:pageBreakBefore w:val="0"/>
        <w:kinsoku/>
        <w:overflowPunct/>
        <w:topLinePunct w:val="0"/>
        <w:autoSpaceDE/>
        <w:autoSpaceDN/>
        <w:bidi w:val="0"/>
        <w:spacing w:line="400" w:lineRule="exact"/>
        <w:ind w:firstLine="420" w:firstLineChars="200"/>
        <w:textAlignment w:val="auto"/>
        <w:rPr>
          <w:rFonts w:hint="eastAsia" w:ascii="宋体" w:hAnsi="宋体" w:eastAsia="宋体"/>
          <w:color w:val="auto"/>
          <w:lang w:val="en-US" w:eastAsia="zh-CN"/>
        </w:rPr>
      </w:pPr>
      <w:r>
        <w:rPr>
          <w:rFonts w:hint="eastAsia" w:ascii="宋体" w:hAnsi="宋体"/>
          <w:color w:val="auto"/>
        </w:rPr>
        <w:t>数量：</w:t>
      </w:r>
      <w:r>
        <w:rPr>
          <w:rFonts w:hint="eastAsia" w:ascii="宋体" w:hAnsi="宋体"/>
          <w:color w:val="auto"/>
          <w:lang w:val="en-US" w:eastAsia="zh-CN"/>
        </w:rPr>
        <w:t>1</w:t>
      </w:r>
    </w:p>
    <w:p w14:paraId="1CB21AD2">
      <w:pPr>
        <w:keepNext w:val="0"/>
        <w:pageBreakBefore w:val="0"/>
        <w:kinsoku/>
        <w:overflowPunct/>
        <w:topLinePunct w:val="0"/>
        <w:autoSpaceDE/>
        <w:autoSpaceDN/>
        <w:bidi w:val="0"/>
        <w:spacing w:line="400" w:lineRule="exact"/>
        <w:ind w:firstLine="420" w:firstLineChars="200"/>
        <w:textAlignment w:val="auto"/>
        <w:rPr>
          <w:rFonts w:hint="eastAsia" w:ascii="宋体" w:hAnsi="宋体" w:eastAsia="宋体"/>
          <w:color w:val="auto"/>
          <w:lang w:eastAsia="zh-CN"/>
        </w:rPr>
      </w:pPr>
      <w:r>
        <w:rPr>
          <w:rFonts w:hint="eastAsia" w:ascii="宋体" w:hAnsi="宋体"/>
          <w:color w:val="auto"/>
        </w:rPr>
        <w:t>预算金额（元）：</w:t>
      </w:r>
      <w:r>
        <w:rPr>
          <w:rFonts w:hint="eastAsia" w:ascii="宋体" w:hAnsi="宋体"/>
          <w:color w:val="auto"/>
          <w:lang w:eastAsia="zh-CN"/>
        </w:rPr>
        <w:t>1200000.00</w:t>
      </w:r>
    </w:p>
    <w:p w14:paraId="07020915">
      <w:pPr>
        <w:keepNext w:val="0"/>
        <w:pageBreakBefore w:val="0"/>
        <w:kinsoku/>
        <w:overflowPunct/>
        <w:topLinePunct w:val="0"/>
        <w:autoSpaceDE/>
        <w:autoSpaceDN/>
        <w:bidi w:val="0"/>
        <w:spacing w:line="400" w:lineRule="exact"/>
        <w:ind w:firstLine="420" w:firstLineChars="200"/>
        <w:textAlignment w:val="auto"/>
        <w:rPr>
          <w:rFonts w:hint="eastAsia" w:ascii="宋体" w:hAnsi="宋体"/>
          <w:color w:val="auto"/>
        </w:rPr>
      </w:pPr>
      <w:r>
        <w:rPr>
          <w:rFonts w:hint="eastAsia" w:ascii="宋体" w:hAnsi="宋体"/>
          <w:color w:val="auto"/>
        </w:rPr>
        <w:t>简要规格描述或项目基本概</w:t>
      </w:r>
      <w:r>
        <w:rPr>
          <w:rFonts w:hint="eastAsia" w:ascii="宋体" w:hAnsi="宋体"/>
          <w:color w:val="auto"/>
          <w:highlight w:val="none"/>
        </w:rPr>
        <w:t>况介绍、用途：</w:t>
      </w:r>
      <w:r>
        <w:rPr>
          <w:rFonts w:hint="eastAsia" w:ascii="宋体" w:hAnsi="宋体"/>
          <w:color w:val="auto"/>
          <w:szCs w:val="21"/>
          <w:highlight w:val="none"/>
        </w:rPr>
        <w:t>医疗服务</w:t>
      </w:r>
      <w:r>
        <w:rPr>
          <w:rFonts w:hint="eastAsia" w:ascii="宋体" w:hAnsi="宋体"/>
          <w:color w:val="auto"/>
          <w:szCs w:val="21"/>
          <w:highlight w:val="none"/>
          <w:lang w:val="en-US" w:eastAsia="zh-CN"/>
        </w:rPr>
        <w:t>1项</w:t>
      </w:r>
      <w:r>
        <w:rPr>
          <w:rFonts w:hint="eastAsia" w:ascii="宋体" w:hAnsi="宋体"/>
          <w:color w:val="auto"/>
          <w:highlight w:val="none"/>
          <w:lang w:eastAsia="zh-CN"/>
        </w:rPr>
        <w:t>。</w:t>
      </w:r>
      <w:r>
        <w:rPr>
          <w:rFonts w:hint="eastAsia" w:ascii="宋体" w:hAnsi="宋体"/>
          <w:color w:val="auto"/>
          <w:highlight w:val="none"/>
        </w:rPr>
        <w:t>如需进</w:t>
      </w:r>
      <w:r>
        <w:rPr>
          <w:rFonts w:hint="eastAsia" w:ascii="宋体" w:hAnsi="宋体"/>
          <w:color w:val="auto"/>
        </w:rPr>
        <w:t>一步了解详细内容，详见竞争性</w:t>
      </w:r>
      <w:r>
        <w:rPr>
          <w:rFonts w:hint="eastAsia" w:ascii="宋体" w:hAnsi="宋体"/>
          <w:color w:val="auto"/>
          <w:lang w:val="en-US" w:eastAsia="zh-CN"/>
        </w:rPr>
        <w:t>谈判</w:t>
      </w:r>
      <w:r>
        <w:rPr>
          <w:rFonts w:hint="eastAsia" w:ascii="宋体" w:hAnsi="宋体"/>
          <w:color w:val="auto"/>
        </w:rPr>
        <w:t>文件。</w:t>
      </w:r>
    </w:p>
    <w:p w14:paraId="6796B3F6">
      <w:pPr>
        <w:keepNext w:val="0"/>
        <w:pageBreakBefore w:val="0"/>
        <w:kinsoku/>
        <w:overflowPunct/>
        <w:topLinePunct w:val="0"/>
        <w:autoSpaceDE/>
        <w:autoSpaceDN/>
        <w:bidi w:val="0"/>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rPr>
        <w:t>最高限价</w:t>
      </w:r>
      <w:r>
        <w:rPr>
          <w:rFonts w:hint="eastAsia" w:ascii="宋体" w:hAnsi="宋体"/>
          <w:color w:val="auto"/>
          <w:highlight w:val="none"/>
        </w:rPr>
        <w:t>：</w:t>
      </w:r>
      <w:r>
        <w:rPr>
          <w:rFonts w:hint="eastAsia" w:ascii="宋体" w:hAnsi="宋体"/>
          <w:color w:val="auto"/>
          <w:highlight w:val="none"/>
          <w:lang w:eastAsia="zh-CN"/>
        </w:rPr>
        <w:t>1200000.00</w:t>
      </w:r>
    </w:p>
    <w:p w14:paraId="0B279574">
      <w:pPr>
        <w:keepNext w:val="0"/>
        <w:pageBreakBefore w:val="0"/>
        <w:kinsoku/>
        <w:overflowPunct/>
        <w:topLinePunct w:val="0"/>
        <w:autoSpaceDE/>
        <w:autoSpaceDN/>
        <w:bidi w:val="0"/>
        <w:spacing w:line="400" w:lineRule="exact"/>
        <w:ind w:firstLine="420" w:firstLineChars="200"/>
        <w:textAlignment w:val="auto"/>
        <w:rPr>
          <w:rFonts w:hint="eastAsia" w:ascii="宋体" w:hAnsi="宋体"/>
          <w:color w:val="auto"/>
          <w:highlight w:val="green"/>
        </w:rPr>
      </w:pPr>
      <w:r>
        <w:rPr>
          <w:rFonts w:hint="eastAsia" w:ascii="宋体" w:hAnsi="宋体"/>
          <w:color w:val="auto"/>
          <w:highlight w:val="none"/>
        </w:rPr>
        <w:t>合同履约期限：服务期：两年，自2025年9月1日起至2027年8月31日止</w:t>
      </w:r>
      <w:r>
        <w:rPr>
          <w:rFonts w:hint="eastAsia" w:ascii="宋体" w:hAnsi="宋体"/>
          <w:color w:val="auto"/>
          <w:szCs w:val="21"/>
          <w:highlight w:val="none"/>
        </w:rPr>
        <w:t>。</w:t>
      </w:r>
    </w:p>
    <w:p w14:paraId="289250D5">
      <w:pPr>
        <w:keepNext w:val="0"/>
        <w:pageBreakBefore w:val="0"/>
        <w:kinsoku/>
        <w:overflowPunct/>
        <w:topLinePunct w:val="0"/>
        <w:autoSpaceDE/>
        <w:autoSpaceDN/>
        <w:bidi w:val="0"/>
        <w:spacing w:line="400" w:lineRule="exact"/>
        <w:ind w:firstLine="420" w:firstLineChars="200"/>
        <w:textAlignment w:val="auto"/>
        <w:rPr>
          <w:rFonts w:hint="eastAsia" w:ascii="宋体" w:hAnsi="宋体"/>
          <w:color w:val="auto"/>
          <w:highlight w:val="yellow"/>
        </w:rPr>
      </w:pPr>
      <w:r>
        <w:rPr>
          <w:rFonts w:hint="eastAsia" w:ascii="宋体" w:hAnsi="宋体"/>
          <w:color w:val="auto"/>
          <w:highlight w:val="none"/>
        </w:rPr>
        <w:t>本标项（否）接受联合体投标</w:t>
      </w:r>
    </w:p>
    <w:p w14:paraId="3CDAEEDF">
      <w:pPr>
        <w:keepNext w:val="0"/>
        <w:pageBreakBefore w:val="0"/>
        <w:kinsoku/>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备注：</w:t>
      </w:r>
      <w:r>
        <w:rPr>
          <w:rFonts w:hint="eastAsia" w:ascii="宋体" w:hAnsi="宋体"/>
          <w:color w:val="auto"/>
          <w:highlight w:val="none"/>
          <w:lang w:val="en-US" w:eastAsia="zh-CN"/>
        </w:rPr>
        <w:t>/</w:t>
      </w:r>
      <w:r>
        <w:rPr>
          <w:rFonts w:hint="eastAsia" w:ascii="宋体" w:hAnsi="宋体"/>
          <w:color w:val="auto"/>
          <w:highlight w:val="none"/>
        </w:rPr>
        <w:t>。</w:t>
      </w:r>
    </w:p>
    <w:p w14:paraId="7B43B6F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highlight w:val="none"/>
          <w:lang w:val="en-US" w:eastAsia="zh-CN"/>
        </w:rPr>
      </w:pPr>
      <w:bookmarkStart w:id="9" w:name="_Toc71366041"/>
      <w:bookmarkStart w:id="10" w:name="_Toc35393799"/>
      <w:bookmarkStart w:id="11" w:name="_Toc28359090"/>
      <w:bookmarkStart w:id="12" w:name="_Toc35393630"/>
      <w:bookmarkStart w:id="13" w:name="_Toc71365363"/>
      <w:bookmarkStart w:id="14" w:name="_Toc28359013"/>
      <w:r>
        <w:rPr>
          <w:rFonts w:hint="eastAsia" w:ascii="宋体" w:hAnsi="宋体" w:eastAsia="宋体" w:cs="宋体"/>
          <w:b/>
          <w:bCs/>
          <w:color w:val="auto"/>
          <w:sz w:val="24"/>
          <w:highlight w:val="none"/>
        </w:rPr>
        <w:t>二、</w:t>
      </w:r>
      <w:r>
        <w:rPr>
          <w:rFonts w:hint="eastAsia" w:ascii="宋体" w:hAnsi="宋体" w:cs="宋体"/>
          <w:b/>
          <w:bCs/>
          <w:color w:val="auto"/>
          <w:sz w:val="24"/>
          <w:highlight w:val="none"/>
          <w:lang w:val="en-US" w:eastAsia="zh-CN"/>
        </w:rPr>
        <w:t>申请人</w:t>
      </w:r>
      <w:r>
        <w:rPr>
          <w:rFonts w:hint="eastAsia" w:ascii="宋体" w:hAnsi="宋体" w:eastAsia="宋体" w:cs="宋体"/>
          <w:b/>
          <w:bCs/>
          <w:color w:val="auto"/>
          <w:sz w:val="24"/>
          <w:highlight w:val="none"/>
        </w:rPr>
        <w:t>的资格</w:t>
      </w:r>
      <w:bookmarkEnd w:id="9"/>
      <w:bookmarkEnd w:id="10"/>
      <w:bookmarkEnd w:id="11"/>
      <w:bookmarkEnd w:id="12"/>
      <w:bookmarkEnd w:id="13"/>
      <w:bookmarkEnd w:id="14"/>
      <w:r>
        <w:rPr>
          <w:rFonts w:hint="eastAsia" w:ascii="宋体" w:hAnsi="宋体" w:cs="宋体"/>
          <w:b/>
          <w:bCs/>
          <w:color w:val="auto"/>
          <w:sz w:val="24"/>
          <w:highlight w:val="none"/>
          <w:lang w:val="en-US" w:eastAsia="zh-CN"/>
        </w:rPr>
        <w:t>要求</w:t>
      </w:r>
    </w:p>
    <w:p w14:paraId="2A2FA4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15" w:name="_Toc28359091"/>
      <w:bookmarkStart w:id="16" w:name="_Toc28359014"/>
      <w:r>
        <w:rPr>
          <w:rFonts w:hint="eastAsia" w:ascii="宋体" w:hAnsi="宋体"/>
          <w:color w:val="auto"/>
          <w:szCs w:val="21"/>
          <w:highlight w:val="none"/>
        </w:rPr>
        <w:t>1.满足《中华人民共和国政府采购法》第二十二条规定；</w:t>
      </w:r>
    </w:p>
    <w:p w14:paraId="3F8223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.落实政府采购政策需满足的资格要求：本项目属于专门面向中小企业采购的项目：供应商应为中小微企业（监狱企业、残疾人福利性单位视同小型、微型企业）；</w:t>
      </w:r>
    </w:p>
    <w:p w14:paraId="0C7B8B8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供应商必须具备有效的《医疗机构执业许可证》（诊疗项目中包含内科）或经所在地人民政府卫生行政部门备案（诊疗科目中包含内科）</w:t>
      </w:r>
      <w:r>
        <w:rPr>
          <w:rFonts w:hint="eastAsia" w:ascii="宋体" w:hAnsi="宋体"/>
          <w:color w:val="auto"/>
          <w:szCs w:val="21"/>
          <w:highlight w:val="none"/>
          <w:lang w:eastAsia="zh-CN"/>
        </w:rPr>
        <w:t>。</w:t>
      </w:r>
    </w:p>
    <w:p w14:paraId="041B9E7A">
      <w:pPr>
        <w:keepNext w:val="0"/>
        <w:keepLines w:val="0"/>
        <w:pageBreakBefore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bookmarkStart w:id="17" w:name="_Toc71366042"/>
      <w:bookmarkStart w:id="18" w:name="_Toc35393800"/>
      <w:bookmarkStart w:id="19" w:name="_Toc71365364"/>
      <w:bookmarkStart w:id="20" w:name="_Toc35393631"/>
      <w:r>
        <w:rPr>
          <w:rFonts w:hint="eastAsia" w:ascii="宋体" w:hAnsi="宋体" w:eastAsia="宋体" w:cs="宋体"/>
          <w:b/>
          <w:bCs/>
          <w:color w:val="auto"/>
          <w:sz w:val="24"/>
          <w:highlight w:val="none"/>
        </w:rPr>
        <w:t>三、获取</w:t>
      </w:r>
      <w:r>
        <w:rPr>
          <w:rFonts w:hint="eastAsia" w:ascii="宋体" w:hAnsi="宋体" w:cs="宋体"/>
          <w:b/>
          <w:bCs/>
          <w:color w:val="auto"/>
          <w:sz w:val="24"/>
          <w:highlight w:val="none"/>
          <w:lang w:val="en-US" w:eastAsia="zh-CN"/>
        </w:rPr>
        <w:t>采购</w:t>
      </w:r>
      <w:r>
        <w:rPr>
          <w:rFonts w:hint="eastAsia" w:ascii="宋体" w:hAnsi="宋体" w:eastAsia="宋体" w:cs="宋体"/>
          <w:b/>
          <w:bCs/>
          <w:color w:val="auto"/>
          <w:sz w:val="24"/>
          <w:highlight w:val="none"/>
        </w:rPr>
        <w:t>文件</w:t>
      </w:r>
      <w:bookmarkEnd w:id="15"/>
      <w:bookmarkEnd w:id="16"/>
      <w:bookmarkEnd w:id="17"/>
      <w:bookmarkEnd w:id="18"/>
      <w:bookmarkEnd w:id="19"/>
      <w:bookmarkEnd w:id="20"/>
    </w:p>
    <w:p w14:paraId="7583578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eastAsia="宋体" w:cs="宋体"/>
          <w:color w:val="auto"/>
          <w:szCs w:val="21"/>
          <w:highlight w:val="none"/>
        </w:rPr>
      </w:pPr>
      <w:bookmarkStart w:id="21" w:name="_Toc35393801"/>
      <w:bookmarkStart w:id="22" w:name="_Toc71366043"/>
      <w:bookmarkStart w:id="23" w:name="_Toc28359015"/>
      <w:bookmarkStart w:id="24" w:name="_Toc71365365"/>
      <w:bookmarkStart w:id="25" w:name="_Toc35393632"/>
      <w:bookmarkStart w:id="26" w:name="_Toc28359092"/>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日至</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，每天上午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0至1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下午1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:00至</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（北京时间，法定节假日除外）</w:t>
      </w:r>
    </w:p>
    <w:p w14:paraId="54D523A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w:t>
      </w:r>
    </w:p>
    <w:p w14:paraId="5D8CB2DC">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方式：网上下载。本项目不提供纸质文件，潜在供应商需在广西政府采购云平台（https://www.gcy.zfcg.gxzf.gov.cn/）-进入“项目采购”应用，在获取采购文件菜单中选择项目，获取竞争性</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文件。电子响应文件制作需要基于广西政府采购云平台获取的</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文件编制，通过其他方式获取</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文件的，将有可能导致供应商无法在广西政府采购云平台编制及上传响应文件</w:t>
      </w:r>
      <w:r>
        <w:rPr>
          <w:rFonts w:hint="eastAsia" w:ascii="宋体" w:hAnsi="宋体" w:eastAsia="宋体" w:cs="宋体"/>
          <w:color w:val="auto"/>
          <w:szCs w:val="21"/>
          <w:highlight w:val="none"/>
          <w:lang w:eastAsia="zh-CN"/>
        </w:rPr>
        <w:t>。</w:t>
      </w:r>
    </w:p>
    <w:p w14:paraId="7F1548E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售价：0</w:t>
      </w:r>
    </w:p>
    <w:p w14:paraId="5E80B38F">
      <w:pPr>
        <w:keepNext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r>
        <w:rPr>
          <w:rFonts w:hint="eastAsia" w:ascii="宋体" w:hAnsi="宋体" w:eastAsia="宋体" w:cs="宋体"/>
          <w:b/>
          <w:bCs/>
          <w:color w:val="auto"/>
          <w:sz w:val="24"/>
          <w:highlight w:val="none"/>
        </w:rPr>
        <w:t>四、响应文件提交</w:t>
      </w:r>
      <w:bookmarkEnd w:id="21"/>
      <w:bookmarkEnd w:id="22"/>
      <w:bookmarkEnd w:id="23"/>
      <w:bookmarkEnd w:id="24"/>
      <w:bookmarkEnd w:id="25"/>
      <w:bookmarkEnd w:id="26"/>
    </w:p>
    <w:p w14:paraId="62DA69D5">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lang w:eastAsia="zh-CN"/>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6A8AAD12">
      <w:pPr>
        <w:keepNext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网址：https://www.gcy.zfcg.gxzf.gov.cn/）（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08981626">
      <w:pPr>
        <w:keepNext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bookmarkStart w:id="27" w:name="_Toc28359093"/>
      <w:bookmarkStart w:id="28" w:name="_Toc35393633"/>
      <w:bookmarkStart w:id="29" w:name="_Toc28359016"/>
      <w:bookmarkStart w:id="30" w:name="_Toc71366044"/>
      <w:bookmarkStart w:id="31" w:name="_Toc71365366"/>
      <w:bookmarkStart w:id="32" w:name="_Toc35393802"/>
      <w:r>
        <w:rPr>
          <w:rFonts w:hint="eastAsia" w:ascii="宋体" w:hAnsi="宋体" w:eastAsia="宋体" w:cs="宋体"/>
          <w:b/>
          <w:bCs/>
          <w:color w:val="auto"/>
          <w:sz w:val="24"/>
          <w:highlight w:val="none"/>
        </w:rPr>
        <w:t>五、开启</w:t>
      </w:r>
      <w:bookmarkEnd w:id="27"/>
      <w:bookmarkEnd w:id="28"/>
      <w:bookmarkEnd w:id="29"/>
      <w:bookmarkEnd w:id="30"/>
      <w:bookmarkEnd w:id="31"/>
      <w:bookmarkEnd w:id="32"/>
    </w:p>
    <w:p w14:paraId="0BA902AD">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eastAsia="zh-CN"/>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lang w:eastAsia="zh-CN"/>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u w:val="single"/>
        </w:rPr>
        <w:t>（北京时间）</w:t>
      </w:r>
    </w:p>
    <w:p w14:paraId="586898DC">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14:paraId="62E84C73">
      <w:pPr>
        <w:keepNext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bookmarkStart w:id="33" w:name="_Toc71366045"/>
      <w:bookmarkStart w:id="34" w:name="_Toc28359094"/>
      <w:bookmarkStart w:id="35" w:name="_Toc28359017"/>
      <w:bookmarkStart w:id="36" w:name="_Toc35393634"/>
      <w:bookmarkStart w:id="37" w:name="_Toc71365367"/>
      <w:bookmarkStart w:id="38" w:name="_Toc35393803"/>
      <w:r>
        <w:rPr>
          <w:rFonts w:hint="eastAsia" w:ascii="宋体" w:hAnsi="宋体" w:eastAsia="宋体" w:cs="宋体"/>
          <w:b/>
          <w:bCs/>
          <w:color w:val="auto"/>
          <w:sz w:val="24"/>
          <w:highlight w:val="none"/>
        </w:rPr>
        <w:t>六、公告期限</w:t>
      </w:r>
      <w:bookmarkEnd w:id="33"/>
      <w:bookmarkEnd w:id="34"/>
      <w:bookmarkEnd w:id="35"/>
      <w:bookmarkEnd w:id="36"/>
      <w:bookmarkEnd w:id="37"/>
      <w:bookmarkEnd w:id="38"/>
    </w:p>
    <w:p w14:paraId="5F2ACAE0">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2D3192D">
      <w:pPr>
        <w:keepNext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bookmarkStart w:id="39" w:name="_Toc35393635"/>
      <w:bookmarkStart w:id="40" w:name="_Toc71366046"/>
      <w:bookmarkStart w:id="41" w:name="_Toc35393804"/>
      <w:bookmarkStart w:id="42" w:name="_Toc71365368"/>
      <w:r>
        <w:rPr>
          <w:rFonts w:hint="eastAsia" w:ascii="宋体" w:hAnsi="宋体" w:eastAsia="宋体" w:cs="宋体"/>
          <w:b/>
          <w:bCs/>
          <w:color w:val="auto"/>
          <w:sz w:val="24"/>
          <w:highlight w:val="none"/>
        </w:rPr>
        <w:t>七、其他补充事宜</w:t>
      </w:r>
      <w:bookmarkEnd w:id="39"/>
      <w:bookmarkEnd w:id="40"/>
      <w:bookmarkEnd w:id="41"/>
      <w:bookmarkEnd w:id="42"/>
    </w:p>
    <w:p w14:paraId="3AB42E97">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1.谈判保证金（人民币）（须足额交纳）：10000.00元。</w:t>
      </w:r>
    </w:p>
    <w:p w14:paraId="6EEE80A4">
      <w:pPr>
        <w:keepNext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谈判保证金的交纳方式：银行转账、支票、汇票、本票或者金融、担保机构出具的保函，禁止采用现钞方式。采用银行转账方式的，在响应文件提交截止时间前交至采购代理机构指定账户并且到账（开户银行：广西北部湾银行南宁市嘉宾支行，开户名称：广西中吉银工程项目管理有限公司，银行账号：805021372200001）；采用支票、汇票、本票或者保函等方式的，在响应文件提交截止时间前，谈判供应商必须递交单独密封的支票、汇票、本票或者保函原件，否则视为无效谈判保证金。</w:t>
      </w:r>
      <w:r>
        <w:rPr>
          <w:rFonts w:hint="eastAsia" w:ascii="宋体" w:hAnsi="宋体" w:cs="Arial"/>
          <w:color w:val="auto"/>
          <w:highlight w:val="none"/>
        </w:rPr>
        <w:t>（</w:t>
      </w:r>
      <w:r>
        <w:rPr>
          <w:rFonts w:hint="eastAsia" w:ascii="宋体" w:hAnsi="宋体" w:cs="Arial"/>
          <w:b/>
          <w:bCs/>
          <w:color w:val="auto"/>
          <w:highlight w:val="none"/>
        </w:rPr>
        <w:t>财务部联系方式：</w:t>
      </w:r>
      <w:r>
        <w:rPr>
          <w:rFonts w:hint="eastAsia" w:ascii="宋体" w:hAnsi="宋体" w:cs="Arial"/>
          <w:color w:val="auto"/>
          <w:highlight w:val="none"/>
        </w:rPr>
        <w:t>地址：南宁市青秀区民族大道159号凤岭·新新家园A区2栋15层；</w:t>
      </w:r>
      <w:r>
        <w:rPr>
          <w:rFonts w:hint="eastAsia" w:ascii="宋体" w:hAnsi="宋体" w:cs="Arial"/>
          <w:b/>
          <w:bCs/>
          <w:color w:val="auto"/>
          <w:highlight w:val="none"/>
        </w:rPr>
        <w:t>电话：</w:t>
      </w:r>
      <w:r>
        <w:rPr>
          <w:rFonts w:hint="eastAsia" w:ascii="宋体" w:hAnsi="宋体" w:cs="Arial"/>
          <w:color w:val="auto"/>
          <w:highlight w:val="none"/>
        </w:rPr>
        <w:t>0771-3147550）</w:t>
      </w:r>
    </w:p>
    <w:p w14:paraId="582D0B9D">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FB9402A">
      <w:pPr>
        <w:keepNext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（http://www.ccgp.gov.cn/）</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广西政府采购网（http://zfcg.gxzf.gov.cn/）</w:t>
      </w:r>
    </w:p>
    <w:p w14:paraId="4E54FC41">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bookmarkStart w:id="43" w:name="_Hlk37429674"/>
      <w:bookmarkStart w:id="44" w:name="_Toc35393636"/>
      <w:bookmarkStart w:id="45" w:name="_Toc71365369"/>
      <w:bookmarkStart w:id="46" w:name="_Toc35393805"/>
      <w:bookmarkStart w:id="47" w:name="_Toc28359018"/>
      <w:bookmarkStart w:id="48" w:name="_Toc71366047"/>
      <w:bookmarkStart w:id="49" w:name="_Toc28359095"/>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.本项目需要落实的政府采购政策</w:t>
      </w:r>
    </w:p>
    <w:p w14:paraId="10973807">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（1）政府采购促进中小企业发展。</w:t>
      </w:r>
    </w:p>
    <w:p w14:paraId="2C0EAC4A">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（2）政府采购支持采用本国产品的政策。</w:t>
      </w:r>
    </w:p>
    <w:p w14:paraId="5177B2AD">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（3）强制采购节能产品；优先采购节能产品、环境标志产品。</w:t>
      </w:r>
    </w:p>
    <w:p w14:paraId="44E75168">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（4）政府采购促进残疾人就业政策。</w:t>
      </w:r>
    </w:p>
    <w:p w14:paraId="47818191">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（5）政府采购支持监狱企业发展。</w:t>
      </w:r>
    </w:p>
    <w:bookmarkEnd w:id="43"/>
    <w:p w14:paraId="3B84E05B">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.供应商竞标注意事项</w:t>
      </w:r>
      <w:r>
        <w:rPr>
          <w:rFonts w:hint="eastAsia" w:ascii="宋体" w:hAnsi="宋体" w:cs="宋体"/>
          <w:b w:val="0"/>
          <w:bCs/>
          <w:color w:val="auto"/>
          <w:sz w:val="21"/>
          <w:szCs w:val="21"/>
          <w:highlight w:val="none"/>
          <w:lang w:eastAsia="zh-CN"/>
        </w:rPr>
        <w:t>：</w:t>
      </w:r>
    </w:p>
    <w:p w14:paraId="071A65B8">
      <w:pPr>
        <w:keepNext w:val="0"/>
        <w:keepLines/>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（1）本项目为全流程电子化采购项目，通过广西政府采购云平台（https://www.gcy.zfcg.gxzf.gov.cn/）实行在线电子竞标，供应商应按照本项目竞争性</w:t>
      </w:r>
      <w:r>
        <w:rPr>
          <w:rFonts w:hint="eastAsia" w:ascii="宋体" w:hAnsi="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文件和广西政府采购云平台的要求编制、加密后在提交响应文件截止时间前通过网络上传至广西政府采购云平台 （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E64CD74">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桂采云客服热线：95763）。</w:t>
      </w:r>
    </w:p>
    <w:p w14:paraId="29BF8C2F">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09492D8">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4CFC15D">
      <w:pPr>
        <w:keepNext w:val="0"/>
        <w:keepLines/>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（4）供应商需要在具备有摄像头及语音功能且互联网网络状况良好的电脑登录广西政府采购云平台 远程开标大厅参与本次</w:t>
      </w:r>
      <w:r>
        <w:rPr>
          <w:rFonts w:hint="eastAsia" w:ascii="宋体" w:hAnsi="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，否则后果自负。</w:t>
      </w:r>
    </w:p>
    <w:p w14:paraId="62E33379">
      <w:pPr>
        <w:keepNext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olor w:val="auto"/>
          <w:sz w:val="24"/>
          <w:highlight w:val="none"/>
        </w:rPr>
      </w:pPr>
      <w:r>
        <w:rPr>
          <w:rFonts w:hint="eastAsia" w:ascii="宋体" w:hAnsi="宋体" w:eastAsia="宋体" w:cs="宋体"/>
          <w:b/>
          <w:bCs/>
          <w:color w:val="auto"/>
          <w:sz w:val="24"/>
          <w:highlight w:val="none"/>
        </w:rPr>
        <w:t>八、凡对本次采购提出询问，请按以下方式联系</w:t>
      </w:r>
      <w:bookmarkEnd w:id="44"/>
      <w:bookmarkEnd w:id="45"/>
      <w:bookmarkEnd w:id="46"/>
      <w:bookmarkEnd w:id="47"/>
      <w:bookmarkEnd w:id="48"/>
      <w:bookmarkEnd w:id="49"/>
    </w:p>
    <w:p w14:paraId="131816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bookmarkStart w:id="50" w:name="_Toc28359019"/>
      <w:bookmarkStart w:id="51" w:name="_Toc35393637"/>
      <w:bookmarkStart w:id="52" w:name="_Toc35393806"/>
      <w:bookmarkStart w:id="53" w:name="_Toc28359096"/>
      <w:r>
        <w:rPr>
          <w:rFonts w:hint="eastAsia" w:ascii="宋体" w:hAnsi="宋体" w:cs="宋体"/>
          <w:color w:val="auto"/>
          <w:kern w:val="0"/>
          <w:szCs w:val="21"/>
          <w:highlight w:val="none"/>
        </w:rPr>
        <w:t>1.采购人信息</w:t>
      </w:r>
      <w:bookmarkEnd w:id="50"/>
      <w:bookmarkEnd w:id="51"/>
      <w:bookmarkEnd w:id="52"/>
      <w:bookmarkEnd w:id="53"/>
    </w:p>
    <w:p w14:paraId="0A595A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bookmarkStart w:id="54" w:name="_Toc28359097"/>
      <w:bookmarkStart w:id="55" w:name="_Toc28359020"/>
      <w:bookmarkStart w:id="56" w:name="_Toc35393638"/>
      <w:bookmarkStart w:id="57" w:name="_Toc35393807"/>
      <w:r>
        <w:rPr>
          <w:rFonts w:hint="eastAsia" w:ascii="宋体" w:hAnsi="宋体"/>
          <w:color w:val="auto"/>
          <w:szCs w:val="21"/>
          <w:highlight w:val="none"/>
        </w:rPr>
        <w:t>采购单位：</w:t>
      </w:r>
      <w:r>
        <w:rPr>
          <w:rFonts w:hint="eastAsia" w:ascii="宋体" w:hAnsi="宋体"/>
          <w:color w:val="auto"/>
          <w:sz w:val="21"/>
          <w:szCs w:val="21"/>
          <w:highlight w:val="none"/>
          <w:lang w:eastAsia="zh-CN"/>
        </w:rPr>
        <w:t>广西机电职业技术学院</w:t>
      </w:r>
    </w:p>
    <w:p w14:paraId="1777BA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地址：南宁市西乡塘区大学东路101号</w:t>
      </w:r>
    </w:p>
    <w:p w14:paraId="37B280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项目</w:t>
      </w:r>
      <w:r>
        <w:rPr>
          <w:rFonts w:hint="eastAsia" w:ascii="宋体" w:hAnsi="宋体"/>
          <w:color w:val="auto"/>
          <w:szCs w:val="21"/>
          <w:highlight w:val="none"/>
        </w:rPr>
        <w:t>联系人：郑老师</w:t>
      </w:r>
    </w:p>
    <w:p w14:paraId="43BC6B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w:t>
      </w:r>
      <w:r>
        <w:rPr>
          <w:rFonts w:hint="eastAsia" w:ascii="宋体" w:hAnsi="宋体"/>
          <w:color w:val="auto"/>
          <w:szCs w:val="21"/>
          <w:highlight w:val="none"/>
        </w:rPr>
        <w:t>联系</w:t>
      </w:r>
      <w:r>
        <w:rPr>
          <w:rFonts w:hint="eastAsia" w:ascii="宋体" w:hAnsi="宋体"/>
          <w:color w:val="auto"/>
          <w:szCs w:val="21"/>
          <w:highlight w:val="none"/>
          <w:lang w:val="en-US" w:eastAsia="zh-CN"/>
        </w:rPr>
        <w:t>方式</w:t>
      </w:r>
      <w:r>
        <w:rPr>
          <w:rFonts w:hint="eastAsia" w:ascii="宋体" w:hAnsi="宋体"/>
          <w:color w:val="auto"/>
          <w:szCs w:val="21"/>
          <w:highlight w:val="none"/>
        </w:rPr>
        <w:t xml:space="preserve">：0771-3276119 </w:t>
      </w:r>
    </w:p>
    <w:p w14:paraId="3135B6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2.采购代理机构信息</w:t>
      </w:r>
      <w:bookmarkEnd w:id="54"/>
      <w:bookmarkEnd w:id="55"/>
      <w:bookmarkEnd w:id="56"/>
      <w:bookmarkEnd w:id="57"/>
    </w:p>
    <w:bookmarkEnd w:id="1"/>
    <w:p w14:paraId="59D894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名    称：</w:t>
      </w:r>
      <w:r>
        <w:rPr>
          <w:rFonts w:hint="eastAsia" w:ascii="宋体" w:hAnsi="宋体" w:cs="Times New Roman"/>
          <w:color w:val="auto"/>
          <w:szCs w:val="21"/>
          <w:highlight w:val="none"/>
          <w:lang w:eastAsia="zh-CN"/>
        </w:rPr>
        <w:t>广西中吉银工程项目管理有限公司</w:t>
      </w:r>
      <w:r>
        <w:rPr>
          <w:rFonts w:hint="eastAsia" w:ascii="宋体" w:hAnsi="宋体" w:eastAsia="宋体" w:cs="Times New Roman"/>
          <w:color w:val="auto"/>
          <w:szCs w:val="21"/>
          <w:highlight w:val="none"/>
          <w:lang w:eastAsia="zh-CN"/>
        </w:rPr>
        <w:t>　　　　　　　　　　　　</w:t>
      </w:r>
    </w:p>
    <w:p w14:paraId="1F4461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地　　址：</w:t>
      </w:r>
      <w:r>
        <w:rPr>
          <w:rFonts w:hint="eastAsia" w:ascii="宋体" w:hAnsi="宋体" w:cs="Times New Roman"/>
          <w:color w:val="auto"/>
          <w:szCs w:val="21"/>
          <w:highlight w:val="none"/>
          <w:lang w:eastAsia="zh-CN"/>
        </w:rPr>
        <w:t>南宁市青秀区民族大道159号凤岭·新新家园A区2栋15层</w:t>
      </w:r>
      <w:r>
        <w:rPr>
          <w:rFonts w:hint="eastAsia" w:ascii="宋体" w:hAnsi="宋体" w:eastAsia="宋体" w:cs="Times New Roman"/>
          <w:color w:val="auto"/>
          <w:szCs w:val="21"/>
          <w:highlight w:val="none"/>
          <w:lang w:eastAsia="zh-CN"/>
        </w:rPr>
        <w:t>　　　　　　　　　　　　</w:t>
      </w:r>
    </w:p>
    <w:p w14:paraId="273006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项目联系人：米工</w:t>
      </w:r>
    </w:p>
    <w:p w14:paraId="155C34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项目</w:t>
      </w:r>
      <w:r>
        <w:rPr>
          <w:rFonts w:hint="eastAsia" w:ascii="宋体" w:hAnsi="宋体" w:eastAsia="宋体" w:cs="Times New Roman"/>
          <w:color w:val="auto"/>
          <w:szCs w:val="21"/>
          <w:highlight w:val="none"/>
          <w:lang w:eastAsia="zh-CN"/>
        </w:rPr>
        <w:t>联系方式：0771-3146887、5717533　　　　　　　　　　</w:t>
      </w:r>
    </w:p>
    <w:p w14:paraId="7A90AA1E">
      <w:pPr>
        <w:keepNext w:val="0"/>
        <w:pageBreakBefore w:val="0"/>
        <w:kinsoku/>
        <w:overflowPunct/>
        <w:topLinePunct w:val="0"/>
        <w:autoSpaceDE/>
        <w:autoSpaceDN/>
        <w:bidi w:val="0"/>
        <w:spacing w:line="400" w:lineRule="exact"/>
        <w:ind w:firstLine="420" w:firstLineChars="200"/>
        <w:jc w:val="right"/>
        <w:textAlignment w:val="auto"/>
        <w:rPr>
          <w:rFonts w:hint="eastAsia" w:ascii="宋体" w:hAnsi="宋体" w:cs="Times New Roman"/>
          <w:color w:val="auto"/>
          <w:szCs w:val="21"/>
          <w:highlight w:val="none"/>
          <w:lang w:val="en-US" w:eastAsia="zh-CN"/>
        </w:rPr>
      </w:pPr>
    </w:p>
    <w:p w14:paraId="5683726F">
      <w:pPr>
        <w:keepNext w:val="0"/>
        <w:pageBreakBefore w:val="0"/>
        <w:kinsoku/>
        <w:overflowPunct/>
        <w:topLinePunct w:val="0"/>
        <w:autoSpaceDE/>
        <w:autoSpaceDN/>
        <w:bidi w:val="0"/>
        <w:spacing w:line="400" w:lineRule="exact"/>
        <w:ind w:firstLine="420" w:firstLineChars="200"/>
        <w:jc w:val="righ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广西中吉银工程项目管理有限公司</w:t>
      </w:r>
    </w:p>
    <w:p w14:paraId="72DF29FD">
      <w:pPr>
        <w:keepNext w:val="0"/>
        <w:pageBreakBefore w:val="0"/>
        <w:kinsoku/>
        <w:overflowPunct/>
        <w:topLinePunct w:val="0"/>
        <w:autoSpaceDE/>
        <w:autoSpaceDN/>
        <w:bidi w:val="0"/>
        <w:spacing w:line="400" w:lineRule="exact"/>
        <w:ind w:firstLine="420" w:firstLineChars="200"/>
        <w:jc w:val="right"/>
        <w:textAlignment w:val="auto"/>
        <w:rPr>
          <w:color w:val="auto"/>
          <w:highlight w:val="none"/>
        </w:rPr>
      </w:pPr>
      <w:r>
        <w:rPr>
          <w:rFonts w:hint="eastAsia" w:ascii="宋体" w:hAnsi="宋体" w:cs="Times New Roman"/>
          <w:color w:val="auto"/>
          <w:szCs w:val="21"/>
          <w:highlight w:val="none"/>
          <w:lang w:val="en-US" w:eastAsia="zh-CN"/>
        </w:rPr>
        <w:t>2025年8月4日</w:t>
      </w:r>
      <w:r>
        <w:rPr>
          <w:rFonts w:ascii="微软雅黑" w:hAnsi="微软雅黑" w:eastAsia="微软雅黑" w:cs="微软雅黑"/>
          <w:bCs/>
          <w:color w:val="auto"/>
          <w:sz w:val="44"/>
          <w:szCs w:val="44"/>
          <w:highlight w:val="none"/>
        </w:rPr>
        <w:br w:type="page"/>
      </w:r>
    </w:p>
    <w:p w14:paraId="41B415DF">
      <w:pPr>
        <w:pStyle w:val="2"/>
        <w:jc w:val="center"/>
        <w:rPr>
          <w:color w:val="auto"/>
          <w:highlight w:val="none"/>
        </w:rPr>
      </w:pPr>
      <w:bookmarkStart w:id="58" w:name="_Toc129703549"/>
      <w:r>
        <w:rPr>
          <w:rFonts w:hint="eastAsia"/>
          <w:color w:val="auto"/>
          <w:highlight w:val="none"/>
        </w:rPr>
        <w:t>第二章 供应商须知</w:t>
      </w:r>
      <w:bookmarkEnd w:id="58"/>
    </w:p>
    <w:p w14:paraId="50241D6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000A1C1E">
      <w:pPr>
        <w:spacing w:line="400" w:lineRule="exact"/>
        <w:jc w:val="center"/>
        <w:rPr>
          <w:rFonts w:ascii="宋体" w:hAnsi="宋体"/>
          <w:b/>
          <w:color w:val="auto"/>
          <w:sz w:val="32"/>
          <w:szCs w:val="32"/>
          <w:highlight w:val="none"/>
        </w:rPr>
      </w:pP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C53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F2FFC2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E032A3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0A00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A8BE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13AA709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3F2BE1D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8D73E4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CCD1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68C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2425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48DB1D9">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是否接受联合体竞标: </w:t>
            </w:r>
            <w:r>
              <w:rPr>
                <w:rFonts w:hint="eastAsia" w:ascii="宋体" w:hAnsi="宋体" w:cs="宋体"/>
                <w:color w:val="auto"/>
                <w:szCs w:val="21"/>
                <w:highlight w:val="none"/>
                <w:lang w:val="en-US" w:eastAsia="zh-CN"/>
              </w:rPr>
              <w:t>本项目不接受联合体竞标</w:t>
            </w:r>
          </w:p>
        </w:tc>
      </w:tr>
      <w:tr w14:paraId="6B1E5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3AEF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09CE6AC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1144976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7B5CE4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2862ECA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w:t>
            </w:r>
            <w:r>
              <w:rPr>
                <w:rFonts w:hint="eastAsia" w:ascii="宋体" w:hAnsi="宋体" w:cs="宋体"/>
                <w:color w:val="auto"/>
                <w:szCs w:val="21"/>
                <w:highlight w:val="none"/>
                <w:lang w:val="en-US" w:eastAsia="zh-CN"/>
              </w:rPr>
              <w:t>政府</w:t>
            </w:r>
            <w:r>
              <w:rPr>
                <w:rFonts w:hint="eastAsia" w:ascii="宋体" w:hAnsi="宋体" w:cs="宋体"/>
                <w:color w:val="auto"/>
                <w:szCs w:val="21"/>
                <w:highlight w:val="none"/>
              </w:rPr>
              <w:t>采购合同，就采购合同约定的事项对采购人承担连带责任。</w:t>
            </w:r>
          </w:p>
          <w:p w14:paraId="3A259E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3E3A890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5D9B8E1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14:paraId="3A086D4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保证金，其交纳的</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保证金对联合体各方均具有约束力。</w:t>
            </w:r>
          </w:p>
          <w:p w14:paraId="72CDB5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14:paraId="68B6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A03E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39B25483">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lang w:eastAsia="zh-CN"/>
              </w:rPr>
              <w:t>☑</w:t>
            </w:r>
            <w:r>
              <w:rPr>
                <w:rFonts w:hint="eastAsia"/>
                <w:color w:val="auto"/>
                <w:highlight w:val="none"/>
              </w:rPr>
              <w:t>不允许分包</w:t>
            </w:r>
          </w:p>
          <w:p w14:paraId="585F18BC">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□允许分包</w:t>
            </w:r>
          </w:p>
          <w:p w14:paraId="5F2EE74E">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u w:val="single"/>
              </w:rPr>
            </w:pPr>
            <w:r>
              <w:rPr>
                <w:rFonts w:hint="eastAsia"/>
                <w:color w:val="auto"/>
                <w:highlight w:val="none"/>
              </w:rPr>
              <w:t>分包内容：</w:t>
            </w:r>
            <w:r>
              <w:rPr>
                <w:rFonts w:hint="eastAsia"/>
                <w:color w:val="auto"/>
                <w:highlight w:val="none"/>
                <w:u w:val="single"/>
              </w:rPr>
              <w:t xml:space="preserve">                                     。</w:t>
            </w:r>
          </w:p>
          <w:p w14:paraId="260CDCFD">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14:paraId="5A060599">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14:paraId="1DE7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D381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14:paraId="294EC81D">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2C1A24F2">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w:t>
            </w:r>
          </w:p>
          <w:p w14:paraId="3257EE9F">
            <w:pPr>
              <w:pStyle w:val="10"/>
              <w:keepNext w:val="0"/>
              <w:keepLines w:val="0"/>
              <w:pageBreakBefore w:val="0"/>
              <w:widowControl w:val="0"/>
              <w:kinsoku/>
              <w:wordWrap/>
              <w:overflowPunct/>
              <w:topLinePunct w:val="0"/>
              <w:bidi w:val="0"/>
              <w:adjustRightInd/>
              <w:spacing w:line="440" w:lineRule="exact"/>
              <w:rPr>
                <w:rFonts w:ascii="宋体" w:hAnsi="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由采购人自主选择确定一家供应商参加评审，其他竞标无效。</w:t>
            </w:r>
          </w:p>
        </w:tc>
      </w:tr>
      <w:tr w14:paraId="489D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FEC0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677C7E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资格证明文件</w:t>
            </w:r>
          </w:p>
          <w:p w14:paraId="744A2FA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B66C6C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2.供应商有效的行政主管部门颁发的《医疗机构执业许可证》</w:t>
            </w:r>
            <w:r>
              <w:rPr>
                <w:rFonts w:hint="eastAsia" w:ascii="宋体" w:hAnsi="宋体" w:cs="宋体"/>
                <w:color w:val="auto"/>
                <w:szCs w:val="21"/>
                <w:highlight w:val="none"/>
                <w:lang w:val="en-US" w:eastAsia="zh-CN"/>
              </w:rPr>
              <w:t>或备案证明</w:t>
            </w:r>
            <w:r>
              <w:rPr>
                <w:rFonts w:hint="eastAsia" w:ascii="宋体" w:hAnsi="宋体" w:cs="宋体"/>
                <w:color w:val="auto"/>
                <w:szCs w:val="21"/>
                <w:highlight w:val="none"/>
              </w:rPr>
              <w:t>复印件</w:t>
            </w:r>
            <w:r>
              <w:rPr>
                <w:rFonts w:hint="eastAsia" w:ascii="宋体" w:hAnsi="宋体" w:cs="宋体"/>
                <w:color w:val="auto"/>
                <w:szCs w:val="21"/>
                <w:highlight w:val="none"/>
                <w:lang w:eastAsia="zh-CN"/>
              </w:rPr>
              <w:t>（疗项目</w:t>
            </w:r>
            <w:r>
              <w:rPr>
                <w:rFonts w:hint="eastAsia" w:ascii="宋体" w:hAnsi="宋体" w:cs="宋体"/>
                <w:color w:val="auto"/>
                <w:szCs w:val="21"/>
                <w:highlight w:val="none"/>
                <w:lang w:val="en-US" w:eastAsia="zh-CN"/>
              </w:rPr>
              <w:t>/科目</w:t>
            </w:r>
            <w:r>
              <w:rPr>
                <w:rFonts w:hint="eastAsia" w:ascii="宋体" w:hAnsi="宋体" w:cs="宋体"/>
                <w:color w:val="auto"/>
                <w:szCs w:val="21"/>
                <w:highlight w:val="none"/>
                <w:lang w:eastAsia="zh-CN"/>
              </w:rPr>
              <w:t>中包含内科）</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p>
          <w:p w14:paraId="1798C436">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供应商依法缴纳税收的相关材料（</w:t>
            </w:r>
            <w:r>
              <w:rPr>
                <w:rFonts w:hint="eastAsia" w:ascii="宋体" w:hAnsi="宋体" w:cs="宋体"/>
                <w:color w:val="auto"/>
                <w:szCs w:val="21"/>
                <w:u w:val="single"/>
              </w:rPr>
              <w:t>截标前一年内任意</w:t>
            </w:r>
            <w:r>
              <w:rPr>
                <w:rFonts w:hint="eastAsia" w:ascii="宋体" w:hAnsi="宋体" w:cs="宋体"/>
                <w:color w:val="auto"/>
                <w:szCs w:val="21"/>
                <w:highlight w:val="none"/>
                <w:u w:val="single"/>
                <w:lang w:val="en-US" w:eastAsia="zh-CN"/>
              </w:rPr>
              <w:t>连续3</w:t>
            </w:r>
            <w:r>
              <w:rPr>
                <w:rFonts w:hint="eastAsia" w:ascii="宋体" w:hAnsi="宋体" w:cs="宋体"/>
                <w:color w:val="auto"/>
                <w:szCs w:val="21"/>
                <w:highlight w:val="none"/>
                <w:u w:val="single"/>
              </w:rPr>
              <w:t>个月</w:t>
            </w:r>
            <w:r>
              <w:rPr>
                <w:rFonts w:hint="eastAsia" w:ascii="宋体" w:hAnsi="宋体" w:cs="宋体"/>
                <w:color w:val="auto"/>
                <w:szCs w:val="21"/>
                <w:highlight w:val="none"/>
              </w:rPr>
              <w:t>的依法缴纳税收的凭据复印件；</w:t>
            </w:r>
            <w:r>
              <w:rPr>
                <w:rFonts w:hint="eastAsia"/>
                <w:color w:val="auto"/>
              </w:rPr>
              <w:t>无纳税记录的，应提供</w:t>
            </w:r>
            <w:r>
              <w:rPr>
                <w:rFonts w:hint="eastAsia" w:ascii="宋体" w:hAnsi="宋体"/>
                <w:color w:val="auto"/>
                <w:szCs w:val="21"/>
              </w:rPr>
              <w:t>税务部门出具的《依法纳税或依法免税证明》 等证明</w:t>
            </w:r>
            <w:r>
              <w:rPr>
                <w:rFonts w:hint="eastAsia"/>
                <w:color w:val="auto"/>
              </w:rPr>
              <w:t>文件。</w:t>
            </w:r>
            <w:r>
              <w:rPr>
                <w:rFonts w:hint="eastAsia" w:ascii="宋体" w:hAnsi="宋体" w:cs="宋体"/>
                <w:color w:val="auto"/>
                <w:szCs w:val="21"/>
              </w:rPr>
              <w:t>从取得营业执照时间起到首次响应文件提交截止时间为止不足要求月数的，只需提供从取得营业执照起的依法缴纳税收</w:t>
            </w:r>
            <w:r>
              <w:rPr>
                <w:rFonts w:hint="eastAsia"/>
                <w:color w:val="auto"/>
              </w:rPr>
              <w:t>相应证明文件</w:t>
            </w:r>
            <w:r>
              <w:rPr>
                <w:rFonts w:hint="eastAsia" w:ascii="宋体" w:hAnsi="宋体" w:cs="宋体"/>
                <w:color w:val="auto"/>
                <w:szCs w:val="21"/>
              </w:rPr>
              <w:t>）</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14:paraId="05572D03">
            <w:pPr>
              <w:tabs>
                <w:tab w:val="left" w:pos="525"/>
              </w:tabs>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u w:val="single"/>
              </w:rPr>
              <w:t>截标前一年内任意</w:t>
            </w:r>
            <w:r>
              <w:rPr>
                <w:rFonts w:hint="eastAsia" w:ascii="宋体" w:hAnsi="宋体" w:cs="宋体"/>
                <w:color w:val="auto"/>
                <w:szCs w:val="21"/>
                <w:highlight w:val="none"/>
                <w:u w:val="single"/>
                <w:lang w:val="en-US" w:eastAsia="zh-CN"/>
              </w:rPr>
              <w:t>连续3</w:t>
            </w:r>
            <w:r>
              <w:rPr>
                <w:rFonts w:hint="eastAsia" w:ascii="宋体" w:hAnsi="宋体" w:cs="宋体"/>
                <w:color w:val="auto"/>
                <w:szCs w:val="21"/>
                <w:highlight w:val="none"/>
                <w:u w:val="single"/>
              </w:rPr>
              <w:t>个月</w:t>
            </w:r>
            <w:r>
              <w:rPr>
                <w:rFonts w:hint="eastAsia" w:ascii="宋体" w:hAnsi="宋体" w:cs="宋体"/>
                <w:color w:val="auto"/>
                <w:szCs w:val="21"/>
                <w:highlight w:val="none"/>
              </w:rPr>
              <w:t>的依法缴纳社会保障资金的缴费凭证（专用收据或者社会保险缴纳清单）复印件；</w:t>
            </w:r>
            <w:r>
              <w:rPr>
                <w:rFonts w:hint="eastAsia"/>
                <w:color w:val="auto"/>
              </w:rPr>
              <w:t>无缴费记录的，必须提供相应文件证明不需要缴纳社会保障资金。</w:t>
            </w:r>
            <w:r>
              <w:rPr>
                <w:rFonts w:hint="eastAsia" w:ascii="宋体" w:hAnsi="宋体" w:cs="宋体"/>
                <w:color w:val="auto"/>
                <w:szCs w:val="21"/>
              </w:rPr>
              <w:t>从取得营业执照时间起到首次响应文件提交截止时间为止不足要求月数的只需提供从取得营业执照起的依法缴纳社会保障资金的</w:t>
            </w:r>
            <w:r>
              <w:rPr>
                <w:rFonts w:hint="eastAsia"/>
                <w:color w:val="auto"/>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r>
              <w:rPr>
                <w:rFonts w:hint="eastAsia" w:ascii="宋体" w:hAnsi="宋体" w:cs="宋体"/>
                <w:b/>
                <w:bCs/>
                <w:color w:val="auto"/>
                <w:szCs w:val="21"/>
                <w:highlight w:val="none"/>
              </w:rPr>
              <w:t>；</w:t>
            </w:r>
          </w:p>
          <w:p w14:paraId="38A0AC7B">
            <w:pPr>
              <w:keepNext w:val="0"/>
              <w:keepLines w:val="0"/>
              <w:pageBreakBefore w:val="0"/>
              <w:widowControl w:val="0"/>
              <w:kinsoku/>
              <w:wordWrap/>
              <w:overflowPunct/>
              <w:topLinePunct w:val="0"/>
              <w:autoSpaceDE/>
              <w:autoSpaceDN/>
              <w:bidi w:val="0"/>
              <w:adjustRightInd/>
              <w:spacing w:line="440" w:lineRule="exact"/>
              <w:contextualSpacing/>
              <w:jc w:val="left"/>
              <w:textAlignment w:val="auto"/>
              <w:rPr>
                <w:rFonts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w:t>
            </w:r>
            <w:r>
              <w:rPr>
                <w:rFonts w:hint="eastAsia" w:ascii="宋体" w:hAnsi="宋体" w:cs="宋体"/>
                <w:color w:val="auto"/>
                <w:szCs w:val="21"/>
                <w:highlight w:val="none"/>
                <w:u w:val="single"/>
                <w:lang w:val="en-US" w:eastAsia="zh-CN"/>
              </w:rPr>
              <w:t>2024年</w:t>
            </w:r>
            <w:r>
              <w:rPr>
                <w:rFonts w:hint="eastAsia" w:ascii="宋体" w:hAnsi="宋体" w:cs="宋体"/>
                <w:color w:val="auto"/>
                <w:szCs w:val="21"/>
                <w:highlight w:val="none"/>
              </w:rPr>
              <w:t>的财务审计报告或财务报表复印件或者银行出具的资信证明；</w:t>
            </w:r>
            <w:r>
              <w:rPr>
                <w:rFonts w:hint="eastAsia" w:ascii="宋体" w:hAnsi="宋体" w:cs="宋体"/>
                <w:color w:val="auto"/>
                <w:szCs w:val="21"/>
                <w:lang w:eastAsia="zh-Hans"/>
              </w:rPr>
              <w:t>对于从成立之日起到提交响应文件截止时间为止</w:t>
            </w:r>
            <w:r>
              <w:rPr>
                <w:rFonts w:hint="eastAsia" w:ascii="宋体" w:hAnsi="宋体" w:cs="宋体"/>
                <w:color w:val="auto"/>
                <w:szCs w:val="21"/>
              </w:rPr>
              <w:t>不满一年</w:t>
            </w:r>
            <w:r>
              <w:rPr>
                <w:rFonts w:hint="eastAsia" w:ascii="宋体" w:hAnsi="宋体" w:cs="宋体"/>
                <w:color w:val="auto"/>
                <w:szCs w:val="21"/>
                <w:lang w:eastAsia="zh-Hans"/>
              </w:rPr>
              <w:t>的，只需提交</w:t>
            </w:r>
            <w:r>
              <w:rPr>
                <w:rFonts w:hint="eastAsia" w:ascii="宋体" w:hAnsi="宋体" w:cs="宋体"/>
                <w:color w:val="auto"/>
                <w:szCs w:val="21"/>
                <w:highlight w:val="none"/>
              </w:rPr>
              <w:t>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1030AB2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0EB1B02">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CE006C0">
            <w:pPr>
              <w:keepNext w:val="0"/>
              <w:keepLines w:val="0"/>
              <w:pageBreakBefore w:val="0"/>
              <w:widowControl w:val="0"/>
              <w:kinsoku/>
              <w:wordWrap/>
              <w:overflowPunct/>
              <w:topLinePunct w:val="0"/>
              <w:autoSpaceDE/>
              <w:autoSpaceDN/>
              <w:bidi w:val="0"/>
              <w:adjustRightInd/>
              <w:spacing w:line="440" w:lineRule="exact"/>
              <w:contextualSpacing/>
              <w:jc w:val="left"/>
              <w:textAlignment w:val="auto"/>
              <w:rPr>
                <w:rFonts w:hint="eastAsia" w:ascii="宋体" w:hAnsi="宋体" w:eastAsia="宋体" w:cs="Times New Roman"/>
                <w:color w:val="auto"/>
                <w:szCs w:val="21"/>
                <w:highlight w:val="yellow"/>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联合体竞标协议书（格式后附）；（联合体竞标时必须提供，否则响应文件按无效处理）</w:t>
            </w:r>
          </w:p>
          <w:p w14:paraId="4A3C0C8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i/>
                <w:color w:val="auto"/>
                <w:szCs w:val="21"/>
                <w:highlight w:val="none"/>
              </w:rPr>
            </w:pPr>
            <w:r>
              <w:rPr>
                <w:rFonts w:hint="eastAsia" w:ascii="宋体" w:hAnsi="宋体"/>
                <w:color w:val="auto"/>
                <w:szCs w:val="21"/>
                <w:highlight w:val="none"/>
                <w:lang w:val="en-US" w:eastAsia="zh-CN"/>
              </w:rPr>
              <w:t>9.</w:t>
            </w:r>
            <w:r>
              <w:rPr>
                <w:rFonts w:hint="eastAsia" w:ascii="宋体" w:hAnsi="宋体" w:cs="宋体"/>
                <w:color w:val="auto"/>
                <w:szCs w:val="21"/>
                <w:highlight w:val="none"/>
              </w:rPr>
              <w:t>除谈判文件规定必须提供以外，供应商认为需要提供的其他证明材料；</w:t>
            </w:r>
          </w:p>
          <w:p w14:paraId="0E6F7D3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61BC4FC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319E492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78F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E13A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3696FCC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487AFF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竞标报价表（格式后附）；</w:t>
            </w:r>
            <w:r>
              <w:rPr>
                <w:rFonts w:hint="eastAsia" w:ascii="宋体" w:hAnsi="宋体" w:eastAsia="宋体" w:cs="宋体"/>
                <w:b/>
                <w:bCs/>
                <w:color w:val="auto"/>
                <w:szCs w:val="21"/>
                <w:highlight w:val="none"/>
              </w:rPr>
              <w:t>（必须提供，否则响应文件按无效处理）</w:t>
            </w:r>
          </w:p>
          <w:p w14:paraId="3BB473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中小企业声明函</w:t>
            </w:r>
            <w:r>
              <w:rPr>
                <w:rFonts w:hint="eastAsia" w:ascii="宋体" w:hAnsi="宋体" w:cs="宋体"/>
                <w:color w:val="auto"/>
                <w:szCs w:val="21"/>
                <w:highlight w:val="none"/>
              </w:rPr>
              <w:t>（或残疾人福利性单位声明函或监狱企业证明文件）</w:t>
            </w:r>
            <w:r>
              <w:rPr>
                <w:rFonts w:hint="eastAsia" w:ascii="宋体" w:hAnsi="宋体" w:eastAsia="宋体" w:cs="宋体"/>
                <w:color w:val="auto"/>
                <w:szCs w:val="21"/>
                <w:highlight w:val="none"/>
              </w:rPr>
              <w:t>（格式后附）；</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按最新相关政策执行</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必须</w:t>
            </w:r>
            <w:r>
              <w:rPr>
                <w:rFonts w:hint="eastAsia" w:ascii="宋体" w:hAnsi="宋体" w:eastAsia="宋体" w:cs="宋体"/>
                <w:b/>
                <w:bCs/>
                <w:color w:val="auto"/>
                <w:szCs w:val="21"/>
                <w:highlight w:val="none"/>
                <w:lang w:eastAsia="zh-CN"/>
              </w:rPr>
              <w:t>提供</w:t>
            </w:r>
            <w:r>
              <w:rPr>
                <w:rFonts w:hint="eastAsia" w:ascii="宋体" w:hAnsi="宋体" w:eastAsia="宋体" w:cs="宋体"/>
                <w:b/>
                <w:bCs/>
                <w:color w:val="auto"/>
                <w:szCs w:val="21"/>
                <w:highlight w:val="none"/>
              </w:rPr>
              <w:t>，否则响应文件按无效处理）</w:t>
            </w:r>
          </w:p>
          <w:p w14:paraId="20CBD7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.供应商认为需要提供的其他有关资料。</w:t>
            </w:r>
          </w:p>
          <w:p w14:paraId="000C00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7754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20CD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D8314B6">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93880F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AB6BED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958057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6953529C">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保证金提交凭证；（</w:t>
            </w:r>
            <w:r>
              <w:rPr>
                <w:rFonts w:hint="eastAsia"/>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55C6B0A3">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FEA139E">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9F5193F">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7.服务需求偏离表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FBAA39E">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.对应采购需求的技术要求、商务要求提供的其他文件资料（格式自拟）；</w:t>
            </w:r>
          </w:p>
          <w:p w14:paraId="2855B470">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p>
          <w:p w14:paraId="5CDCC356">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，否则响应文件按无效处理。</w:t>
            </w:r>
          </w:p>
        </w:tc>
      </w:tr>
      <w:tr w14:paraId="0AC8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B2EB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018009A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竞标报价包含本项目服务的价格，运输（含保险）费、人工费、服务费、检验和竞争性</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文件要求提供的所有伴随本项目服务等费用、税费及其他一切费用</w:t>
            </w:r>
            <w:r>
              <w:rPr>
                <w:rFonts w:hint="eastAsia" w:ascii="宋体" w:hAnsi="宋体" w:cs="宋体"/>
                <w:color w:val="auto"/>
                <w:szCs w:val="21"/>
                <w:highlight w:val="none"/>
                <w:lang w:eastAsia="zh-CN"/>
              </w:rPr>
              <w:t>。</w:t>
            </w:r>
          </w:p>
        </w:tc>
      </w:tr>
      <w:tr w14:paraId="0A4B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D472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36A5F202">
            <w:pPr>
              <w:pStyle w:val="9"/>
              <w:keepNext w:val="0"/>
              <w:keepLines w:val="0"/>
              <w:pageBreakBefore w:val="0"/>
              <w:widowControl w:val="0"/>
              <w:tabs>
                <w:tab w:val="clear" w:pos="454"/>
              </w:tabs>
              <w:kinsoku/>
              <w:wordWrap/>
              <w:overflowPunct/>
              <w:topLinePunct w:val="0"/>
              <w:autoSpaceDE/>
              <w:autoSpaceDN/>
              <w:bidi w:val="0"/>
              <w:adjustRightInd/>
              <w:snapToGrid w:val="0"/>
              <w:spacing w:afterLines="0" w:line="440" w:lineRule="exact"/>
              <w:ind w:left="0" w:hanging="283" w:hangingChars="135"/>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6</w:t>
            </w:r>
            <w:r>
              <w:rPr>
                <w:rFonts w:ascii="宋体" w:hAnsi="宋体" w:cs="宋体"/>
                <w:color w:val="auto"/>
                <w:kern w:val="2"/>
                <w:sz w:val="21"/>
                <w:szCs w:val="21"/>
                <w:highlight w:val="none"/>
                <w:u w:val="single"/>
              </w:rPr>
              <w:t>0</w:t>
            </w:r>
            <w:r>
              <w:rPr>
                <w:rFonts w:hint="eastAsia" w:ascii="宋体" w:hAnsi="宋体" w:cs="宋体"/>
                <w:color w:val="auto"/>
                <w:kern w:val="2"/>
                <w:sz w:val="21"/>
                <w:szCs w:val="21"/>
                <w:highlight w:val="none"/>
              </w:rPr>
              <w:t>日。</w:t>
            </w:r>
          </w:p>
        </w:tc>
      </w:tr>
      <w:tr w14:paraId="318A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844E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34CB954D">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rPr>
              <w:t>□本项目不收取</w:t>
            </w:r>
            <w:r>
              <w:rPr>
                <w:rFonts w:hint="eastAsia" w:ascii="宋体" w:hAnsi="宋体"/>
                <w:color w:val="auto"/>
                <w:szCs w:val="21"/>
                <w:highlight w:val="none"/>
                <w:lang w:val="en-US" w:eastAsia="zh-CN"/>
              </w:rPr>
              <w:t>谈判</w:t>
            </w:r>
            <w:r>
              <w:rPr>
                <w:rFonts w:hint="eastAsia" w:ascii="宋体" w:hAnsi="宋体"/>
                <w:color w:val="auto"/>
                <w:szCs w:val="21"/>
                <w:highlight w:val="none"/>
              </w:rPr>
              <w:t>保证金。</w:t>
            </w:r>
          </w:p>
          <w:p w14:paraId="412FD62D">
            <w:pPr>
              <w:keepNext w:val="0"/>
              <w:keepLines w:val="0"/>
              <w:pageBreakBefore w:val="0"/>
              <w:widowControl w:val="0"/>
              <w:kinsoku/>
              <w:wordWrap/>
              <w:overflowPunct/>
              <w:topLinePunct w:val="0"/>
              <w:bidi w:val="0"/>
              <w:adjustRightInd/>
              <w:snapToGrid w:val="0"/>
              <w:spacing w:line="44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w:t>
            </w:r>
            <w:r>
              <w:rPr>
                <w:rFonts w:hint="eastAsia" w:ascii="宋体" w:hAnsi="宋体"/>
                <w:color w:val="auto"/>
                <w:szCs w:val="21"/>
                <w:highlight w:val="none"/>
                <w:lang w:val="en-US" w:eastAsia="zh-CN"/>
              </w:rPr>
              <w:t>谈判</w:t>
            </w:r>
            <w:r>
              <w:rPr>
                <w:rFonts w:hint="eastAsia" w:ascii="宋体" w:hAnsi="宋体"/>
                <w:color w:val="auto"/>
                <w:szCs w:val="21"/>
                <w:highlight w:val="none"/>
              </w:rPr>
              <w:t>保证金，具体规定：</w:t>
            </w:r>
            <w:r>
              <w:rPr>
                <w:rFonts w:hint="eastAsia" w:ascii="宋体" w:hAnsi="宋体" w:cs="宋体"/>
                <w:color w:val="auto"/>
                <w:szCs w:val="21"/>
              </w:rPr>
              <w:t>详见竞争性谈判公告。</w:t>
            </w:r>
          </w:p>
          <w:p w14:paraId="777174E7">
            <w:pPr>
              <w:keepNext w:val="0"/>
              <w:keepLines w:val="0"/>
              <w:pageBreakBefore w:val="0"/>
              <w:widowControl w:val="0"/>
              <w:kinsoku/>
              <w:wordWrap/>
              <w:overflowPunct/>
              <w:topLinePunct w:val="0"/>
              <w:bidi w:val="0"/>
              <w:adjustRightInd/>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18891C93">
            <w:pPr>
              <w:keepNext w:val="0"/>
              <w:keepLines w:val="0"/>
              <w:pageBreakBefore w:val="0"/>
              <w:widowControl w:val="0"/>
              <w:kinsoku/>
              <w:wordWrap/>
              <w:overflowPunct/>
              <w:topLinePunct w:val="0"/>
              <w:bidi w:val="0"/>
              <w:adjustRightInd/>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标保证金采用银行转账交纳方式的，在</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标截止时间前交至指定账户并且到账，</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标人应将银行转账底单的复印件作为</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标保证金提交凭证，放置于商务文件中，否则</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标无效。</w:t>
            </w:r>
          </w:p>
          <w:p w14:paraId="791B2BEB">
            <w:pPr>
              <w:keepNext w:val="0"/>
              <w:keepLines w:val="0"/>
              <w:pageBreakBefore w:val="0"/>
              <w:widowControl w:val="0"/>
              <w:kinsoku/>
              <w:wordWrap/>
              <w:overflowPunct/>
              <w:topLinePunct w:val="0"/>
              <w:bidi w:val="0"/>
              <w:adjustRightInd/>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标保证金采用支票、汇票、本票或者银行、保险机构出具的保函交纳方式的，</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标人应在</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标截止时间前采用现场或邮寄方式（现场提交地址：</w:t>
            </w:r>
            <w:r>
              <w:rPr>
                <w:rFonts w:hint="eastAsia" w:ascii="宋体" w:hAnsi="宋体" w:cs="宋体"/>
                <w:color w:val="auto"/>
                <w:szCs w:val="21"/>
                <w:highlight w:val="none"/>
                <w:lang w:eastAsia="zh-CN"/>
              </w:rPr>
              <w:t>广西中吉银工程项目管理有限公司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南宁市青秀区民族大道159号凤岭·新新家园A区2栋15层</w:t>
            </w:r>
            <w:r>
              <w:rPr>
                <w:rFonts w:hint="eastAsia" w:ascii="宋体" w:hAnsi="宋体" w:cs="宋体"/>
                <w:color w:val="auto"/>
                <w:szCs w:val="21"/>
                <w:highlight w:val="none"/>
              </w:rPr>
              <w:t>）；邮寄地址：</w:t>
            </w:r>
            <w:r>
              <w:rPr>
                <w:rFonts w:hint="eastAsia" w:ascii="宋体" w:hAnsi="宋体" w:cs="宋体"/>
                <w:color w:val="auto"/>
                <w:szCs w:val="21"/>
                <w:highlight w:val="none"/>
                <w:lang w:eastAsia="zh-CN"/>
              </w:rPr>
              <w:t>广西中吉银工程项目管理有限公司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南宁市青秀区民族大道159号凤岭·新新家园A区2栋15层</w:t>
            </w:r>
            <w:r>
              <w:rPr>
                <w:rFonts w:hint="eastAsia" w:ascii="宋体" w:hAnsi="宋体" w:cs="宋体"/>
                <w:color w:val="auto"/>
                <w:szCs w:val="21"/>
                <w:highlight w:val="none"/>
              </w:rPr>
              <w:t>，收件人：</w:t>
            </w:r>
            <w:r>
              <w:rPr>
                <w:rFonts w:hint="eastAsia" w:ascii="宋体" w:hAnsi="宋体" w:cs="宋体"/>
                <w:color w:val="auto"/>
                <w:szCs w:val="21"/>
                <w:highlight w:val="none"/>
                <w:lang w:val="en-US" w:eastAsia="zh-CN"/>
              </w:rPr>
              <w:t>米</w:t>
            </w:r>
            <w:r>
              <w:rPr>
                <w:rFonts w:hint="eastAsia" w:ascii="宋体" w:hAnsi="宋体" w:cs="宋体"/>
                <w:color w:val="auto"/>
                <w:szCs w:val="21"/>
                <w:highlight w:val="none"/>
                <w:lang w:eastAsia="zh-CN"/>
              </w:rPr>
              <w:t>工</w:t>
            </w:r>
            <w:r>
              <w:rPr>
                <w:rFonts w:hint="eastAsia" w:ascii="宋体" w:hAnsi="宋体" w:cs="宋体"/>
                <w:color w:val="auto"/>
                <w:szCs w:val="21"/>
                <w:highlight w:val="none"/>
              </w:rPr>
              <w:t>，联系方式：0771-3146887、5717533）将单独密封的支票、汇票、本票或者银行、保险机构出具的保函原件提交给采购人或者采购代理机构，由采购人或者采购代理机构向</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标人出具回执（邮寄方式的除外），并妥善保管。</w:t>
            </w:r>
          </w:p>
          <w:p w14:paraId="7CB82874">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3.供应商为联合体的，可以由联合体中的一方或者多方共同交纳谈判保证金，其交纳的保证金对联合体各方均具有约束力。</w:t>
            </w:r>
          </w:p>
          <w:p w14:paraId="175184E2">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1B030D67">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6DE1BD30">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214AACC4">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0EB1E8BD">
            <w:pPr>
              <w:keepNext w:val="0"/>
              <w:keepLines w:val="0"/>
              <w:pageBreakBefore w:val="0"/>
              <w:widowControl w:val="0"/>
              <w:kinsoku/>
              <w:wordWrap/>
              <w:overflowPunct/>
              <w:topLinePunct w:val="0"/>
              <w:bidi w:val="0"/>
              <w:adjustRightInd/>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0C2495D5">
            <w:pPr>
              <w:keepNext w:val="0"/>
              <w:keepLines w:val="0"/>
              <w:pageBreakBefore w:val="0"/>
              <w:widowControl w:val="0"/>
              <w:kinsoku/>
              <w:wordWrap/>
              <w:overflowPunct/>
              <w:topLinePunct w:val="0"/>
              <w:bidi w:val="0"/>
              <w:adjustRightInd/>
              <w:snapToGrid w:val="0"/>
              <w:spacing w:line="440" w:lineRule="exact"/>
              <w:rPr>
                <w:rFonts w:ascii="宋体" w:hAnsi="宋体" w:cs="宋体"/>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tc>
      </w:tr>
      <w:tr w14:paraId="7DC7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B531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16DB6908">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CCC9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3192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3FB3F39">
            <w:pPr>
              <w:keepNext w:val="0"/>
              <w:keepLines w:val="0"/>
              <w:pageBreakBefore w:val="0"/>
              <w:widowControl w:val="0"/>
              <w:kinsoku/>
              <w:wordWrap/>
              <w:overflowPunct/>
              <w:topLinePunct w:val="0"/>
              <w:autoSpaceDE/>
              <w:autoSpaceDN/>
              <w:bidi w:val="0"/>
              <w:adjustRightInd/>
              <w:snapToGrid/>
              <w:spacing w:line="440" w:lineRule="exact"/>
              <w:contextualSpacing/>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7E0B11DB">
            <w:pPr>
              <w:keepNext w:val="0"/>
              <w:keepLines w:val="0"/>
              <w:pageBreakBefore w:val="0"/>
              <w:widowControl w:val="0"/>
              <w:kinsoku/>
              <w:wordWrap/>
              <w:overflowPunct/>
              <w:topLinePunct w:val="0"/>
              <w:autoSpaceDE/>
              <w:autoSpaceDN/>
              <w:bidi w:val="0"/>
              <w:adjustRightInd/>
              <w:snapToGrid/>
              <w:spacing w:line="440" w:lineRule="exact"/>
              <w:contextualSpacing/>
              <w:jc w:val="left"/>
              <w:textAlignment w:val="auto"/>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0DB7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A5EF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0CA5C06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3339A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CC69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19AC070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首次响应文件开启时间详见“竞争性谈判公告”</w:t>
            </w:r>
            <w:r>
              <w:rPr>
                <w:rFonts w:hint="eastAsia" w:ascii="宋体" w:hAnsi="宋体" w:cs="宋体"/>
                <w:color w:val="auto"/>
                <w:szCs w:val="21"/>
                <w:highlight w:val="none"/>
                <w:lang w:eastAsia="zh-CN"/>
              </w:rPr>
              <w:t>。</w:t>
            </w:r>
          </w:p>
          <w:p w14:paraId="10DDD40B">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r>
              <w:rPr>
                <w:rFonts w:hint="eastAsia" w:hAnsi="宋体"/>
                <w:color w:val="auto"/>
                <w:highlight w:val="none"/>
                <w:lang w:eastAsia="zh-CN"/>
              </w:rPr>
              <w:t>。</w:t>
            </w:r>
          </w:p>
        </w:tc>
      </w:tr>
      <w:tr w14:paraId="3D71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CAF8131">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14:paraId="6DF534B5">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1FEC3205">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ascii="宋体" w:hAnsi="宋体" w:cs="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带“▲”的实质性要求正偏离项数多的优先、均无正偏离或者正偏离项数一致时负偏离项数少的优先、</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响应时间短优先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服务方案好优先</w:t>
            </w:r>
            <w:r>
              <w:rPr>
                <w:rFonts w:hint="eastAsia" w:ascii="宋体" w:hAnsi="宋体" w:cs="宋体"/>
                <w:color w:val="auto"/>
                <w:szCs w:val="21"/>
                <w:highlight w:val="none"/>
              </w:rPr>
              <w:t>的顺序推荐。</w:t>
            </w:r>
          </w:p>
          <w:p w14:paraId="708024F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7A55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AA897CF">
            <w:pPr>
              <w:spacing w:line="360" w:lineRule="auto"/>
              <w:jc w:val="center"/>
              <w:rPr>
                <w:rFonts w:ascii="宋体" w:hAnsi="宋体" w:cs="宋体"/>
                <w:color w:val="auto"/>
                <w:szCs w:val="21"/>
                <w:highlight w:val="none"/>
              </w:rPr>
            </w:pPr>
          </w:p>
        </w:tc>
        <w:tc>
          <w:tcPr>
            <w:tcW w:w="7912" w:type="dxa"/>
            <w:vAlign w:val="center"/>
          </w:tcPr>
          <w:p w14:paraId="7E3B74F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1547F64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且为非</w:t>
            </w:r>
            <w:r>
              <w:rPr>
                <w:rFonts w:hint="eastAsia" w:ascii="宋体" w:hAnsi="宋体" w:cs="宋体"/>
                <w:color w:val="auto"/>
                <w:szCs w:val="21"/>
                <w:highlight w:val="none"/>
              </w:rPr>
              <w:t>带“▲”的实质性要求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带“▲”的实质性要求</w:t>
            </w:r>
            <w:r>
              <w:rPr>
                <w:rFonts w:hint="eastAsia" w:ascii="宋体" w:hAnsi="宋体" w:cs="宋体"/>
                <w:color w:val="auto"/>
                <w:szCs w:val="21"/>
                <w:highlight w:val="none"/>
                <w:lang w:val="en-US" w:eastAsia="zh-CN"/>
              </w:rPr>
              <w:t>不允许负偏离</w:t>
            </w:r>
            <w:r>
              <w:rPr>
                <w:rFonts w:hint="eastAsia" w:ascii="宋体" w:hAnsi="宋体" w:cs="宋体"/>
                <w:color w:val="auto"/>
                <w:szCs w:val="21"/>
                <w:highlight w:val="none"/>
                <w:lang w:eastAsia="zh-CN"/>
              </w:rPr>
              <w:t>。</w:t>
            </w:r>
          </w:p>
        </w:tc>
      </w:tr>
      <w:tr w14:paraId="6C622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6571E0">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14:paraId="3716B716">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CC936BE">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C2CACF4">
            <w:pPr>
              <w:keepNext w:val="0"/>
              <w:keepLines w:val="0"/>
              <w:pageBreakBefore w:val="0"/>
              <w:widowControl w:val="0"/>
              <w:kinsoku/>
              <w:wordWrap/>
              <w:overflowPunct/>
              <w:topLinePunct w:val="0"/>
              <w:bidi w:val="0"/>
              <w:adjustRightInd/>
              <w:snapToGrid w:val="0"/>
              <w:spacing w:line="440" w:lineRule="exact"/>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2AE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9EA5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7526AE7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724C65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广西中吉银工程项目管理有限公司</w:t>
            </w:r>
            <w:r>
              <w:rPr>
                <w:rFonts w:hint="eastAsia" w:ascii="宋体" w:hAnsi="宋体"/>
                <w:color w:val="auto"/>
                <w:szCs w:val="21"/>
                <w:highlight w:val="none"/>
              </w:rPr>
              <w:t>，联系电话：</w:t>
            </w:r>
            <w:r>
              <w:rPr>
                <w:rFonts w:hint="eastAsia" w:ascii="宋体" w:hAnsi="宋体"/>
                <w:color w:val="auto"/>
                <w:szCs w:val="21"/>
                <w:highlight w:val="none"/>
                <w:u w:val="single"/>
                <w:lang w:eastAsia="zh-CN"/>
              </w:rPr>
              <w:t>0771-3146887、5717533</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仿宋"/>
                <w:color w:val="auto"/>
                <w:szCs w:val="21"/>
                <w:highlight w:val="none"/>
                <w:u w:val="single"/>
                <w:lang w:eastAsia="zh-CN"/>
              </w:rPr>
              <w:t>广西中吉银工程项目管理有限公司</w:t>
            </w:r>
            <w:r>
              <w:rPr>
                <w:rFonts w:hint="eastAsia" w:ascii="宋体" w:hAnsi="宋体" w:cs="仿宋"/>
                <w:color w:val="auto"/>
                <w:szCs w:val="21"/>
                <w:highlight w:val="none"/>
                <w:u w:val="single"/>
              </w:rPr>
              <w:t>（</w:t>
            </w:r>
            <w:r>
              <w:rPr>
                <w:rFonts w:hint="eastAsia" w:ascii="宋体" w:hAnsi="宋体" w:cs="仿宋"/>
                <w:color w:val="auto"/>
                <w:szCs w:val="21"/>
                <w:highlight w:val="none"/>
                <w:u w:val="single"/>
                <w:lang w:eastAsia="zh-CN"/>
              </w:rPr>
              <w:t>南宁市青秀区民族大道159号凤岭·新新家园A区2栋15层</w:t>
            </w:r>
            <w:r>
              <w:rPr>
                <w:rFonts w:hint="eastAsia" w:ascii="宋体" w:hAnsi="宋体" w:cs="仿宋"/>
                <w:color w:val="auto"/>
                <w:szCs w:val="21"/>
                <w:highlight w:val="none"/>
                <w:u w:val="single"/>
              </w:rPr>
              <w:t>）</w:t>
            </w:r>
          </w:p>
          <w:p w14:paraId="2F4E4047">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color w:val="auto"/>
                <w:kern w:val="2"/>
                <w:sz w:val="21"/>
                <w:highlight w:val="none"/>
              </w:rPr>
            </w:pPr>
            <w:r>
              <w:rPr>
                <w:rFonts w:hint="eastAsia" w:hAnsi="宋体"/>
                <w:color w:val="auto"/>
                <w:kern w:val="2"/>
                <w:sz w:val="21"/>
                <w:highlight w:val="none"/>
              </w:rPr>
              <w:t>业务时间：工作日每天上午8时</w:t>
            </w:r>
            <w:r>
              <w:rPr>
                <w:rFonts w:hint="eastAsia" w:hAnsi="宋体"/>
                <w:color w:val="auto"/>
                <w:kern w:val="2"/>
                <w:sz w:val="21"/>
                <w:highlight w:val="none"/>
                <w:lang w:val="en-US" w:eastAsia="zh-CN"/>
              </w:rPr>
              <w:t>3</w:t>
            </w:r>
            <w:r>
              <w:rPr>
                <w:rFonts w:hint="eastAsia" w:hAnsi="宋体"/>
                <w:color w:val="auto"/>
                <w:kern w:val="2"/>
                <w:sz w:val="21"/>
                <w:highlight w:val="none"/>
              </w:rPr>
              <w:t>0分到12时00分，下午</w:t>
            </w:r>
            <w:r>
              <w:rPr>
                <w:rFonts w:hint="eastAsia" w:hAnsi="宋体"/>
                <w:color w:val="auto"/>
                <w:kern w:val="2"/>
                <w:sz w:val="21"/>
                <w:highlight w:val="none"/>
                <w:lang w:val="en-US" w:eastAsia="zh-CN"/>
              </w:rPr>
              <w:t>15</w:t>
            </w:r>
            <w:r>
              <w:rPr>
                <w:rFonts w:hint="eastAsia" w:hAnsi="宋体"/>
                <w:color w:val="auto"/>
                <w:kern w:val="2"/>
                <w:sz w:val="21"/>
                <w:highlight w:val="none"/>
              </w:rPr>
              <w:t>时00分到</w:t>
            </w:r>
            <w:r>
              <w:rPr>
                <w:rFonts w:hint="eastAsia" w:hAnsi="宋体"/>
                <w:color w:val="auto"/>
                <w:kern w:val="2"/>
                <w:sz w:val="21"/>
                <w:highlight w:val="none"/>
                <w:lang w:val="en-US" w:eastAsia="zh-CN"/>
              </w:rPr>
              <w:t>18</w:t>
            </w:r>
            <w:r>
              <w:rPr>
                <w:rFonts w:hint="eastAsia" w:hAnsi="宋体"/>
                <w:color w:val="auto"/>
                <w:kern w:val="2"/>
                <w:sz w:val="21"/>
                <w:highlight w:val="none"/>
              </w:rPr>
              <w:t>时00分。</w:t>
            </w:r>
          </w:p>
        </w:tc>
      </w:tr>
      <w:tr w14:paraId="7DD8C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CCE9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14:paraId="64315711">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1.采购代理费支付方式：</w:t>
            </w:r>
          </w:p>
          <w:p w14:paraId="4D1FB63F">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☑本项目代理服务费按如下规定由成交供应商在领取成交通知书前，一次性向采购代理机构支付。</w:t>
            </w:r>
          </w:p>
          <w:p w14:paraId="5169F60A">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□采购人支付。</w:t>
            </w:r>
          </w:p>
          <w:p w14:paraId="5A11BFA7">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2.采购代理费收取标准：</w:t>
            </w:r>
          </w:p>
          <w:p w14:paraId="5B97DD33">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lang w:eastAsia="zh-CN"/>
              </w:rPr>
              <w:t>☑</w:t>
            </w:r>
            <w:r>
              <w:rPr>
                <w:rFonts w:hint="eastAsia"/>
                <w:color w:val="auto"/>
                <w:sz w:val="21"/>
                <w:highlight w:val="none"/>
              </w:rPr>
              <w:t>以分标（</w:t>
            </w:r>
            <w:r>
              <w:rPr>
                <w:rFonts w:hint="eastAsia"/>
                <w:color w:val="auto"/>
                <w:sz w:val="21"/>
                <w:highlight w:val="none"/>
                <w:lang w:eastAsia="zh-CN"/>
              </w:rPr>
              <w:t>☑</w:t>
            </w:r>
            <w:r>
              <w:rPr>
                <w:rFonts w:hint="eastAsia"/>
                <w:color w:val="auto"/>
                <w:sz w:val="21"/>
                <w:highlight w:val="none"/>
              </w:rPr>
              <w:t>成交金额/□采购预算/□暂定成交金额/□其他</w:t>
            </w:r>
            <w:r>
              <w:rPr>
                <w:rFonts w:hint="eastAsia"/>
                <w:color w:val="auto"/>
                <w:sz w:val="21"/>
                <w:highlight w:val="none"/>
                <w:u w:val="single"/>
              </w:rPr>
              <w:t xml:space="preserve"> /  </w:t>
            </w:r>
            <w:r>
              <w:rPr>
                <w:rFonts w:hint="eastAsia"/>
                <w:color w:val="auto"/>
                <w:sz w:val="21"/>
                <w:highlight w:val="none"/>
              </w:rPr>
              <w:t>）为计费额，按本须知正文第3</w:t>
            </w:r>
            <w:r>
              <w:rPr>
                <w:rFonts w:hint="eastAsia"/>
                <w:color w:val="auto"/>
                <w:sz w:val="21"/>
                <w:highlight w:val="none"/>
                <w:lang w:val="en-US" w:eastAsia="zh-CN"/>
              </w:rPr>
              <w:t>2</w:t>
            </w:r>
            <w:r>
              <w:rPr>
                <w:rFonts w:hint="eastAsia"/>
                <w:color w:val="auto"/>
                <w:sz w:val="21"/>
                <w:highlight w:val="none"/>
              </w:rPr>
              <w:t>条规定的（</w:t>
            </w:r>
            <w:r>
              <w:rPr>
                <w:rFonts w:hint="eastAsia"/>
                <w:color w:val="auto"/>
                <w:sz w:val="21"/>
                <w:highlight w:val="none"/>
                <w:lang w:eastAsia="zh-CN"/>
              </w:rPr>
              <w:t>□</w:t>
            </w:r>
            <w:r>
              <w:rPr>
                <w:rFonts w:hint="eastAsia"/>
                <w:color w:val="auto"/>
                <w:sz w:val="21"/>
                <w:highlight w:val="none"/>
              </w:rPr>
              <w:t>货物类/</w:t>
            </w:r>
            <w:r>
              <w:rPr>
                <w:rFonts w:hint="eastAsia"/>
                <w:color w:val="auto"/>
                <w:sz w:val="21"/>
                <w:highlight w:val="none"/>
                <w:lang w:eastAsia="zh-CN"/>
              </w:rPr>
              <w:t>☑</w:t>
            </w:r>
            <w:r>
              <w:rPr>
                <w:rFonts w:hint="eastAsia"/>
                <w:color w:val="auto"/>
                <w:sz w:val="21"/>
                <w:highlight w:val="none"/>
              </w:rPr>
              <w:t>服务类/□工程类）标准采用差额定率累进法计算出收费基准价格，采购代理收费以（</w:t>
            </w:r>
            <w:r>
              <w:rPr>
                <w:rFonts w:hint="eastAsia"/>
                <w:color w:val="auto"/>
                <w:sz w:val="21"/>
                <w:highlight w:val="none"/>
                <w:lang w:eastAsia="zh-CN"/>
              </w:rPr>
              <w:t>□</w:t>
            </w:r>
            <w:r>
              <w:rPr>
                <w:rFonts w:hint="eastAsia"/>
                <w:color w:val="auto"/>
                <w:sz w:val="21"/>
                <w:highlight w:val="none"/>
              </w:rPr>
              <w:t>收费基准价格/</w:t>
            </w:r>
            <w:r>
              <w:rPr>
                <w:rFonts w:hint="eastAsia"/>
                <w:color w:val="auto"/>
                <w:sz w:val="21"/>
                <w:highlight w:val="none"/>
                <w:lang w:eastAsia="zh-CN"/>
              </w:rPr>
              <w:t>☑</w:t>
            </w:r>
            <w:r>
              <w:rPr>
                <w:rFonts w:hint="eastAsia"/>
                <w:color w:val="auto"/>
                <w:sz w:val="21"/>
                <w:highlight w:val="none"/>
              </w:rPr>
              <w:t>收费基准价格下浮</w:t>
            </w:r>
            <w:r>
              <w:rPr>
                <w:rFonts w:hint="eastAsia"/>
                <w:color w:val="auto"/>
                <w:sz w:val="21"/>
                <w:highlight w:val="none"/>
                <w:u w:val="single"/>
                <w:lang w:val="en-US" w:eastAsia="zh-CN"/>
              </w:rPr>
              <w:t xml:space="preserve"> 20</w:t>
            </w:r>
            <w:r>
              <w:rPr>
                <w:rFonts w:hint="eastAsia"/>
                <w:color w:val="auto"/>
                <w:sz w:val="21"/>
                <w:highlight w:val="none"/>
                <w:u w:val="single"/>
              </w:rPr>
              <w:t xml:space="preserve"> %</w:t>
            </w:r>
            <w:r>
              <w:rPr>
                <w:rFonts w:hint="eastAsia"/>
                <w:color w:val="auto"/>
                <w:sz w:val="21"/>
                <w:highlight w:val="none"/>
              </w:rPr>
              <w:t>/□收费基准价格上浮</w:t>
            </w:r>
            <w:r>
              <w:rPr>
                <w:rFonts w:hint="eastAsia"/>
                <w:color w:val="auto"/>
                <w:sz w:val="21"/>
                <w:highlight w:val="none"/>
                <w:u w:val="single"/>
              </w:rPr>
              <w:t xml:space="preserve"> /%</w:t>
            </w:r>
            <w:r>
              <w:rPr>
                <w:rFonts w:hint="eastAsia"/>
                <w:color w:val="auto"/>
                <w:sz w:val="21"/>
                <w:highlight w:val="none"/>
              </w:rPr>
              <w:t>）收取。</w:t>
            </w:r>
          </w:p>
          <w:p w14:paraId="2E76D800">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lang w:eastAsia="zh-CN"/>
              </w:rPr>
              <w:t>□</w:t>
            </w:r>
            <w:r>
              <w:rPr>
                <w:rFonts w:hint="eastAsia"/>
                <w:color w:val="auto"/>
                <w:sz w:val="21"/>
                <w:highlight w:val="none"/>
              </w:rPr>
              <w:t>固定采购代理收费</w:t>
            </w:r>
            <w:r>
              <w:rPr>
                <w:rFonts w:hint="eastAsia"/>
                <w:color w:val="auto"/>
                <w:sz w:val="21"/>
                <w:highlight w:val="none"/>
                <w:u w:val="single"/>
              </w:rPr>
              <w:t xml:space="preserve"> </w:t>
            </w:r>
            <w:r>
              <w:rPr>
                <w:rFonts w:hint="eastAsia"/>
                <w:color w:val="auto"/>
                <w:sz w:val="21"/>
                <w:highlight w:val="none"/>
                <w:u w:val="single"/>
                <w:lang w:val="en-US" w:eastAsia="zh-CN"/>
              </w:rPr>
              <w:t xml:space="preserve">       </w:t>
            </w:r>
            <w:r>
              <w:rPr>
                <w:rFonts w:hint="eastAsia"/>
                <w:color w:val="auto"/>
                <w:sz w:val="21"/>
                <w:highlight w:val="none"/>
                <w:u w:val="none"/>
              </w:rPr>
              <w:t>元</w:t>
            </w:r>
            <w:r>
              <w:rPr>
                <w:rFonts w:hint="eastAsia"/>
                <w:color w:val="auto"/>
                <w:sz w:val="21"/>
                <w:highlight w:val="none"/>
              </w:rPr>
              <w:t>。</w:t>
            </w:r>
          </w:p>
          <w:p w14:paraId="347DC24E">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3.采购代理费收取银行账户</w:t>
            </w:r>
          </w:p>
          <w:p w14:paraId="3B34A33A">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 xml:space="preserve">开户名称：广西中吉银工程项目管理有限公司 </w:t>
            </w:r>
          </w:p>
          <w:p w14:paraId="21DDB406">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olor w:val="auto"/>
                <w:sz w:val="21"/>
                <w:highlight w:val="none"/>
              </w:rPr>
            </w:pPr>
            <w:r>
              <w:rPr>
                <w:rFonts w:hint="eastAsia"/>
                <w:color w:val="auto"/>
                <w:sz w:val="21"/>
                <w:highlight w:val="none"/>
              </w:rPr>
              <w:t xml:space="preserve">开户银行：中国建设银行股份有限公司南宁盘龙路支行 </w:t>
            </w:r>
          </w:p>
          <w:p w14:paraId="29B6D33E">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color w:val="auto"/>
                <w:sz w:val="21"/>
                <w:highlight w:val="none"/>
              </w:rPr>
            </w:pPr>
            <w:r>
              <w:rPr>
                <w:rFonts w:hint="eastAsia"/>
                <w:color w:val="auto"/>
                <w:sz w:val="21"/>
                <w:highlight w:val="none"/>
              </w:rPr>
              <w:t>银行账号：45050110067300000549</w:t>
            </w:r>
          </w:p>
        </w:tc>
      </w:tr>
      <w:tr w14:paraId="62E3B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5F3B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09FB4616">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788E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9F57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3EDFECBD">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58FE3CE8">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olor w:val="auto"/>
                <w:sz w:val="21"/>
                <w:highlight w:val="none"/>
                <w:lang w:eastAsia="zh-CN"/>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46E549B7">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774547C7">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hAnsi="宋体" w:eastAsia="宋体" w:cs="宋体"/>
                <w:bCs/>
                <w:color w:val="auto"/>
                <w:sz w:val="21"/>
                <w:highlight w:val="none"/>
                <w:lang w:val="en-US" w:eastAsia="zh-CN"/>
              </w:rPr>
            </w:pPr>
            <w:r>
              <w:rPr>
                <w:rFonts w:hint="eastAsia" w:hAnsi="宋体" w:cs="宋体"/>
                <w:bCs/>
                <w:color w:val="auto"/>
                <w:sz w:val="21"/>
                <w:highlight w:val="none"/>
                <w:lang w:val="en-US" w:eastAsia="zh-CN"/>
              </w:rPr>
              <w:t>4.法定代表人或其授权代表签字或盖章：本竞争性谈判文件所涉及的法定代表人或其授权代表签字或盖章的内容，如果谈判供应商没有法定代表人电子签章，涉及到法定代表人或其授权代表签字或盖章的内容，谈判供应商可以线下签字或盖章后扫描上传。</w:t>
            </w:r>
          </w:p>
          <w:p w14:paraId="0837255E">
            <w:pPr>
              <w:pStyle w:val="15"/>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color w:val="auto"/>
                <w:sz w:val="21"/>
                <w:highlight w:val="none"/>
              </w:rPr>
            </w:pPr>
            <w:r>
              <w:rPr>
                <w:rFonts w:hint="eastAsia" w:hAnsi="宋体" w:cs="宋体"/>
                <w:color w:val="auto"/>
                <w:sz w:val="21"/>
                <w:highlight w:val="none"/>
                <w:lang w:val="en-US" w:eastAsia="zh-CN"/>
              </w:rPr>
              <w:t>5</w:t>
            </w:r>
            <w:r>
              <w:rPr>
                <w:rFonts w:hAnsi="宋体" w:cs="宋体"/>
                <w:color w:val="auto"/>
                <w:sz w:val="21"/>
                <w:highlight w:val="none"/>
              </w:rPr>
              <w:t>.</w:t>
            </w:r>
            <w:r>
              <w:rPr>
                <w:rFonts w:hint="eastAsia" w:hAnsi="宋体" w:cs="宋体"/>
                <w:color w:val="auto"/>
                <w:sz w:val="21"/>
                <w:highlight w:val="none"/>
              </w:rPr>
              <w:t>本谈判文件所称的“以上”“以下”“以内”“届满”，包括本数；所称的“不满”“超过”“以外”，不包括本数。</w:t>
            </w:r>
          </w:p>
        </w:tc>
      </w:tr>
    </w:tbl>
    <w:p w14:paraId="74C2C0E0">
      <w:pPr>
        <w:spacing w:line="400" w:lineRule="exact"/>
        <w:jc w:val="center"/>
        <w:rPr>
          <w:rFonts w:ascii="宋体" w:hAnsi="宋体" w:cs="宋体"/>
          <w:b/>
          <w:color w:val="auto"/>
          <w:sz w:val="32"/>
          <w:szCs w:val="32"/>
          <w:highlight w:val="none"/>
        </w:rPr>
      </w:pPr>
      <w:r>
        <w:rPr>
          <w:rFonts w:ascii="宋体" w:hAnsi="宋体"/>
          <w:b/>
          <w:color w:val="auto"/>
          <w:sz w:val="32"/>
          <w:szCs w:val="32"/>
          <w:highlight w:val="none"/>
        </w:rPr>
        <w:br w:type="page"/>
      </w:r>
      <w:r>
        <w:rPr>
          <w:rFonts w:hint="eastAsia" w:ascii="宋体" w:hAnsi="宋体" w:cs="宋体"/>
          <w:b/>
          <w:color w:val="auto"/>
          <w:sz w:val="32"/>
          <w:szCs w:val="32"/>
          <w:highlight w:val="none"/>
        </w:rPr>
        <w:t>供应商须知正文</w:t>
      </w:r>
    </w:p>
    <w:p w14:paraId="0C9C041B">
      <w:pPr>
        <w:spacing w:line="400" w:lineRule="exact"/>
        <w:jc w:val="center"/>
        <w:rPr>
          <w:rFonts w:ascii="宋体" w:hAnsi="宋体" w:cs="宋体"/>
          <w:b/>
          <w:color w:val="auto"/>
          <w:sz w:val="32"/>
          <w:szCs w:val="32"/>
          <w:highlight w:val="none"/>
        </w:rPr>
      </w:pPr>
    </w:p>
    <w:p w14:paraId="384FA010">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7AD6DED9">
      <w:pPr>
        <w:spacing w:line="400" w:lineRule="exact"/>
        <w:rPr>
          <w:rFonts w:ascii="宋体" w:hAnsi="宋体" w:cs="宋体"/>
          <w:color w:val="auto"/>
          <w:szCs w:val="21"/>
          <w:highlight w:val="none"/>
        </w:rPr>
      </w:pPr>
    </w:p>
    <w:p w14:paraId="627295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 适用范围</w:t>
      </w:r>
    </w:p>
    <w:p w14:paraId="56D6C0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3BB0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w:t>
      </w:r>
      <w:r>
        <w:rPr>
          <w:rFonts w:hint="eastAsia" w:ascii="宋体" w:hAnsi="宋体" w:eastAsia="宋体" w:cs="宋体"/>
          <w:color w:val="auto"/>
          <w:szCs w:val="21"/>
          <w:highlight w:val="none"/>
        </w:rPr>
        <w:t>用于本项目的所有采购程序和环节（法律、法规另有规定的</w:t>
      </w:r>
      <w:r>
        <w:rPr>
          <w:rFonts w:hint="eastAsia" w:ascii="宋体" w:hAnsi="宋体" w:cs="宋体"/>
          <w:color w:val="auto"/>
          <w:spacing w:val="-6"/>
          <w:szCs w:val="21"/>
          <w:highlight w:val="none"/>
        </w:rPr>
        <w:t>，</w:t>
      </w:r>
      <w:r>
        <w:rPr>
          <w:rFonts w:hint="eastAsia" w:ascii="宋体" w:hAnsi="宋体" w:eastAsia="宋体" w:cs="宋体"/>
          <w:color w:val="auto"/>
          <w:szCs w:val="21"/>
          <w:highlight w:val="none"/>
        </w:rPr>
        <w:t>从其规定</w:t>
      </w:r>
      <w:r>
        <w:rPr>
          <w:rFonts w:hint="eastAsia" w:ascii="宋体" w:hAnsi="宋体" w:cs="宋体"/>
          <w:color w:val="auto"/>
          <w:spacing w:val="-6"/>
          <w:szCs w:val="21"/>
          <w:highlight w:val="none"/>
        </w:rPr>
        <w:t>）。</w:t>
      </w:r>
    </w:p>
    <w:p w14:paraId="2B9785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 定义</w:t>
      </w:r>
    </w:p>
    <w:p w14:paraId="494FE7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color w:val="auto"/>
          <w:sz w:val="21"/>
          <w:szCs w:val="21"/>
          <w:highlight w:val="none"/>
          <w:lang w:eastAsia="zh-CN"/>
        </w:rPr>
        <w:t>广西机电职业技术学院</w:t>
      </w:r>
      <w:r>
        <w:rPr>
          <w:rFonts w:hint="eastAsia" w:ascii="宋体" w:hAnsi="宋体" w:cs="宋体"/>
          <w:color w:val="auto"/>
          <w:szCs w:val="21"/>
          <w:highlight w:val="none"/>
        </w:rPr>
        <w:t>。</w:t>
      </w:r>
    </w:p>
    <w:p w14:paraId="3C990E2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 w:val="0"/>
          <w:bCs/>
          <w:color w:val="auto"/>
          <w:szCs w:val="21"/>
          <w:highlight w:val="none"/>
        </w:rPr>
        <w:t>是指</w:t>
      </w:r>
      <w:r>
        <w:rPr>
          <w:rFonts w:hint="eastAsia" w:ascii="宋体" w:hAnsi="宋体" w:cs="宋体"/>
          <w:b w:val="0"/>
          <w:bCs/>
          <w:color w:val="auto"/>
          <w:szCs w:val="21"/>
          <w:highlight w:val="none"/>
          <w:lang w:val="en-US" w:eastAsia="zh-CN"/>
        </w:rPr>
        <w:t>广西中吉银工程项目管理有限公司。</w:t>
      </w:r>
    </w:p>
    <w:p w14:paraId="3B397A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83D9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D13E5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2.5“竞标”是指按照本项目竞争性谈判公告规定的方式获取谈判文件、提交响应文件并希望获得标的的行为。</w:t>
      </w:r>
    </w:p>
    <w:p w14:paraId="2ACFCF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1280C7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0F977F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2EEF7F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w:t>
      </w:r>
      <w:r>
        <w:rPr>
          <w:rFonts w:hint="eastAsia" w:ascii="宋体" w:hAnsi="宋体" w:cs="宋体"/>
          <w:b/>
          <w:bCs/>
          <w:color w:val="auto"/>
          <w:kern w:val="0"/>
          <w:szCs w:val="21"/>
          <w:highlight w:val="none"/>
        </w:rPr>
        <w:t>▲</w:t>
      </w:r>
      <w:r>
        <w:rPr>
          <w:rFonts w:hint="eastAsia" w:ascii="宋体" w:hAnsi="宋体" w:cs="宋体"/>
          <w:color w:val="auto"/>
          <w:szCs w:val="21"/>
          <w:highlight w:val="none"/>
        </w:rPr>
        <w:t>”的条款或者不能负偏离的条款或者已经指明不满足按响应文件按无效处理的条款。</w:t>
      </w:r>
    </w:p>
    <w:p w14:paraId="73A6E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517BCC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26669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88337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581B7421">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 供应商的资格条件</w:t>
      </w:r>
    </w:p>
    <w:p w14:paraId="26A3DEB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5B646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 竞标费用</w:t>
      </w:r>
    </w:p>
    <w:p w14:paraId="6BD3CF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21842D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5E43ED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EF533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13D772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9" w:name="_Hlk65857072"/>
      <w:r>
        <w:rPr>
          <w:rFonts w:hint="eastAsia" w:ascii="宋体" w:hAnsi="宋体" w:cs="宋体"/>
          <w:color w:val="auto"/>
          <w:szCs w:val="21"/>
          <w:highlight w:val="none"/>
        </w:rPr>
        <w:t>根据《政府采购促进中小企业发展管理办法》（财库〔2020〕46号）及《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%的扣除，用扣除后的价格参加评审，具体详见《评审程序和评定成交的标准》。</w:t>
      </w:r>
      <w:bookmarkEnd w:id="59"/>
    </w:p>
    <w:p w14:paraId="686E9C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29DCE1">
      <w:pPr>
        <w:spacing w:line="360" w:lineRule="auto"/>
        <w:ind w:firstLine="420" w:firstLineChars="200"/>
        <w:rPr>
          <w:rFonts w:hint="eastAsia" w:ascii="宋体" w:hAnsi="宋体" w:eastAsia="宋体" w:cs="宋体"/>
          <w:color w:val="auto"/>
          <w:szCs w:val="21"/>
          <w:highlight w:val="none"/>
        </w:rPr>
      </w:pPr>
      <w:bookmarkStart w:id="60" w:name="_Toc254970673"/>
      <w:bookmarkStart w:id="61" w:name="_Toc254970532"/>
      <w:r>
        <w:rPr>
          <w:rFonts w:hint="eastAsia" w:ascii="宋体" w:hAnsi="宋体" w:eastAsia="宋体" w:cs="宋体"/>
          <w:color w:val="auto"/>
          <w:szCs w:val="21"/>
          <w:highlight w:val="none"/>
        </w:rPr>
        <w:t>6.1本项目不允许转包。</w:t>
      </w:r>
    </w:p>
    <w:p w14:paraId="3F242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1E82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7A2D32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60"/>
      <w:bookmarkEnd w:id="61"/>
    </w:p>
    <w:p w14:paraId="4C030491">
      <w:pPr>
        <w:spacing w:line="360" w:lineRule="auto"/>
        <w:ind w:firstLine="420" w:firstLineChars="200"/>
        <w:rPr>
          <w:rFonts w:ascii="宋体" w:hAnsi="宋体" w:cs="宋体"/>
          <w:color w:val="auto"/>
          <w:szCs w:val="21"/>
          <w:highlight w:val="none"/>
        </w:rPr>
      </w:pPr>
      <w:bookmarkStart w:id="62" w:name="_8.1提供相同品牌产品且通过资格审查、符合性审查的不同投标人参加同一合"/>
      <w:bookmarkEnd w:id="62"/>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01FF5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79E9B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7.2如果本谈判文件要求提供供应商或制造商的资格、信誉、荣誉、业绩与企业认证等材料的，资格、信誉、荣誉、业绩与企业认证等必须为供应商或者制造商所拥有或自身获得。</w:t>
      </w:r>
    </w:p>
    <w:p w14:paraId="6C5E5E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1591A4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w:t>
      </w:r>
      <w:r>
        <w:rPr>
          <w:rFonts w:hint="eastAsia" w:ascii="宋体" w:hAnsi="宋体" w:cs="宋体"/>
          <w:color w:val="auto"/>
          <w:szCs w:val="21"/>
          <w:highlight w:val="none"/>
          <w:lang w:val="en-US" w:eastAsia="zh-CN"/>
        </w:rPr>
        <w:t>政府采购监督管理</w:t>
      </w:r>
      <w:r>
        <w:rPr>
          <w:rFonts w:hint="eastAsia" w:ascii="宋体" w:hAnsi="宋体" w:cs="宋体"/>
          <w:color w:val="auto"/>
          <w:szCs w:val="21"/>
          <w:highlight w:val="none"/>
        </w:rPr>
        <w:t>部门查处；签订合同后发现的，成交供应商须依照《中华人民共和国消费者权益保护法》规定赔偿采购人，且民事赔偿并不免除违法供应商的行政与刑事责任。</w:t>
      </w:r>
    </w:p>
    <w:p w14:paraId="1959F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5377EC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5CA7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A02D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A1A3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3934D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94E0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7DA7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5A9AD2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612953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93259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D8082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5AE59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585F0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保证金从同一单位或者个人账户转出。</w:t>
      </w:r>
    </w:p>
    <w:p w14:paraId="708DEC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3" w:name="_Hlk54682620"/>
      <w:r>
        <w:rPr>
          <w:rFonts w:hint="eastAsia" w:ascii="宋体" w:hAnsi="宋体" w:cs="宋体"/>
          <w:color w:val="auto"/>
          <w:szCs w:val="21"/>
          <w:highlight w:val="none"/>
        </w:rPr>
        <w:t>，将报同级</w:t>
      </w:r>
      <w:r>
        <w:rPr>
          <w:rFonts w:hint="eastAsia" w:ascii="宋体" w:hAnsi="宋体" w:cs="宋体"/>
          <w:color w:val="auto"/>
          <w:szCs w:val="21"/>
          <w:highlight w:val="none"/>
          <w:lang w:val="en-US" w:eastAsia="zh-CN"/>
        </w:rPr>
        <w:t>政府采购</w:t>
      </w:r>
      <w:r>
        <w:rPr>
          <w:rFonts w:hint="eastAsia" w:ascii="宋体" w:hAnsi="宋体" w:cs="宋体"/>
          <w:color w:val="auto"/>
          <w:szCs w:val="21"/>
          <w:highlight w:val="none"/>
        </w:rPr>
        <w:t>监督管理部门</w:t>
      </w:r>
      <w:bookmarkEnd w:id="63"/>
      <w:r>
        <w:rPr>
          <w:rFonts w:hint="eastAsia" w:ascii="宋体" w:hAnsi="宋体" w:cs="宋体"/>
          <w:color w:val="auto"/>
          <w:szCs w:val="21"/>
          <w:highlight w:val="none"/>
        </w:rPr>
        <w:t>：</w:t>
      </w:r>
    </w:p>
    <w:p w14:paraId="41654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EB8D3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A4D6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E77D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DAB03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0D859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579DA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6192115">
      <w:pPr>
        <w:spacing w:line="360" w:lineRule="auto"/>
        <w:ind w:left="1" w:firstLine="417" w:firstLineChars="199"/>
        <w:jc w:val="center"/>
        <w:rPr>
          <w:rFonts w:ascii="宋体" w:hAnsi="宋体" w:cs="宋体"/>
          <w:color w:val="auto"/>
          <w:highlight w:val="none"/>
        </w:rPr>
      </w:pPr>
      <w:bookmarkStart w:id="64" w:name="_Toc254970675"/>
      <w:bookmarkStart w:id="65" w:name="_Toc254970534"/>
    </w:p>
    <w:p w14:paraId="2CF4DBC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二、谈判文件</w:t>
      </w:r>
      <w:bookmarkEnd w:id="64"/>
      <w:bookmarkEnd w:id="65"/>
    </w:p>
    <w:p w14:paraId="1ED95213">
      <w:pPr>
        <w:spacing w:line="360" w:lineRule="auto"/>
        <w:jc w:val="center"/>
        <w:rPr>
          <w:rFonts w:ascii="宋体" w:hAnsi="宋体" w:cs="宋体"/>
          <w:color w:val="auto"/>
          <w:szCs w:val="21"/>
          <w:highlight w:val="none"/>
        </w:rPr>
      </w:pPr>
    </w:p>
    <w:p w14:paraId="7274D2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8.谈判文件的构成</w:t>
      </w:r>
    </w:p>
    <w:p w14:paraId="02E3865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（1）竞争性谈判公告；</w:t>
      </w:r>
    </w:p>
    <w:p w14:paraId="617102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71DDCFB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185AEB9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（4）响应文件格式</w:t>
      </w:r>
    </w:p>
    <w:p w14:paraId="5FA3DC4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（5）合同文本；</w:t>
      </w:r>
    </w:p>
    <w:p w14:paraId="5B90E05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（6）评审程序和评定成交的标准；</w:t>
      </w:r>
    </w:p>
    <w:p w14:paraId="185CF1C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369D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14:paraId="5969C60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10.谈判文件的澄清和修改</w:t>
      </w:r>
    </w:p>
    <w:p w14:paraId="273740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8C453D2">
      <w:pPr>
        <w:spacing w:line="360" w:lineRule="auto"/>
        <w:rPr>
          <w:rFonts w:ascii="宋体" w:hAnsi="宋体" w:cs="宋体"/>
          <w:color w:val="auto"/>
          <w:szCs w:val="21"/>
          <w:highlight w:val="none"/>
        </w:rPr>
      </w:pPr>
    </w:p>
    <w:p w14:paraId="68CAA5F4">
      <w:pPr>
        <w:spacing w:line="360" w:lineRule="auto"/>
        <w:jc w:val="center"/>
        <w:rPr>
          <w:rFonts w:ascii="宋体" w:hAnsi="宋体" w:cs="宋体"/>
          <w:b/>
          <w:color w:val="auto"/>
          <w:szCs w:val="21"/>
          <w:highlight w:val="none"/>
        </w:rPr>
      </w:pPr>
      <w:r>
        <w:rPr>
          <w:rFonts w:hint="eastAsia" w:ascii="宋体" w:hAnsi="宋体" w:cs="宋体"/>
          <w:b/>
          <w:color w:val="auto"/>
          <w:sz w:val="32"/>
          <w:szCs w:val="32"/>
          <w:highlight w:val="none"/>
        </w:rPr>
        <w:t>三、响应文件的编制</w:t>
      </w:r>
    </w:p>
    <w:p w14:paraId="30F2C04B">
      <w:pPr>
        <w:spacing w:line="360" w:lineRule="auto"/>
        <w:rPr>
          <w:rFonts w:ascii="宋体" w:hAnsi="宋体" w:cs="宋体"/>
          <w:color w:val="auto"/>
          <w:szCs w:val="21"/>
          <w:highlight w:val="none"/>
        </w:rPr>
      </w:pPr>
    </w:p>
    <w:p w14:paraId="2FACDA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40DB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49872F6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786F80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EE1D8DC">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D03C82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D88B437">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03379D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08831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277807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AF3B8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6602B6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4804E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7938DD3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0069144E">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386283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0A486A3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3AD45EB">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703F9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1BB887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15.3.2竞标报价（包含首次报价、最后报价）超过所竞标分标规定的采购预算金额或者最高限价的，其响应文件将按无效处理。</w:t>
      </w:r>
    </w:p>
    <w:p w14:paraId="6FB544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15.3.3竞标报价（包含首次报价、最后报价）超过分项采购预算金额或者最高限价的，其响应文件将按无效处理。</w:t>
      </w:r>
    </w:p>
    <w:p w14:paraId="21F85D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740A2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D92D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EAB9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9E56FC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17.竞标保证金</w:t>
      </w:r>
    </w:p>
    <w:p w14:paraId="4452E81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184AC8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14:paraId="771DAB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；成交供应商的竞标保证金自签订合同之日起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个工作日内退还。 </w:t>
      </w:r>
    </w:p>
    <w:p w14:paraId="4710731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14:paraId="69E4DB1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447444C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D8AB13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216D65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4E46FE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56024A8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3A0EAC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B8D334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 响应文件编制的要求</w:t>
      </w:r>
    </w:p>
    <w:p w14:paraId="11ACB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s="宋体"/>
          <w:color w:val="auto"/>
          <w:szCs w:val="21"/>
          <w:highlight w:val="none"/>
          <w:lang w:val="en-US" w:eastAsia="zh-CN"/>
        </w:rPr>
        <w:t>广西政府采购</w:t>
      </w:r>
      <w:r>
        <w:rPr>
          <w:rFonts w:hint="eastAsia" w:ascii="宋体" w:hAnsi="宋体" w:cs="宋体"/>
          <w:color w:val="auto"/>
          <w:szCs w:val="21"/>
          <w:highlight w:val="none"/>
        </w:rPr>
        <w:t>云</w:t>
      </w:r>
      <w:r>
        <w:rPr>
          <w:rFonts w:hint="eastAsia" w:ascii="宋体" w:hAnsi="宋体" w:cs="宋体"/>
          <w:color w:val="auto"/>
          <w:szCs w:val="21"/>
          <w:highlight w:val="none"/>
          <w:lang w:val="en-US" w:eastAsia="zh-CN"/>
        </w:rPr>
        <w:t>平台</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进行下载），并按照本项目谈判文件规定的格式和顺序和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14:paraId="3A168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7A7741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2DB35C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F3612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60D428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p>
    <w:p w14:paraId="31CCC984">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电子备份响应文件是指通过“</w:t>
      </w:r>
      <w:r>
        <w:rPr>
          <w:rFonts w:hint="eastAsia" w:ascii="宋体" w:hAnsi="宋体" w:cs="宋体"/>
          <w:color w:val="auto"/>
          <w:highlight w:val="none"/>
          <w:lang w:val="en-US" w:eastAsia="zh-CN"/>
        </w:rPr>
        <w:t>广西政府采购云平台</w:t>
      </w:r>
      <w:r>
        <w:rPr>
          <w:rFonts w:hint="eastAsia" w:ascii="宋体" w:hAnsi="宋体" w:cs="宋体"/>
          <w:color w:val="auto"/>
          <w:highlight w:val="none"/>
        </w:rPr>
        <w:t>电子投标客户端”在线编制生成且后缀名为“bfbs”的文件，是否接受电子备份响应文件</w:t>
      </w:r>
      <w:r>
        <w:rPr>
          <w:rFonts w:hint="eastAsia" w:ascii="宋体" w:hAnsi="宋体" w:cs="宋体"/>
          <w:bCs/>
          <w:color w:val="auto"/>
          <w:szCs w:val="21"/>
          <w:highlight w:val="none"/>
        </w:rPr>
        <w:t>详见在“供应商须知前附表”。</w:t>
      </w:r>
    </w:p>
    <w:p w14:paraId="2449D8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3D9AD0A2">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3C123819">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20.2未在规定时间内提交或者未按照谈判文件要求加密的电子响应文件，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7B6498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6BC11FEB">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hAnsi="宋体" w:cs="宋体"/>
          <w:color w:val="auto"/>
          <w:szCs w:val="21"/>
          <w:highlight w:val="none"/>
        </w:rPr>
      </w:pPr>
      <w:bookmarkStart w:id="66" w:name="_Toc254970543"/>
      <w:bookmarkStart w:id="67" w:name="_Toc254970684"/>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（补充、修改或者撤回方式可登陆</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bookmarkEnd w:id="66"/>
    <w:bookmarkEnd w:id="67"/>
    <w:p w14:paraId="4671729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76CF56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22.响应文件的退回</w:t>
      </w:r>
    </w:p>
    <w:p w14:paraId="3E2D2C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EE085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10EF84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6497B878">
      <w:pPr>
        <w:pStyle w:val="28"/>
        <w:rPr>
          <w:color w:val="auto"/>
        </w:rPr>
      </w:pPr>
    </w:p>
    <w:p w14:paraId="76A5F9F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四、评审及谈判</w:t>
      </w:r>
    </w:p>
    <w:p w14:paraId="0673C0C9">
      <w:pPr>
        <w:spacing w:line="360" w:lineRule="auto"/>
        <w:ind w:left="420" w:firstLine="420"/>
        <w:rPr>
          <w:rFonts w:ascii="宋体" w:hAnsi="宋体" w:cs="宋体"/>
          <w:color w:val="auto"/>
          <w:szCs w:val="21"/>
          <w:highlight w:val="none"/>
        </w:rPr>
      </w:pPr>
    </w:p>
    <w:p w14:paraId="7DEA42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24.谈判小组成立</w:t>
      </w:r>
    </w:p>
    <w:p w14:paraId="76ADF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3FE36E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13D0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52D33C9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 首次响应文件的开启和解密</w:t>
      </w:r>
    </w:p>
    <w:p w14:paraId="5D7204B0">
      <w:pPr>
        <w:spacing w:line="360" w:lineRule="auto"/>
        <w:ind w:firstLine="420"/>
        <w:rPr>
          <w:rFonts w:ascii="宋体" w:hAnsi="宋体" w:cs="宋体"/>
          <w:b/>
          <w:bCs/>
          <w:color w:val="auto"/>
          <w:sz w:val="24"/>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电子开标大厅签到，采购代理机构依托</w:t>
      </w:r>
      <w:r>
        <w:rPr>
          <w:rFonts w:hint="eastAsia" w:ascii="宋体" w:hAnsi="宋体" w:cs="宋体"/>
          <w:color w:val="auto"/>
          <w:highlight w:val="none"/>
          <w:lang w:eastAsia="zh-CN"/>
        </w:rPr>
        <w:t>广西政府采购云平台</w:t>
      </w:r>
      <w:r>
        <w:rPr>
          <w:rFonts w:hint="eastAsia" w:ascii="宋体" w:hAnsi="宋体" w:cs="宋体"/>
          <w:color w:val="auto"/>
          <w:highlight w:val="none"/>
        </w:rPr>
        <w:t>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的响应文件作无效处理</w:t>
      </w:r>
      <w:r>
        <w:rPr>
          <w:rFonts w:hint="eastAsia" w:ascii="宋体" w:hAnsi="宋体" w:cs="宋体"/>
          <w:b/>
          <w:color w:val="auto"/>
          <w:highlight w:val="none"/>
        </w:rPr>
        <w:t>。</w:t>
      </w:r>
    </w:p>
    <w:p w14:paraId="0EEB68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 评审程序和评定成交的标准</w:t>
      </w:r>
    </w:p>
    <w:p w14:paraId="04F3CE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s="宋体"/>
          <w:color w:val="auto"/>
          <w:szCs w:val="21"/>
          <w:highlight w:val="none"/>
        </w:rPr>
        <w:t>“供应商须知前附表”。</w:t>
      </w:r>
    </w:p>
    <w:p w14:paraId="19FD92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商务/技术要求允许负偏离的条款数详见“供应商须知前附表”。</w:t>
      </w:r>
    </w:p>
    <w:p w14:paraId="06F2C81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53725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110F8F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621CAB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A84A4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93B55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9A564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0C05A2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E49E08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0E4E8B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CE7588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6F5F8F2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27.3出现下列情形之一的，采购人或者采购代理机构应当终止竞争性谈判采购活动，发布项目终止公告并说明原因，重新开展采购活动：</w:t>
      </w:r>
    </w:p>
    <w:p w14:paraId="5E61A0E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（1）因情况变化，不再符合规定的竞争性谈判采购方式适用情形的；</w:t>
      </w:r>
    </w:p>
    <w:p w14:paraId="32B9A0C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（2）出现影响采购公正的违法、违规行为的；</w:t>
      </w:r>
    </w:p>
    <w:p w14:paraId="2A673FD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（3）在采购过程中符合竞争要求的供应商或者报价未超过采购预算的供应商不足3家的，但“第四章 评审程序和评定成交的标准”第3.7条规定的情形除外。</w:t>
      </w:r>
    </w:p>
    <w:p w14:paraId="7610AA2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185A79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6A6D096E">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28.1成交人须于签订合同前按本项目关于履约保证金的规定进行办理</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45D4595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14:paraId="7DD1CF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4A4ABD2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BA2F3C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w:t>
      </w:r>
      <w:r>
        <w:rPr>
          <w:rFonts w:hint="eastAsia" w:ascii="宋体" w:hAnsi="宋体" w:cs="宋体"/>
          <w:color w:val="auto"/>
          <w:szCs w:val="21"/>
          <w:highlight w:val="none"/>
          <w:lang w:val="en-US" w:eastAsia="zh-CN"/>
        </w:rPr>
        <w:t>在广西政府采购云平台</w:t>
      </w:r>
      <w:r>
        <w:rPr>
          <w:rFonts w:hint="eastAsia" w:ascii="宋体" w:hAnsi="宋体" w:cs="宋体"/>
          <w:color w:val="auto"/>
          <w:szCs w:val="21"/>
          <w:highlight w:val="none"/>
        </w:rPr>
        <w:t>领取</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成交通知书后，按“供应商须知前附表”规定向采购人出示相关证明材料，经采购人核验合格后方可签订合同。</w:t>
      </w:r>
    </w:p>
    <w:p w14:paraId="0F88E31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29.2签订合同时间：自成交通知书发出之日起</w:t>
      </w:r>
      <w:r>
        <w:rPr>
          <w:rFonts w:hint="eastAsia" w:ascii="宋体" w:hAnsi="宋体" w:cs="宋体"/>
          <w:b/>
          <w:bCs/>
          <w:color w:val="auto"/>
          <w:szCs w:val="21"/>
          <w:highlight w:val="none"/>
        </w:rPr>
        <w:t>25日</w:t>
      </w:r>
      <w:r>
        <w:rPr>
          <w:rFonts w:hint="eastAsia" w:ascii="宋体" w:hAnsi="宋体" w:cs="宋体"/>
          <w:color w:val="auto"/>
          <w:szCs w:val="21"/>
          <w:highlight w:val="none"/>
        </w:rPr>
        <w:t>内与采购人签订合同。</w:t>
      </w:r>
    </w:p>
    <w:p w14:paraId="47BEECD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7AC580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123CAE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75DD808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5E5B324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E0CBC8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4EE3C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E0A0C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33992EA">
      <w:pPr>
        <w:spacing w:after="120" w:line="360" w:lineRule="auto"/>
        <w:ind w:firstLine="420"/>
        <w:rPr>
          <w:rFonts w:ascii="宋体" w:hAnsi="宋体" w:cs="宋体"/>
          <w:color w:val="auto"/>
          <w:szCs w:val="21"/>
          <w:highlight w:val="none"/>
        </w:rPr>
      </w:pPr>
      <w:r>
        <w:rPr>
          <w:rFonts w:hint="eastAsia" w:ascii="宋体" w:hAnsi="宋体" w:cs="宋体"/>
          <w:color w:val="auto"/>
          <w:szCs w:val="20"/>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14:paraId="6D329B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113F2A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52511F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579F6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034EC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B58F8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6FA72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A36CA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A613F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0C6814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8E416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DDA76E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46248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8C81A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62554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5CACA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30AE3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23DE1F0">
      <w:pPr>
        <w:spacing w:line="360" w:lineRule="auto"/>
        <w:ind w:firstLine="420" w:firstLineChars="200"/>
        <w:rPr>
          <w:rFonts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09BD7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0E2FBC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32.1代理服务收取标准详见“供应商须知前附表”，供应商为联合体的，可以由联合体中的一方或者多方共同交纳代理服务费：</w:t>
      </w:r>
    </w:p>
    <w:tbl>
      <w:tblPr>
        <w:tblStyle w:val="29"/>
        <w:tblW w:w="96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8"/>
        <w:gridCol w:w="1991"/>
        <w:gridCol w:w="1839"/>
        <w:gridCol w:w="1722"/>
      </w:tblGrid>
      <w:tr w14:paraId="00C8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Borders>
              <w:tl2br w:val="single" w:color="auto" w:sz="4" w:space="0"/>
            </w:tcBorders>
          </w:tcPr>
          <w:p w14:paraId="4CCE476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ED97EA9">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991" w:type="dxa"/>
            <w:vAlign w:val="center"/>
          </w:tcPr>
          <w:p w14:paraId="0D64B564">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39" w:type="dxa"/>
            <w:vAlign w:val="center"/>
          </w:tcPr>
          <w:p w14:paraId="06F279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722" w:type="dxa"/>
            <w:vAlign w:val="center"/>
          </w:tcPr>
          <w:p w14:paraId="2F1B75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A85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27443742">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991" w:type="dxa"/>
          </w:tcPr>
          <w:p w14:paraId="7EED370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839" w:type="dxa"/>
          </w:tcPr>
          <w:p w14:paraId="296C423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722" w:type="dxa"/>
          </w:tcPr>
          <w:p w14:paraId="2DCEEE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C4E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28040008">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991" w:type="dxa"/>
          </w:tcPr>
          <w:p w14:paraId="2E19768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839" w:type="dxa"/>
          </w:tcPr>
          <w:p w14:paraId="005D6FC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722" w:type="dxa"/>
          </w:tcPr>
          <w:p w14:paraId="6C3228C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CEE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066AB0C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991" w:type="dxa"/>
          </w:tcPr>
          <w:p w14:paraId="48D4B49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839" w:type="dxa"/>
          </w:tcPr>
          <w:p w14:paraId="199FA03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722" w:type="dxa"/>
          </w:tcPr>
          <w:p w14:paraId="7D90ED2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B7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016343BA">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991" w:type="dxa"/>
          </w:tcPr>
          <w:p w14:paraId="725885B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839" w:type="dxa"/>
          </w:tcPr>
          <w:p w14:paraId="22218CA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722" w:type="dxa"/>
          </w:tcPr>
          <w:p w14:paraId="0E22CD2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C8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63770CC7">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991" w:type="dxa"/>
          </w:tcPr>
          <w:p w14:paraId="01B9209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839" w:type="dxa"/>
          </w:tcPr>
          <w:p w14:paraId="687DECF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722" w:type="dxa"/>
          </w:tcPr>
          <w:p w14:paraId="222184F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A0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44883A94">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991" w:type="dxa"/>
          </w:tcPr>
          <w:p w14:paraId="0B478E3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839" w:type="dxa"/>
          </w:tcPr>
          <w:p w14:paraId="657846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722" w:type="dxa"/>
          </w:tcPr>
          <w:p w14:paraId="713917D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D1E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7CF056FA">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991" w:type="dxa"/>
          </w:tcPr>
          <w:p w14:paraId="3F383B0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839" w:type="dxa"/>
          </w:tcPr>
          <w:p w14:paraId="39D554A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722" w:type="dxa"/>
          </w:tcPr>
          <w:p w14:paraId="75B23D6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D16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402EFFB4">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991" w:type="dxa"/>
          </w:tcPr>
          <w:p w14:paraId="67E0D2C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839" w:type="dxa"/>
          </w:tcPr>
          <w:p w14:paraId="750BA9C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722" w:type="dxa"/>
          </w:tcPr>
          <w:p w14:paraId="27AC681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154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178055C8">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991" w:type="dxa"/>
          </w:tcPr>
          <w:p w14:paraId="2F3D34F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839" w:type="dxa"/>
          </w:tcPr>
          <w:p w14:paraId="7B103B5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722" w:type="dxa"/>
          </w:tcPr>
          <w:p w14:paraId="649AE6B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8A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dxa"/>
          </w:tcPr>
          <w:p w14:paraId="589416CE">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991" w:type="dxa"/>
          </w:tcPr>
          <w:p w14:paraId="11917E9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839" w:type="dxa"/>
          </w:tcPr>
          <w:p w14:paraId="592A234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722" w:type="dxa"/>
          </w:tcPr>
          <w:p w14:paraId="2439215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B337FBB">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 xml:space="preserve">注： </w:t>
      </w:r>
    </w:p>
    <w:p w14:paraId="76DD1921">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73B715F0">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（2）采购代理收费按差额定率累进法计算。</w:t>
      </w:r>
    </w:p>
    <w:p w14:paraId="78F14183">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14:paraId="2981DFEF">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100万元×l.5%＝1.5万元</w:t>
      </w:r>
    </w:p>
    <w:p w14:paraId="3E9B1A08">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（150－100）万元×1.1%＝0.55万元</w:t>
      </w:r>
    </w:p>
    <w:p w14:paraId="01ECC47A">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highlight w:val="none"/>
        </w:rPr>
      </w:pPr>
      <w:r>
        <w:rPr>
          <w:rFonts w:hint="eastAsia" w:ascii="宋体" w:hAnsi="宋体" w:cs="宋体"/>
          <w:color w:val="auto"/>
          <w:highlight w:val="none"/>
        </w:rPr>
        <w:t>合计收费＝1.5＋0.55＝2.05（万元）</w:t>
      </w:r>
    </w:p>
    <w:p w14:paraId="7C2EDE37">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33. 需要补充的其他内容</w:t>
      </w:r>
    </w:p>
    <w:p w14:paraId="4F91AB69">
      <w:pPr>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33.1本谈判文件解释规则详见“供应商须知前附表”。</w:t>
      </w:r>
    </w:p>
    <w:p w14:paraId="21491083">
      <w:pPr>
        <w:spacing w:line="360" w:lineRule="auto"/>
        <w:ind w:firstLine="420" w:firstLineChars="200"/>
        <w:contextualSpacing/>
        <w:rPr>
          <w:rFonts w:ascii="宋体" w:hAnsi="宋体" w:cs="宋体"/>
          <w:color w:val="auto"/>
          <w:highlight w:val="none"/>
        </w:rPr>
      </w:pPr>
      <w:r>
        <w:rPr>
          <w:rFonts w:hint="eastAsia" w:ascii="宋体" w:hAnsi="宋体" w:cs="宋体"/>
          <w:color w:val="auto"/>
          <w:kern w:val="0"/>
          <w:szCs w:val="21"/>
          <w:highlight w:val="none"/>
        </w:rPr>
        <w:t>33.2 其他事</w:t>
      </w:r>
      <w:r>
        <w:rPr>
          <w:rFonts w:hint="eastAsia" w:ascii="宋体" w:hAnsi="宋体" w:cs="宋体"/>
          <w:color w:val="auto"/>
          <w:highlight w:val="none"/>
        </w:rPr>
        <w:t>项详见“供应商须知前附表”。</w:t>
      </w:r>
    </w:p>
    <w:p w14:paraId="50A9A090">
      <w:pPr>
        <w:spacing w:line="360" w:lineRule="auto"/>
        <w:ind w:firstLine="400" w:firstLineChars="200"/>
        <w:contextualSpacing/>
        <w:rPr>
          <w:rFonts w:ascii="宋体" w:hAnsi="宋体" w:cs="宋体"/>
          <w:color w:val="auto"/>
          <w:kern w:val="0"/>
          <w:szCs w:val="21"/>
          <w:highlight w:val="none"/>
        </w:rPr>
      </w:pPr>
      <w:r>
        <w:rPr>
          <w:rFonts w:hint="eastAsia" w:ascii="宋体" w:hAnsi="宋体" w:cs="宋体"/>
          <w:color w:val="auto"/>
          <w:kern w:val="0"/>
          <w:sz w:val="20"/>
          <w:szCs w:val="21"/>
          <w:highlight w:val="none"/>
        </w:rPr>
        <w:t>33.3</w:t>
      </w:r>
      <w:bookmarkStart w:id="68" w:name="_Hlk65857140"/>
      <w:r>
        <w:rPr>
          <w:rFonts w:hint="eastAsia" w:ascii="宋体" w:hAnsi="宋体" w:cs="宋体"/>
          <w:color w:val="auto"/>
          <w:kern w:val="0"/>
          <w:szCs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456A907">
      <w:pPr>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14:paraId="26A9D358">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（2）在工程采购项目中，工程由中小企业承建，即工程施工单位为中小企业，不对其中涉及的货物的制造商和服务的承接商作出要求；</w:t>
      </w:r>
    </w:p>
    <w:p w14:paraId="349DEAD2">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59208A8">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CF0D9ED">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cs="宋体"/>
          <w:color w:val="auto"/>
          <w:highlight w:val="none"/>
        </w:rPr>
        <w:sectPr>
          <w:footerReference r:id="rId12" w:type="default"/>
          <w:pgSz w:w="11906" w:h="16838"/>
          <w:pgMar w:top="1134" w:right="1134" w:bottom="1134" w:left="1134" w:header="720" w:footer="720" w:gutter="0"/>
          <w:cols w:space="720" w:num="1"/>
          <w:docGrid w:type="lines" w:linePitch="331" w:charSpace="0"/>
        </w:sect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68"/>
    </w:p>
    <w:p w14:paraId="3771DA88">
      <w:pPr>
        <w:pStyle w:val="18"/>
        <w:rPr>
          <w:color w:val="auto"/>
          <w:highlight w:val="none"/>
        </w:rPr>
      </w:pPr>
    </w:p>
    <w:p w14:paraId="4B4F869B">
      <w:pPr>
        <w:snapToGrid w:val="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附件1：</w:t>
      </w:r>
    </w:p>
    <w:p w14:paraId="5CDD9D8A">
      <w:pPr>
        <w:widowControl/>
        <w:shd w:val="clear" w:color="auto" w:fill="FFFFFF"/>
        <w:spacing w:line="480" w:lineRule="atLeas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政府</w:t>
      </w:r>
      <w:r>
        <w:rPr>
          <w:rFonts w:hint="eastAsia" w:ascii="宋体" w:hAnsi="宋体" w:cs="宋体"/>
          <w:b/>
          <w:bCs/>
          <w:color w:val="auto"/>
          <w:kern w:val="0"/>
          <w:sz w:val="28"/>
          <w:szCs w:val="28"/>
          <w:highlight w:val="none"/>
        </w:rPr>
        <w:t>采购项目合同验收书（格式）</w:t>
      </w:r>
    </w:p>
    <w:p w14:paraId="5B2445FA">
      <w:pPr>
        <w:widowControl/>
        <w:shd w:val="clear" w:color="auto" w:fill="FFFFFF"/>
        <w:snapToGrid w:val="0"/>
        <w:spacing w:line="320" w:lineRule="atLeast"/>
        <w:ind w:firstLine="480"/>
        <w:jc w:val="left"/>
        <w:rPr>
          <w:rFonts w:ascii="宋体" w:hAnsi="宋体" w:cs="宋体"/>
          <w:color w:val="auto"/>
          <w:kern w:val="0"/>
          <w:szCs w:val="21"/>
          <w:highlight w:val="none"/>
        </w:rPr>
      </w:pPr>
    </w:p>
    <w:p w14:paraId="6D4A9BDE">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政府</w:t>
      </w:r>
      <w:r>
        <w:rPr>
          <w:rFonts w:hint="eastAsia" w:ascii="宋体" w:hAnsi="宋体" w:cs="宋体"/>
          <w:color w:val="auto"/>
          <w:kern w:val="0"/>
          <w:szCs w:val="21"/>
          <w:highlight w:val="none"/>
        </w:rPr>
        <w:t>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）采购项目中标（或成交）供应商（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）提供的货物（或工程、服务）进行了验收，验收情况如下：</w:t>
      </w:r>
    </w:p>
    <w:tbl>
      <w:tblPr>
        <w:tblStyle w:val="29"/>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57FC903D">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78E13BB5">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14:paraId="48775AD3">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0039C506">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52F58AD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81" w:type="dxa"/>
            <w:tcBorders>
              <w:top w:val="nil"/>
              <w:left w:val="nil"/>
              <w:bottom w:val="single" w:color="auto" w:sz="8" w:space="0"/>
              <w:right w:val="single" w:color="auto" w:sz="8" w:space="0"/>
            </w:tcBorders>
            <w:vAlign w:val="center"/>
          </w:tcPr>
          <w:p w14:paraId="5EDC027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14:paraId="76402BF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63CFA3B0">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96" w:type="dxa"/>
            <w:tcBorders>
              <w:top w:val="nil"/>
              <w:left w:val="nil"/>
              <w:bottom w:val="single" w:color="auto" w:sz="8" w:space="0"/>
              <w:right w:val="single" w:color="auto" w:sz="8" w:space="0"/>
            </w:tcBorders>
            <w:vAlign w:val="center"/>
          </w:tcPr>
          <w:p w14:paraId="2395B4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5EC7B4F6">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290772E3">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14:paraId="12E18B80">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613EFBC9">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5D3B8928">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2B88082E">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4EB4FDB">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43B96702">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14:paraId="25A7DF36">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42800966">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4FAC071D">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12C193C2">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C22B016">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12DA5A44">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14:paraId="0C0E0F6B">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10822B82">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68C89E0B">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2FB39F40">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266C9CA">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5FBC642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14:paraId="7744EC57">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49979DAD">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6452D6D">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35667622">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52316C09">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4EA1E727">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14:paraId="6F1D18B5">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647AC17B">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14:paraId="6866E517">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E0C5382">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1127055B">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345" w:type="dxa"/>
            <w:gridSpan w:val="2"/>
            <w:tcBorders>
              <w:top w:val="nil"/>
              <w:left w:val="nil"/>
              <w:bottom w:val="single" w:color="auto" w:sz="8" w:space="0"/>
              <w:right w:val="single" w:color="auto" w:sz="8" w:space="0"/>
            </w:tcBorders>
            <w:vAlign w:val="center"/>
          </w:tcPr>
          <w:p w14:paraId="0B078A0B">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447110BB">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516" w:type="dxa"/>
            <w:gridSpan w:val="2"/>
            <w:tcBorders>
              <w:top w:val="nil"/>
              <w:left w:val="nil"/>
              <w:bottom w:val="single" w:color="auto" w:sz="8" w:space="0"/>
              <w:right w:val="single" w:color="auto" w:sz="8" w:space="0"/>
            </w:tcBorders>
            <w:vAlign w:val="center"/>
          </w:tcPr>
          <w:p w14:paraId="45C6F51F">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04D43D2">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E06220">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B8ED50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w:t>
            </w:r>
            <w:r>
              <w:rPr>
                <w:rFonts w:hint="eastAsia" w:ascii="宋体" w:hAnsi="宋体" w:cs="宋体"/>
                <w:color w:val="auto"/>
                <w:kern w:val="0"/>
                <w:szCs w:val="21"/>
                <w:highlight w:val="none"/>
                <w:lang w:val="en-US" w:eastAsia="zh-CN"/>
              </w:rPr>
              <w:t>政府</w:t>
            </w:r>
            <w:r>
              <w:rPr>
                <w:rFonts w:hint="eastAsia" w:ascii="宋体" w:hAnsi="宋体" w:cs="宋体"/>
                <w:color w:val="auto"/>
                <w:kern w:val="0"/>
                <w:szCs w:val="21"/>
                <w:highlight w:val="none"/>
              </w:rPr>
              <w:t>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8573727">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5CEEA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14:paraId="746179B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14:paraId="532E04A2">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C597C6B">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5E04DA59">
            <w:pPr>
              <w:widowControl/>
              <w:jc w:val="left"/>
              <w:rPr>
                <w:rFonts w:ascii="宋体" w:hAnsi="宋体" w:cs="宋体"/>
                <w:color w:val="auto"/>
                <w:kern w:val="0"/>
                <w:szCs w:val="21"/>
                <w:highlight w:val="none"/>
              </w:rPr>
            </w:pPr>
          </w:p>
        </w:tc>
        <w:tc>
          <w:tcPr>
            <w:tcW w:w="7064" w:type="dxa"/>
            <w:gridSpan w:val="6"/>
            <w:tcBorders>
              <w:top w:val="nil"/>
              <w:left w:val="nil"/>
              <w:bottom w:val="single" w:color="auto" w:sz="8" w:space="0"/>
              <w:right w:val="single" w:color="auto" w:sz="8" w:space="0"/>
            </w:tcBorders>
            <w:vAlign w:val="center"/>
          </w:tcPr>
          <w:p w14:paraId="78867634">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72640F4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14:paraId="002A550C">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CFF1A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288F5ED">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119BFC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03101BD">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04F58525">
        <w:tblPrEx>
          <w:tblCellMar>
            <w:top w:w="0" w:type="dxa"/>
            <w:left w:w="0" w:type="dxa"/>
            <w:bottom w:w="0" w:type="dxa"/>
            <w:right w:w="0" w:type="dxa"/>
          </w:tblCellMar>
        </w:tblPrEx>
        <w:trPr>
          <w:trHeight w:val="758" w:hRule="atLeast"/>
          <w:jc w:val="center"/>
        </w:trPr>
        <w:tc>
          <w:tcPr>
            <w:tcW w:w="392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46D1EB">
            <w:pPr>
              <w:widowControl/>
              <w:spacing w:before="100" w:beforeAutospacing="1" w:after="100" w:afterAutospacing="1" w:line="320" w:lineRule="atLeast"/>
              <w:ind w:right="-223" w:rightChars="-106"/>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227226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19" w:type="dxa"/>
            <w:gridSpan w:val="4"/>
            <w:tcBorders>
              <w:top w:val="single" w:color="auto" w:sz="4" w:space="0"/>
              <w:left w:val="single" w:color="auto" w:sz="4" w:space="0"/>
              <w:bottom w:val="single" w:color="auto" w:sz="4" w:space="0"/>
              <w:right w:val="single" w:color="auto" w:sz="4" w:space="0"/>
            </w:tcBorders>
            <w:vAlign w:val="center"/>
          </w:tcPr>
          <w:p w14:paraId="7C08023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采购人或受托机构的意见（盖章）：</w:t>
            </w:r>
          </w:p>
          <w:p w14:paraId="1EE9B853">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7D69C978">
      <w:pPr>
        <w:spacing w:line="360" w:lineRule="auto"/>
        <w:ind w:firstLine="420" w:firstLineChars="200"/>
        <w:contextualSpacing/>
        <w:rPr>
          <w:rFonts w:ascii="宋体" w:hAnsi="宋体" w:cs="宋体"/>
          <w:color w:val="auto"/>
          <w:highlight w:val="none"/>
        </w:rPr>
      </w:pPr>
    </w:p>
    <w:p w14:paraId="061F0191">
      <w:pPr>
        <w:snapToGrid w:val="0"/>
        <w:rPr>
          <w:rFonts w:ascii="黑体" w:hAnsi="黑体" w:eastAsia="黑体" w:cs="黑体"/>
          <w:color w:val="auto"/>
          <w:kern w:val="0"/>
          <w:sz w:val="32"/>
          <w:szCs w:val="32"/>
          <w:highlight w:val="none"/>
        </w:rPr>
      </w:pPr>
    </w:p>
    <w:p w14:paraId="6684056A">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color w:val="auto"/>
          <w:highlight w:val="none"/>
        </w:rPr>
      </w:pPr>
      <w:bookmarkStart w:id="69" w:name="_Toc129703550"/>
      <w:r>
        <w:rPr>
          <w:rFonts w:hint="eastAsia"/>
          <w:color w:val="auto"/>
          <w:highlight w:val="none"/>
        </w:rPr>
        <w:t>第三章 采购需求</w:t>
      </w:r>
      <w:bookmarkEnd w:id="69"/>
    </w:p>
    <w:p w14:paraId="4517A0D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s="宋体"/>
          <w:color w:val="auto"/>
          <w:highlight w:val="none"/>
        </w:rPr>
      </w:pPr>
      <w:r>
        <w:rPr>
          <w:rFonts w:hint="eastAsia" w:ascii="宋体" w:hAnsi="宋体" w:cs="宋体"/>
          <w:color w:val="auto"/>
          <w:highlight w:val="none"/>
        </w:rPr>
        <w:t>说明：</w:t>
      </w:r>
    </w:p>
    <w:p w14:paraId="7328EE38">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b w:val="0"/>
          <w:bCs/>
          <w:color w:val="auto"/>
          <w:highlight w:val="none"/>
          <w:lang w:val="en-US" w:eastAsia="zh-CN"/>
        </w:rPr>
        <w:t>.</w:t>
      </w:r>
      <w:r>
        <w:rPr>
          <w:rFonts w:hint="eastAsia" w:ascii="宋体" w:hAnsi="宋体" w:cs="宋体"/>
          <w:b w:val="0"/>
          <w:bCs/>
          <w:color w:val="auto"/>
          <w:highlight w:val="none"/>
          <w:lang w:val="en-US" w:eastAsia="zh-CN"/>
        </w:rPr>
        <w:t>本项目</w:t>
      </w:r>
      <w:r>
        <w:rPr>
          <w:rFonts w:hint="eastAsia" w:ascii="宋体" w:hAnsi="宋体" w:eastAsia="宋体" w:cs="宋体"/>
          <w:b w:val="0"/>
          <w:bCs/>
          <w:color w:val="auto"/>
          <w:highlight w:val="none"/>
          <w:lang w:val="en-US" w:eastAsia="zh-CN"/>
        </w:rPr>
        <w:t xml:space="preserve">采购项目类别：服务类 </w:t>
      </w:r>
    </w:p>
    <w:p w14:paraId="0E33CF00">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default" w:ascii="宋体" w:hAnsi="宋体" w:eastAsia="宋体" w:cs="宋体"/>
          <w:b/>
          <w:color w:val="auto"/>
          <w:highlight w:val="none"/>
          <w:lang w:val="en-US" w:eastAsia="zh-CN"/>
        </w:rPr>
      </w:pPr>
      <w:r>
        <w:rPr>
          <w:rFonts w:hint="eastAsia" w:ascii="宋体" w:hAnsi="宋体" w:cs="宋体"/>
          <w:b w:val="0"/>
          <w:bCs/>
          <w:color w:val="auto"/>
          <w:highlight w:val="none"/>
          <w:lang w:val="en-US" w:eastAsia="zh-CN"/>
        </w:rPr>
        <w:t>2.</w:t>
      </w:r>
      <w:r>
        <w:rPr>
          <w:rFonts w:hint="eastAsia" w:ascii="宋体" w:hAnsi="宋体"/>
          <w:b/>
          <w:bCs/>
          <w:color w:val="auto"/>
          <w:szCs w:val="21"/>
          <w:highlight w:val="none"/>
        </w:rPr>
        <w:t>本项目需求表中带有“▲”的技术参数或要求为实质性要求，必须满足，竞标响应不得低于该技术指标或要求。</w:t>
      </w:r>
    </w:p>
    <w:p w14:paraId="20C65E04">
      <w:pPr>
        <w:keepNext w:val="0"/>
        <w:keepLines w:val="0"/>
        <w:pageBreakBefore w:val="0"/>
        <w:widowControl w:val="0"/>
        <w:kinsoku/>
        <w:wordWrap/>
        <w:overflowPunct/>
        <w:topLinePunct w:val="0"/>
        <w:autoSpaceDE/>
        <w:autoSpaceDN/>
        <w:bidi w:val="0"/>
        <w:adjustRightInd/>
        <w:snapToGrid/>
        <w:spacing w:line="380" w:lineRule="exact"/>
        <w:ind w:firstLine="424" w:firstLineChars="202"/>
        <w:jc w:val="left"/>
        <w:textAlignment w:val="auto"/>
        <w:rPr>
          <w:rFonts w:hint="eastAsia" w:ascii="宋体" w:hAnsi="宋体" w:cs="宋体"/>
          <w:b w:val="0"/>
          <w:bCs/>
          <w:color w:val="auto"/>
          <w:highlight w:val="none"/>
        </w:rPr>
      </w:pPr>
      <w:r>
        <w:rPr>
          <w:rFonts w:hint="eastAsia" w:ascii="宋体" w:hAnsi="宋体" w:cs="宋体"/>
          <w:b w:val="0"/>
          <w:bCs/>
          <w:color w:val="auto"/>
          <w:highlight w:val="none"/>
          <w:lang w:val="en-US" w:eastAsia="zh-CN"/>
        </w:rPr>
        <w:t>3.供应商所竞标货物或服务如有国家相关标准、行业标准、地方标准或者其他标准、规范要求的按相关规定执行，若执行标准有修改或更新按最新版本执行</w:t>
      </w:r>
      <w:r>
        <w:rPr>
          <w:rFonts w:hint="eastAsia" w:ascii="宋体" w:hAnsi="宋体" w:cs="宋体"/>
          <w:b w:val="0"/>
          <w:bCs/>
          <w:color w:val="auto"/>
          <w:highlight w:val="none"/>
        </w:rPr>
        <w:t>。</w:t>
      </w:r>
    </w:p>
    <w:p w14:paraId="6A2D6540">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cs="宋体"/>
          <w:color w:val="auto"/>
          <w:highlight w:val="none"/>
        </w:rPr>
        <w:t>.供应商必须自行为其</w:t>
      </w:r>
      <w:r>
        <w:rPr>
          <w:rFonts w:hint="eastAsia" w:ascii="宋体" w:hAnsi="宋体" w:cs="宋体"/>
          <w:color w:val="auto"/>
          <w:highlight w:val="none"/>
          <w:lang w:eastAsia="zh-CN"/>
        </w:rPr>
        <w:t>应标</w:t>
      </w:r>
      <w:r>
        <w:rPr>
          <w:rFonts w:hint="eastAsia" w:ascii="宋体" w:hAnsi="宋体" w:cs="宋体"/>
          <w:color w:val="auto"/>
          <w:highlight w:val="none"/>
          <w:lang w:val="en-US" w:eastAsia="zh-CN"/>
        </w:rPr>
        <w:t>内容</w:t>
      </w:r>
      <w:r>
        <w:rPr>
          <w:rFonts w:hint="eastAsia" w:ascii="宋体" w:hAnsi="宋体" w:cs="宋体"/>
          <w:color w:val="auto"/>
          <w:highlight w:val="none"/>
        </w:rPr>
        <w:t>侵犯他人的知识产权或者专利成果的行为承担相应法律责任</w:t>
      </w:r>
      <w:r>
        <w:rPr>
          <w:rFonts w:hint="eastAsia" w:ascii="宋体" w:hAnsi="宋体" w:cs="宋体"/>
          <w:color w:val="auto"/>
          <w:highlight w:val="none"/>
          <w:lang w:eastAsia="zh-CN"/>
        </w:rPr>
        <w:t>。</w:t>
      </w:r>
    </w:p>
    <w:p w14:paraId="1545EAAA">
      <w:pPr>
        <w:keepNext w:val="0"/>
        <w:keepLines w:val="0"/>
        <w:pageBreakBefore w:val="0"/>
        <w:widowControl w:val="0"/>
        <w:kinsoku/>
        <w:wordWrap/>
        <w:overflowPunct/>
        <w:topLinePunct w:val="0"/>
        <w:autoSpaceDE/>
        <w:autoSpaceDN/>
        <w:bidi w:val="0"/>
        <w:adjustRightInd/>
        <w:snapToGrid/>
        <w:spacing w:line="38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.采购标的对应的中小企业划分标准所属行业：根据《关于印发中小企业划型标准规定的通知》（工信部联企业〔2011〕300号），本</w:t>
      </w:r>
      <w:r>
        <w:rPr>
          <w:rFonts w:hint="eastAsia" w:ascii="宋体" w:hAnsi="宋体" w:cs="宋体"/>
          <w:color w:val="auto"/>
          <w:highlight w:val="none"/>
        </w:rPr>
        <w:t>次采购标的属于：</w:t>
      </w:r>
      <w:r>
        <w:rPr>
          <w:rFonts w:hint="eastAsia" w:ascii="宋体" w:hAnsi="宋体" w:cs="宋体"/>
          <w:b/>
          <w:bCs/>
          <w:color w:val="auto"/>
          <w:highlight w:val="none"/>
          <w:u w:val="single"/>
        </w:rPr>
        <w:t>其他未列明行业</w:t>
      </w:r>
      <w:r>
        <w:rPr>
          <w:rFonts w:hint="eastAsia" w:ascii="宋体" w:hAnsi="宋体" w:cs="宋体"/>
          <w:color w:val="auto"/>
          <w:highlight w:val="none"/>
        </w:rPr>
        <w:t>。</w:t>
      </w:r>
    </w:p>
    <w:p w14:paraId="19D887BB">
      <w:pPr>
        <w:keepNext w:val="0"/>
        <w:keepLines w:val="0"/>
        <w:pageBreakBefore w:val="0"/>
        <w:widowControl w:val="0"/>
        <w:kinsoku/>
        <w:wordWrap/>
        <w:overflowPunct/>
        <w:topLinePunct w:val="0"/>
        <w:autoSpaceDE/>
        <w:autoSpaceDN/>
        <w:bidi w:val="0"/>
        <w:adjustRightInd/>
        <w:snapToGrid/>
        <w:spacing w:line="380" w:lineRule="exact"/>
        <w:ind w:firstLine="426" w:firstLineChars="202"/>
        <w:textAlignment w:val="auto"/>
        <w:rPr>
          <w:rFonts w:hint="eastAsia" w:ascii="宋体" w:hAnsi="宋体" w:cs="宋体"/>
          <w:b/>
          <w:color w:val="auto"/>
          <w:szCs w:val="21"/>
          <w:highlight w:val="none"/>
          <w:lang w:val="en-US" w:eastAsia="zh-CN"/>
        </w:rPr>
      </w:pPr>
    </w:p>
    <w:p w14:paraId="0F6086FC">
      <w:pPr>
        <w:keepNext w:val="0"/>
        <w:keepLines w:val="0"/>
        <w:pageBreakBefore w:val="0"/>
        <w:widowControl w:val="0"/>
        <w:kinsoku/>
        <w:wordWrap/>
        <w:overflowPunct/>
        <w:topLinePunct w:val="0"/>
        <w:autoSpaceDE/>
        <w:autoSpaceDN/>
        <w:bidi w:val="0"/>
        <w:adjustRightInd/>
        <w:snapToGrid/>
        <w:spacing w:line="380" w:lineRule="exact"/>
        <w:ind w:firstLine="426" w:firstLineChars="202"/>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本项目采购预算金额：人民币1,200,000.00元</w:t>
      </w:r>
    </w:p>
    <w:tbl>
      <w:tblPr>
        <w:tblStyle w:val="29"/>
        <w:tblpPr w:leftFromText="180" w:rightFromText="180" w:vertAnchor="text" w:horzAnchor="page" w:tblpX="1256" w:tblpY="265"/>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90"/>
        <w:gridCol w:w="757"/>
        <w:gridCol w:w="730"/>
        <w:gridCol w:w="6387"/>
      </w:tblGrid>
      <w:tr w14:paraId="05FF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4" w:type="dxa"/>
            <w:vAlign w:val="center"/>
          </w:tcPr>
          <w:p w14:paraId="784E21E7">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1190" w:type="dxa"/>
            <w:vAlign w:val="center"/>
          </w:tcPr>
          <w:p w14:paraId="7DA2F764">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名称</w:t>
            </w:r>
          </w:p>
        </w:tc>
        <w:tc>
          <w:tcPr>
            <w:tcW w:w="757" w:type="dxa"/>
            <w:vAlign w:val="center"/>
          </w:tcPr>
          <w:p w14:paraId="39EF9151">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730" w:type="dxa"/>
            <w:vAlign w:val="center"/>
          </w:tcPr>
          <w:p w14:paraId="52B315B9">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c>
          <w:tcPr>
            <w:tcW w:w="6387" w:type="dxa"/>
            <w:vAlign w:val="center"/>
          </w:tcPr>
          <w:p w14:paraId="2442CADB">
            <w:pPr>
              <w:keepNext w:val="0"/>
              <w:keepLines w:val="0"/>
              <w:pageBreakBefore w:val="0"/>
              <w:widowControl/>
              <w:kinsoku/>
              <w:wordWrap/>
              <w:overflowPunct/>
              <w:autoSpaceDE/>
              <w:autoSpaceDN/>
              <w:bidi w:val="0"/>
              <w:spacing w:line="400" w:lineRule="exact"/>
              <w:ind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内容和要求</w:t>
            </w:r>
          </w:p>
        </w:tc>
      </w:tr>
      <w:tr w14:paraId="7FD6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 w:type="dxa"/>
            <w:vAlign w:val="center"/>
          </w:tcPr>
          <w:p w14:paraId="3F2D275F">
            <w:pPr>
              <w:keepNext w:val="0"/>
              <w:keepLines w:val="0"/>
              <w:pageBreakBefore w:val="0"/>
              <w:widowControl/>
              <w:kinsoku/>
              <w:wordWrap/>
              <w:overflowPunct/>
              <w:topLinePunct w:val="0"/>
              <w:autoSpaceDE/>
              <w:autoSpaceDN/>
              <w:bidi w:val="0"/>
              <w:spacing w:line="360" w:lineRule="exact"/>
              <w:ind w:right="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190" w:type="dxa"/>
            <w:vAlign w:val="center"/>
          </w:tcPr>
          <w:p w14:paraId="777664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医疗服务</w:t>
            </w:r>
          </w:p>
        </w:tc>
        <w:tc>
          <w:tcPr>
            <w:tcW w:w="757" w:type="dxa"/>
            <w:vAlign w:val="center"/>
          </w:tcPr>
          <w:p w14:paraId="7EDC5F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30" w:type="dxa"/>
            <w:vAlign w:val="center"/>
          </w:tcPr>
          <w:p w14:paraId="361C4E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6387" w:type="dxa"/>
            <w:vAlign w:val="center"/>
          </w:tcPr>
          <w:p w14:paraId="7F1E89E3">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采购人将江南校区的医疗服务工作整体委托给成交人，成交人为采购人提供医疗及保健服务，采购人为成交人提供129.5平方米的医疗场所及水电网络等相关基础配套设施。</w:t>
            </w:r>
          </w:p>
          <w:p w14:paraId="2CB3878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一、服务范围和要求</w:t>
            </w:r>
          </w:p>
          <w:p w14:paraId="2B957DA6">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为采购人提供全天24小时医疗服务，服务师生人数约5000人，保证采购人江南校区师生各类常见病、多发病的诊治，传染病的防治、急危重症的院前处理及转运。行政班时间(周一至周五8:00——12:00,14:40——17:40)至少有2名医生和1名护士在岗，其他时间（包括周一至周五的非行政班时间、周末及国家法定节假日）至少安排1名医生值班。</w:t>
            </w:r>
          </w:p>
          <w:p w14:paraId="40FDFAFD">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2.寒暑假期间如采购人在江南校区组织学生培训、学习及各类会议等重大活动，成交人仍须提供全天24小时医疗服务。</w:t>
            </w:r>
          </w:p>
          <w:p w14:paraId="25F32713">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成交人在日常工作中，对采购人江南校区突发疾病的师生、安全事故受伤的师生必须及时提供急救处置。发现患者病情超出成交人医疗救治能力范围的，应及时联系南宁市急救中心（120）转运至有救治能力的上级医疗机构进一步诊治，并立即报告采购人。</w:t>
            </w:r>
          </w:p>
          <w:p w14:paraId="017D0742">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4.为采购人江南校区包含但不限于大型活动、比赛、大学生体能测试、军训等提供现场医疗保障工作。</w:t>
            </w:r>
          </w:p>
          <w:p w14:paraId="34281BF1">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5.每年不少于4次为采购人江南校区学生组织健康知识宣教，提供必要的流行病预防知识展板。</w:t>
            </w:r>
          </w:p>
          <w:p w14:paraId="3B3696AF">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6.按照采购人要求开展传染病管理工作，包括但不限于肺结核、水痘、流感等。发生传染病疫情时，采取科学合理的处置措施，协助采购人规范开展各项疫情应急处置工作，防止疫情升级扩大。</w:t>
            </w:r>
          </w:p>
          <w:p w14:paraId="34ED784E">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7.上级主管部门要求采购人报送的江南校区有关卫生健康方面的数据、材料等，由成交人负责提供并</w:t>
            </w:r>
            <w:r>
              <w:rPr>
                <w:rFonts w:hint="eastAsia" w:ascii="宋体" w:hAnsi="宋体" w:cs="宋体"/>
                <w:color w:val="auto"/>
                <w:sz w:val="21"/>
                <w:szCs w:val="21"/>
                <w:highlight w:val="none"/>
                <w:lang w:val="en-US" w:eastAsia="zh-CN"/>
              </w:rPr>
              <w:t>经</w:t>
            </w:r>
            <w:r>
              <w:rPr>
                <w:rFonts w:hint="default" w:ascii="宋体" w:hAnsi="宋体" w:eastAsia="宋体" w:cs="宋体"/>
                <w:color w:val="auto"/>
                <w:sz w:val="21"/>
                <w:szCs w:val="21"/>
                <w:highlight w:val="none"/>
                <w:lang w:val="en-US" w:eastAsia="zh-CN"/>
              </w:rPr>
              <w:t>采购人审核后按时报送。</w:t>
            </w:r>
          </w:p>
          <w:p w14:paraId="714EF052">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⒏成交人负责与南宁市医疗废物集中处置单位联系处置医疗废物，医疗废物处置费由成交人负责。</w:t>
            </w:r>
          </w:p>
          <w:p w14:paraId="3BF1626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二、其他要求</w:t>
            </w:r>
          </w:p>
          <w:p w14:paraId="39393A5F">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采购人有权对成交人开办的医务室进行各种监督管理，如：卫生、消防、治安、综合治理；收费价格监督；医疗服务监督等，如未达要求，第一次采购人要求成交人及时整改，同样问题出现第二次起，采购人扣除服务费500元/次；江南校区举办大型比赛、军训、体测等活动需要现场医疗保障时，成交人未能按时到达医疗保障现场或拒绝提供活动现场医疗保障，采购人可扣除服务费500元/次；江南校区出现传染病病人或传染病疫情时，成交人拒绝协助开展传染病防控工作，采购人扣除服务费500元/次。</w:t>
            </w:r>
          </w:p>
          <w:p w14:paraId="42C0A7E3">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2.竞标人拟投入本项目的医护人员须具备相应的</w:t>
            </w:r>
            <w:r>
              <w:rPr>
                <w:rFonts w:hint="eastAsia" w:ascii="宋体" w:hAnsi="宋体" w:cs="宋体"/>
                <w:color w:val="auto"/>
                <w:sz w:val="21"/>
                <w:szCs w:val="21"/>
                <w:highlight w:val="none"/>
                <w:lang w:val="en-US" w:eastAsia="zh-CN"/>
              </w:rPr>
              <w:t>有效</w:t>
            </w:r>
            <w:r>
              <w:rPr>
                <w:rFonts w:hint="default" w:ascii="宋体" w:hAnsi="宋体" w:eastAsia="宋体" w:cs="宋体"/>
                <w:color w:val="auto"/>
                <w:sz w:val="21"/>
                <w:szCs w:val="21"/>
                <w:highlight w:val="none"/>
                <w:lang w:val="en-US" w:eastAsia="zh-CN"/>
              </w:rPr>
              <w:t>执业资格证书，在竞标文件中提供医生、护士基本信息及相关资格证、执业证、职称证复印件（加盖竞标人公章）报采购人备案留存。服务期间成交人投入的医务人员至少有2名具有内科或全科主治或主治以上职称的医生，如医务人</w:t>
            </w:r>
            <w:r>
              <w:rPr>
                <w:rFonts w:hint="eastAsia" w:ascii="宋体" w:hAnsi="宋体" w:cs="宋体"/>
                <w:color w:val="auto"/>
                <w:sz w:val="21"/>
                <w:szCs w:val="21"/>
                <w:highlight w:val="none"/>
                <w:lang w:val="en-US" w:eastAsia="zh-CN"/>
              </w:rPr>
              <w:t>员</w:t>
            </w:r>
            <w:r>
              <w:rPr>
                <w:rFonts w:hint="default" w:ascii="宋体" w:hAnsi="宋体" w:eastAsia="宋体" w:cs="宋体"/>
                <w:color w:val="auto"/>
                <w:sz w:val="21"/>
                <w:szCs w:val="21"/>
                <w:highlight w:val="none"/>
                <w:lang w:val="en-US" w:eastAsia="zh-CN"/>
              </w:rPr>
              <w:t>情况发生变化的，须提前办理报备手续。</w:t>
            </w:r>
          </w:p>
          <w:p w14:paraId="70EE33F8">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成交人在医疗服务过程中，应遵守国家有关规定，健全规章制度及诊疗规程，规范药品采购，确保药品质量及用药安全，坚决杜绝医疗事故的发生。如发生医患纠纷、医疗过错和医疗事故的均由成交人自行解决并承担相应的责任（医疗事故的界定、责任认定及赔偿标准，以卫生行政部门或具有法定资质的医疗事故技术鉴定机构出具的鉴定结论为准）。成交人应积极妥善处理并赔付相关费用。如成交人未及时处理纠纷或未足额赔付相关费用，采购人有权直接从成交人提交的履约保证金中划扣相应款项，用于事故赔偿及善后处理。不足部分，采购人保留向成交人追偿的权利，并依法追究其违约责任。成交人不履行人民法院判决或卫生行政部门行政裁决和责任鉴定的理赔的义务，导致出现采购人被相关政府部门追责、社会声誉受损等后果的，视为成交人违约，采购人有权单方面无条件终止本项目合同，并要求成交人赔偿由此造成的全部损失（包括但不限于直接经济损失、维权费用、声誉修复费用等），同时保留追究其法律责任的权利。</w:t>
            </w:r>
          </w:p>
          <w:p w14:paraId="3618C8BA">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4.成交人应当在合同签订后20个工作日内，自行到江南校区所在地卫生行政部门办理</w:t>
            </w:r>
            <w:r>
              <w:rPr>
                <w:rFonts w:hint="eastAsia" w:ascii="宋体" w:hAnsi="宋体" w:cs="宋体"/>
                <w:color w:val="auto"/>
                <w:sz w:val="21"/>
                <w:szCs w:val="21"/>
                <w:highlight w:val="none"/>
                <w:lang w:val="en-US" w:eastAsia="zh-CN"/>
              </w:rPr>
              <w:t>在江南校区执业的相关手续</w:t>
            </w:r>
            <w:r>
              <w:rPr>
                <w:rFonts w:hint="default" w:ascii="宋体" w:hAnsi="宋体" w:eastAsia="宋体" w:cs="宋体"/>
                <w:color w:val="auto"/>
                <w:sz w:val="21"/>
                <w:szCs w:val="21"/>
                <w:highlight w:val="none"/>
                <w:lang w:val="en-US" w:eastAsia="zh-CN"/>
              </w:rPr>
              <w:t>。因成交人原因逾期未办理完毕的，每逾期1日按合同金额的3‰向采购人支付违约金；逾期超过10日的，采购人有权解除合同并要求赔偿全部损失。</w:t>
            </w:r>
          </w:p>
          <w:p w14:paraId="1088298A">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5.成交人实行独立核算、自负盈亏的经营模式。成交人开办医务室的二次装修、人员薪资、设施设备购置及维护、水电网络费用等运营费用均由成交人自行承担。</w:t>
            </w:r>
          </w:p>
          <w:p w14:paraId="73EADEBF">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6.成交人应于服务开始期前完成医务室的场所装修、所需设备、人员及药品配备工作，制定医务室相关的管理制度并上墙公示。</w:t>
            </w:r>
          </w:p>
          <w:p w14:paraId="241ABA14">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7.合同期满，成交人投入的医疗设备等资产归成交人所有。成交人不得私自拆毁、损坏采购人原有设施设备，应保持正常经营环境，不得向采购人提出场地装修、设施设备折旧等经济补偿要求。</w:t>
            </w:r>
          </w:p>
          <w:p w14:paraId="5F0170C5">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医务室常用设备应包含但不限于AED（体外除颤仪）、急救药品推车、氧气罐、担架、轮椅、血糖仪、高压灭菌设备、处置台、血压计、听诊器、出诊箱、药品柜、诊查床、诊查桌、诊查凳、紫外线灯、污物桶、治疗推车、医用拐杖等。</w:t>
            </w:r>
          </w:p>
          <w:p w14:paraId="5855C4EE">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9.合同终止或期满前10个工作日内，成交人向采购人转交各种</w:t>
            </w:r>
            <w:r>
              <w:rPr>
                <w:rFonts w:hint="eastAsia" w:ascii="宋体" w:hAnsi="宋体" w:cs="宋体"/>
                <w:color w:val="auto"/>
                <w:sz w:val="21"/>
                <w:szCs w:val="21"/>
                <w:highlight w:val="none"/>
                <w:lang w:val="en-US" w:eastAsia="zh-CN"/>
              </w:rPr>
              <w:t>医疗</w:t>
            </w:r>
            <w:r>
              <w:rPr>
                <w:rFonts w:hint="default" w:ascii="宋体" w:hAnsi="宋体" w:eastAsia="宋体" w:cs="宋体"/>
                <w:color w:val="auto"/>
                <w:sz w:val="21"/>
                <w:szCs w:val="21"/>
                <w:highlight w:val="none"/>
                <w:lang w:val="en-US" w:eastAsia="zh-CN"/>
              </w:rPr>
              <w:t>文件材料。</w:t>
            </w:r>
          </w:p>
          <w:p w14:paraId="76DEFAB0">
            <w:pPr>
              <w:keepNext w:val="0"/>
              <w:keepLines w:val="0"/>
              <w:pageBreakBefore w:val="0"/>
              <w:widowControl/>
              <w:suppressLineNumbers w:val="0"/>
              <w:kinsoku/>
              <w:wordWrap/>
              <w:overflowPunct/>
              <w:topLinePunct w:val="0"/>
              <w:autoSpaceDE/>
              <w:autoSpaceDN/>
              <w:bidi w:val="0"/>
              <w:spacing w:line="360" w:lineRule="exact"/>
              <w:ind w:firstLine="420" w:firstLineChars="2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10.不能开展除医疗服务外的营业项目。</w:t>
            </w:r>
          </w:p>
        </w:tc>
      </w:tr>
      <w:tr w14:paraId="4BD8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88" w:type="dxa"/>
            <w:gridSpan w:val="5"/>
            <w:vAlign w:val="center"/>
          </w:tcPr>
          <w:p w14:paraId="11411503">
            <w:pPr>
              <w:keepNext w:val="0"/>
              <w:keepLines w:val="0"/>
              <w:pageBreakBefore w:val="0"/>
              <w:widowControl/>
              <w:kinsoku/>
              <w:wordWrap/>
              <w:overflowPunct/>
              <w:topLinePunct w:val="0"/>
              <w:autoSpaceDE/>
              <w:autoSpaceDN/>
              <w:bidi w:val="0"/>
              <w:spacing w:line="360" w:lineRule="exact"/>
              <w:ind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r>
      <w:tr w14:paraId="75D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4" w:type="dxa"/>
            <w:gridSpan w:val="2"/>
            <w:vAlign w:val="center"/>
          </w:tcPr>
          <w:p w14:paraId="33DFE106">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交付</w:t>
            </w:r>
            <w:r>
              <w:rPr>
                <w:rFonts w:hint="eastAsia" w:ascii="宋体" w:hAnsi="宋体" w:cs="宋体"/>
                <w:color w:val="auto"/>
                <w:sz w:val="21"/>
                <w:szCs w:val="21"/>
                <w:highlight w:val="none"/>
                <w:lang w:val="en-US" w:eastAsia="zh-CN"/>
              </w:rPr>
              <w:t>要求</w:t>
            </w:r>
          </w:p>
        </w:tc>
        <w:tc>
          <w:tcPr>
            <w:tcW w:w="7874" w:type="dxa"/>
            <w:gridSpan w:val="3"/>
            <w:vAlign w:val="center"/>
          </w:tcPr>
          <w:p w14:paraId="43165BEA">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服务期开始前完善医疗服务场所、通过验收和交付使用。</w:t>
            </w:r>
          </w:p>
        </w:tc>
      </w:tr>
      <w:tr w14:paraId="48DF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4" w:type="dxa"/>
            <w:gridSpan w:val="2"/>
            <w:vAlign w:val="center"/>
          </w:tcPr>
          <w:p w14:paraId="5661120F">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服务期及服务地点</w:t>
            </w:r>
          </w:p>
        </w:tc>
        <w:tc>
          <w:tcPr>
            <w:tcW w:w="7874" w:type="dxa"/>
            <w:gridSpan w:val="3"/>
            <w:vAlign w:val="center"/>
          </w:tcPr>
          <w:p w14:paraId="7B9F0193">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1.服务期：两年，自2025年9月1日起至2027年8月31日止。</w:t>
            </w:r>
          </w:p>
          <w:p w14:paraId="7FB48F0F">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2.服务地点：南宁市江南区下津路12号A6栋1楼</w:t>
            </w:r>
          </w:p>
        </w:tc>
      </w:tr>
      <w:tr w14:paraId="2E9D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4" w:type="dxa"/>
            <w:gridSpan w:val="2"/>
            <w:vAlign w:val="center"/>
          </w:tcPr>
          <w:p w14:paraId="2711F13A">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7874" w:type="dxa"/>
            <w:gridSpan w:val="3"/>
            <w:vAlign w:val="center"/>
          </w:tcPr>
          <w:p w14:paraId="35F22C1D">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自服务开始之日起分24次按月支付服务费，根据验收情况扣除相应违约金后支付。采购人每次付款前，成交人须根据采购人要求提供真实、有效、合法的正式发票。收到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方提供有效发票60天内进行支付。</w:t>
            </w:r>
          </w:p>
        </w:tc>
      </w:tr>
      <w:tr w14:paraId="618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4" w:type="dxa"/>
            <w:gridSpan w:val="2"/>
            <w:vAlign w:val="center"/>
          </w:tcPr>
          <w:p w14:paraId="14DF2A0D">
            <w:pPr>
              <w:keepNext w:val="0"/>
              <w:keepLines w:val="0"/>
              <w:pageBreakBefore w:val="0"/>
              <w:widowControl/>
              <w:tabs>
                <w:tab w:val="left" w:pos="5450"/>
              </w:tabs>
              <w:kinsoku/>
              <w:wordWrap/>
              <w:overflowPunct/>
              <w:topLinePunct w:val="0"/>
              <w:autoSpaceDE/>
              <w:autoSpaceDN/>
              <w:bidi w:val="0"/>
              <w:adjustRightInd w:val="0"/>
              <w:snapToGrid w:val="0"/>
              <w:spacing w:line="360" w:lineRule="exact"/>
              <w:ind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履约保证金</w:t>
            </w:r>
          </w:p>
        </w:tc>
        <w:tc>
          <w:tcPr>
            <w:tcW w:w="7874" w:type="dxa"/>
            <w:gridSpan w:val="3"/>
            <w:vAlign w:val="center"/>
          </w:tcPr>
          <w:p w14:paraId="2F7C77EF">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履约保证金金额：按成交金额的2%交纳。</w:t>
            </w:r>
          </w:p>
          <w:p w14:paraId="141E5C48">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履约保证金递交方式：以电汇、转账、汇票、保函等非现金形式提交。由成交人在签订合同前按规定的金额直接缴入广西机电职业技术学院账户。</w:t>
            </w:r>
          </w:p>
          <w:p w14:paraId="18F5F5BF">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账户名称: 广西机电职业技术学院；</w:t>
            </w:r>
          </w:p>
          <w:p w14:paraId="18D3D26F">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开户行：中国建设银行广西南宁大学路支行；</w:t>
            </w:r>
          </w:p>
          <w:p w14:paraId="153E990B">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银行账号：4500 1604 8510 5050 3961。</w:t>
            </w:r>
          </w:p>
          <w:p w14:paraId="2C146F3D">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成交人须在签订合同之前按照本条规定的履约保证金金额、递交方式直接转入采购人账户，否则不予签订合同。合同终止后，由成交人向履约保证金收取单位提供《采购项目合同验收书》、《采购项目履约保证金退付意见书》，保证金收取单位在收到合格材料后，根据成交人相关违约处罚扣款后的实际数额在</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个工作日内办理退还手续（不计利息）。</w:t>
            </w:r>
          </w:p>
          <w:p w14:paraId="3DDE46EA">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在履约保证金退还日期前，若成交人的开户名称、开户银行、账号有变动的，请以书面形式通知广西机电职业技术学院，否则由此产生的后果由成交人自负。</w:t>
            </w:r>
          </w:p>
        </w:tc>
      </w:tr>
      <w:tr w14:paraId="2CE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8" w:type="dxa"/>
            <w:gridSpan w:val="5"/>
            <w:vAlign w:val="center"/>
          </w:tcPr>
          <w:p w14:paraId="0E35DCB8">
            <w:pPr>
              <w:keepNext w:val="0"/>
              <w:keepLines w:val="0"/>
              <w:pageBreakBefore w:val="0"/>
              <w:kinsoku/>
              <w:wordWrap/>
              <w:overflowPunct/>
              <w:topLinePunct w:val="0"/>
              <w:autoSpaceDE/>
              <w:autoSpaceDN/>
              <w:bidi w:val="0"/>
              <w:spacing w:line="360" w:lineRule="exact"/>
              <w:ind w:right="0"/>
              <w:jc w:val="left"/>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谈判小组根据与供应商谈判情况可能实质性变动的内容：</w:t>
            </w:r>
          </w:p>
          <w:p w14:paraId="60E9EF75">
            <w:pPr>
              <w:keepNext w:val="0"/>
              <w:keepLines w:val="0"/>
              <w:pageBreakBefore w:val="0"/>
              <w:kinsoku/>
              <w:wordWrap/>
              <w:overflowPunct/>
              <w:topLinePunct w:val="0"/>
              <w:autoSpaceDE/>
              <w:autoSpaceDN/>
              <w:bidi w:val="0"/>
              <w:spacing w:line="360" w:lineRule="exact"/>
              <w:ind w:right="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未</w:t>
            </w:r>
            <w:r>
              <w:rPr>
                <w:rFonts w:hint="eastAsia" w:ascii="宋体" w:hAnsi="宋体" w:cs="宋体"/>
                <w:color w:val="auto"/>
                <w:sz w:val="21"/>
                <w:szCs w:val="21"/>
                <w:highlight w:val="none"/>
                <w:lang w:val="en-US" w:eastAsia="zh-CN"/>
              </w:rPr>
              <w:t>标注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”的内容。</w:t>
            </w:r>
          </w:p>
        </w:tc>
      </w:tr>
    </w:tbl>
    <w:p w14:paraId="07A7F50E">
      <w:pPr>
        <w:pStyle w:val="15"/>
        <w:keepNext w:val="0"/>
        <w:keepLines w:val="0"/>
        <w:pageBreakBefore w:val="0"/>
        <w:kinsoku/>
        <w:wordWrap/>
        <w:overflowPunct/>
        <w:topLinePunct w:val="0"/>
        <w:autoSpaceDE/>
        <w:autoSpaceDN/>
        <w:bidi w:val="0"/>
        <w:spacing w:line="360" w:lineRule="exact"/>
        <w:jc w:val="left"/>
        <w:rPr>
          <w:rFonts w:hint="eastAsia" w:hAnsi="宋体" w:cs="宋体"/>
          <w:color w:val="auto"/>
          <w:sz w:val="32"/>
          <w:szCs w:val="32"/>
          <w:highlight w:val="none"/>
        </w:rPr>
        <w:sectPr>
          <w:pgSz w:w="11906" w:h="16838"/>
          <w:pgMar w:top="1134" w:right="1134" w:bottom="1134" w:left="1134" w:header="720" w:footer="720" w:gutter="0"/>
          <w:cols w:space="720" w:num="1"/>
          <w:docGrid w:type="lines" w:linePitch="331" w:charSpace="0"/>
        </w:sectPr>
      </w:pPr>
    </w:p>
    <w:p w14:paraId="31E007A8">
      <w:pPr>
        <w:pStyle w:val="15"/>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2</w:t>
      </w:r>
      <w:r>
        <w:rPr>
          <w:rFonts w:hint="eastAsia" w:hAnsi="宋体" w:cs="宋体"/>
          <w:color w:val="auto"/>
          <w:sz w:val="32"/>
          <w:szCs w:val="32"/>
          <w:highlight w:val="none"/>
        </w:rPr>
        <w:t>：</w:t>
      </w:r>
    </w:p>
    <w:p w14:paraId="0EFBF76A">
      <w:pPr>
        <w:pStyle w:val="15"/>
        <w:jc w:val="center"/>
        <w:rPr>
          <w:rFonts w:hint="eastAsia" w:hAnsi="宋体" w:cs="宋体"/>
          <w:color w:val="auto"/>
          <w:sz w:val="32"/>
          <w:szCs w:val="32"/>
          <w:highlight w:val="none"/>
        </w:rPr>
      </w:pPr>
      <w:r>
        <w:rPr>
          <w:rFonts w:hint="eastAsia" w:hAnsi="宋体" w:cs="宋体"/>
          <w:color w:val="auto"/>
          <w:sz w:val="32"/>
          <w:szCs w:val="32"/>
          <w:highlight w:val="none"/>
        </w:rPr>
        <w:t>中小微企业划型标准</w:t>
      </w:r>
    </w:p>
    <w:tbl>
      <w:tblPr>
        <w:tblStyle w:val="29"/>
        <w:tblW w:w="9118" w:type="dxa"/>
        <w:jc w:val="center"/>
        <w:tblLayout w:type="fixed"/>
        <w:tblCellMar>
          <w:top w:w="0" w:type="dxa"/>
          <w:left w:w="108" w:type="dxa"/>
          <w:bottom w:w="0" w:type="dxa"/>
          <w:right w:w="108" w:type="dxa"/>
        </w:tblCellMar>
      </w:tblPr>
      <w:tblGrid>
        <w:gridCol w:w="1944"/>
        <w:gridCol w:w="1580"/>
        <w:gridCol w:w="1043"/>
        <w:gridCol w:w="1850"/>
        <w:gridCol w:w="1644"/>
        <w:gridCol w:w="1057"/>
      </w:tblGrid>
      <w:tr w14:paraId="3922F2B2">
        <w:tblPrEx>
          <w:tblCellMar>
            <w:top w:w="0" w:type="dxa"/>
            <w:left w:w="108" w:type="dxa"/>
            <w:bottom w:w="0" w:type="dxa"/>
            <w:right w:w="108" w:type="dxa"/>
          </w:tblCellMar>
        </w:tblPrEx>
        <w:trPr>
          <w:trHeight w:val="674"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24D230A">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580" w:type="dxa"/>
            <w:tcBorders>
              <w:top w:val="single" w:color="auto" w:sz="4" w:space="0"/>
              <w:left w:val="nil"/>
              <w:bottom w:val="single" w:color="auto" w:sz="4" w:space="0"/>
              <w:right w:val="single" w:color="auto" w:sz="4" w:space="0"/>
            </w:tcBorders>
            <w:vAlign w:val="center"/>
          </w:tcPr>
          <w:p w14:paraId="655D47C3">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43" w:type="dxa"/>
            <w:tcBorders>
              <w:top w:val="single" w:color="auto" w:sz="4" w:space="0"/>
              <w:left w:val="nil"/>
              <w:bottom w:val="single" w:color="auto" w:sz="4" w:space="0"/>
              <w:right w:val="single" w:color="auto" w:sz="4" w:space="0"/>
            </w:tcBorders>
            <w:vAlign w:val="center"/>
          </w:tcPr>
          <w:p w14:paraId="6506423C">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50" w:type="dxa"/>
            <w:tcBorders>
              <w:top w:val="single" w:color="auto" w:sz="4" w:space="0"/>
              <w:left w:val="nil"/>
              <w:bottom w:val="single" w:color="auto" w:sz="4" w:space="0"/>
              <w:right w:val="single" w:color="auto" w:sz="4" w:space="0"/>
            </w:tcBorders>
            <w:vAlign w:val="center"/>
          </w:tcPr>
          <w:p w14:paraId="6291035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44" w:type="dxa"/>
            <w:tcBorders>
              <w:top w:val="single" w:color="auto" w:sz="4" w:space="0"/>
              <w:left w:val="nil"/>
              <w:bottom w:val="single" w:color="auto" w:sz="4" w:space="0"/>
              <w:right w:val="single" w:color="auto" w:sz="4" w:space="0"/>
            </w:tcBorders>
            <w:vAlign w:val="center"/>
          </w:tcPr>
          <w:p w14:paraId="4855F04A">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57" w:type="dxa"/>
            <w:tcBorders>
              <w:top w:val="single" w:color="auto" w:sz="4" w:space="0"/>
              <w:left w:val="nil"/>
              <w:bottom w:val="single" w:color="auto" w:sz="4" w:space="0"/>
              <w:right w:val="single" w:color="auto" w:sz="4" w:space="0"/>
            </w:tcBorders>
            <w:vAlign w:val="center"/>
          </w:tcPr>
          <w:p w14:paraId="05B5B8AE">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6908B9BF">
        <w:tblPrEx>
          <w:tblCellMar>
            <w:top w:w="0" w:type="dxa"/>
            <w:left w:w="108" w:type="dxa"/>
            <w:bottom w:w="0" w:type="dxa"/>
            <w:right w:w="108" w:type="dxa"/>
          </w:tblCellMar>
        </w:tblPrEx>
        <w:trPr>
          <w:trHeight w:val="342" w:hRule="atLeast"/>
          <w:jc w:val="center"/>
        </w:trPr>
        <w:tc>
          <w:tcPr>
            <w:tcW w:w="1944" w:type="dxa"/>
            <w:tcBorders>
              <w:top w:val="nil"/>
              <w:left w:val="single" w:color="auto" w:sz="4" w:space="0"/>
              <w:bottom w:val="single" w:color="auto" w:sz="4" w:space="0"/>
              <w:right w:val="single" w:color="auto" w:sz="4" w:space="0"/>
            </w:tcBorders>
            <w:vAlign w:val="bottom"/>
          </w:tcPr>
          <w:p w14:paraId="1AAC344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80" w:type="dxa"/>
            <w:tcBorders>
              <w:top w:val="nil"/>
              <w:left w:val="nil"/>
              <w:bottom w:val="single" w:color="auto" w:sz="4" w:space="0"/>
              <w:right w:val="single" w:color="auto" w:sz="4" w:space="0"/>
            </w:tcBorders>
            <w:vAlign w:val="center"/>
          </w:tcPr>
          <w:p w14:paraId="1D0304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449FC4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531DCC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vAlign w:val="center"/>
          </w:tcPr>
          <w:p w14:paraId="51EE44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57" w:type="dxa"/>
            <w:tcBorders>
              <w:top w:val="nil"/>
              <w:left w:val="nil"/>
              <w:bottom w:val="single" w:color="auto" w:sz="4" w:space="0"/>
              <w:right w:val="single" w:color="auto" w:sz="4" w:space="0"/>
            </w:tcBorders>
            <w:vAlign w:val="center"/>
          </w:tcPr>
          <w:p w14:paraId="6F072A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5D41889">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23F76D8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80" w:type="dxa"/>
            <w:tcBorders>
              <w:top w:val="nil"/>
              <w:left w:val="nil"/>
              <w:bottom w:val="single" w:color="auto" w:sz="4" w:space="0"/>
              <w:right w:val="single" w:color="auto" w:sz="4" w:space="0"/>
            </w:tcBorders>
            <w:vAlign w:val="center"/>
          </w:tcPr>
          <w:p w14:paraId="214503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08A975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45E33C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14:paraId="36B6FD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14:paraId="7FF284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893685">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688424E7">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712EA7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4FC945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6072DF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44" w:type="dxa"/>
            <w:tcBorders>
              <w:top w:val="nil"/>
              <w:left w:val="nil"/>
              <w:bottom w:val="single" w:color="auto" w:sz="4" w:space="0"/>
              <w:right w:val="single" w:color="auto" w:sz="4" w:space="0"/>
            </w:tcBorders>
            <w:vAlign w:val="center"/>
          </w:tcPr>
          <w:p w14:paraId="7AF7C5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57" w:type="dxa"/>
            <w:tcBorders>
              <w:top w:val="nil"/>
              <w:left w:val="nil"/>
              <w:bottom w:val="single" w:color="auto" w:sz="4" w:space="0"/>
              <w:right w:val="single" w:color="auto" w:sz="4" w:space="0"/>
            </w:tcBorders>
            <w:vAlign w:val="center"/>
          </w:tcPr>
          <w:p w14:paraId="406663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F4BA209">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05EDDA3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80" w:type="dxa"/>
            <w:tcBorders>
              <w:top w:val="nil"/>
              <w:left w:val="nil"/>
              <w:bottom w:val="single" w:color="auto" w:sz="4" w:space="0"/>
              <w:right w:val="single" w:color="auto" w:sz="4" w:space="0"/>
            </w:tcBorders>
            <w:vAlign w:val="center"/>
          </w:tcPr>
          <w:p w14:paraId="328E01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44E6AF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7A4F5A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44" w:type="dxa"/>
            <w:tcBorders>
              <w:top w:val="nil"/>
              <w:left w:val="nil"/>
              <w:bottom w:val="single" w:color="auto" w:sz="4" w:space="0"/>
              <w:right w:val="single" w:color="auto" w:sz="4" w:space="0"/>
            </w:tcBorders>
            <w:vAlign w:val="center"/>
          </w:tcPr>
          <w:p w14:paraId="2CE1A8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57" w:type="dxa"/>
            <w:tcBorders>
              <w:top w:val="nil"/>
              <w:left w:val="nil"/>
              <w:bottom w:val="single" w:color="auto" w:sz="4" w:space="0"/>
              <w:right w:val="single" w:color="auto" w:sz="4" w:space="0"/>
            </w:tcBorders>
            <w:vAlign w:val="center"/>
          </w:tcPr>
          <w:p w14:paraId="7869E2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87D598">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665337EC">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6442A7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14:paraId="336933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106F2E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44" w:type="dxa"/>
            <w:tcBorders>
              <w:top w:val="nil"/>
              <w:left w:val="nil"/>
              <w:bottom w:val="single" w:color="auto" w:sz="4" w:space="0"/>
              <w:right w:val="single" w:color="auto" w:sz="4" w:space="0"/>
            </w:tcBorders>
            <w:vAlign w:val="center"/>
          </w:tcPr>
          <w:p w14:paraId="690074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57" w:type="dxa"/>
            <w:tcBorders>
              <w:top w:val="nil"/>
              <w:left w:val="nil"/>
              <w:bottom w:val="single" w:color="auto" w:sz="4" w:space="0"/>
              <w:right w:val="single" w:color="auto" w:sz="4" w:space="0"/>
            </w:tcBorders>
            <w:vAlign w:val="center"/>
          </w:tcPr>
          <w:p w14:paraId="294112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086E5F0">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38D8703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80" w:type="dxa"/>
            <w:tcBorders>
              <w:top w:val="nil"/>
              <w:left w:val="nil"/>
              <w:bottom w:val="single" w:color="auto" w:sz="4" w:space="0"/>
              <w:right w:val="single" w:color="auto" w:sz="4" w:space="0"/>
            </w:tcBorders>
            <w:vAlign w:val="center"/>
          </w:tcPr>
          <w:p w14:paraId="3E575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4F659C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19C7E2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44" w:type="dxa"/>
            <w:tcBorders>
              <w:top w:val="nil"/>
              <w:left w:val="nil"/>
              <w:bottom w:val="single" w:color="auto" w:sz="4" w:space="0"/>
              <w:right w:val="single" w:color="auto" w:sz="4" w:space="0"/>
            </w:tcBorders>
            <w:vAlign w:val="center"/>
          </w:tcPr>
          <w:p w14:paraId="3C40A0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57" w:type="dxa"/>
            <w:tcBorders>
              <w:top w:val="nil"/>
              <w:left w:val="nil"/>
              <w:bottom w:val="single" w:color="auto" w:sz="4" w:space="0"/>
              <w:right w:val="single" w:color="auto" w:sz="4" w:space="0"/>
            </w:tcBorders>
            <w:vAlign w:val="center"/>
          </w:tcPr>
          <w:p w14:paraId="2E4CAE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04619D3">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320B9151">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31886D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78EEBE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756F31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44" w:type="dxa"/>
            <w:tcBorders>
              <w:top w:val="nil"/>
              <w:left w:val="nil"/>
              <w:bottom w:val="single" w:color="auto" w:sz="4" w:space="0"/>
              <w:right w:val="single" w:color="auto" w:sz="4" w:space="0"/>
            </w:tcBorders>
            <w:vAlign w:val="center"/>
          </w:tcPr>
          <w:p w14:paraId="555310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57" w:type="dxa"/>
            <w:tcBorders>
              <w:top w:val="nil"/>
              <w:left w:val="nil"/>
              <w:bottom w:val="single" w:color="auto" w:sz="4" w:space="0"/>
              <w:right w:val="single" w:color="auto" w:sz="4" w:space="0"/>
            </w:tcBorders>
            <w:vAlign w:val="center"/>
          </w:tcPr>
          <w:p w14:paraId="0A810E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69CBEA1">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4925D79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80" w:type="dxa"/>
            <w:tcBorders>
              <w:top w:val="nil"/>
              <w:left w:val="nil"/>
              <w:bottom w:val="single" w:color="auto" w:sz="4" w:space="0"/>
              <w:right w:val="single" w:color="auto" w:sz="4" w:space="0"/>
            </w:tcBorders>
            <w:vAlign w:val="center"/>
          </w:tcPr>
          <w:p w14:paraId="5F5B95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16842B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2A160A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44" w:type="dxa"/>
            <w:tcBorders>
              <w:top w:val="nil"/>
              <w:left w:val="nil"/>
              <w:bottom w:val="single" w:color="auto" w:sz="4" w:space="0"/>
              <w:right w:val="single" w:color="auto" w:sz="4" w:space="0"/>
            </w:tcBorders>
            <w:vAlign w:val="center"/>
          </w:tcPr>
          <w:p w14:paraId="5F6F9E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57" w:type="dxa"/>
            <w:tcBorders>
              <w:top w:val="nil"/>
              <w:left w:val="nil"/>
              <w:bottom w:val="single" w:color="auto" w:sz="4" w:space="0"/>
              <w:right w:val="single" w:color="auto" w:sz="4" w:space="0"/>
            </w:tcBorders>
            <w:vAlign w:val="center"/>
          </w:tcPr>
          <w:p w14:paraId="08CAEE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44E686">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51E8BC5F">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1A8FA7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198167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40D953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vAlign w:val="center"/>
          </w:tcPr>
          <w:p w14:paraId="3B16F7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57" w:type="dxa"/>
            <w:tcBorders>
              <w:top w:val="nil"/>
              <w:left w:val="nil"/>
              <w:bottom w:val="single" w:color="auto" w:sz="4" w:space="0"/>
              <w:right w:val="single" w:color="auto" w:sz="4" w:space="0"/>
            </w:tcBorders>
            <w:vAlign w:val="center"/>
          </w:tcPr>
          <w:p w14:paraId="028F84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65FE95">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6D1DF6C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80" w:type="dxa"/>
            <w:tcBorders>
              <w:top w:val="nil"/>
              <w:left w:val="nil"/>
              <w:bottom w:val="single" w:color="auto" w:sz="4" w:space="0"/>
              <w:right w:val="single" w:color="auto" w:sz="4" w:space="0"/>
            </w:tcBorders>
            <w:vAlign w:val="center"/>
          </w:tcPr>
          <w:p w14:paraId="0D0EFA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192700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1F749F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14:paraId="599436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14:paraId="38D5B1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F62BDB">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0D5C5B55">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51BFD5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5155D9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527DBF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44" w:type="dxa"/>
            <w:tcBorders>
              <w:top w:val="nil"/>
              <w:left w:val="nil"/>
              <w:bottom w:val="single" w:color="auto" w:sz="4" w:space="0"/>
              <w:right w:val="single" w:color="auto" w:sz="4" w:space="0"/>
            </w:tcBorders>
            <w:vAlign w:val="center"/>
          </w:tcPr>
          <w:p w14:paraId="7EA7D0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57" w:type="dxa"/>
            <w:tcBorders>
              <w:top w:val="nil"/>
              <w:left w:val="nil"/>
              <w:bottom w:val="single" w:color="auto" w:sz="4" w:space="0"/>
              <w:right w:val="single" w:color="auto" w:sz="4" w:space="0"/>
            </w:tcBorders>
            <w:vAlign w:val="center"/>
          </w:tcPr>
          <w:p w14:paraId="3680DF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9427C4D">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2008C4B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80" w:type="dxa"/>
            <w:tcBorders>
              <w:top w:val="nil"/>
              <w:left w:val="nil"/>
              <w:bottom w:val="single" w:color="auto" w:sz="4" w:space="0"/>
              <w:right w:val="single" w:color="auto" w:sz="4" w:space="0"/>
            </w:tcBorders>
            <w:vAlign w:val="center"/>
          </w:tcPr>
          <w:p w14:paraId="620DB4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451FFF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6C2715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44" w:type="dxa"/>
            <w:tcBorders>
              <w:top w:val="nil"/>
              <w:left w:val="nil"/>
              <w:bottom w:val="single" w:color="auto" w:sz="4" w:space="0"/>
              <w:right w:val="single" w:color="auto" w:sz="4" w:space="0"/>
            </w:tcBorders>
            <w:vAlign w:val="center"/>
          </w:tcPr>
          <w:p w14:paraId="5A7D44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57" w:type="dxa"/>
            <w:tcBorders>
              <w:top w:val="nil"/>
              <w:left w:val="nil"/>
              <w:bottom w:val="single" w:color="auto" w:sz="4" w:space="0"/>
              <w:right w:val="single" w:color="auto" w:sz="4" w:space="0"/>
            </w:tcBorders>
            <w:vAlign w:val="center"/>
          </w:tcPr>
          <w:p w14:paraId="7C1B7B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042E54">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5A45087F">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20C0A8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465A42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02A849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44" w:type="dxa"/>
            <w:tcBorders>
              <w:top w:val="nil"/>
              <w:left w:val="nil"/>
              <w:bottom w:val="single" w:color="auto" w:sz="4" w:space="0"/>
              <w:right w:val="single" w:color="auto" w:sz="4" w:space="0"/>
            </w:tcBorders>
            <w:vAlign w:val="center"/>
          </w:tcPr>
          <w:p w14:paraId="1382C0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vAlign w:val="center"/>
          </w:tcPr>
          <w:p w14:paraId="29F219B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0F32F8">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669C31E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80" w:type="dxa"/>
            <w:tcBorders>
              <w:top w:val="nil"/>
              <w:left w:val="nil"/>
              <w:bottom w:val="single" w:color="auto" w:sz="4" w:space="0"/>
              <w:right w:val="single" w:color="auto" w:sz="4" w:space="0"/>
            </w:tcBorders>
            <w:vAlign w:val="center"/>
          </w:tcPr>
          <w:p w14:paraId="4BB5BF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334C69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0B4076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14:paraId="4C02FE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vAlign w:val="center"/>
          </w:tcPr>
          <w:p w14:paraId="40257B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ACA6824">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3B3010A9">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42C7F1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3A6ECF3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1AD255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44" w:type="dxa"/>
            <w:tcBorders>
              <w:top w:val="nil"/>
              <w:left w:val="nil"/>
              <w:bottom w:val="single" w:color="auto" w:sz="4" w:space="0"/>
              <w:right w:val="single" w:color="auto" w:sz="4" w:space="0"/>
            </w:tcBorders>
            <w:vAlign w:val="center"/>
          </w:tcPr>
          <w:p w14:paraId="47A0E2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14:paraId="2909CC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AA5159">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48F1117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80" w:type="dxa"/>
            <w:tcBorders>
              <w:top w:val="nil"/>
              <w:left w:val="nil"/>
              <w:bottom w:val="single" w:color="auto" w:sz="4" w:space="0"/>
              <w:right w:val="single" w:color="auto" w:sz="4" w:space="0"/>
            </w:tcBorders>
            <w:vAlign w:val="center"/>
          </w:tcPr>
          <w:p w14:paraId="74754D3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77966E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64B892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14:paraId="51BFE5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375B87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3CE198E">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5D622A3B">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11F4E1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7D31EA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09B66C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vAlign w:val="center"/>
          </w:tcPr>
          <w:p w14:paraId="350A5A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14:paraId="0781F8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13199C6">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0EB2A59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80" w:type="dxa"/>
            <w:tcBorders>
              <w:top w:val="nil"/>
              <w:left w:val="nil"/>
              <w:bottom w:val="single" w:color="auto" w:sz="4" w:space="0"/>
              <w:right w:val="single" w:color="auto" w:sz="4" w:space="0"/>
            </w:tcBorders>
            <w:vAlign w:val="center"/>
          </w:tcPr>
          <w:p w14:paraId="035453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6E9A98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072C91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14:paraId="561FFB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61F7F8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1B8BE8">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44F15A74">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257D5C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1383A4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00E80F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vAlign w:val="center"/>
          </w:tcPr>
          <w:p w14:paraId="2410AB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vAlign w:val="center"/>
          </w:tcPr>
          <w:p w14:paraId="7B998C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75E18F">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4CC154A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80" w:type="dxa"/>
            <w:tcBorders>
              <w:top w:val="nil"/>
              <w:left w:val="nil"/>
              <w:bottom w:val="single" w:color="auto" w:sz="4" w:space="0"/>
              <w:right w:val="single" w:color="auto" w:sz="4" w:space="0"/>
            </w:tcBorders>
            <w:vAlign w:val="center"/>
          </w:tcPr>
          <w:p w14:paraId="402DF1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3544B6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03EF00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44" w:type="dxa"/>
            <w:tcBorders>
              <w:top w:val="nil"/>
              <w:left w:val="nil"/>
              <w:bottom w:val="single" w:color="auto" w:sz="4" w:space="0"/>
              <w:right w:val="single" w:color="auto" w:sz="4" w:space="0"/>
            </w:tcBorders>
            <w:vAlign w:val="center"/>
          </w:tcPr>
          <w:p w14:paraId="3E1513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1E96A6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E3D7DD">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78A3CB56">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299F6A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04CF20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476BA8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44" w:type="dxa"/>
            <w:tcBorders>
              <w:top w:val="nil"/>
              <w:left w:val="nil"/>
              <w:bottom w:val="single" w:color="auto" w:sz="4" w:space="0"/>
              <w:right w:val="single" w:color="auto" w:sz="4" w:space="0"/>
            </w:tcBorders>
            <w:vAlign w:val="center"/>
          </w:tcPr>
          <w:p w14:paraId="141BA6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vAlign w:val="center"/>
          </w:tcPr>
          <w:p w14:paraId="6FB1CD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C74140">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1388876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80" w:type="dxa"/>
            <w:tcBorders>
              <w:top w:val="nil"/>
              <w:left w:val="nil"/>
              <w:bottom w:val="single" w:color="auto" w:sz="4" w:space="0"/>
              <w:right w:val="single" w:color="auto" w:sz="4" w:space="0"/>
            </w:tcBorders>
            <w:vAlign w:val="center"/>
          </w:tcPr>
          <w:p w14:paraId="348B98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715A5A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24104A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14:paraId="011DBA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23357B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CBBF22">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38E26BE6">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279631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1CA135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2974BF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44" w:type="dxa"/>
            <w:tcBorders>
              <w:top w:val="nil"/>
              <w:left w:val="nil"/>
              <w:bottom w:val="single" w:color="auto" w:sz="4" w:space="0"/>
              <w:right w:val="single" w:color="auto" w:sz="4" w:space="0"/>
            </w:tcBorders>
            <w:vAlign w:val="center"/>
          </w:tcPr>
          <w:p w14:paraId="06B5F4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57" w:type="dxa"/>
            <w:tcBorders>
              <w:top w:val="nil"/>
              <w:left w:val="nil"/>
              <w:bottom w:val="single" w:color="auto" w:sz="4" w:space="0"/>
              <w:right w:val="single" w:color="auto" w:sz="4" w:space="0"/>
            </w:tcBorders>
            <w:vAlign w:val="center"/>
          </w:tcPr>
          <w:p w14:paraId="638A61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89C2AF7">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5C55DDF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80" w:type="dxa"/>
            <w:tcBorders>
              <w:top w:val="nil"/>
              <w:left w:val="nil"/>
              <w:bottom w:val="single" w:color="auto" w:sz="4" w:space="0"/>
              <w:right w:val="single" w:color="auto" w:sz="4" w:space="0"/>
            </w:tcBorders>
            <w:vAlign w:val="center"/>
          </w:tcPr>
          <w:p w14:paraId="3A1490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335FF7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7137D7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44" w:type="dxa"/>
            <w:tcBorders>
              <w:top w:val="nil"/>
              <w:left w:val="nil"/>
              <w:bottom w:val="single" w:color="auto" w:sz="4" w:space="0"/>
              <w:right w:val="single" w:color="auto" w:sz="4" w:space="0"/>
            </w:tcBorders>
            <w:vAlign w:val="center"/>
          </w:tcPr>
          <w:p w14:paraId="6E2DAC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57" w:type="dxa"/>
            <w:tcBorders>
              <w:top w:val="nil"/>
              <w:left w:val="nil"/>
              <w:bottom w:val="single" w:color="auto" w:sz="4" w:space="0"/>
              <w:right w:val="single" w:color="auto" w:sz="4" w:space="0"/>
            </w:tcBorders>
            <w:vAlign w:val="center"/>
          </w:tcPr>
          <w:p w14:paraId="34B823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C606176">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0D064B03">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1CA5BC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14:paraId="05FA73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6538D2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44" w:type="dxa"/>
            <w:tcBorders>
              <w:top w:val="nil"/>
              <w:left w:val="nil"/>
              <w:bottom w:val="single" w:color="auto" w:sz="4" w:space="0"/>
              <w:right w:val="single" w:color="auto" w:sz="4" w:space="0"/>
            </w:tcBorders>
            <w:vAlign w:val="center"/>
          </w:tcPr>
          <w:p w14:paraId="3B08CD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57" w:type="dxa"/>
            <w:tcBorders>
              <w:top w:val="nil"/>
              <w:left w:val="nil"/>
              <w:bottom w:val="single" w:color="auto" w:sz="4" w:space="0"/>
              <w:right w:val="single" w:color="auto" w:sz="4" w:space="0"/>
            </w:tcBorders>
            <w:vAlign w:val="center"/>
          </w:tcPr>
          <w:p w14:paraId="272A64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F4ECF62">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22873CA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80" w:type="dxa"/>
            <w:tcBorders>
              <w:top w:val="nil"/>
              <w:left w:val="nil"/>
              <w:bottom w:val="single" w:color="auto" w:sz="4" w:space="0"/>
              <w:right w:val="single" w:color="auto" w:sz="4" w:space="0"/>
            </w:tcBorders>
            <w:vAlign w:val="center"/>
          </w:tcPr>
          <w:p w14:paraId="2BE8CC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3CA94A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19E0BA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vAlign w:val="center"/>
          </w:tcPr>
          <w:p w14:paraId="30930C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57" w:type="dxa"/>
            <w:tcBorders>
              <w:top w:val="nil"/>
              <w:left w:val="nil"/>
              <w:bottom w:val="single" w:color="auto" w:sz="4" w:space="0"/>
              <w:right w:val="single" w:color="auto" w:sz="4" w:space="0"/>
            </w:tcBorders>
            <w:vAlign w:val="center"/>
          </w:tcPr>
          <w:p w14:paraId="0C7A27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F6E6722">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2EFE1D07">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252CC2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43" w:type="dxa"/>
            <w:tcBorders>
              <w:top w:val="nil"/>
              <w:left w:val="nil"/>
              <w:bottom w:val="single" w:color="auto" w:sz="4" w:space="0"/>
              <w:right w:val="single" w:color="auto" w:sz="4" w:space="0"/>
            </w:tcBorders>
            <w:vAlign w:val="center"/>
          </w:tcPr>
          <w:p w14:paraId="1DB445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7D943A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44" w:type="dxa"/>
            <w:tcBorders>
              <w:top w:val="nil"/>
              <w:left w:val="nil"/>
              <w:bottom w:val="single" w:color="auto" w:sz="4" w:space="0"/>
              <w:right w:val="single" w:color="auto" w:sz="4" w:space="0"/>
            </w:tcBorders>
            <w:vAlign w:val="center"/>
          </w:tcPr>
          <w:p w14:paraId="1DEBFD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57" w:type="dxa"/>
            <w:tcBorders>
              <w:top w:val="nil"/>
              <w:left w:val="nil"/>
              <w:bottom w:val="single" w:color="auto" w:sz="4" w:space="0"/>
              <w:right w:val="single" w:color="auto" w:sz="4" w:space="0"/>
            </w:tcBorders>
            <w:vAlign w:val="center"/>
          </w:tcPr>
          <w:p w14:paraId="33B9B6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E4F3BFF">
        <w:tblPrEx>
          <w:tblCellMar>
            <w:top w:w="0" w:type="dxa"/>
            <w:left w:w="108" w:type="dxa"/>
            <w:bottom w:w="0" w:type="dxa"/>
            <w:right w:w="108" w:type="dxa"/>
          </w:tblCellMar>
        </w:tblPrEx>
        <w:trPr>
          <w:trHeight w:val="342" w:hRule="atLeast"/>
          <w:jc w:val="center"/>
        </w:trPr>
        <w:tc>
          <w:tcPr>
            <w:tcW w:w="1944" w:type="dxa"/>
            <w:vMerge w:val="restart"/>
            <w:tcBorders>
              <w:top w:val="nil"/>
              <w:left w:val="single" w:color="auto" w:sz="4" w:space="0"/>
              <w:bottom w:val="single" w:color="auto" w:sz="4" w:space="0"/>
              <w:right w:val="single" w:color="auto" w:sz="4" w:space="0"/>
            </w:tcBorders>
            <w:vAlign w:val="center"/>
          </w:tcPr>
          <w:p w14:paraId="254BDEB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80" w:type="dxa"/>
            <w:tcBorders>
              <w:top w:val="nil"/>
              <w:left w:val="nil"/>
              <w:bottom w:val="single" w:color="auto" w:sz="4" w:space="0"/>
              <w:right w:val="single" w:color="auto" w:sz="4" w:space="0"/>
            </w:tcBorders>
            <w:vAlign w:val="center"/>
          </w:tcPr>
          <w:p w14:paraId="3ABDF9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2C7D5C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40D4BA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14:paraId="0BCECB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49A0C1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BF9828">
        <w:tblPrEx>
          <w:tblCellMar>
            <w:top w:w="0" w:type="dxa"/>
            <w:left w:w="108" w:type="dxa"/>
            <w:bottom w:w="0" w:type="dxa"/>
            <w:right w:w="108" w:type="dxa"/>
          </w:tblCellMar>
        </w:tblPrEx>
        <w:trPr>
          <w:trHeight w:val="342" w:hRule="atLeast"/>
          <w:jc w:val="center"/>
        </w:trPr>
        <w:tc>
          <w:tcPr>
            <w:tcW w:w="1944" w:type="dxa"/>
            <w:vMerge w:val="continue"/>
            <w:tcBorders>
              <w:top w:val="nil"/>
              <w:left w:val="single" w:color="auto" w:sz="4" w:space="0"/>
              <w:bottom w:val="single" w:color="auto" w:sz="4" w:space="0"/>
              <w:right w:val="single" w:color="auto" w:sz="4" w:space="0"/>
            </w:tcBorders>
            <w:vAlign w:val="center"/>
          </w:tcPr>
          <w:p w14:paraId="4792330E">
            <w:pPr>
              <w:widowControl/>
              <w:jc w:val="center"/>
              <w:rPr>
                <w:rFonts w:hint="eastAsia" w:ascii="宋体" w:hAnsi="宋体" w:cs="宋体"/>
                <w:b/>
                <w:bCs/>
                <w:color w:val="auto"/>
                <w:kern w:val="0"/>
                <w:sz w:val="18"/>
                <w:szCs w:val="18"/>
                <w:highlight w:val="none"/>
              </w:rPr>
            </w:pPr>
          </w:p>
        </w:tc>
        <w:tc>
          <w:tcPr>
            <w:tcW w:w="1580" w:type="dxa"/>
            <w:tcBorders>
              <w:top w:val="nil"/>
              <w:left w:val="nil"/>
              <w:bottom w:val="single" w:color="auto" w:sz="4" w:space="0"/>
              <w:right w:val="single" w:color="auto" w:sz="4" w:space="0"/>
            </w:tcBorders>
            <w:vAlign w:val="center"/>
          </w:tcPr>
          <w:p w14:paraId="63846F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43" w:type="dxa"/>
            <w:tcBorders>
              <w:top w:val="nil"/>
              <w:left w:val="nil"/>
              <w:bottom w:val="single" w:color="auto" w:sz="4" w:space="0"/>
              <w:right w:val="single" w:color="auto" w:sz="4" w:space="0"/>
            </w:tcBorders>
            <w:vAlign w:val="center"/>
          </w:tcPr>
          <w:p w14:paraId="5A0373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vAlign w:val="center"/>
          </w:tcPr>
          <w:p w14:paraId="7BB7C2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44" w:type="dxa"/>
            <w:tcBorders>
              <w:top w:val="nil"/>
              <w:left w:val="nil"/>
              <w:bottom w:val="single" w:color="auto" w:sz="4" w:space="0"/>
              <w:right w:val="single" w:color="auto" w:sz="4" w:space="0"/>
            </w:tcBorders>
            <w:vAlign w:val="center"/>
          </w:tcPr>
          <w:p w14:paraId="6963E0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57" w:type="dxa"/>
            <w:tcBorders>
              <w:top w:val="nil"/>
              <w:left w:val="nil"/>
              <w:bottom w:val="single" w:color="auto" w:sz="4" w:space="0"/>
              <w:right w:val="single" w:color="auto" w:sz="4" w:space="0"/>
            </w:tcBorders>
            <w:vAlign w:val="center"/>
          </w:tcPr>
          <w:p w14:paraId="0BBE61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431C3E">
        <w:tblPrEx>
          <w:tblCellMar>
            <w:top w:w="0" w:type="dxa"/>
            <w:left w:w="108" w:type="dxa"/>
            <w:bottom w:w="0" w:type="dxa"/>
            <w:right w:w="108" w:type="dxa"/>
          </w:tblCellMar>
        </w:tblPrEx>
        <w:trPr>
          <w:trHeight w:val="352" w:hRule="atLeast"/>
          <w:jc w:val="center"/>
        </w:trPr>
        <w:tc>
          <w:tcPr>
            <w:tcW w:w="1944" w:type="dxa"/>
            <w:tcBorders>
              <w:top w:val="nil"/>
              <w:left w:val="single" w:color="auto" w:sz="4" w:space="0"/>
              <w:bottom w:val="single" w:color="auto" w:sz="4" w:space="0"/>
              <w:right w:val="single" w:color="auto" w:sz="4" w:space="0"/>
            </w:tcBorders>
            <w:vAlign w:val="center"/>
          </w:tcPr>
          <w:p w14:paraId="730C7CC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80" w:type="dxa"/>
            <w:tcBorders>
              <w:top w:val="nil"/>
              <w:left w:val="nil"/>
              <w:bottom w:val="single" w:color="auto" w:sz="4" w:space="0"/>
              <w:right w:val="single" w:color="auto" w:sz="4" w:space="0"/>
            </w:tcBorders>
            <w:vAlign w:val="center"/>
          </w:tcPr>
          <w:p w14:paraId="47B0C3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43" w:type="dxa"/>
            <w:tcBorders>
              <w:top w:val="nil"/>
              <w:left w:val="nil"/>
              <w:bottom w:val="single" w:color="auto" w:sz="4" w:space="0"/>
              <w:right w:val="single" w:color="auto" w:sz="4" w:space="0"/>
            </w:tcBorders>
            <w:vAlign w:val="center"/>
          </w:tcPr>
          <w:p w14:paraId="5746DB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vAlign w:val="center"/>
          </w:tcPr>
          <w:p w14:paraId="551719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vAlign w:val="center"/>
          </w:tcPr>
          <w:p w14:paraId="0FC0E4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vAlign w:val="center"/>
          </w:tcPr>
          <w:p w14:paraId="53A3EB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F9F903E">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A706277">
      <w:pPr>
        <w:widowControl/>
        <w:jc w:val="left"/>
        <w:rPr>
          <w:rFonts w:hint="eastAsia" w:ascii="宋体" w:hAnsi="宋体" w:cs="宋体"/>
          <w:color w:val="auto"/>
          <w:szCs w:val="20"/>
          <w:highlight w:val="none"/>
        </w:rPr>
        <w:sectPr>
          <w:pgSz w:w="11906" w:h="16838"/>
          <w:pgMar w:top="1134" w:right="1134" w:bottom="1134" w:left="1134" w:header="720" w:footer="720" w:gutter="0"/>
          <w:cols w:space="720" w:num="1"/>
          <w:docGrid w:type="lines" w:linePitch="331" w:charSpace="0"/>
        </w:sectPr>
      </w:pPr>
    </w:p>
    <w:p w14:paraId="7DB7383F">
      <w:pPr>
        <w:widowControl/>
        <w:jc w:val="left"/>
        <w:rPr>
          <w:rFonts w:ascii="宋体" w:hAnsi="宋体" w:cs="宋体"/>
          <w:color w:val="auto"/>
          <w:sz w:val="20"/>
          <w:szCs w:val="20"/>
          <w:highlight w:val="none"/>
        </w:rPr>
      </w:pPr>
    </w:p>
    <w:p w14:paraId="2E34C947">
      <w:pPr>
        <w:pStyle w:val="2"/>
        <w:spacing w:before="0" w:after="0" w:line="240" w:lineRule="auto"/>
        <w:jc w:val="center"/>
        <w:rPr>
          <w:rFonts w:ascii="宋体" w:hAnsi="宋体" w:cs="宋体"/>
          <w:color w:val="auto"/>
          <w:highlight w:val="none"/>
        </w:rPr>
      </w:pPr>
      <w:bookmarkStart w:id="70" w:name="_Toc129703551"/>
      <w:bookmarkStart w:id="71" w:name="_Toc24264"/>
      <w:r>
        <w:rPr>
          <w:rFonts w:hint="eastAsia" w:ascii="宋体" w:hAnsi="宋体" w:cs="宋体"/>
          <w:color w:val="auto"/>
          <w:highlight w:val="none"/>
        </w:rPr>
        <w:t xml:space="preserve">第四章  </w:t>
      </w:r>
      <w:bookmarkStart w:id="72" w:name="_Hlk68601507"/>
      <w:r>
        <w:rPr>
          <w:rFonts w:hint="eastAsia" w:ascii="宋体" w:hAnsi="宋体" w:cs="宋体"/>
          <w:color w:val="auto"/>
          <w:highlight w:val="none"/>
        </w:rPr>
        <w:t>评审程序和评定成交的标准</w:t>
      </w:r>
      <w:bookmarkEnd w:id="70"/>
      <w:bookmarkEnd w:id="71"/>
      <w:bookmarkEnd w:id="72"/>
    </w:p>
    <w:p w14:paraId="206AD873">
      <w:pPr>
        <w:jc w:val="center"/>
        <w:rPr>
          <w:rFonts w:ascii="宋体" w:hAnsi="宋体" w:cs="宋体"/>
          <w:b/>
          <w:color w:val="auto"/>
          <w:sz w:val="32"/>
          <w:szCs w:val="32"/>
          <w:highlight w:val="none"/>
        </w:rPr>
      </w:pPr>
    </w:p>
    <w:p w14:paraId="099F1D8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w:t>
      </w:r>
    </w:p>
    <w:p w14:paraId="19FC00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1.确认谈判文件</w:t>
      </w:r>
    </w:p>
    <w:p w14:paraId="55CF2A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304B6AC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4EFE8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14:paraId="2DC45E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谈判小组</w:t>
      </w:r>
      <w:r>
        <w:rPr>
          <w:rFonts w:hint="eastAsia" w:ascii="宋体" w:hAnsi="宋体" w:cs="宋体"/>
          <w:color w:val="auto"/>
          <w:szCs w:val="21"/>
          <w:highlight w:val="none"/>
        </w:rPr>
        <w:t>在资格审查结束前，对供应商进行信用查询。</w:t>
      </w:r>
    </w:p>
    <w:p w14:paraId="443F62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“信用中国”网站(www.creditchina.gov.cn)、中国政府采购网(www.ccgp.gov.cn)链接入口。</w:t>
      </w:r>
    </w:p>
    <w:p w14:paraId="6BE912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E474A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CD106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C03D6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06A24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14:paraId="4D943D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799F3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15A3C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14:paraId="54BDEF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7796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398F25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2.4通过资格审查的合格供应商不足3家（本章3.7条规定除外）的，不得进入符合性审查环节，应当重新开展采购活动。</w:t>
      </w:r>
    </w:p>
    <w:p w14:paraId="625D0E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46BD1D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3.1谈判小组应当对符合资格的供应商的响应文件进行竞标报价、商务、技术等实质性要求符合性审查，以确定其是否满足谈判文件的实质性要求。</w:t>
      </w:r>
    </w:p>
    <w:p w14:paraId="06C4E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C30D5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17AFF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08921BEC">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71ABD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BE380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BE125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A050A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BF46B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AC3AD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219AE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C958B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164AE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1D6B8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2C92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7418C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006B1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0A1922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7E35F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127B8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70A0F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38A418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10）属于“供应商须知正文”第7.5条的情形的；</w:t>
      </w:r>
    </w:p>
    <w:p w14:paraId="357F49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3339F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12）虚假竞标，或者出现其他情形而导致被谈判小组认定无效的；</w:t>
      </w:r>
    </w:p>
    <w:p w14:paraId="781F04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73"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3"/>
    </w:p>
    <w:p w14:paraId="420447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14）响应文件标注的项目名称或者项目编号与谈判文件标注的项目名称或者项目编号不一致的；</w:t>
      </w:r>
    </w:p>
    <w:p w14:paraId="7AE30D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15）谈判文件明确不允许分包，响应文件拟分包的；</w:t>
      </w:r>
    </w:p>
    <w:p w14:paraId="63C058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16）未响应谈判文件实质性要求；</w:t>
      </w:r>
    </w:p>
    <w:p w14:paraId="00A7D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1519E6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0D9F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276B5B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6856D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30039B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0A5D1D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0F583B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6）响应文件响应的标的数量及单位与竞争性谈判采购文件要求实质性不一致的。</w:t>
      </w:r>
    </w:p>
    <w:p w14:paraId="2C0D8F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504347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01D94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3.8除本章3.7条规定的情形外，通过符合性审查的合格供应商不足3家的，不得进入谈判环节，应当重新开展采购活动。</w:t>
      </w:r>
    </w:p>
    <w:p w14:paraId="217248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4.谈判程序</w:t>
      </w:r>
    </w:p>
    <w:p w14:paraId="574E642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347EA0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31180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14:paraId="62DB6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4.4供应商必须按照谈判文件的变动情况和谈判小组的要求以回函的形式重新提交响应文件，并加盖电子签章。参加谈判的供应商未在规定时间内重新提交响应文件的，视同退出谈判，其响应文件按无效处理。</w:t>
      </w:r>
    </w:p>
    <w:p w14:paraId="064F0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4.5谈判中，谈判的任何一方不得透露与谈判有关的其他供应商的技术资料、价格和其他信息。</w:t>
      </w:r>
    </w:p>
    <w:p w14:paraId="20034E82">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w:t>
      </w:r>
    </w:p>
    <w:p w14:paraId="146135C5">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4.7除本章第3.7条外，对谈判过程提交的响应文件进行有效性、完整性和响应程度审查，通过审查的合格供应商不足3家的，采购人或者采购代理机构应当重新开展采购活动。</w:t>
      </w:r>
    </w:p>
    <w:p w14:paraId="65D3EF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 最后报价</w:t>
      </w:r>
    </w:p>
    <w:p w14:paraId="6EA587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5.1谈判文件能够详细列明采购标的的技术、服务要求的，谈判结束后，谈判小组应当要求所有继续参加谈判的供应商在规定时间内在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开标大厅提交最后报价，除本章第3.7条外，提交最后报价的供应商不得少于3家，否则应当重新采购。</w:t>
      </w:r>
    </w:p>
    <w:p w14:paraId="4B603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w:t>
      </w:r>
    </w:p>
    <w:p w14:paraId="4CC33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5.3最后报价是供应商响应文件的有效组成部分。</w:t>
      </w:r>
    </w:p>
    <w:p w14:paraId="674251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5.4已经提交响应文件的供应商，在提交最后报价之前，可以根据谈判情况退出谈判，退出谈判的供应商的响应文件按无效响应处理。采购人、采购代理机构将退还退出谈判的供应商的保证金。</w:t>
      </w:r>
    </w:p>
    <w:p w14:paraId="446EAA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5.5供应商未在规定时间内提交最后报价的，视为退出谈判，其响应文件按无效处理。</w:t>
      </w:r>
    </w:p>
    <w:p w14:paraId="59B221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5.6最后报价统一开启后，谈判小组对最后报价进行有效性、完整性和响应程度的审查。</w:t>
      </w:r>
    </w:p>
    <w:p w14:paraId="0F0B4A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5.7最后报价出现前后不一致的，按照本章第3.4条的规定修正。 </w:t>
      </w:r>
    </w:p>
    <w:p w14:paraId="38587C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5.8修正后的报价出现下列情形的，按无效响应处理：</w:t>
      </w:r>
    </w:p>
    <w:p w14:paraId="4FF161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17FF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5E0AD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4FE8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5AC70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14:paraId="755BF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5.11最后报价结束后，谈判小组不得再与供应商进行任何形式的商谈。</w:t>
      </w:r>
    </w:p>
    <w:p w14:paraId="5EF026C9">
      <w:pPr>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6. 最后报价评审</w:t>
      </w:r>
    </w:p>
    <w:p w14:paraId="4E3E3B6D">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33701ED3">
      <w:pPr>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6.2最后报价时，供应商须在政采云开标系统中作为附件上传最后报价表。</w:t>
      </w:r>
    </w:p>
    <w:p w14:paraId="173A5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6.3</w:t>
      </w:r>
      <w:r>
        <w:rPr>
          <w:rFonts w:hint="eastAsia" w:ascii="宋体" w:hAnsi="宋体" w:cs="宋体"/>
          <w:color w:val="auto"/>
          <w:highlight w:val="none"/>
        </w:rPr>
        <w:t>政策性扣除计算方法。</w:t>
      </w:r>
    </w:p>
    <w:p w14:paraId="3F1D26B2">
      <w:pPr>
        <w:keepNext w:val="0"/>
        <w:keepLines w:val="0"/>
        <w:pageBreakBefore w:val="0"/>
        <w:widowControl w:val="0"/>
        <w:kinsoku/>
        <w:wordWrap/>
        <w:overflowPunct/>
        <w:topLinePunct w:val="0"/>
        <w:autoSpaceDE/>
        <w:autoSpaceDN/>
        <w:bidi w:val="0"/>
        <w:adjustRightInd/>
        <w:snapToGrid/>
        <w:spacing w:line="360" w:lineRule="auto"/>
        <w:ind w:firstLine="371" w:firstLineChars="176"/>
        <w:textAlignment w:val="auto"/>
        <w:rPr>
          <w:rFonts w:hint="default" w:ascii="宋体" w:hAnsi="宋体" w:eastAsia="宋体" w:cs="宋体"/>
          <w:b/>
          <w:bCs/>
          <w:color w:val="auto"/>
          <w:highlight w:val="none"/>
          <w:lang w:val="en-US" w:eastAsia="zh-CN"/>
        </w:rPr>
      </w:pPr>
      <w:r>
        <w:rPr>
          <w:rFonts w:hint="eastAsia" w:ascii="宋体" w:hAnsi="宋体" w:cs="宋体"/>
          <w:b/>
          <w:bCs/>
          <w:color w:val="auto"/>
          <w:szCs w:val="21"/>
          <w:highlight w:val="none"/>
        </w:rPr>
        <w:t>本项目为专门面向</w:t>
      </w:r>
      <w:r>
        <w:rPr>
          <w:rFonts w:hint="eastAsia" w:ascii="宋体" w:hAnsi="宋体" w:cs="宋体"/>
          <w:b/>
          <w:bCs/>
          <w:color w:val="auto"/>
          <w:szCs w:val="21"/>
          <w:highlight w:val="none"/>
          <w:lang w:val="en-US" w:eastAsia="zh-CN"/>
        </w:rPr>
        <w:t>中小</w:t>
      </w:r>
      <w:r>
        <w:rPr>
          <w:rFonts w:hint="eastAsia" w:ascii="宋体" w:hAnsi="宋体" w:cs="宋体"/>
          <w:b/>
          <w:bCs/>
          <w:color w:val="auto"/>
          <w:szCs w:val="21"/>
          <w:highlight w:val="none"/>
        </w:rPr>
        <w:t>企业采购的项目，不再执行价格评审优惠的扶持政策。</w:t>
      </w:r>
      <w:r>
        <w:rPr>
          <w:rFonts w:hint="eastAsia" w:ascii="宋体" w:hAnsi="宋体" w:cs="宋体"/>
          <w:b/>
          <w:bCs/>
          <w:color w:val="auto"/>
          <w:szCs w:val="21"/>
          <w:highlight w:val="none"/>
          <w:lang w:val="en-US" w:eastAsia="zh-CN"/>
        </w:rPr>
        <w:t>即：评审价=最后报价。</w:t>
      </w:r>
    </w:p>
    <w:p w14:paraId="4C594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6.4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监狱企业属于小型、微型企业的，</w:t>
      </w:r>
      <w:r>
        <w:rPr>
          <w:rFonts w:hint="eastAsia" w:ascii="宋体" w:hAnsi="宋体" w:cs="宋体"/>
          <w:color w:val="auto"/>
          <w:szCs w:val="21"/>
          <w:highlight w:val="none"/>
        </w:rPr>
        <w:t>不重复享受政策。</w:t>
      </w:r>
    </w:p>
    <w:p w14:paraId="4CCD7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6.5按照《关于促进残疾人就业政府采购政策的通知》（财库〔2017〕141号）的规定，残疾人福利性单位视同小型、微型企业，享受预留份额、评审中价格扣除等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515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6.6除上述情况外，评审价＝最后报价。</w:t>
      </w:r>
    </w:p>
    <w:p w14:paraId="6A0C51DE">
      <w:pPr>
        <w:rPr>
          <w:rFonts w:hint="eastAsia" w:ascii="宋体" w:hAnsi="宋体" w:cs="宋体"/>
          <w:b/>
          <w:color w:val="auto"/>
          <w:sz w:val="32"/>
          <w:szCs w:val="32"/>
          <w:highlight w:val="none"/>
        </w:rPr>
      </w:pPr>
    </w:p>
    <w:p w14:paraId="0921E912">
      <w:pPr>
        <w:spacing w:line="336"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二、评定成交的标准</w:t>
      </w:r>
    </w:p>
    <w:p w14:paraId="1EA6D857">
      <w:pPr>
        <w:spacing w:line="336" w:lineRule="auto"/>
        <w:ind w:firstLine="482" w:firstLineChars="200"/>
        <w:rPr>
          <w:rFonts w:hint="eastAsia" w:ascii="宋体" w:hAnsi="宋体" w:cs="宋体"/>
          <w:b/>
          <w:bCs/>
          <w:color w:val="auto"/>
          <w:sz w:val="24"/>
          <w:highlight w:val="none"/>
        </w:rPr>
      </w:pPr>
    </w:p>
    <w:p w14:paraId="67DAA241">
      <w:pPr>
        <w:spacing w:line="336"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 成交候选人推荐</w:t>
      </w:r>
    </w:p>
    <w:p w14:paraId="3F65282B">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14:paraId="234F81FD">
      <w:pPr>
        <w:pStyle w:val="70"/>
        <w:rPr>
          <w:rFonts w:ascii="宋体" w:hAnsi="宋体" w:cs="宋体"/>
          <w:color w:val="auto"/>
          <w:highlight w:val="none"/>
        </w:rPr>
      </w:pPr>
    </w:p>
    <w:p w14:paraId="3C42AA50">
      <w:pPr>
        <w:pStyle w:val="70"/>
        <w:rPr>
          <w:rFonts w:ascii="宋体" w:hAnsi="宋体" w:cs="宋体"/>
          <w:color w:val="auto"/>
          <w:highlight w:val="none"/>
        </w:rPr>
      </w:pPr>
    </w:p>
    <w:p w14:paraId="18AA1E21">
      <w:pPr>
        <w:pStyle w:val="2"/>
        <w:jc w:val="center"/>
        <w:rPr>
          <w:rFonts w:ascii="宋体" w:hAnsi="宋体" w:cs="宋体"/>
          <w:color w:val="auto"/>
          <w:highlight w:val="none"/>
        </w:rPr>
      </w:pPr>
      <w:bookmarkStart w:id="74" w:name="_Toc129703552"/>
      <w:bookmarkStart w:id="75" w:name="_Toc27681"/>
      <w:r>
        <w:rPr>
          <w:rFonts w:hint="eastAsia" w:ascii="宋体" w:hAnsi="宋体" w:cs="宋体"/>
          <w:color w:val="auto"/>
          <w:highlight w:val="none"/>
        </w:rPr>
        <w:t>第五章 响应文件格式</w:t>
      </w:r>
      <w:bookmarkEnd w:id="74"/>
      <w:bookmarkEnd w:id="75"/>
    </w:p>
    <w:p w14:paraId="7D4A2574">
      <w:pPr>
        <w:rPr>
          <w:rFonts w:ascii="宋体" w:hAnsi="宋体" w:cs="宋体"/>
          <w:b/>
          <w:color w:val="auto"/>
          <w:sz w:val="32"/>
          <w:szCs w:val="32"/>
          <w:highlight w:val="none"/>
        </w:rPr>
      </w:pPr>
      <w:bookmarkStart w:id="76" w:name="_Toc71366060"/>
      <w:bookmarkStart w:id="77" w:name="_Toc71365382"/>
      <w:r>
        <w:rPr>
          <w:rFonts w:hint="eastAsia" w:ascii="宋体" w:hAnsi="宋体" w:cs="宋体"/>
          <w:b/>
          <w:color w:val="auto"/>
          <w:sz w:val="32"/>
          <w:szCs w:val="32"/>
          <w:highlight w:val="none"/>
        </w:rPr>
        <w:t>一、资格证明文件格式</w:t>
      </w:r>
      <w:bookmarkEnd w:id="76"/>
      <w:bookmarkEnd w:id="77"/>
    </w:p>
    <w:p w14:paraId="13442D7C">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3AE27004">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46B33E7">
      <w:pPr>
        <w:snapToGrid w:val="0"/>
        <w:spacing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14:paraId="311716F6">
      <w:pPr>
        <w:snapToGrid w:val="0"/>
        <w:spacing w:beforeLines="50" w:after="50"/>
        <w:rPr>
          <w:rFonts w:ascii="宋体" w:hAnsi="宋体" w:cs="宋体"/>
          <w:color w:val="auto"/>
          <w:sz w:val="24"/>
          <w:szCs w:val="20"/>
          <w:highlight w:val="none"/>
        </w:rPr>
      </w:pPr>
    </w:p>
    <w:p w14:paraId="160172D2">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37088123">
      <w:pPr>
        <w:snapToGrid w:val="0"/>
        <w:spacing w:beforeLines="50" w:after="50"/>
        <w:rPr>
          <w:rFonts w:ascii="宋体" w:hAnsi="宋体" w:cs="宋体"/>
          <w:bCs/>
          <w:color w:val="auto"/>
          <w:sz w:val="24"/>
          <w:szCs w:val="20"/>
          <w:highlight w:val="none"/>
        </w:rPr>
      </w:pPr>
    </w:p>
    <w:p w14:paraId="20D9874E">
      <w:pPr>
        <w:snapToGrid w:val="0"/>
        <w:spacing w:beforeLines="50" w:after="50"/>
        <w:rPr>
          <w:rFonts w:ascii="宋体" w:hAnsi="宋体" w:cs="宋体"/>
          <w:bCs/>
          <w:color w:val="auto"/>
          <w:sz w:val="24"/>
          <w:szCs w:val="20"/>
          <w:highlight w:val="none"/>
        </w:rPr>
      </w:pPr>
    </w:p>
    <w:p w14:paraId="03FA3A39">
      <w:pPr>
        <w:snapToGrid w:val="0"/>
        <w:spacing w:beforeLines="50" w:after="50"/>
        <w:rPr>
          <w:rFonts w:ascii="宋体" w:hAnsi="宋体" w:cs="宋体"/>
          <w:bCs/>
          <w:color w:val="auto"/>
          <w:sz w:val="24"/>
          <w:szCs w:val="20"/>
          <w:highlight w:val="none"/>
        </w:rPr>
      </w:pPr>
    </w:p>
    <w:p w14:paraId="5763535F">
      <w:pPr>
        <w:snapToGrid w:val="0"/>
        <w:spacing w:beforeLines="50" w:after="50"/>
        <w:rPr>
          <w:rFonts w:ascii="宋体" w:hAnsi="宋体" w:cs="宋体"/>
          <w:bCs/>
          <w:color w:val="auto"/>
          <w:sz w:val="24"/>
          <w:szCs w:val="20"/>
          <w:highlight w:val="none"/>
        </w:rPr>
      </w:pPr>
    </w:p>
    <w:p w14:paraId="4CE3FBBD">
      <w:pPr>
        <w:snapToGrid w:val="0"/>
        <w:spacing w:beforeLines="50" w:after="50"/>
        <w:rPr>
          <w:rFonts w:ascii="宋体" w:hAnsi="宋体" w:cs="宋体"/>
          <w:bCs/>
          <w:color w:val="auto"/>
          <w:sz w:val="24"/>
          <w:szCs w:val="20"/>
          <w:highlight w:val="none"/>
        </w:rPr>
      </w:pPr>
    </w:p>
    <w:p w14:paraId="178A1FD0">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21B0993">
      <w:pPr>
        <w:snapToGrid w:val="0"/>
        <w:spacing w:beforeLines="50" w:after="50"/>
        <w:ind w:firstLine="720" w:firstLineChars="225"/>
        <w:rPr>
          <w:rFonts w:ascii="宋体" w:hAnsi="宋体" w:cs="宋体"/>
          <w:bCs/>
          <w:color w:val="auto"/>
          <w:sz w:val="32"/>
          <w:szCs w:val="32"/>
          <w:highlight w:val="none"/>
        </w:rPr>
      </w:pPr>
    </w:p>
    <w:p w14:paraId="68558D3C">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361F680">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17B2860">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12D9C383">
      <w:pPr>
        <w:snapToGrid w:val="0"/>
        <w:spacing w:beforeLines="50" w:after="50"/>
        <w:ind w:firstLine="720" w:firstLineChars="225"/>
        <w:rPr>
          <w:rFonts w:ascii="宋体" w:hAnsi="宋体" w:cs="宋体"/>
          <w:bCs/>
          <w:color w:val="auto"/>
          <w:sz w:val="32"/>
          <w:szCs w:val="32"/>
          <w:highlight w:val="none"/>
        </w:rPr>
      </w:pPr>
    </w:p>
    <w:p w14:paraId="6DE189F8">
      <w:pPr>
        <w:pStyle w:val="7"/>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5464389">
      <w:pPr>
        <w:snapToGrid w:val="0"/>
        <w:spacing w:beforeLines="50" w:after="50"/>
        <w:ind w:firstLine="640" w:firstLineChars="200"/>
        <w:rPr>
          <w:rFonts w:ascii="宋体" w:hAnsi="宋体" w:cs="宋体"/>
          <w:bCs/>
          <w:color w:val="auto"/>
          <w:sz w:val="32"/>
          <w:szCs w:val="32"/>
          <w:highlight w:val="none"/>
        </w:rPr>
      </w:pPr>
    </w:p>
    <w:p w14:paraId="6B96969C">
      <w:pPr>
        <w:pStyle w:val="7"/>
        <w:snapToGrid w:val="0"/>
        <w:spacing w:before="50" w:after="50"/>
        <w:ind w:firstLine="720" w:firstLineChars="225"/>
        <w:rPr>
          <w:rFonts w:ascii="宋体" w:hAnsi="宋体" w:cs="宋体"/>
          <w:bCs/>
          <w:color w:val="auto"/>
          <w:sz w:val="32"/>
          <w:szCs w:val="32"/>
          <w:highlight w:val="none"/>
        </w:rPr>
      </w:pPr>
    </w:p>
    <w:p w14:paraId="26C1D271">
      <w:pPr>
        <w:pStyle w:val="7"/>
        <w:snapToGrid w:val="0"/>
        <w:spacing w:before="50" w:after="50"/>
        <w:ind w:firstLine="720" w:firstLineChars="225"/>
        <w:rPr>
          <w:rFonts w:ascii="宋体" w:hAnsi="宋体" w:cs="宋体"/>
          <w:bCs/>
          <w:color w:val="auto"/>
          <w:sz w:val="32"/>
          <w:szCs w:val="32"/>
          <w:highlight w:val="none"/>
        </w:rPr>
      </w:pPr>
    </w:p>
    <w:p w14:paraId="3466D903">
      <w:pPr>
        <w:pStyle w:val="7"/>
        <w:snapToGrid w:val="0"/>
        <w:spacing w:before="50" w:after="50"/>
        <w:ind w:firstLine="1280" w:firstLineChars="400"/>
        <w:rPr>
          <w:rFonts w:ascii="宋体" w:hAnsi="宋体" w:cs="宋体"/>
          <w:bCs/>
          <w:color w:val="auto"/>
          <w:sz w:val="32"/>
          <w:szCs w:val="32"/>
          <w:highlight w:val="none"/>
        </w:rPr>
      </w:pPr>
    </w:p>
    <w:p w14:paraId="6613F525">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4BFBE6A">
      <w:pPr>
        <w:snapToGrid w:val="0"/>
        <w:spacing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42E963C6">
      <w:pPr>
        <w:snapToGrid w:val="0"/>
        <w:spacing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14:paraId="56984EA2">
      <w:pPr>
        <w:snapToGrid w:val="0"/>
        <w:spacing w:beforeLines="50" w:after="50"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009C8785">
      <w:pPr>
        <w:spacing w:line="360" w:lineRule="auto"/>
        <w:rPr>
          <w:rFonts w:ascii="宋体" w:hAnsi="宋体" w:cs="宋体"/>
          <w:color w:val="auto"/>
          <w:szCs w:val="21"/>
          <w:highlight w:val="none"/>
        </w:rPr>
      </w:pPr>
    </w:p>
    <w:p w14:paraId="43EB1A0A">
      <w:pPr>
        <w:spacing w:line="360" w:lineRule="auto"/>
        <w:rPr>
          <w:rFonts w:ascii="宋体" w:hAnsi="宋体" w:cs="宋体"/>
          <w:color w:val="auto"/>
          <w:szCs w:val="21"/>
          <w:highlight w:val="none"/>
        </w:rPr>
      </w:pPr>
    </w:p>
    <w:p w14:paraId="3E1EABA9">
      <w:pPr>
        <w:spacing w:line="360" w:lineRule="auto"/>
        <w:rPr>
          <w:rFonts w:ascii="宋体" w:hAnsi="宋体" w:cs="宋体"/>
          <w:color w:val="auto"/>
          <w:szCs w:val="21"/>
          <w:highlight w:val="none"/>
        </w:rPr>
      </w:pPr>
    </w:p>
    <w:p w14:paraId="32936DCB">
      <w:pPr>
        <w:spacing w:line="360" w:lineRule="auto"/>
        <w:rPr>
          <w:rFonts w:ascii="宋体" w:hAnsi="宋体" w:cs="宋体"/>
          <w:color w:val="auto"/>
          <w:szCs w:val="21"/>
          <w:highlight w:val="none"/>
        </w:rPr>
      </w:pPr>
    </w:p>
    <w:p w14:paraId="54D30C6E">
      <w:pPr>
        <w:spacing w:line="300" w:lineRule="auto"/>
        <w:rPr>
          <w:rFonts w:ascii="宋体" w:hAnsi="宋体" w:cs="宋体"/>
          <w:color w:val="auto"/>
          <w:szCs w:val="21"/>
          <w:highlight w:val="none"/>
        </w:rPr>
      </w:pPr>
    </w:p>
    <w:p w14:paraId="1B477B94">
      <w:pPr>
        <w:spacing w:line="300" w:lineRule="auto"/>
        <w:rPr>
          <w:rFonts w:ascii="宋体" w:hAnsi="宋体" w:cs="宋体"/>
          <w:color w:val="auto"/>
          <w:szCs w:val="21"/>
          <w:highlight w:val="none"/>
        </w:rPr>
      </w:pPr>
    </w:p>
    <w:p w14:paraId="4F9AC432">
      <w:pPr>
        <w:spacing w:line="300" w:lineRule="auto"/>
        <w:rPr>
          <w:rFonts w:ascii="宋体" w:hAnsi="宋体" w:cs="宋体"/>
          <w:color w:val="auto"/>
          <w:szCs w:val="21"/>
          <w:highlight w:val="none"/>
        </w:rPr>
      </w:pPr>
    </w:p>
    <w:p w14:paraId="41D8C6E5">
      <w:pPr>
        <w:spacing w:line="300" w:lineRule="auto"/>
        <w:rPr>
          <w:rFonts w:ascii="宋体" w:hAnsi="宋体" w:cs="宋体"/>
          <w:color w:val="auto"/>
          <w:szCs w:val="21"/>
          <w:highlight w:val="none"/>
        </w:rPr>
      </w:pPr>
    </w:p>
    <w:p w14:paraId="495EC872">
      <w:pPr>
        <w:spacing w:line="300" w:lineRule="auto"/>
        <w:rPr>
          <w:rFonts w:ascii="宋体" w:hAnsi="宋体" w:cs="宋体"/>
          <w:color w:val="auto"/>
          <w:szCs w:val="21"/>
          <w:highlight w:val="none"/>
        </w:rPr>
      </w:pPr>
    </w:p>
    <w:p w14:paraId="4A2C32B3">
      <w:pPr>
        <w:spacing w:line="300" w:lineRule="auto"/>
        <w:rPr>
          <w:rFonts w:ascii="宋体" w:hAnsi="宋体" w:cs="宋体"/>
          <w:color w:val="auto"/>
          <w:szCs w:val="21"/>
          <w:highlight w:val="none"/>
        </w:rPr>
      </w:pPr>
    </w:p>
    <w:p w14:paraId="0FD6DED8">
      <w:pPr>
        <w:spacing w:line="300" w:lineRule="auto"/>
        <w:rPr>
          <w:rFonts w:ascii="宋体" w:hAnsi="宋体" w:cs="宋体"/>
          <w:color w:val="auto"/>
          <w:szCs w:val="21"/>
          <w:highlight w:val="none"/>
        </w:rPr>
      </w:pPr>
    </w:p>
    <w:p w14:paraId="794A7A67">
      <w:pPr>
        <w:spacing w:line="300" w:lineRule="auto"/>
        <w:rPr>
          <w:rFonts w:ascii="宋体" w:hAnsi="宋体" w:cs="宋体"/>
          <w:color w:val="auto"/>
          <w:szCs w:val="21"/>
          <w:highlight w:val="none"/>
        </w:rPr>
      </w:pPr>
    </w:p>
    <w:p w14:paraId="223BB7FB">
      <w:pPr>
        <w:spacing w:line="300" w:lineRule="auto"/>
        <w:rPr>
          <w:rFonts w:ascii="宋体" w:hAnsi="宋体" w:cs="宋体"/>
          <w:color w:val="auto"/>
          <w:szCs w:val="21"/>
          <w:highlight w:val="none"/>
        </w:rPr>
      </w:pPr>
    </w:p>
    <w:p w14:paraId="72CD1EAD">
      <w:pPr>
        <w:spacing w:line="300" w:lineRule="auto"/>
        <w:rPr>
          <w:rFonts w:ascii="宋体" w:hAnsi="宋体" w:cs="宋体"/>
          <w:color w:val="auto"/>
          <w:szCs w:val="21"/>
          <w:highlight w:val="none"/>
        </w:rPr>
      </w:pPr>
    </w:p>
    <w:p w14:paraId="32ED5D52">
      <w:pPr>
        <w:spacing w:line="300" w:lineRule="auto"/>
        <w:rPr>
          <w:rFonts w:ascii="宋体" w:hAnsi="宋体" w:cs="宋体"/>
          <w:color w:val="auto"/>
          <w:szCs w:val="21"/>
          <w:highlight w:val="none"/>
        </w:rPr>
      </w:pPr>
    </w:p>
    <w:p w14:paraId="4423C31D">
      <w:pPr>
        <w:spacing w:line="320" w:lineRule="exact"/>
        <w:jc w:val="left"/>
        <w:rPr>
          <w:rFonts w:ascii="宋体" w:hAnsi="宋体" w:cs="宋体"/>
          <w:color w:val="auto"/>
          <w:szCs w:val="21"/>
          <w:highlight w:val="none"/>
        </w:rPr>
      </w:pPr>
    </w:p>
    <w:p w14:paraId="35630604">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供应商直接控股、管理关系信息表</w:t>
      </w:r>
    </w:p>
    <w:p w14:paraId="094F5528">
      <w:pPr>
        <w:snapToGrid w:val="0"/>
        <w:spacing w:beforeLines="50" w:after="50"/>
        <w:jc w:val="center"/>
        <w:rPr>
          <w:rFonts w:ascii="宋体" w:hAnsi="宋体" w:cs="宋体"/>
          <w:b/>
          <w:color w:val="auto"/>
          <w:sz w:val="32"/>
          <w:szCs w:val="32"/>
          <w:highlight w:val="none"/>
        </w:rPr>
      </w:pPr>
    </w:p>
    <w:p w14:paraId="1AC6B106">
      <w:pPr>
        <w:snapToGrid w:val="0"/>
        <w:spacing w:beforeLines="50" w:after="50"/>
        <w:jc w:val="center"/>
        <w:rPr>
          <w:rFonts w:ascii="宋体" w:hAnsi="宋体" w:cs="宋体"/>
          <w:b/>
          <w:color w:val="auto"/>
          <w:szCs w:val="21"/>
          <w:highlight w:val="none"/>
        </w:rPr>
      </w:pPr>
      <w:r>
        <w:rPr>
          <w:rFonts w:hint="eastAsia" w:ascii="宋体" w:hAnsi="宋体" w:cs="宋体"/>
          <w:b/>
          <w:color w:val="auto"/>
          <w:szCs w:val="21"/>
          <w:highlight w:val="none"/>
        </w:rPr>
        <w:t>供应商直接控股股东信息表</w:t>
      </w:r>
    </w:p>
    <w:p w14:paraId="4A163C7E">
      <w:pPr>
        <w:snapToGrid w:val="0"/>
        <w:spacing w:before="50" w:afterLines="50"/>
        <w:jc w:val="center"/>
        <w:rPr>
          <w:rFonts w:ascii="宋体" w:hAnsi="宋体" w:cs="宋体"/>
          <w:b/>
          <w:color w:val="auto"/>
          <w:szCs w:val="21"/>
          <w:highlight w:val="none"/>
        </w:rPr>
      </w:pPr>
    </w:p>
    <w:tbl>
      <w:tblPr>
        <w:tblStyle w:val="29"/>
        <w:tblW w:w="10152" w:type="dxa"/>
        <w:jc w:val="center"/>
        <w:shd w:val="clear" w:color="auto" w:fill="FBFBFB"/>
        <w:tblLayout w:type="fixed"/>
        <w:tblCellMar>
          <w:top w:w="0" w:type="dxa"/>
          <w:left w:w="0" w:type="dxa"/>
          <w:bottom w:w="0" w:type="dxa"/>
          <w:right w:w="0" w:type="dxa"/>
        </w:tblCellMar>
      </w:tblPr>
      <w:tblGrid>
        <w:gridCol w:w="881"/>
        <w:gridCol w:w="2656"/>
        <w:gridCol w:w="1456"/>
        <w:gridCol w:w="4289"/>
        <w:gridCol w:w="870"/>
      </w:tblGrid>
      <w:tr w14:paraId="0C6B304B">
        <w:tblPrEx>
          <w:tblCellMar>
            <w:top w:w="0" w:type="dxa"/>
            <w:left w:w="0" w:type="dxa"/>
            <w:bottom w:w="0" w:type="dxa"/>
            <w:right w:w="0" w:type="dxa"/>
          </w:tblCellMar>
        </w:tblPrEx>
        <w:trPr>
          <w:tblHeader/>
          <w:jc w:val="center"/>
        </w:trPr>
        <w:tc>
          <w:tcPr>
            <w:tcW w:w="88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3954FD">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665BE3">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417AA2">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AB9D97">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A27444">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4B99C02">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D55CE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641F27">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AE8140">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8D78B">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0E5F82">
            <w:pPr>
              <w:widowControl/>
              <w:spacing w:line="360" w:lineRule="auto"/>
              <w:jc w:val="center"/>
              <w:rPr>
                <w:rFonts w:ascii="宋体" w:hAnsi="宋体" w:cs="宋体"/>
                <w:color w:val="auto"/>
                <w:kern w:val="0"/>
                <w:szCs w:val="21"/>
                <w:highlight w:val="none"/>
              </w:rPr>
            </w:pPr>
          </w:p>
        </w:tc>
      </w:tr>
      <w:tr w14:paraId="224E21F7">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07A7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32CBA1">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A6BC5">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F769CF">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D9E92">
            <w:pPr>
              <w:widowControl/>
              <w:spacing w:line="360" w:lineRule="auto"/>
              <w:jc w:val="center"/>
              <w:rPr>
                <w:rFonts w:ascii="宋体" w:hAnsi="宋体" w:cs="宋体"/>
                <w:color w:val="auto"/>
                <w:kern w:val="0"/>
                <w:szCs w:val="21"/>
                <w:highlight w:val="none"/>
              </w:rPr>
            </w:pPr>
          </w:p>
        </w:tc>
      </w:tr>
      <w:tr w14:paraId="760D8AD2">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EC10D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E925C2">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F3590">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9A934C">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C8D1CB">
            <w:pPr>
              <w:widowControl/>
              <w:spacing w:line="360" w:lineRule="auto"/>
              <w:jc w:val="center"/>
              <w:rPr>
                <w:rFonts w:ascii="宋体" w:hAnsi="宋体" w:cs="宋体"/>
                <w:color w:val="auto"/>
                <w:kern w:val="0"/>
                <w:szCs w:val="21"/>
                <w:highlight w:val="none"/>
              </w:rPr>
            </w:pPr>
          </w:p>
        </w:tc>
      </w:tr>
      <w:tr w14:paraId="5395FB6C">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81079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ED08B">
            <w:pPr>
              <w:widowControl/>
              <w:spacing w:line="360" w:lineRule="auto"/>
              <w:jc w:val="center"/>
              <w:rPr>
                <w:rFonts w:ascii="宋体" w:hAnsi="宋体" w:cs="宋体"/>
                <w:color w:val="auto"/>
                <w:kern w:val="0"/>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1CDF20">
            <w:pPr>
              <w:widowControl/>
              <w:spacing w:line="360" w:lineRule="auto"/>
              <w:jc w:val="center"/>
              <w:rPr>
                <w:rFonts w:ascii="宋体" w:hAnsi="宋体" w:cs="宋体"/>
                <w:color w:val="auto"/>
                <w:kern w:val="0"/>
                <w:szCs w:val="21"/>
                <w:highlight w:val="none"/>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141C96">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66D696">
            <w:pPr>
              <w:widowControl/>
              <w:spacing w:line="360" w:lineRule="auto"/>
              <w:jc w:val="center"/>
              <w:rPr>
                <w:rFonts w:ascii="宋体" w:hAnsi="宋体" w:cs="宋体"/>
                <w:color w:val="auto"/>
                <w:kern w:val="0"/>
                <w:szCs w:val="21"/>
                <w:highlight w:val="none"/>
              </w:rPr>
            </w:pPr>
          </w:p>
        </w:tc>
      </w:tr>
    </w:tbl>
    <w:p w14:paraId="0671248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6FD455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CFEA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788D446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3.供应商不存在直接控股股东的，则在“直接控股股东名称”填“无”。</w:t>
      </w:r>
    </w:p>
    <w:p w14:paraId="1B26E7E8">
      <w:pPr>
        <w:spacing w:line="360" w:lineRule="auto"/>
        <w:ind w:firstLine="420" w:firstLineChars="200"/>
        <w:jc w:val="left"/>
        <w:rPr>
          <w:rFonts w:ascii="宋体" w:hAnsi="宋体" w:cs="宋体"/>
          <w:color w:val="auto"/>
          <w:szCs w:val="21"/>
          <w:highlight w:val="none"/>
        </w:rPr>
      </w:pPr>
    </w:p>
    <w:p w14:paraId="09EEC280">
      <w:pPr>
        <w:spacing w:line="360" w:lineRule="auto"/>
        <w:ind w:firstLine="420" w:firstLineChars="200"/>
        <w:jc w:val="left"/>
        <w:rPr>
          <w:rFonts w:ascii="宋体" w:hAnsi="宋体" w:cs="宋体"/>
          <w:color w:val="auto"/>
          <w:szCs w:val="21"/>
          <w:highlight w:val="none"/>
        </w:rPr>
      </w:pPr>
    </w:p>
    <w:p w14:paraId="52BEA95A">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14:paraId="28C784BC">
      <w:pPr>
        <w:spacing w:line="360" w:lineRule="auto"/>
        <w:ind w:right="480" w:firstLine="2625" w:firstLineChars="125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14:paraId="488194FB">
      <w:pPr>
        <w:spacing w:line="360" w:lineRule="auto"/>
        <w:ind w:right="480" w:firstLine="4620" w:firstLineChars="2200"/>
        <w:contextualSpacing/>
        <w:rPr>
          <w:rFonts w:ascii="宋体" w:hAnsi="宋体" w:cs="宋体"/>
          <w:color w:val="auto"/>
          <w:szCs w:val="21"/>
          <w:highlight w:val="none"/>
        </w:rPr>
      </w:pPr>
      <w:r>
        <w:rPr>
          <w:rFonts w:hint="eastAsia" w:ascii="宋体" w:hAnsi="宋体" w:cs="宋体"/>
          <w:color w:val="auto"/>
          <w:szCs w:val="21"/>
          <w:highlight w:val="none"/>
        </w:rPr>
        <w:t>年    月    日</w:t>
      </w:r>
    </w:p>
    <w:p w14:paraId="02232E08">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2309C1EA">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CA81DC5">
      <w:pPr>
        <w:snapToGrid w:val="0"/>
        <w:jc w:val="center"/>
        <w:rPr>
          <w:rFonts w:ascii="宋体" w:hAnsi="宋体" w:cs="宋体"/>
          <w:b/>
          <w:color w:val="auto"/>
          <w:sz w:val="32"/>
          <w:szCs w:val="32"/>
          <w:highlight w:val="none"/>
        </w:rPr>
      </w:pPr>
    </w:p>
    <w:tbl>
      <w:tblPr>
        <w:tblStyle w:val="29"/>
        <w:tblW w:w="9648" w:type="dxa"/>
        <w:jc w:val="center"/>
        <w:shd w:val="clear" w:color="auto" w:fill="FBFBFB"/>
        <w:tblLayout w:type="fixed"/>
        <w:tblCellMar>
          <w:top w:w="0" w:type="dxa"/>
          <w:left w:w="0" w:type="dxa"/>
          <w:bottom w:w="0" w:type="dxa"/>
          <w:right w:w="0" w:type="dxa"/>
        </w:tblCellMar>
      </w:tblPr>
      <w:tblGrid>
        <w:gridCol w:w="809"/>
        <w:gridCol w:w="3598"/>
        <w:gridCol w:w="3553"/>
        <w:gridCol w:w="1688"/>
      </w:tblGrid>
      <w:tr w14:paraId="30D32472">
        <w:tblPrEx>
          <w:shd w:val="clear" w:color="auto" w:fill="FBFBFB"/>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A42D2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5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C67E6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179DE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A505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1DB56DC">
        <w:tblPrEx>
          <w:shd w:val="clear" w:color="auto" w:fill="FBFBFB"/>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38E336">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DD7647">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C9DB4C">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65D726">
            <w:pPr>
              <w:widowControl/>
              <w:wordWrap w:val="0"/>
              <w:spacing w:line="200" w:lineRule="atLeast"/>
              <w:jc w:val="center"/>
              <w:rPr>
                <w:rFonts w:ascii="宋体" w:hAnsi="宋体" w:cs="宋体"/>
                <w:color w:val="auto"/>
                <w:kern w:val="0"/>
                <w:szCs w:val="21"/>
                <w:highlight w:val="none"/>
              </w:rPr>
            </w:pPr>
          </w:p>
        </w:tc>
      </w:tr>
      <w:tr w14:paraId="38621001">
        <w:tblPrEx>
          <w:shd w:val="clear" w:color="auto" w:fill="FBFBFB"/>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17847">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3AC257">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E8DDC8">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82BCB5">
            <w:pPr>
              <w:widowControl/>
              <w:wordWrap w:val="0"/>
              <w:spacing w:line="200" w:lineRule="atLeast"/>
              <w:jc w:val="center"/>
              <w:rPr>
                <w:rFonts w:ascii="宋体" w:hAnsi="宋体" w:cs="宋体"/>
                <w:color w:val="auto"/>
                <w:kern w:val="0"/>
                <w:szCs w:val="21"/>
                <w:highlight w:val="none"/>
              </w:rPr>
            </w:pPr>
          </w:p>
        </w:tc>
      </w:tr>
      <w:tr w14:paraId="6F29252B">
        <w:tblPrEx>
          <w:shd w:val="clear" w:color="auto" w:fill="FBFBFB"/>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71EF9C">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C0599C">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A656C">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D2F0F6">
            <w:pPr>
              <w:widowControl/>
              <w:wordWrap w:val="0"/>
              <w:spacing w:line="200" w:lineRule="atLeast"/>
              <w:jc w:val="center"/>
              <w:rPr>
                <w:rFonts w:ascii="宋体" w:hAnsi="宋体" w:cs="宋体"/>
                <w:color w:val="auto"/>
                <w:kern w:val="0"/>
                <w:szCs w:val="21"/>
                <w:highlight w:val="none"/>
              </w:rPr>
            </w:pPr>
          </w:p>
        </w:tc>
      </w:tr>
      <w:tr w14:paraId="6EF1785F">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4E91E6">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0C90D7">
            <w:pPr>
              <w:widowControl/>
              <w:wordWrap w:val="0"/>
              <w:spacing w:line="200" w:lineRule="atLeast"/>
              <w:jc w:val="center"/>
              <w:rPr>
                <w:rFonts w:ascii="宋体" w:hAnsi="宋体" w:cs="宋体"/>
                <w:color w:val="auto"/>
                <w:kern w:val="0"/>
                <w:szCs w:val="21"/>
                <w:highlight w:val="none"/>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3B7627">
            <w:pPr>
              <w:widowControl/>
              <w:wordWrap w:val="0"/>
              <w:spacing w:line="200" w:lineRule="atLeast"/>
              <w:jc w:val="center"/>
              <w:rPr>
                <w:rFonts w:ascii="宋体" w:hAnsi="宋体" w:cs="宋体"/>
                <w:color w:val="auto"/>
                <w:kern w:val="0"/>
                <w:szCs w:val="21"/>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D311C">
            <w:pPr>
              <w:widowControl/>
              <w:wordWrap w:val="0"/>
              <w:spacing w:line="200" w:lineRule="atLeast"/>
              <w:jc w:val="center"/>
              <w:rPr>
                <w:rFonts w:ascii="宋体" w:hAnsi="宋体" w:cs="宋体"/>
                <w:color w:val="auto"/>
                <w:kern w:val="0"/>
                <w:szCs w:val="21"/>
                <w:highlight w:val="none"/>
              </w:rPr>
            </w:pPr>
          </w:p>
        </w:tc>
      </w:tr>
    </w:tbl>
    <w:p w14:paraId="71BBEA3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13CEC3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232D7A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0746F2E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3.供应商不存在直接管理关系的，则在“直接管理关系单位名称”填“无”。</w:t>
      </w:r>
    </w:p>
    <w:p w14:paraId="01579AC2">
      <w:pPr>
        <w:spacing w:line="360" w:lineRule="auto"/>
        <w:jc w:val="left"/>
        <w:rPr>
          <w:rFonts w:ascii="宋体" w:hAnsi="宋体" w:cs="宋体"/>
          <w:color w:val="auto"/>
          <w:szCs w:val="21"/>
          <w:highlight w:val="none"/>
        </w:rPr>
      </w:pPr>
    </w:p>
    <w:p w14:paraId="5D304F50">
      <w:pPr>
        <w:spacing w:line="360" w:lineRule="auto"/>
        <w:jc w:val="left"/>
        <w:rPr>
          <w:rFonts w:ascii="宋体" w:hAnsi="宋体" w:cs="宋体"/>
          <w:color w:val="auto"/>
          <w:szCs w:val="21"/>
          <w:highlight w:val="none"/>
        </w:rPr>
      </w:pPr>
    </w:p>
    <w:p w14:paraId="06F308E1">
      <w:pPr>
        <w:spacing w:line="360" w:lineRule="auto"/>
        <w:jc w:val="left"/>
        <w:rPr>
          <w:rFonts w:ascii="宋体" w:hAnsi="宋体" w:cs="宋体"/>
          <w:color w:val="auto"/>
          <w:szCs w:val="21"/>
          <w:highlight w:val="none"/>
        </w:rPr>
      </w:pPr>
    </w:p>
    <w:p w14:paraId="4997721E">
      <w:pPr>
        <w:spacing w:line="360" w:lineRule="auto"/>
        <w:jc w:val="left"/>
        <w:rPr>
          <w:rFonts w:ascii="宋体" w:hAnsi="宋体" w:cs="宋体"/>
          <w:color w:val="auto"/>
          <w:szCs w:val="21"/>
          <w:highlight w:val="none"/>
        </w:rPr>
      </w:pPr>
    </w:p>
    <w:p w14:paraId="70BB4B62">
      <w:pPr>
        <w:spacing w:line="360" w:lineRule="auto"/>
        <w:jc w:val="left"/>
        <w:rPr>
          <w:rFonts w:ascii="宋体" w:hAnsi="宋体" w:cs="宋体"/>
          <w:color w:val="auto"/>
          <w:szCs w:val="21"/>
          <w:highlight w:val="none"/>
        </w:rPr>
      </w:pPr>
    </w:p>
    <w:p w14:paraId="76705AA9">
      <w:pPr>
        <w:spacing w:line="360" w:lineRule="auto"/>
        <w:jc w:val="left"/>
        <w:rPr>
          <w:rFonts w:ascii="宋体" w:hAnsi="宋体" w:cs="宋体"/>
          <w:color w:val="auto"/>
          <w:szCs w:val="21"/>
          <w:highlight w:val="none"/>
        </w:rPr>
      </w:pPr>
    </w:p>
    <w:p w14:paraId="72D1BDEE">
      <w:pPr>
        <w:spacing w:line="360" w:lineRule="auto"/>
        <w:ind w:right="480"/>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14:paraId="5C13B82A">
      <w:pPr>
        <w:spacing w:line="360" w:lineRule="auto"/>
        <w:ind w:right="480" w:firstLine="4620" w:firstLineChars="2200"/>
        <w:contextualSpacing/>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14:paraId="253B8671">
      <w:pPr>
        <w:spacing w:line="360" w:lineRule="auto"/>
        <w:ind w:right="480" w:firstLine="210" w:firstLineChars="100"/>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1C44759">
      <w:pPr>
        <w:spacing w:line="500" w:lineRule="exact"/>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竞标声明</w:t>
      </w:r>
    </w:p>
    <w:p w14:paraId="03017257">
      <w:pPr>
        <w:spacing w:line="320" w:lineRule="exact"/>
        <w:jc w:val="center"/>
        <w:rPr>
          <w:rFonts w:ascii="宋体" w:hAnsi="宋体" w:cs="宋体"/>
          <w:color w:val="auto"/>
          <w:sz w:val="24"/>
          <w:szCs w:val="20"/>
          <w:highlight w:val="none"/>
        </w:rPr>
      </w:pPr>
    </w:p>
    <w:p w14:paraId="37BD6C82">
      <w:pPr>
        <w:keepNext w:val="0"/>
        <w:keepLines w:val="0"/>
        <w:pageBreakBefore w:val="0"/>
        <w:widowControl w:val="0"/>
        <w:kinsoku/>
        <w:overflowPunct/>
        <w:topLinePunct w:val="0"/>
        <w:autoSpaceDE/>
        <w:autoSpaceDN/>
        <w:bidi w:val="0"/>
        <w:adjustRightInd/>
        <w:snapToGrid/>
        <w:spacing w:line="440" w:lineRule="exact"/>
        <w:ind w:left="0" w:leftChars="0" w:right="0"/>
        <w:textAlignment w:val="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1725F2E5">
      <w:pPr>
        <w:keepNext w:val="0"/>
        <w:keepLines w:val="0"/>
        <w:pageBreakBefore w:val="0"/>
        <w:widowControl w:val="0"/>
        <w:kinsoku/>
        <w:wordWrap w:val="0"/>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35F1D4">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0B1355E3">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37B73BE9">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14:paraId="79FE5326">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0A1C8300">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14:paraId="325D84FF">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（2）已详细审查全部谈判文件，包括补遗文件（如有）；</w:t>
      </w:r>
    </w:p>
    <w:p w14:paraId="600C7188">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14:paraId="7F602AB8">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（4）响应谈判文件规定的竞标有效期。</w:t>
      </w:r>
    </w:p>
    <w:p w14:paraId="357C05AD">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3BB9992">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4CAB8233">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5C9393AA">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10C1D11">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C45D539">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C94C2CB">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8FC8734">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4B46D9">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9F94CE7">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2183B26">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61335C3">
      <w:pPr>
        <w:pStyle w:val="15"/>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auto"/>
          <w:sz w:val="21"/>
          <w:highlight w:val="none"/>
          <w:u w:val="single"/>
        </w:rPr>
      </w:pPr>
      <w:r>
        <w:rPr>
          <w:rFonts w:hint="eastAsia" w:hAnsi="宋体" w:cs="宋体"/>
          <w:color w:val="auto"/>
          <w:sz w:val="21"/>
          <w:highlight w:val="none"/>
        </w:rPr>
        <w:t>7.与本谈判有关的一切正式往来信函请寄：</w:t>
      </w:r>
      <w:r>
        <w:rPr>
          <w:rFonts w:hint="eastAsia" w:hAnsi="宋体" w:cs="宋体"/>
          <w:color w:val="auto"/>
          <w:sz w:val="21"/>
          <w:highlight w:val="none"/>
          <w:lang w:val="en-US" w:eastAsia="zh-CN"/>
        </w:rPr>
        <w:t>地址</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524FE183">
      <w:pPr>
        <w:pStyle w:val="15"/>
        <w:keepNext w:val="0"/>
        <w:keepLines w:val="0"/>
        <w:pageBreakBefore w:val="0"/>
        <w:widowControl w:val="0"/>
        <w:kinsoku/>
        <w:overflowPunct/>
        <w:topLinePunct w:val="0"/>
        <w:autoSpaceDE/>
        <w:autoSpaceDN/>
        <w:bidi w:val="0"/>
        <w:adjustRightInd/>
        <w:snapToGrid/>
        <w:spacing w:line="440" w:lineRule="exact"/>
        <w:ind w:right="0" w:firstLine="420" w:firstLineChars="200"/>
        <w:textAlignment w:val="auto"/>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电子邮箱：</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49F9D6F">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right="0"/>
        <w:textAlignment w:val="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4B1BB1BF">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0D6A6013">
      <w:pPr>
        <w:pStyle w:val="14"/>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auto"/>
          <w:szCs w:val="21"/>
          <w:highlight w:val="none"/>
        </w:rPr>
      </w:pPr>
      <w:r>
        <w:rPr>
          <w:rFonts w:hint="eastAsia" w:ascii="宋体" w:hAnsi="宋体" w:cs="宋体"/>
          <w:color w:val="auto"/>
          <w:szCs w:val="21"/>
          <w:highlight w:val="none"/>
        </w:rPr>
        <w:t>特此承诺。</w:t>
      </w:r>
    </w:p>
    <w:p w14:paraId="23E7A4AB">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b/>
          <w:color w:val="auto"/>
          <w:szCs w:val="21"/>
          <w:highlight w:val="none"/>
        </w:rPr>
      </w:pPr>
      <w:r>
        <w:rPr>
          <w:rFonts w:hint="eastAsia" w:ascii="宋体" w:hAnsi="宋体" w:cs="宋体"/>
          <w:b/>
          <w:color w:val="auto"/>
          <w:szCs w:val="21"/>
          <w:highlight w:val="none"/>
        </w:rPr>
        <w:t xml:space="preserve">    注：如为联合体竞标，盖章处须加盖联合体牵头人电子签章并由联合体牵头人法定代表人分别签字或者盖章或者电子签名，否则响应文件按无效处理。</w:t>
      </w:r>
    </w:p>
    <w:p w14:paraId="5F2DE955">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color w:val="auto"/>
          <w:szCs w:val="21"/>
          <w:highlight w:val="none"/>
        </w:rPr>
      </w:pPr>
    </w:p>
    <w:p w14:paraId="65CF13B3">
      <w:pPr>
        <w:keepNext w:val="0"/>
        <w:keepLines w:val="0"/>
        <w:pageBreakBefore w:val="0"/>
        <w:widowControl w:val="0"/>
        <w:kinsoku/>
        <w:overflowPunct/>
        <w:topLinePunct w:val="0"/>
        <w:autoSpaceDE/>
        <w:autoSpaceDN/>
        <w:bidi w:val="0"/>
        <w:adjustRightInd/>
        <w:snapToGrid/>
        <w:spacing w:line="440" w:lineRule="exact"/>
        <w:ind w:left="0" w:leftChars="0" w:right="0" w:firstLine="1575" w:firstLineChars="750"/>
        <w:textAlignment w:val="auto"/>
        <w:rPr>
          <w:rFonts w:ascii="宋体" w:hAnsi="宋体" w:cs="宋体"/>
          <w:color w:val="auto"/>
          <w:szCs w:val="21"/>
          <w:highlight w:val="none"/>
        </w:rPr>
      </w:pPr>
      <w:r>
        <w:rPr>
          <w:rFonts w:hint="eastAsia" w:ascii="宋体" w:hAnsi="宋体" w:cs="宋体"/>
          <w:color w:val="auto"/>
          <w:szCs w:val="21"/>
          <w:highlight w:val="none"/>
        </w:rPr>
        <w:t>法定代表人（签字或者盖章或者电子签名）：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D2145DA">
      <w:pPr>
        <w:keepNext w:val="0"/>
        <w:keepLines w:val="0"/>
        <w:pageBreakBefore w:val="0"/>
        <w:widowControl w:val="0"/>
        <w:kinsoku/>
        <w:overflowPunct/>
        <w:topLinePunct w:val="0"/>
        <w:autoSpaceDE/>
        <w:autoSpaceDN/>
        <w:bidi w:val="0"/>
        <w:adjustRightInd/>
        <w:snapToGrid/>
        <w:spacing w:line="440" w:lineRule="exact"/>
        <w:ind w:left="0" w:leftChars="0" w:right="0" w:firstLine="3780" w:firstLineChars="1800"/>
        <w:textAlignment w:val="auto"/>
        <w:rPr>
          <w:rFonts w:ascii="宋体" w:hAnsi="宋体" w:cs="宋体"/>
          <w:color w:val="auto"/>
          <w:szCs w:val="21"/>
          <w:highlight w:val="none"/>
          <w:u w:val="singl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1BC2F0">
      <w:pPr>
        <w:keepNext w:val="0"/>
        <w:keepLines w:val="0"/>
        <w:pageBreakBefore w:val="0"/>
        <w:widowControl w:val="0"/>
        <w:kinsoku/>
        <w:overflowPunct/>
        <w:topLinePunct w:val="0"/>
        <w:autoSpaceDE/>
        <w:autoSpaceDN/>
        <w:bidi w:val="0"/>
        <w:adjustRightInd/>
        <w:snapToGrid/>
        <w:spacing w:line="440" w:lineRule="exact"/>
        <w:ind w:left="0" w:leftChars="0" w:right="0" w:firstLine="210" w:firstLineChars="100"/>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                                                         年    月    日 </w:t>
      </w:r>
    </w:p>
    <w:p w14:paraId="49199DFC">
      <w:pPr>
        <w:pStyle w:val="7"/>
        <w:overflowPunct w:val="0"/>
        <w:spacing w:line="520" w:lineRule="exact"/>
        <w:ind w:firstLine="0"/>
        <w:jc w:val="center"/>
        <w:rPr>
          <w:rFonts w:hint="eastAsia" w:ascii="宋体" w:hAnsi="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cs="宋体"/>
          <w:color w:val="auto"/>
          <w:sz w:val="32"/>
          <w:szCs w:val="32"/>
          <w:highlight w:val="none"/>
        </w:rPr>
        <w:br w:type="page"/>
      </w:r>
    </w:p>
    <w:p w14:paraId="4E87B4FF">
      <w:pPr>
        <w:pStyle w:val="7"/>
        <w:overflowPunct w:val="0"/>
        <w:spacing w:line="520" w:lineRule="exact"/>
        <w:ind w:firstLine="0"/>
        <w:jc w:val="center"/>
        <w:rPr>
          <w:rFonts w:hint="eastAsia" w:ascii="宋体" w:hAnsi="宋体" w:eastAsia="宋体" w:cs="宋体"/>
          <w:color w:val="auto"/>
          <w:sz w:val="32"/>
          <w:szCs w:val="32"/>
          <w:highlight w:val="none"/>
          <w:lang w:eastAsia="zh-CN"/>
        </w:rPr>
      </w:pPr>
      <w:r>
        <w:rPr>
          <w:rFonts w:hint="eastAsia" w:ascii="宋体" w:hAnsi="宋体" w:eastAsia="宋体" w:cs="宋体"/>
          <w:b/>
          <w:color w:val="auto"/>
          <w:kern w:val="2"/>
          <w:sz w:val="24"/>
          <w:szCs w:val="24"/>
          <w:highlight w:val="none"/>
          <w:lang w:val="en-US" w:eastAsia="zh-CN" w:bidi="ar-SA"/>
        </w:rPr>
        <w:t>4.</w:t>
      </w:r>
      <w:r>
        <w:rPr>
          <w:rFonts w:hint="eastAsia" w:ascii="宋体" w:hAnsi="宋体" w:cs="宋体"/>
          <w:color w:val="auto"/>
          <w:sz w:val="32"/>
          <w:szCs w:val="32"/>
          <w:highlight w:val="none"/>
        </w:rPr>
        <w:t>联合体竞标协议书</w:t>
      </w:r>
      <w:r>
        <w:rPr>
          <w:rFonts w:hint="eastAsia" w:ascii="宋体" w:hAnsi="宋体" w:cs="宋体"/>
          <w:color w:val="auto"/>
          <w:sz w:val="32"/>
          <w:szCs w:val="32"/>
          <w:highlight w:val="none"/>
          <w:lang w:eastAsia="zh-CN"/>
        </w:rPr>
        <w:t>（如有）</w:t>
      </w:r>
    </w:p>
    <w:p w14:paraId="6BEAFC8F">
      <w:pPr>
        <w:pStyle w:val="7"/>
        <w:overflowPunct w:val="0"/>
        <w:spacing w:line="360" w:lineRule="auto"/>
        <w:ind w:firstLine="0"/>
        <w:rPr>
          <w:rFonts w:ascii="宋体" w:hAnsi="宋体" w:cs="宋体"/>
          <w:color w:val="auto"/>
          <w:sz w:val="24"/>
          <w:szCs w:val="24"/>
          <w:highlight w:val="none"/>
        </w:rPr>
      </w:pPr>
    </w:p>
    <w:p w14:paraId="1F42F2B1">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（项目名称）采购项目竞标。现就联合体竞标事宜订立如下协议。</w:t>
      </w:r>
    </w:p>
    <w:p w14:paraId="4AB9706A">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5FEA2A0D">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340CFA5B">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6B162AA0">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7EFA91">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5.本</w:t>
      </w:r>
      <w:r>
        <w:rPr>
          <w:rFonts w:hint="eastAsia" w:ascii="宋体" w:hAnsi="宋体" w:cs="宋体"/>
          <w:color w:val="auto"/>
          <w:spacing w:val="-6"/>
          <w:szCs w:val="21"/>
          <w:highlight w:val="none"/>
        </w:rPr>
        <w:t>协议书自所有成员单位法定代表人或者其委托代理人签字或者盖单位章之日起生效，合同履行完毕后自动失效。</w:t>
      </w:r>
    </w:p>
    <w:p w14:paraId="05C3387F">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份，联合体成员和采购人各执一份。</w:t>
      </w:r>
    </w:p>
    <w:p w14:paraId="0B994DF0">
      <w:pPr>
        <w:pStyle w:val="7"/>
        <w:overflowPunct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注：本协议书应附法定代表人身份证明书；有委托代理的，应附权委托书（格式自拟）。</w:t>
      </w:r>
    </w:p>
    <w:p w14:paraId="04EAE74E">
      <w:pPr>
        <w:pStyle w:val="7"/>
        <w:overflowPunct w:val="0"/>
        <w:spacing w:line="360" w:lineRule="auto"/>
        <w:ind w:firstLine="367" w:firstLineChars="175"/>
        <w:rPr>
          <w:rFonts w:ascii="宋体" w:hAnsi="宋体" w:cs="宋体"/>
          <w:color w:val="auto"/>
          <w:szCs w:val="21"/>
          <w:highlight w:val="none"/>
        </w:rPr>
      </w:pPr>
    </w:p>
    <w:p w14:paraId="04110E5F">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联合体牵头人名称（电子签章）：</w:t>
      </w:r>
    </w:p>
    <w:p w14:paraId="129F10E8">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14:paraId="56B9D292">
      <w:pPr>
        <w:pStyle w:val="7"/>
        <w:overflowPunct w:val="0"/>
        <w:spacing w:line="360" w:lineRule="auto"/>
        <w:ind w:firstLine="0"/>
        <w:rPr>
          <w:rFonts w:ascii="宋体" w:hAnsi="宋体" w:cs="宋体"/>
          <w:color w:val="auto"/>
          <w:szCs w:val="21"/>
          <w:highlight w:val="none"/>
        </w:rPr>
      </w:pPr>
    </w:p>
    <w:p w14:paraId="510FF6A4">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14:paraId="0A1B7B79">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14:paraId="10992E4F">
      <w:pPr>
        <w:pStyle w:val="7"/>
        <w:overflowPunct w:val="0"/>
        <w:spacing w:line="360" w:lineRule="auto"/>
        <w:ind w:firstLine="0"/>
        <w:rPr>
          <w:rFonts w:ascii="宋体" w:hAnsi="宋体" w:cs="宋体"/>
          <w:color w:val="auto"/>
          <w:szCs w:val="21"/>
          <w:highlight w:val="none"/>
        </w:rPr>
      </w:pPr>
    </w:p>
    <w:p w14:paraId="43E9EA7F">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联合体成员名称（盖公章或者电子签章）：</w:t>
      </w:r>
    </w:p>
    <w:p w14:paraId="09407B37">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法定代表人或者其委托代理人（签字或者电子签名）：</w:t>
      </w:r>
    </w:p>
    <w:p w14:paraId="36B79659">
      <w:pPr>
        <w:pStyle w:val="7"/>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w:t>
      </w:r>
    </w:p>
    <w:p w14:paraId="6CEF851E">
      <w:pPr>
        <w:spacing w:line="360" w:lineRule="auto"/>
        <w:rPr>
          <w:rFonts w:ascii="宋体" w:hAnsi="宋体" w:cs="宋体"/>
          <w:color w:val="auto"/>
          <w:szCs w:val="21"/>
          <w:highlight w:val="none"/>
        </w:rPr>
      </w:pPr>
    </w:p>
    <w:p w14:paraId="38390E08">
      <w:pPr>
        <w:spacing w:line="360" w:lineRule="auto"/>
        <w:rPr>
          <w:rFonts w:ascii="宋体" w:hAnsi="宋体" w:cs="宋体"/>
          <w:color w:val="auto"/>
          <w:szCs w:val="21"/>
          <w:highlight w:val="none"/>
        </w:rPr>
      </w:pPr>
    </w:p>
    <w:p w14:paraId="7824F5F2">
      <w:pPr>
        <w:spacing w:line="360" w:lineRule="auto"/>
        <w:jc w:val="right"/>
        <w:rPr>
          <w:rFonts w:ascii="宋体" w:hAnsi="宋体" w:cs="宋体"/>
          <w:color w:val="auto"/>
          <w:sz w:val="24"/>
          <w:highlight w:val="none"/>
        </w:rPr>
      </w:pPr>
      <w:r>
        <w:rPr>
          <w:rFonts w:hint="eastAsia" w:ascii="宋体" w:hAnsi="宋体" w:cs="宋体"/>
          <w:color w:val="auto"/>
          <w:szCs w:val="21"/>
          <w:highlight w:val="none"/>
        </w:rPr>
        <w:t xml:space="preserve">日期：    年   月   日 </w:t>
      </w:r>
    </w:p>
    <w:p w14:paraId="2AFA6389">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报价文件格式 </w:t>
      </w:r>
    </w:p>
    <w:p w14:paraId="5DFC44E0">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06B59A13">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7CD00AF1">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14:paraId="65AAF3F5">
      <w:pPr>
        <w:snapToGrid w:val="0"/>
        <w:spacing w:beforeLines="50" w:after="50"/>
        <w:rPr>
          <w:rFonts w:ascii="宋体" w:hAnsi="宋体" w:cs="宋体"/>
          <w:color w:val="auto"/>
          <w:sz w:val="24"/>
          <w:szCs w:val="20"/>
          <w:highlight w:val="none"/>
        </w:rPr>
      </w:pPr>
    </w:p>
    <w:p w14:paraId="24C45B71">
      <w:pPr>
        <w:snapToGrid w:val="0"/>
        <w:spacing w:beforeLines="50" w:after="50"/>
        <w:rPr>
          <w:rFonts w:ascii="宋体" w:hAnsi="宋体" w:cs="宋体"/>
          <w:color w:val="auto"/>
          <w:sz w:val="24"/>
          <w:szCs w:val="20"/>
          <w:highlight w:val="none"/>
        </w:rPr>
      </w:pPr>
    </w:p>
    <w:p w14:paraId="1435531C">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4EE93B33">
      <w:pPr>
        <w:snapToGrid w:val="0"/>
        <w:spacing w:beforeLines="50" w:after="50"/>
        <w:rPr>
          <w:rFonts w:ascii="宋体" w:hAnsi="宋体" w:cs="宋体"/>
          <w:bCs/>
          <w:color w:val="auto"/>
          <w:sz w:val="24"/>
          <w:szCs w:val="20"/>
          <w:highlight w:val="none"/>
        </w:rPr>
      </w:pPr>
    </w:p>
    <w:p w14:paraId="422FD6F7">
      <w:pPr>
        <w:snapToGrid w:val="0"/>
        <w:spacing w:beforeLines="50" w:after="50"/>
        <w:rPr>
          <w:rFonts w:ascii="宋体" w:hAnsi="宋体" w:cs="宋体"/>
          <w:bCs/>
          <w:color w:val="auto"/>
          <w:sz w:val="24"/>
          <w:szCs w:val="20"/>
          <w:highlight w:val="none"/>
        </w:rPr>
      </w:pPr>
    </w:p>
    <w:p w14:paraId="0C3E0BC7">
      <w:pPr>
        <w:snapToGrid w:val="0"/>
        <w:spacing w:beforeLines="50" w:after="50"/>
        <w:rPr>
          <w:rFonts w:ascii="宋体" w:hAnsi="宋体" w:cs="宋体"/>
          <w:bCs/>
          <w:color w:val="auto"/>
          <w:sz w:val="24"/>
          <w:szCs w:val="20"/>
          <w:highlight w:val="none"/>
        </w:rPr>
      </w:pPr>
    </w:p>
    <w:p w14:paraId="72E1183F">
      <w:pPr>
        <w:snapToGrid w:val="0"/>
        <w:spacing w:beforeLines="50" w:after="50"/>
        <w:rPr>
          <w:rFonts w:ascii="宋体" w:hAnsi="宋体" w:cs="宋体"/>
          <w:bCs/>
          <w:color w:val="auto"/>
          <w:sz w:val="24"/>
          <w:szCs w:val="20"/>
          <w:highlight w:val="none"/>
        </w:rPr>
      </w:pPr>
    </w:p>
    <w:p w14:paraId="65B5537D">
      <w:pPr>
        <w:snapToGrid w:val="0"/>
        <w:spacing w:beforeLines="50" w:after="50"/>
        <w:rPr>
          <w:rFonts w:ascii="宋体" w:hAnsi="宋体" w:cs="宋体"/>
          <w:bCs/>
          <w:color w:val="auto"/>
          <w:sz w:val="24"/>
          <w:szCs w:val="20"/>
          <w:highlight w:val="none"/>
        </w:rPr>
      </w:pPr>
    </w:p>
    <w:p w14:paraId="043354BC">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B131FB3">
      <w:pPr>
        <w:snapToGrid w:val="0"/>
        <w:spacing w:beforeLines="50" w:after="50"/>
        <w:ind w:firstLine="720" w:firstLineChars="225"/>
        <w:rPr>
          <w:rFonts w:ascii="宋体" w:hAnsi="宋体" w:cs="宋体"/>
          <w:bCs/>
          <w:color w:val="auto"/>
          <w:sz w:val="32"/>
          <w:szCs w:val="32"/>
          <w:highlight w:val="none"/>
        </w:rPr>
      </w:pPr>
    </w:p>
    <w:p w14:paraId="6FA77A76">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EB510C2">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1F94BAE">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7CE5861">
      <w:pPr>
        <w:snapToGrid w:val="0"/>
        <w:spacing w:beforeLines="50" w:after="50"/>
        <w:ind w:firstLine="720" w:firstLineChars="225"/>
        <w:rPr>
          <w:rFonts w:ascii="宋体" w:hAnsi="宋体" w:cs="宋体"/>
          <w:bCs/>
          <w:color w:val="auto"/>
          <w:sz w:val="32"/>
          <w:szCs w:val="32"/>
          <w:highlight w:val="none"/>
        </w:rPr>
      </w:pPr>
    </w:p>
    <w:p w14:paraId="5AE79007">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D2A95D7">
      <w:pPr>
        <w:pStyle w:val="7"/>
        <w:snapToGrid w:val="0"/>
        <w:spacing w:before="50" w:after="50"/>
        <w:ind w:firstLine="640" w:firstLineChars="200"/>
        <w:rPr>
          <w:rFonts w:ascii="宋体" w:hAnsi="宋体" w:cs="宋体"/>
          <w:bCs/>
          <w:color w:val="auto"/>
          <w:sz w:val="32"/>
          <w:szCs w:val="32"/>
          <w:highlight w:val="none"/>
        </w:rPr>
      </w:pPr>
    </w:p>
    <w:p w14:paraId="3A04D967">
      <w:pPr>
        <w:pStyle w:val="7"/>
        <w:snapToGrid w:val="0"/>
        <w:spacing w:before="50" w:after="50"/>
        <w:ind w:firstLine="720" w:firstLineChars="225"/>
        <w:rPr>
          <w:rFonts w:ascii="宋体" w:hAnsi="宋体" w:cs="宋体"/>
          <w:bCs/>
          <w:color w:val="auto"/>
          <w:sz w:val="32"/>
          <w:szCs w:val="32"/>
          <w:highlight w:val="none"/>
        </w:rPr>
      </w:pPr>
    </w:p>
    <w:p w14:paraId="568EB3CF">
      <w:pPr>
        <w:pStyle w:val="7"/>
        <w:snapToGrid w:val="0"/>
        <w:spacing w:before="50" w:after="50"/>
        <w:ind w:firstLine="0"/>
        <w:rPr>
          <w:rFonts w:ascii="宋体" w:hAnsi="宋体" w:cs="宋体"/>
          <w:bCs/>
          <w:color w:val="auto"/>
          <w:sz w:val="32"/>
          <w:szCs w:val="32"/>
          <w:highlight w:val="none"/>
        </w:rPr>
      </w:pPr>
    </w:p>
    <w:p w14:paraId="2A1603E5">
      <w:pPr>
        <w:pStyle w:val="7"/>
        <w:snapToGrid w:val="0"/>
        <w:spacing w:before="50" w:after="50"/>
        <w:ind w:firstLine="1280" w:firstLineChars="400"/>
        <w:rPr>
          <w:rFonts w:ascii="宋体" w:hAnsi="宋体" w:cs="宋体"/>
          <w:bCs/>
          <w:color w:val="auto"/>
          <w:sz w:val="32"/>
          <w:szCs w:val="32"/>
          <w:highlight w:val="none"/>
        </w:rPr>
      </w:pPr>
    </w:p>
    <w:p w14:paraId="222F4E9F">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A5C8938">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2.报价文件目录</w:t>
      </w:r>
    </w:p>
    <w:p w14:paraId="6D8018A7">
      <w:pPr>
        <w:keepNext w:val="0"/>
        <w:keepLines w:val="0"/>
        <w:pageBreakBefore w:val="0"/>
        <w:widowControl w:val="0"/>
        <w:tabs>
          <w:tab w:val="left" w:pos="3479"/>
        </w:tabs>
        <w:kinsoku/>
        <w:wordWrap/>
        <w:overflowPunct/>
        <w:topLinePunct w:val="0"/>
        <w:autoSpaceDE/>
        <w:autoSpaceDN/>
        <w:bidi w:val="0"/>
        <w:adjustRightInd/>
        <w:snapToGrid w:val="0"/>
        <w:spacing w:line="360" w:lineRule="auto"/>
        <w:ind w:firstLine="640" w:firstLineChars="200"/>
        <w:jc w:val="left"/>
        <w:textAlignment w:val="auto"/>
        <w:rPr>
          <w:rFonts w:ascii="宋体" w:hAnsi="宋体" w:cs="宋体"/>
          <w:color w:val="auto"/>
          <w:sz w:val="21"/>
          <w:szCs w:val="21"/>
          <w:highlight w:val="none"/>
        </w:rPr>
      </w:pPr>
      <w:r>
        <w:rPr>
          <w:rFonts w:hint="eastAsia" w:ascii="宋体" w:hAnsi="宋体" w:eastAsia="宋体" w:cs="宋体"/>
          <w:color w:val="auto"/>
          <w:sz w:val="32"/>
          <w:szCs w:val="32"/>
          <w:highlight w:val="none"/>
        </w:rPr>
        <w:t>根据谈判文件规定及供应商提供的材料自行编写目录（部分格式后附）</w:t>
      </w:r>
      <w:r>
        <w:rPr>
          <w:rFonts w:hint="eastAsia" w:ascii="宋体" w:hAnsi="宋体" w:cs="宋体"/>
          <w:color w:val="auto"/>
          <w:sz w:val="21"/>
          <w:szCs w:val="21"/>
          <w:highlight w:val="none"/>
        </w:rPr>
        <w:t>。</w:t>
      </w:r>
    </w:p>
    <w:p w14:paraId="2C8391AA">
      <w:pPr>
        <w:tabs>
          <w:tab w:val="left" w:pos="3479"/>
        </w:tabs>
        <w:spacing w:line="520" w:lineRule="exact"/>
        <w:jc w:val="center"/>
        <w:rPr>
          <w:rFonts w:ascii="宋体" w:hAnsi="宋体" w:cs="宋体"/>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Cs/>
          <w:color w:val="auto"/>
          <w:sz w:val="44"/>
          <w:szCs w:val="44"/>
          <w:highlight w:val="none"/>
        </w:rPr>
        <w:t>竞  标  报  价  表</w:t>
      </w:r>
    </w:p>
    <w:p w14:paraId="790E8C4F">
      <w:pPr>
        <w:spacing w:line="520" w:lineRule="exact"/>
        <w:jc w:val="center"/>
        <w:rPr>
          <w:rFonts w:ascii="宋体" w:hAnsi="宋体" w:cs="宋体"/>
          <w:bCs/>
          <w:color w:val="auto"/>
          <w:sz w:val="32"/>
          <w:szCs w:val="32"/>
          <w:highlight w:val="none"/>
        </w:rPr>
      </w:pPr>
    </w:p>
    <w:p w14:paraId="37398C3E">
      <w:pPr>
        <w:snapToGrid w:val="0"/>
        <w:spacing w:before="50" w:after="5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7840A085">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F9B1FE6">
      <w:pPr>
        <w:snapToGrid w:val="0"/>
        <w:spacing w:before="50" w:after="50" w:line="360" w:lineRule="auto"/>
        <w:jc w:val="right"/>
        <w:rPr>
          <w:rFonts w:ascii="宋体" w:hAnsi="宋体" w:cs="宋体"/>
          <w:color w:val="auto"/>
          <w:szCs w:val="21"/>
          <w:highlight w:val="none"/>
        </w:rPr>
      </w:pPr>
      <w:r>
        <w:rPr>
          <w:rFonts w:hint="eastAsia" w:ascii="宋体" w:hAnsi="宋体" w:cs="宋体"/>
          <w:color w:val="auto"/>
          <w:szCs w:val="21"/>
          <w:highlight w:val="none"/>
        </w:rPr>
        <w:t>单位：元</w:t>
      </w:r>
    </w:p>
    <w:tbl>
      <w:tblPr>
        <w:tblStyle w:val="2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9"/>
        <w:gridCol w:w="980"/>
        <w:gridCol w:w="967"/>
        <w:gridCol w:w="2002"/>
        <w:gridCol w:w="2003"/>
        <w:gridCol w:w="875"/>
      </w:tblGrid>
      <w:tr w14:paraId="6F0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5" w:type="dxa"/>
            <w:tcBorders>
              <w:bottom w:val="single" w:color="auto" w:sz="4" w:space="0"/>
            </w:tcBorders>
            <w:vAlign w:val="center"/>
          </w:tcPr>
          <w:p w14:paraId="17E785AA">
            <w:pPr>
              <w:pStyle w:val="15"/>
              <w:spacing w:line="400" w:lineRule="exact"/>
              <w:ind w:left="480" w:hanging="480"/>
              <w:jc w:val="center"/>
              <w:rPr>
                <w:rFonts w:hAnsi="宋体"/>
                <w:color w:val="auto"/>
                <w:spacing w:val="-20"/>
                <w:sz w:val="21"/>
                <w:szCs w:val="21"/>
              </w:rPr>
            </w:pPr>
            <w:r>
              <w:rPr>
                <w:rFonts w:hint="eastAsia" w:hAnsi="宋体"/>
                <w:color w:val="auto"/>
                <w:spacing w:val="-20"/>
                <w:sz w:val="21"/>
                <w:szCs w:val="21"/>
              </w:rPr>
              <w:t>序号</w:t>
            </w:r>
          </w:p>
        </w:tc>
        <w:tc>
          <w:tcPr>
            <w:tcW w:w="2109" w:type="dxa"/>
            <w:tcBorders>
              <w:bottom w:val="single" w:color="auto" w:sz="4" w:space="0"/>
            </w:tcBorders>
            <w:vAlign w:val="center"/>
          </w:tcPr>
          <w:p w14:paraId="015AD3EB">
            <w:pPr>
              <w:tabs>
                <w:tab w:val="left" w:pos="180"/>
                <w:tab w:val="left" w:pos="1620"/>
              </w:tabs>
              <w:spacing w:line="400" w:lineRule="exact"/>
              <w:jc w:val="center"/>
              <w:rPr>
                <w:rFonts w:ascii="宋体" w:hAnsi="宋体"/>
                <w:color w:val="auto"/>
                <w:sz w:val="21"/>
                <w:szCs w:val="21"/>
              </w:rPr>
            </w:pPr>
            <w:r>
              <w:rPr>
                <w:rFonts w:hint="eastAsia" w:ascii="宋体" w:hAnsi="宋体"/>
                <w:color w:val="auto"/>
                <w:sz w:val="21"/>
                <w:szCs w:val="21"/>
              </w:rPr>
              <w:t>服务名称</w:t>
            </w:r>
          </w:p>
        </w:tc>
        <w:tc>
          <w:tcPr>
            <w:tcW w:w="980" w:type="dxa"/>
            <w:tcBorders>
              <w:bottom w:val="single" w:color="auto" w:sz="4" w:space="0"/>
            </w:tcBorders>
            <w:shd w:val="clear" w:color="auto" w:fill="auto"/>
            <w:vAlign w:val="center"/>
          </w:tcPr>
          <w:p w14:paraId="27D57286">
            <w:pPr>
              <w:tabs>
                <w:tab w:val="left" w:pos="180"/>
                <w:tab w:val="left" w:pos="1620"/>
              </w:tabs>
              <w:spacing w:line="400" w:lineRule="exac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数量</w:t>
            </w:r>
            <w:r>
              <w:rPr>
                <w:rFonts w:hint="eastAsia" w:ascii="宋体" w:hAnsi="宋体"/>
                <w:color w:val="auto"/>
                <w:sz w:val="21"/>
                <w:szCs w:val="21"/>
                <w:lang w:val="en-US" w:eastAsia="zh-CN"/>
              </w:rPr>
              <w:t>①</w:t>
            </w:r>
          </w:p>
        </w:tc>
        <w:tc>
          <w:tcPr>
            <w:tcW w:w="967" w:type="dxa"/>
            <w:tcBorders>
              <w:bottom w:val="single" w:color="auto" w:sz="4" w:space="0"/>
            </w:tcBorders>
            <w:vAlign w:val="center"/>
          </w:tcPr>
          <w:p w14:paraId="3D2369C0">
            <w:pPr>
              <w:tabs>
                <w:tab w:val="left" w:pos="180"/>
                <w:tab w:val="left" w:pos="1620"/>
              </w:tabs>
              <w:spacing w:line="4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单位</w:t>
            </w:r>
          </w:p>
        </w:tc>
        <w:tc>
          <w:tcPr>
            <w:tcW w:w="2002" w:type="dxa"/>
            <w:tcBorders>
              <w:bottom w:val="single" w:color="auto" w:sz="4" w:space="0"/>
            </w:tcBorders>
            <w:vAlign w:val="center"/>
          </w:tcPr>
          <w:p w14:paraId="1A89288A">
            <w:pPr>
              <w:pStyle w:val="15"/>
              <w:spacing w:line="400" w:lineRule="exact"/>
              <w:ind w:left="560" w:hanging="560"/>
              <w:jc w:val="center"/>
              <w:rPr>
                <w:rFonts w:hint="default" w:hAnsi="宋体" w:eastAsia="宋体"/>
                <w:color w:val="auto"/>
                <w:sz w:val="21"/>
                <w:szCs w:val="21"/>
                <w:lang w:val="en-US" w:eastAsia="zh-CN"/>
              </w:rPr>
            </w:pPr>
            <w:r>
              <w:rPr>
                <w:rFonts w:hint="eastAsia" w:hAnsi="宋体"/>
                <w:color w:val="auto"/>
                <w:sz w:val="21"/>
                <w:szCs w:val="21"/>
                <w:lang w:val="en-US" w:eastAsia="zh-CN"/>
              </w:rPr>
              <w:t>单价（元）②</w:t>
            </w:r>
          </w:p>
        </w:tc>
        <w:tc>
          <w:tcPr>
            <w:tcW w:w="2003" w:type="dxa"/>
            <w:tcBorders>
              <w:bottom w:val="single" w:color="auto" w:sz="4" w:space="0"/>
            </w:tcBorders>
            <w:vAlign w:val="center"/>
          </w:tcPr>
          <w:p w14:paraId="5CB97A27">
            <w:pPr>
              <w:pStyle w:val="15"/>
              <w:spacing w:line="400" w:lineRule="exact"/>
              <w:ind w:left="560" w:hanging="560"/>
              <w:jc w:val="center"/>
              <w:rPr>
                <w:rFonts w:hint="eastAsia" w:hAnsi="宋体" w:cs="Times New Roman"/>
                <w:color w:val="auto"/>
                <w:sz w:val="21"/>
                <w:szCs w:val="21"/>
              </w:rPr>
            </w:pPr>
            <w:r>
              <w:rPr>
                <w:rFonts w:hint="eastAsia" w:hAnsi="宋体" w:cs="Times New Roman"/>
                <w:color w:val="auto"/>
                <w:sz w:val="21"/>
                <w:szCs w:val="21"/>
                <w:lang w:val="en-US" w:eastAsia="zh-CN"/>
              </w:rPr>
              <w:t>单项合价</w:t>
            </w:r>
            <w:r>
              <w:rPr>
                <w:rFonts w:hint="eastAsia" w:hAnsi="宋体" w:cs="Times New Roman"/>
                <w:color w:val="auto"/>
                <w:sz w:val="21"/>
                <w:szCs w:val="21"/>
              </w:rPr>
              <w:t>（元）</w:t>
            </w:r>
          </w:p>
          <w:p w14:paraId="692F9DFD">
            <w:pPr>
              <w:pStyle w:val="15"/>
              <w:spacing w:line="400" w:lineRule="exact"/>
              <w:ind w:left="560" w:hanging="560"/>
              <w:jc w:val="center"/>
              <w:rPr>
                <w:rFonts w:hint="default" w:hAnsi="宋体" w:eastAsia="宋体" w:cs="Times New Roman"/>
                <w:color w:val="auto"/>
                <w:sz w:val="21"/>
                <w:szCs w:val="21"/>
                <w:lang w:val="en-US" w:eastAsia="zh-CN"/>
              </w:rPr>
            </w:pPr>
            <w:r>
              <w:rPr>
                <w:rFonts w:hint="eastAsia" w:hAnsi="宋体" w:cs="Times New Roman"/>
                <w:color w:val="auto"/>
                <w:sz w:val="21"/>
                <w:szCs w:val="21"/>
                <w:lang w:val="en-US" w:eastAsia="zh-CN"/>
              </w:rPr>
              <w:t>③=①×②</w:t>
            </w:r>
          </w:p>
        </w:tc>
        <w:tc>
          <w:tcPr>
            <w:tcW w:w="875" w:type="dxa"/>
            <w:tcBorders>
              <w:bottom w:val="single" w:color="auto" w:sz="4" w:space="0"/>
            </w:tcBorders>
            <w:vAlign w:val="center"/>
          </w:tcPr>
          <w:p w14:paraId="4594FF2F">
            <w:pPr>
              <w:pStyle w:val="15"/>
              <w:spacing w:line="400" w:lineRule="exact"/>
              <w:ind w:left="560" w:hanging="560"/>
              <w:jc w:val="center"/>
              <w:rPr>
                <w:rFonts w:hAnsi="宋体"/>
                <w:color w:val="auto"/>
                <w:sz w:val="21"/>
                <w:szCs w:val="21"/>
              </w:rPr>
            </w:pPr>
            <w:r>
              <w:rPr>
                <w:rFonts w:hint="eastAsia" w:hAnsi="宋体"/>
                <w:color w:val="auto"/>
                <w:sz w:val="21"/>
                <w:szCs w:val="21"/>
              </w:rPr>
              <w:t>备注</w:t>
            </w:r>
          </w:p>
        </w:tc>
      </w:tr>
      <w:tr w14:paraId="4AFF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jc w:val="center"/>
        </w:trPr>
        <w:tc>
          <w:tcPr>
            <w:tcW w:w="645" w:type="dxa"/>
            <w:vAlign w:val="center"/>
          </w:tcPr>
          <w:p w14:paraId="662F0D16">
            <w:pPr>
              <w:jc w:val="center"/>
              <w:rPr>
                <w:rFonts w:ascii="宋体" w:hAnsi="宋体"/>
                <w:color w:val="auto"/>
                <w:sz w:val="21"/>
                <w:szCs w:val="21"/>
              </w:rPr>
            </w:pPr>
            <w:r>
              <w:rPr>
                <w:rFonts w:hint="eastAsia" w:ascii="宋体" w:hAnsi="宋体"/>
                <w:color w:val="auto"/>
                <w:sz w:val="21"/>
                <w:szCs w:val="21"/>
              </w:rPr>
              <w:t>1</w:t>
            </w:r>
          </w:p>
        </w:tc>
        <w:tc>
          <w:tcPr>
            <w:tcW w:w="2109" w:type="dxa"/>
            <w:vAlign w:val="center"/>
          </w:tcPr>
          <w:p w14:paraId="62404FE2">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医疗服务</w:t>
            </w:r>
          </w:p>
        </w:tc>
        <w:tc>
          <w:tcPr>
            <w:tcW w:w="980" w:type="dxa"/>
            <w:shd w:val="clear" w:color="auto" w:fill="auto"/>
            <w:vAlign w:val="center"/>
          </w:tcPr>
          <w:p w14:paraId="4E09C177">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w:t>
            </w:r>
          </w:p>
        </w:tc>
        <w:tc>
          <w:tcPr>
            <w:tcW w:w="967" w:type="dxa"/>
            <w:vAlign w:val="center"/>
          </w:tcPr>
          <w:p w14:paraId="089AF281">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项</w:t>
            </w:r>
          </w:p>
        </w:tc>
        <w:tc>
          <w:tcPr>
            <w:tcW w:w="2002" w:type="dxa"/>
            <w:vAlign w:val="center"/>
          </w:tcPr>
          <w:p w14:paraId="299EA579">
            <w:pPr>
              <w:pStyle w:val="15"/>
              <w:ind w:left="560" w:hanging="560"/>
              <w:rPr>
                <w:rFonts w:hAnsi="宋体"/>
                <w:color w:val="auto"/>
                <w:sz w:val="21"/>
                <w:szCs w:val="21"/>
              </w:rPr>
            </w:pPr>
          </w:p>
        </w:tc>
        <w:tc>
          <w:tcPr>
            <w:tcW w:w="2003" w:type="dxa"/>
            <w:vAlign w:val="center"/>
          </w:tcPr>
          <w:p w14:paraId="74F61EF0">
            <w:pPr>
              <w:pStyle w:val="15"/>
              <w:ind w:left="560" w:hanging="560"/>
              <w:rPr>
                <w:rFonts w:hAnsi="宋体"/>
                <w:color w:val="auto"/>
                <w:sz w:val="21"/>
                <w:szCs w:val="21"/>
              </w:rPr>
            </w:pPr>
          </w:p>
        </w:tc>
        <w:tc>
          <w:tcPr>
            <w:tcW w:w="875" w:type="dxa"/>
            <w:vAlign w:val="center"/>
          </w:tcPr>
          <w:p w14:paraId="00931C01">
            <w:pPr>
              <w:pStyle w:val="15"/>
              <w:ind w:left="536" w:hanging="536"/>
              <w:jc w:val="center"/>
              <w:rPr>
                <w:rFonts w:hAnsi="宋体"/>
                <w:color w:val="auto"/>
                <w:spacing w:val="-6"/>
                <w:sz w:val="21"/>
                <w:szCs w:val="21"/>
              </w:rPr>
            </w:pPr>
          </w:p>
        </w:tc>
      </w:tr>
      <w:tr w14:paraId="486F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581" w:type="dxa"/>
            <w:gridSpan w:val="7"/>
            <w:vAlign w:val="center"/>
          </w:tcPr>
          <w:p w14:paraId="68D9C6D1">
            <w:pPr>
              <w:pStyle w:val="15"/>
              <w:ind w:left="536" w:hanging="536"/>
              <w:rPr>
                <w:rFonts w:hAnsi="宋体"/>
                <w:color w:val="auto"/>
                <w:spacing w:val="-6"/>
                <w:sz w:val="21"/>
                <w:szCs w:val="21"/>
              </w:rPr>
            </w:pPr>
            <w:r>
              <w:rPr>
                <w:rFonts w:hint="eastAsia" w:hAnsi="宋体"/>
                <w:color w:val="auto"/>
                <w:spacing w:val="-6"/>
                <w:sz w:val="21"/>
                <w:szCs w:val="21"/>
              </w:rPr>
              <w:t>报价</w:t>
            </w:r>
            <w:r>
              <w:rPr>
                <w:rFonts w:hint="eastAsia" w:hAnsi="宋体"/>
                <w:color w:val="auto"/>
                <w:spacing w:val="-6"/>
                <w:sz w:val="21"/>
                <w:szCs w:val="21"/>
                <w:lang w:val="en-US" w:eastAsia="zh-CN"/>
              </w:rPr>
              <w:t>合计（包含税费等所有费用）</w:t>
            </w:r>
            <w:r>
              <w:rPr>
                <w:rFonts w:hint="eastAsia" w:hAnsi="宋体"/>
                <w:color w:val="auto"/>
                <w:spacing w:val="-6"/>
                <w:sz w:val="21"/>
                <w:szCs w:val="21"/>
              </w:rPr>
              <w:t>：（大写）</w:t>
            </w:r>
            <w:r>
              <w:rPr>
                <w:rFonts w:hint="eastAsia" w:hAnsi="宋体"/>
                <w:color w:val="auto"/>
                <w:spacing w:val="-6"/>
                <w:sz w:val="21"/>
                <w:szCs w:val="21"/>
                <w:lang w:val="en-US" w:eastAsia="zh-CN"/>
              </w:rPr>
              <w:t>人民币</w:t>
            </w:r>
            <w:r>
              <w:rPr>
                <w:rFonts w:hint="eastAsia" w:hAnsi="宋体"/>
                <w:color w:val="auto"/>
                <w:spacing w:val="-6"/>
                <w:sz w:val="21"/>
                <w:szCs w:val="21"/>
                <w:u w:val="single"/>
              </w:rPr>
              <w:t xml:space="preserve">                         </w:t>
            </w:r>
            <w:r>
              <w:rPr>
                <w:rFonts w:hint="eastAsia" w:hAnsi="宋体"/>
                <w:color w:val="auto"/>
                <w:spacing w:val="-6"/>
                <w:sz w:val="21"/>
                <w:szCs w:val="21"/>
              </w:rPr>
              <w:t>（￥</w:t>
            </w:r>
            <w:r>
              <w:rPr>
                <w:rFonts w:hint="eastAsia" w:hAnsi="宋体"/>
                <w:color w:val="auto"/>
                <w:spacing w:val="-6"/>
                <w:sz w:val="21"/>
                <w:szCs w:val="21"/>
                <w:u w:val="single"/>
              </w:rPr>
              <w:t xml:space="preserve">                </w:t>
            </w:r>
            <w:r>
              <w:rPr>
                <w:rFonts w:hint="eastAsia" w:hAnsi="宋体"/>
                <w:color w:val="auto"/>
                <w:spacing w:val="-6"/>
                <w:sz w:val="21"/>
                <w:szCs w:val="21"/>
              </w:rPr>
              <w:t>元）</w:t>
            </w:r>
          </w:p>
        </w:tc>
      </w:tr>
    </w:tbl>
    <w:p w14:paraId="111DBD2E">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 xml:space="preserve">注: </w:t>
      </w:r>
    </w:p>
    <w:p w14:paraId="1F4546B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14:paraId="1741C3BF">
      <w:pPr>
        <w:spacing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color w:val="auto"/>
          <w:szCs w:val="21"/>
          <w:highlight w:val="none"/>
        </w:rPr>
        <w:t>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14:paraId="580CE47A">
      <w:pPr>
        <w:spacing w:line="360" w:lineRule="auto"/>
        <w:ind w:firstLine="420" w:firstLineChars="200"/>
        <w:jc w:val="left"/>
        <w:rPr>
          <w:rFonts w:ascii="宋体" w:hAnsi="宋体" w:cs="宋体"/>
          <w:i/>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.如为联合体竞标，“供应商名称”处必须列明联合体各方名称，标注联合体牵头人名称，</w:t>
      </w:r>
      <w:r>
        <w:rPr>
          <w:rFonts w:hint="eastAsia" w:ascii="宋体" w:hAnsi="宋体" w:cs="宋体"/>
          <w:b/>
          <w:color w:val="auto"/>
          <w:szCs w:val="21"/>
          <w:highlight w:val="none"/>
        </w:rPr>
        <w:t>否则其响应文件按无效处理。</w:t>
      </w:r>
    </w:p>
    <w:p w14:paraId="7ADF44B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14:paraId="31A8ACBE">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否则其响应文件按无效处理。</w:t>
      </w:r>
    </w:p>
    <w:p w14:paraId="2729FD37">
      <w:pPr>
        <w:spacing w:line="360" w:lineRule="auto"/>
        <w:ind w:right="-817" w:rightChars="-389" w:firstLine="2310" w:firstLineChars="1100"/>
        <w:contextualSpacing/>
        <w:rPr>
          <w:rFonts w:ascii="宋体" w:hAnsi="宋体" w:cs="宋体"/>
          <w:color w:val="auto"/>
          <w:szCs w:val="21"/>
          <w:highlight w:val="none"/>
        </w:rPr>
      </w:pPr>
    </w:p>
    <w:p w14:paraId="7E4A0251">
      <w:pPr>
        <w:spacing w:line="360" w:lineRule="auto"/>
        <w:ind w:right="-817" w:rightChars="-389"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84CAA74">
      <w:pPr>
        <w:spacing w:line="360" w:lineRule="auto"/>
        <w:ind w:right="-817" w:rightChars="-389" w:firstLine="2310" w:firstLineChars="1100"/>
        <w:contextualSpacing/>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3FF67430">
      <w:pPr>
        <w:spacing w:line="360" w:lineRule="auto"/>
        <w:ind w:right="-817" w:rightChars="-389"/>
        <w:contextualSpacing/>
        <w:rPr>
          <w:rFonts w:ascii="宋体" w:hAnsi="宋体" w:cs="宋体"/>
          <w:b/>
          <w:color w:val="auto"/>
          <w:szCs w:val="21"/>
          <w:highlight w:val="none"/>
        </w:rPr>
      </w:pPr>
      <w:r>
        <w:rPr>
          <w:rFonts w:hint="eastAsia" w:ascii="宋体" w:hAnsi="宋体" w:cs="宋体"/>
          <w:color w:val="auto"/>
          <w:szCs w:val="21"/>
          <w:highlight w:val="none"/>
        </w:rPr>
        <w:t xml:space="preserve">                      日期：   年   月   日</w:t>
      </w:r>
    </w:p>
    <w:p w14:paraId="7974626D">
      <w:pPr>
        <w:spacing w:line="360" w:lineRule="auto"/>
        <w:ind w:right="420"/>
        <w:contextualSpacing/>
        <w:jc w:val="left"/>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 xml:space="preserve">商务技术文件格式 </w:t>
      </w:r>
    </w:p>
    <w:p w14:paraId="1F37775C">
      <w:pPr>
        <w:snapToGrid w:val="0"/>
        <w:spacing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49457A50">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61F7B5CF">
      <w:pPr>
        <w:snapToGrid w:val="0"/>
        <w:spacing w:beforeLines="50" w:after="50"/>
        <w:jc w:val="center"/>
        <w:rPr>
          <w:rFonts w:ascii="宋体" w:hAnsi="宋体" w:cs="宋体"/>
          <w:color w:val="auto"/>
          <w:sz w:val="24"/>
          <w:szCs w:val="20"/>
          <w:highlight w:val="none"/>
        </w:rPr>
      </w:pPr>
      <w:r>
        <w:rPr>
          <w:rFonts w:hint="eastAsia" w:ascii="宋体" w:hAnsi="宋体" w:cs="宋体"/>
          <w:color w:val="auto"/>
          <w:sz w:val="44"/>
          <w:szCs w:val="44"/>
          <w:highlight w:val="none"/>
        </w:rPr>
        <w:t>电 子 响 应 文 件</w:t>
      </w:r>
    </w:p>
    <w:p w14:paraId="2781A5E8">
      <w:pPr>
        <w:snapToGrid w:val="0"/>
        <w:spacing w:beforeLines="50" w:after="50"/>
        <w:rPr>
          <w:rFonts w:ascii="宋体" w:hAnsi="宋体" w:cs="宋体"/>
          <w:color w:val="auto"/>
          <w:sz w:val="24"/>
          <w:szCs w:val="20"/>
          <w:highlight w:val="none"/>
        </w:rPr>
      </w:pPr>
    </w:p>
    <w:p w14:paraId="74FE4952">
      <w:pPr>
        <w:snapToGrid w:val="0"/>
        <w:spacing w:beforeLines="50" w:after="50"/>
        <w:rPr>
          <w:rFonts w:ascii="宋体" w:hAnsi="宋体" w:cs="宋体"/>
          <w:color w:val="auto"/>
          <w:sz w:val="24"/>
          <w:szCs w:val="20"/>
          <w:highlight w:val="none"/>
        </w:rPr>
      </w:pPr>
    </w:p>
    <w:p w14:paraId="43D63AF8">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21C1EFD1">
      <w:pPr>
        <w:snapToGrid w:val="0"/>
        <w:spacing w:beforeLines="50" w:after="50"/>
        <w:rPr>
          <w:rFonts w:ascii="宋体" w:hAnsi="宋体" w:cs="宋体"/>
          <w:bCs/>
          <w:color w:val="auto"/>
          <w:sz w:val="24"/>
          <w:szCs w:val="20"/>
          <w:highlight w:val="none"/>
        </w:rPr>
      </w:pPr>
    </w:p>
    <w:p w14:paraId="6C1C6446">
      <w:pPr>
        <w:snapToGrid w:val="0"/>
        <w:spacing w:beforeLines="50" w:after="50"/>
        <w:rPr>
          <w:rFonts w:ascii="宋体" w:hAnsi="宋体" w:cs="宋体"/>
          <w:bCs/>
          <w:color w:val="auto"/>
          <w:sz w:val="24"/>
          <w:szCs w:val="20"/>
          <w:highlight w:val="none"/>
        </w:rPr>
      </w:pPr>
    </w:p>
    <w:p w14:paraId="76FD58E3">
      <w:pPr>
        <w:snapToGrid w:val="0"/>
        <w:spacing w:beforeLines="50" w:after="50"/>
        <w:rPr>
          <w:rFonts w:ascii="宋体" w:hAnsi="宋体" w:cs="宋体"/>
          <w:bCs/>
          <w:color w:val="auto"/>
          <w:sz w:val="24"/>
          <w:szCs w:val="20"/>
          <w:highlight w:val="none"/>
        </w:rPr>
      </w:pPr>
    </w:p>
    <w:p w14:paraId="7BA28925">
      <w:pPr>
        <w:snapToGrid w:val="0"/>
        <w:spacing w:beforeLines="50" w:after="50"/>
        <w:rPr>
          <w:rFonts w:ascii="宋体" w:hAnsi="宋体" w:cs="宋体"/>
          <w:bCs/>
          <w:color w:val="auto"/>
          <w:sz w:val="24"/>
          <w:szCs w:val="20"/>
          <w:highlight w:val="none"/>
        </w:rPr>
      </w:pPr>
    </w:p>
    <w:p w14:paraId="09A59370">
      <w:pPr>
        <w:snapToGrid w:val="0"/>
        <w:spacing w:beforeLines="50" w:after="50"/>
        <w:rPr>
          <w:rFonts w:ascii="宋体" w:hAnsi="宋体" w:cs="宋体"/>
          <w:bCs/>
          <w:color w:val="auto"/>
          <w:sz w:val="24"/>
          <w:szCs w:val="20"/>
          <w:highlight w:val="none"/>
        </w:rPr>
      </w:pPr>
    </w:p>
    <w:p w14:paraId="332CADA4">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E225BB6">
      <w:pPr>
        <w:snapToGrid w:val="0"/>
        <w:spacing w:beforeLines="50" w:after="50"/>
        <w:ind w:firstLine="720" w:firstLineChars="225"/>
        <w:rPr>
          <w:rFonts w:ascii="宋体" w:hAnsi="宋体" w:cs="宋体"/>
          <w:bCs/>
          <w:color w:val="auto"/>
          <w:sz w:val="32"/>
          <w:szCs w:val="32"/>
          <w:highlight w:val="none"/>
        </w:rPr>
      </w:pPr>
    </w:p>
    <w:p w14:paraId="7FB75C53">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1CD3BB8">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C86610A">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C768632">
      <w:pPr>
        <w:snapToGrid w:val="0"/>
        <w:spacing w:beforeLines="50" w:after="50"/>
        <w:ind w:firstLine="720" w:firstLineChars="225"/>
        <w:rPr>
          <w:rFonts w:ascii="宋体" w:hAnsi="宋体" w:cs="宋体"/>
          <w:bCs/>
          <w:color w:val="auto"/>
          <w:sz w:val="32"/>
          <w:szCs w:val="32"/>
          <w:highlight w:val="none"/>
        </w:rPr>
      </w:pPr>
    </w:p>
    <w:p w14:paraId="02B393A7">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B1D2D82">
      <w:pPr>
        <w:pStyle w:val="7"/>
        <w:snapToGrid w:val="0"/>
        <w:spacing w:before="50" w:after="50"/>
        <w:ind w:firstLine="640" w:firstLineChars="200"/>
        <w:rPr>
          <w:rFonts w:ascii="宋体" w:hAnsi="宋体" w:cs="宋体"/>
          <w:bCs/>
          <w:color w:val="auto"/>
          <w:sz w:val="32"/>
          <w:szCs w:val="32"/>
          <w:highlight w:val="none"/>
        </w:rPr>
      </w:pPr>
    </w:p>
    <w:p w14:paraId="5016880D">
      <w:pPr>
        <w:pStyle w:val="7"/>
        <w:snapToGrid w:val="0"/>
        <w:spacing w:before="50" w:after="50"/>
        <w:ind w:firstLine="720" w:firstLineChars="225"/>
        <w:rPr>
          <w:rFonts w:ascii="宋体" w:hAnsi="宋体" w:cs="宋体"/>
          <w:bCs/>
          <w:color w:val="auto"/>
          <w:sz w:val="32"/>
          <w:szCs w:val="32"/>
          <w:highlight w:val="none"/>
        </w:rPr>
      </w:pPr>
    </w:p>
    <w:p w14:paraId="6913C1F3">
      <w:pPr>
        <w:pStyle w:val="7"/>
        <w:snapToGrid w:val="0"/>
        <w:spacing w:before="50" w:after="50"/>
        <w:ind w:firstLine="0"/>
        <w:rPr>
          <w:rFonts w:ascii="宋体" w:hAnsi="宋体" w:cs="宋体"/>
          <w:bCs/>
          <w:color w:val="auto"/>
          <w:sz w:val="32"/>
          <w:szCs w:val="32"/>
          <w:highlight w:val="none"/>
        </w:rPr>
      </w:pPr>
    </w:p>
    <w:p w14:paraId="04D3B164">
      <w:pPr>
        <w:pStyle w:val="7"/>
        <w:snapToGrid w:val="0"/>
        <w:spacing w:before="50" w:after="50"/>
        <w:ind w:firstLine="1280" w:firstLineChars="400"/>
        <w:rPr>
          <w:rFonts w:ascii="宋体" w:hAnsi="宋体" w:cs="宋体"/>
          <w:bCs/>
          <w:color w:val="auto"/>
          <w:sz w:val="32"/>
          <w:szCs w:val="32"/>
          <w:highlight w:val="none"/>
        </w:rPr>
      </w:pPr>
    </w:p>
    <w:p w14:paraId="4F4C03D1">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3C93BFC">
      <w:pPr>
        <w:snapToGrid w:val="0"/>
        <w:spacing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14:paraId="6F1C8288">
      <w:pPr>
        <w:snapToGrid w:val="0"/>
        <w:spacing w:beforeLines="50" w:after="50" w:line="360" w:lineRule="auto"/>
        <w:ind w:firstLine="640" w:firstLineChars="200"/>
        <w:rPr>
          <w:rFonts w:ascii="宋体" w:hAnsi="宋体" w:cs="宋体"/>
          <w:color w:val="auto"/>
          <w:sz w:val="21"/>
          <w:szCs w:val="21"/>
          <w:highlight w:val="none"/>
        </w:rPr>
      </w:pPr>
      <w:r>
        <w:rPr>
          <w:rFonts w:hint="eastAsia" w:ascii="宋体" w:hAnsi="宋体" w:eastAsia="宋体" w:cs="宋体"/>
          <w:color w:val="auto"/>
          <w:sz w:val="32"/>
          <w:szCs w:val="32"/>
          <w:highlight w:val="none"/>
        </w:rPr>
        <w:t>根据谈判文件规定及供应商提供的材料自行编写目录（部分格式后附）</w:t>
      </w:r>
      <w:r>
        <w:rPr>
          <w:rFonts w:hint="eastAsia" w:ascii="宋体" w:hAnsi="宋体" w:cs="宋体"/>
          <w:color w:val="auto"/>
          <w:sz w:val="21"/>
          <w:szCs w:val="21"/>
          <w:highlight w:val="none"/>
        </w:rPr>
        <w:t>。</w:t>
      </w:r>
    </w:p>
    <w:p w14:paraId="3510351F">
      <w:pPr>
        <w:spacing w:line="400" w:lineRule="exact"/>
        <w:rPr>
          <w:rFonts w:ascii="宋体" w:hAnsi="宋体" w:cs="宋体"/>
          <w:color w:val="auto"/>
          <w:sz w:val="32"/>
          <w:szCs w:val="32"/>
          <w:highlight w:val="none"/>
        </w:rPr>
      </w:pPr>
    </w:p>
    <w:p w14:paraId="1962DEA7">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05BCA169">
      <w:pPr>
        <w:spacing w:line="360" w:lineRule="auto"/>
        <w:ind w:firstLine="640" w:firstLineChars="200"/>
        <w:rPr>
          <w:rFonts w:ascii="宋体" w:hAnsi="宋体" w:cs="宋体"/>
          <w:color w:val="auto"/>
          <w:sz w:val="32"/>
          <w:szCs w:val="32"/>
          <w:highlight w:val="none"/>
        </w:rPr>
      </w:pPr>
    </w:p>
    <w:p w14:paraId="53E3AB6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0775C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46FF3B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4A593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E5EC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05759E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2A549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2A93BD3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34379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A0A5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ECA35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5036BF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F555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14:paraId="5E1900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1AFA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6509578D">
      <w:pPr>
        <w:spacing w:line="360" w:lineRule="auto"/>
        <w:ind w:firstLine="420" w:firstLineChars="200"/>
        <w:rPr>
          <w:rFonts w:ascii="宋体" w:hAnsi="宋体" w:cs="宋体"/>
          <w:color w:val="auto"/>
          <w:szCs w:val="21"/>
          <w:highlight w:val="none"/>
        </w:rPr>
      </w:pPr>
    </w:p>
    <w:p w14:paraId="2269C8C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135109A9">
      <w:pPr>
        <w:spacing w:line="360" w:lineRule="auto"/>
        <w:ind w:firstLine="420" w:firstLineChars="200"/>
        <w:rPr>
          <w:rFonts w:ascii="宋体" w:hAnsi="宋体" w:cs="宋体"/>
          <w:color w:val="auto"/>
          <w:szCs w:val="21"/>
          <w:highlight w:val="none"/>
        </w:rPr>
      </w:pPr>
    </w:p>
    <w:p w14:paraId="6D9DFFE1">
      <w:pPr>
        <w:spacing w:line="360" w:lineRule="auto"/>
        <w:rPr>
          <w:rFonts w:ascii="宋体" w:hAnsi="宋体" w:cs="宋体"/>
          <w:color w:val="auto"/>
          <w:szCs w:val="21"/>
          <w:highlight w:val="none"/>
        </w:rPr>
      </w:pPr>
    </w:p>
    <w:p w14:paraId="68C80CCE">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供应商（电子签章）：</w:t>
      </w:r>
    </w:p>
    <w:p w14:paraId="13B6CDDB">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BD28166">
      <w:pPr>
        <w:spacing w:line="360" w:lineRule="auto"/>
        <w:ind w:firstLine="640" w:firstLineChars="200"/>
        <w:jc w:val="center"/>
        <w:rPr>
          <w:rFonts w:ascii="宋体" w:hAnsi="宋体" w:cs="宋体"/>
          <w:color w:val="auto"/>
          <w:sz w:val="32"/>
          <w:szCs w:val="32"/>
          <w:highlight w:val="none"/>
        </w:rPr>
      </w:pPr>
    </w:p>
    <w:p w14:paraId="5AA57D3E">
      <w:pPr>
        <w:widowControl/>
        <w:jc w:val="left"/>
        <w:rPr>
          <w:rFonts w:ascii="宋体" w:hAnsi="宋体" w:cs="宋体"/>
          <w:bCs/>
          <w:color w:val="auto"/>
          <w:sz w:val="44"/>
          <w:szCs w:val="44"/>
          <w:highlight w:val="none"/>
        </w:rPr>
        <w:sectPr>
          <w:pgSz w:w="11910" w:h="16840"/>
          <w:pgMar w:top="1340" w:right="1500" w:bottom="280" w:left="1680" w:header="720" w:footer="720" w:gutter="0"/>
          <w:cols w:space="720" w:num="1"/>
        </w:sectPr>
      </w:pPr>
    </w:p>
    <w:p w14:paraId="152154DB">
      <w:pPr>
        <w:spacing w:beforeLines="100" w:afterLines="50" w:line="520" w:lineRule="exact"/>
        <w:ind w:left="540"/>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5C5D55E">
      <w:pPr>
        <w:spacing w:line="360" w:lineRule="auto"/>
        <w:ind w:left="540"/>
        <w:contextualSpacing/>
        <w:rPr>
          <w:rFonts w:ascii="宋体" w:hAnsi="宋体" w:cs="宋体"/>
          <w:color w:val="auto"/>
          <w:sz w:val="32"/>
          <w:szCs w:val="32"/>
          <w:highlight w:val="none"/>
        </w:rPr>
      </w:pPr>
    </w:p>
    <w:p w14:paraId="2A1E9B71">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65CE8C15">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FD648BB">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6352F0C5">
      <w:pPr>
        <w:spacing w:line="360" w:lineRule="auto"/>
        <w:ind w:left="540"/>
        <w:contextualSpacing/>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48EA093F">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321A39E">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w:t>
      </w:r>
    </w:p>
    <w:p w14:paraId="4B1E5866">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特此证明。</w:t>
      </w:r>
    </w:p>
    <w:p w14:paraId="014F31F0">
      <w:pPr>
        <w:spacing w:line="360" w:lineRule="auto"/>
        <w:ind w:left="540"/>
        <w:contextualSpacing/>
        <w:rPr>
          <w:rFonts w:ascii="宋体" w:hAnsi="宋体" w:cs="宋体"/>
          <w:color w:val="auto"/>
          <w:szCs w:val="21"/>
          <w:highlight w:val="none"/>
        </w:rPr>
      </w:pPr>
    </w:p>
    <w:p w14:paraId="16CEC584">
      <w:pPr>
        <w:spacing w:line="360" w:lineRule="auto"/>
        <w:ind w:left="540"/>
        <w:contextualSpacing/>
        <w:rPr>
          <w:rFonts w:ascii="宋体" w:hAnsi="宋体" w:cs="宋体"/>
          <w:color w:val="auto"/>
          <w:szCs w:val="21"/>
          <w:highlight w:val="none"/>
        </w:rPr>
      </w:pPr>
    </w:p>
    <w:p w14:paraId="3E703756">
      <w:pPr>
        <w:spacing w:line="360" w:lineRule="auto"/>
        <w:ind w:left="540"/>
        <w:contextualSpacing/>
        <w:rPr>
          <w:rFonts w:ascii="宋体" w:hAnsi="宋体" w:cs="宋体"/>
          <w:color w:val="auto"/>
          <w:szCs w:val="21"/>
          <w:highlight w:val="none"/>
        </w:rPr>
      </w:pPr>
    </w:p>
    <w:p w14:paraId="0337C898">
      <w:pPr>
        <w:spacing w:line="360" w:lineRule="auto"/>
        <w:ind w:left="540"/>
        <w:contextualSpacing/>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3F12684E">
      <w:pPr>
        <w:spacing w:line="360" w:lineRule="auto"/>
        <w:ind w:left="540"/>
        <w:contextualSpacing/>
        <w:rPr>
          <w:rFonts w:ascii="宋体" w:hAnsi="宋体" w:cs="宋体"/>
          <w:color w:val="auto"/>
          <w:szCs w:val="21"/>
          <w:highlight w:val="none"/>
        </w:rPr>
      </w:pPr>
    </w:p>
    <w:p w14:paraId="3E4CCA51">
      <w:pPr>
        <w:spacing w:line="360" w:lineRule="auto"/>
        <w:ind w:left="540"/>
        <w:contextualSpacing/>
        <w:jc w:val="center"/>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14:paraId="11074B78">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C98FF6B">
      <w:pPr>
        <w:spacing w:line="360" w:lineRule="auto"/>
        <w:jc w:val="center"/>
        <w:rPr>
          <w:rFonts w:ascii="宋体" w:hAnsi="宋体" w:cs="宋体"/>
          <w:b/>
          <w:color w:val="auto"/>
          <w:szCs w:val="21"/>
          <w:highlight w:val="none"/>
        </w:rPr>
      </w:pPr>
    </w:p>
    <w:p w14:paraId="292E3B6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注：自然人竞标的无需提供，联合体竞标的只需牵头人出具。</w:t>
      </w:r>
    </w:p>
    <w:p w14:paraId="6B963E96">
      <w:pPr>
        <w:adjustRightInd w:val="0"/>
        <w:snapToGrid w:val="0"/>
        <w:spacing w:line="300" w:lineRule="auto"/>
        <w:jc w:val="left"/>
        <w:rPr>
          <w:rFonts w:ascii="宋体" w:hAnsi="宋体" w:cs="宋体"/>
          <w:b/>
          <w:color w:val="auto"/>
          <w:szCs w:val="21"/>
          <w:highlight w:val="none"/>
        </w:rPr>
      </w:pPr>
    </w:p>
    <w:p w14:paraId="16507E36">
      <w:pPr>
        <w:spacing w:line="520" w:lineRule="exact"/>
        <w:jc w:val="center"/>
        <w:rPr>
          <w:rFonts w:ascii="宋体" w:hAnsi="宋体" w:cs="宋体"/>
          <w:color w:val="auto"/>
          <w:sz w:val="36"/>
          <w:szCs w:val="36"/>
          <w:highlight w:val="none"/>
        </w:rPr>
      </w:pPr>
      <w:r>
        <w:rPr>
          <w:rFonts w:hint="eastAsia" w:ascii="宋体" w:hAnsi="宋体" w:cs="宋体"/>
          <w:color w:val="auto"/>
          <w:sz w:val="44"/>
          <w:szCs w:val="44"/>
          <w:highlight w:val="none"/>
        </w:rPr>
        <w:br w:type="page"/>
      </w:r>
      <w:r>
        <w:rPr>
          <w:rFonts w:hint="eastAsia" w:ascii="宋体" w:hAnsi="宋体" w:cs="宋体"/>
          <w:color w:val="auto"/>
          <w:sz w:val="36"/>
          <w:szCs w:val="36"/>
          <w:highlight w:val="none"/>
        </w:rPr>
        <w:t>授权委托书</w:t>
      </w:r>
    </w:p>
    <w:p w14:paraId="2A04F6CF">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14:paraId="1AB43A9F">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75880886">
      <w:pPr>
        <w:spacing w:line="360" w:lineRule="auto"/>
        <w:rPr>
          <w:rFonts w:ascii="宋体" w:hAnsi="宋体" w:cs="宋体"/>
          <w:color w:val="auto"/>
          <w:sz w:val="32"/>
          <w:szCs w:val="32"/>
          <w:highlight w:val="none"/>
        </w:rPr>
      </w:pPr>
    </w:p>
    <w:p w14:paraId="7F0FF302">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09D77A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14:paraId="193F54A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5B06E1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7EDAA4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3090F9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14:paraId="2A50EE11">
      <w:pPr>
        <w:spacing w:line="360" w:lineRule="auto"/>
        <w:rPr>
          <w:rFonts w:ascii="宋体" w:hAnsi="宋体" w:cs="宋体"/>
          <w:color w:val="auto"/>
          <w:szCs w:val="21"/>
          <w:highlight w:val="none"/>
        </w:rPr>
      </w:pPr>
    </w:p>
    <w:p w14:paraId="7EB2628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委托代理人（签字或者电子签名）：     法定代表人（签字或者盖章或者电子签名）：                    </w:t>
      </w:r>
    </w:p>
    <w:p w14:paraId="2E8ACA3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14:paraId="447BFB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5775AF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供应商（电子签章）：                      </w:t>
      </w:r>
    </w:p>
    <w:p w14:paraId="3E1D43C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15C73C6">
      <w:pPr>
        <w:spacing w:line="360" w:lineRule="auto"/>
        <w:rPr>
          <w:rFonts w:ascii="宋体" w:hAnsi="宋体" w:cs="宋体"/>
          <w:color w:val="auto"/>
          <w:szCs w:val="21"/>
          <w:highlight w:val="none"/>
        </w:rPr>
      </w:pPr>
    </w:p>
    <w:p w14:paraId="1F4C1923">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14:paraId="1A97ED1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14:paraId="570EA65F">
      <w:pPr>
        <w:spacing w:line="360" w:lineRule="auto"/>
        <w:ind w:firstLine="420" w:firstLineChars="200"/>
        <w:jc w:val="left"/>
        <w:rPr>
          <w:rFonts w:ascii="宋体" w:hAnsi="宋体" w:cs="宋体"/>
          <w:color w:val="auto"/>
          <w:szCs w:val="21"/>
          <w:highlight w:val="none"/>
        </w:rPr>
      </w:pPr>
    </w:p>
    <w:p w14:paraId="2E3962E4">
      <w:pPr>
        <w:spacing w:line="520" w:lineRule="exact"/>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6"/>
          <w:szCs w:val="36"/>
          <w:highlight w:val="none"/>
        </w:rPr>
        <w:t>授权委托书</w:t>
      </w:r>
    </w:p>
    <w:p w14:paraId="0D824D57">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14:paraId="6D15E228">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4669F324">
      <w:pPr>
        <w:spacing w:line="360" w:lineRule="auto"/>
        <w:rPr>
          <w:rFonts w:ascii="宋体" w:hAnsi="宋体" w:cs="宋体"/>
          <w:color w:val="auto"/>
          <w:sz w:val="32"/>
          <w:szCs w:val="32"/>
          <w:highlight w:val="none"/>
        </w:rPr>
      </w:pPr>
    </w:p>
    <w:p w14:paraId="3614822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（联合体其他成员名称）签订的《联合体竞标协议书》的内容，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（姓名）现授权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（姓名）为联合委托代理人，并代表我方全权办理针对上述项目的所有采购程序和环节的具体事务和签署相关文件。</w:t>
      </w:r>
    </w:p>
    <w:p w14:paraId="6BAC5C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我方对委托代理人的签字或者电子签名事项负全部责任。</w:t>
      </w:r>
    </w:p>
    <w:p w14:paraId="5442ED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72A0B4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195060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附：法定代表人身份证明书及委托代理人有效身份证正反面复印件</w:t>
      </w:r>
    </w:p>
    <w:p w14:paraId="1759DB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牵头人法定代表人（签字或者盖章或者电子签名）：</w:t>
      </w:r>
    </w:p>
    <w:p w14:paraId="532E8C1D">
      <w:pPr>
        <w:spacing w:line="360" w:lineRule="auto"/>
        <w:ind w:firstLine="2730" w:firstLineChars="1300"/>
        <w:rPr>
          <w:rFonts w:hint="eastAsia" w:ascii="宋体" w:hAnsi="宋体" w:cs="宋体"/>
          <w:color w:val="auto"/>
          <w:szCs w:val="21"/>
          <w:highlight w:val="none"/>
        </w:rPr>
      </w:pPr>
    </w:p>
    <w:p w14:paraId="7B0A4FA8">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牵头人（电子签章）：</w:t>
      </w:r>
    </w:p>
    <w:p w14:paraId="62F9D292">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14:paraId="15A192C3">
      <w:pPr>
        <w:spacing w:line="360" w:lineRule="auto"/>
        <w:rPr>
          <w:rFonts w:ascii="宋体" w:hAnsi="宋体" w:cs="宋体"/>
          <w:color w:val="auto"/>
          <w:szCs w:val="21"/>
          <w:highlight w:val="none"/>
        </w:rPr>
      </w:pPr>
    </w:p>
    <w:p w14:paraId="7A355F3F">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被授权人（签字或者电子签名）：</w:t>
      </w:r>
    </w:p>
    <w:p w14:paraId="0F9E27E9">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日期：    年   月   日</w:t>
      </w:r>
    </w:p>
    <w:p w14:paraId="7303C57F">
      <w:pPr>
        <w:spacing w:line="360" w:lineRule="auto"/>
        <w:rPr>
          <w:rFonts w:ascii="宋体" w:hAnsi="宋体" w:cs="宋体"/>
          <w:color w:val="auto"/>
          <w:szCs w:val="21"/>
          <w:highlight w:val="none"/>
        </w:rPr>
      </w:pPr>
    </w:p>
    <w:p w14:paraId="52F6435C">
      <w:pPr>
        <w:spacing w:line="360" w:lineRule="auto"/>
        <w:rPr>
          <w:rFonts w:ascii="宋体" w:hAnsi="宋体" w:cs="宋体"/>
          <w:color w:val="auto"/>
          <w:szCs w:val="21"/>
          <w:highlight w:val="none"/>
        </w:rPr>
      </w:pPr>
      <w:r>
        <w:rPr>
          <w:rFonts w:hint="eastAsia" w:ascii="宋体" w:hAnsi="宋体" w:cs="宋体"/>
          <w:color w:val="auto"/>
          <w:szCs w:val="21"/>
          <w:highlight w:val="none"/>
        </w:rPr>
        <w:t>注：1. 法定代表人必须在授权委托书上签字或者盖章或者电子签名，委托代理人必须在授权委托书上签字或者电子签名，</w:t>
      </w:r>
      <w:r>
        <w:rPr>
          <w:rFonts w:hint="eastAsia" w:ascii="宋体" w:hAnsi="宋体" w:cs="宋体"/>
          <w:b/>
          <w:color w:val="auto"/>
          <w:szCs w:val="21"/>
          <w:highlight w:val="none"/>
        </w:rPr>
        <w:t>否则其响应文件按无效响应处理。</w:t>
      </w:r>
    </w:p>
    <w:p w14:paraId="6C0891D2">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14:paraId="4C6BCB1D">
      <w:pPr>
        <w:spacing w:line="500" w:lineRule="exact"/>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Cs/>
          <w:color w:val="auto"/>
          <w:sz w:val="32"/>
          <w:szCs w:val="32"/>
          <w:highlight w:val="none"/>
        </w:rPr>
        <w:t>商务要求偏离表格式</w:t>
      </w:r>
    </w:p>
    <w:p w14:paraId="49AB2025">
      <w:pPr>
        <w:spacing w:line="500" w:lineRule="exact"/>
        <w:jc w:val="center"/>
        <w:rPr>
          <w:rFonts w:ascii="宋体" w:hAnsi="宋体" w:cs="宋体"/>
          <w:b/>
          <w:i/>
          <w:color w:val="auto"/>
          <w:sz w:val="32"/>
          <w:szCs w:val="32"/>
          <w:highlight w:val="none"/>
        </w:rPr>
      </w:pPr>
      <w:r>
        <w:rPr>
          <w:rFonts w:hint="eastAsia" w:ascii="宋体" w:hAnsi="宋体" w:eastAsia="宋体" w:cs="宋体"/>
          <w:color w:val="auto"/>
          <w:kern w:val="0"/>
          <w:sz w:val="21"/>
          <w:szCs w:val="21"/>
          <w:highlight w:val="none"/>
          <w:lang w:val="en-US" w:eastAsia="zh-CN" w:bidi="ar-SA"/>
        </w:rPr>
        <w:t>（注：按采购需求具体条款修改）</w:t>
      </w:r>
    </w:p>
    <w:p w14:paraId="6885DD45">
      <w:pPr>
        <w:snapToGrid w:val="0"/>
        <w:spacing w:before="50"/>
        <w:jc w:val="left"/>
        <w:rPr>
          <w:rFonts w:ascii="宋体" w:hAnsi="宋体" w:cs="宋体"/>
          <w:color w:val="auto"/>
          <w:sz w:val="24"/>
          <w:highlight w:val="none"/>
        </w:rPr>
      </w:pPr>
    </w:p>
    <w:p w14:paraId="6E24B495">
      <w:pPr>
        <w:pStyle w:val="15"/>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lang w:eastAsia="zh-CN"/>
        </w:rPr>
        <w:t>（</w:t>
      </w:r>
      <w:r>
        <w:rPr>
          <w:rFonts w:hint="eastAsia" w:hAnsi="宋体" w:cs="宋体"/>
          <w:color w:val="auto"/>
          <w:sz w:val="21"/>
          <w:highlight w:val="none"/>
          <w:lang w:val="en-US" w:eastAsia="zh-CN"/>
        </w:rPr>
        <w:t>如有）</w:t>
      </w:r>
      <w:r>
        <w:rPr>
          <w:rFonts w:hint="eastAsia" w:hAnsi="宋体" w:cs="宋体"/>
          <w:color w:val="auto"/>
          <w:sz w:val="21"/>
          <w:highlight w:val="none"/>
        </w:rPr>
        <w:t>：</w:t>
      </w:r>
      <w:r>
        <w:rPr>
          <w:rFonts w:hint="eastAsia" w:hAnsi="宋体" w:cs="宋体"/>
          <w:color w:val="auto"/>
          <w:sz w:val="21"/>
          <w:highlight w:val="none"/>
          <w:u w:val="single"/>
        </w:rPr>
        <w:t xml:space="preserve">              </w:t>
      </w:r>
    </w:p>
    <w:tbl>
      <w:tblPr>
        <w:tblStyle w:val="29"/>
        <w:tblW w:w="93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9"/>
        <w:gridCol w:w="2634"/>
        <w:gridCol w:w="1830"/>
      </w:tblGrid>
      <w:tr w14:paraId="775D5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113CC538">
            <w:pPr>
              <w:snapToGrid w:val="0"/>
              <w:spacing w:beforeLines="5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项号</w:t>
            </w:r>
          </w:p>
        </w:tc>
        <w:tc>
          <w:tcPr>
            <w:tcW w:w="2669" w:type="dxa"/>
            <w:tcBorders>
              <w:top w:val="single" w:color="auto" w:sz="4" w:space="0"/>
              <w:left w:val="single" w:color="auto" w:sz="4" w:space="0"/>
              <w:bottom w:val="single" w:color="auto" w:sz="4" w:space="0"/>
              <w:right w:val="single" w:color="auto" w:sz="4" w:space="0"/>
            </w:tcBorders>
            <w:vAlign w:val="center"/>
          </w:tcPr>
          <w:p w14:paraId="313635E6">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4" w:type="dxa"/>
            <w:tcBorders>
              <w:top w:val="single" w:color="auto" w:sz="4" w:space="0"/>
              <w:left w:val="single" w:color="auto" w:sz="4" w:space="0"/>
              <w:bottom w:val="single" w:color="auto" w:sz="4" w:space="0"/>
              <w:right w:val="single" w:color="auto" w:sz="4" w:space="0"/>
            </w:tcBorders>
            <w:vAlign w:val="center"/>
          </w:tcPr>
          <w:p w14:paraId="2190BB1F">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30" w:type="dxa"/>
            <w:tcBorders>
              <w:top w:val="single" w:color="auto" w:sz="4" w:space="0"/>
              <w:left w:val="single" w:color="auto" w:sz="4" w:space="0"/>
              <w:bottom w:val="single" w:color="auto" w:sz="4" w:space="0"/>
              <w:right w:val="single" w:color="auto" w:sz="4" w:space="0"/>
            </w:tcBorders>
            <w:vAlign w:val="center"/>
          </w:tcPr>
          <w:p w14:paraId="07D2E840">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6E02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644CA26C">
            <w:pPr>
              <w:keepNext w:val="0"/>
              <w:keepLines w:val="0"/>
              <w:pageBreakBefore w:val="0"/>
              <w:widowControl/>
              <w:tabs>
                <w:tab w:val="left" w:pos="5450"/>
              </w:tabs>
              <w:kinsoku/>
              <w:wordWrap/>
              <w:overflowPunct/>
              <w:autoSpaceDE/>
              <w:autoSpaceDN/>
              <w:bidi w:val="0"/>
              <w:adjustRightInd w:val="0"/>
              <w:snapToGrid w:val="0"/>
              <w:spacing w:line="400" w:lineRule="exact"/>
              <w:ind w:right="0" w:rightChars="0"/>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交付</w:t>
            </w:r>
            <w:r>
              <w:rPr>
                <w:rFonts w:hint="eastAsia" w:ascii="宋体" w:hAnsi="宋体" w:eastAsia="宋体" w:cs="宋体"/>
                <w:color w:val="auto"/>
                <w:sz w:val="21"/>
                <w:szCs w:val="21"/>
                <w:highlight w:val="none"/>
              </w:rPr>
              <w:t>要求</w:t>
            </w:r>
          </w:p>
        </w:tc>
        <w:tc>
          <w:tcPr>
            <w:tcW w:w="2669" w:type="dxa"/>
            <w:tcBorders>
              <w:top w:val="single" w:color="auto" w:sz="4" w:space="0"/>
              <w:left w:val="single" w:color="auto" w:sz="4" w:space="0"/>
              <w:bottom w:val="single" w:color="auto" w:sz="4" w:space="0"/>
              <w:right w:val="single" w:color="auto" w:sz="4" w:space="0"/>
            </w:tcBorders>
            <w:vAlign w:val="center"/>
          </w:tcPr>
          <w:p w14:paraId="4C8C942C">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178A7017">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14:paraId="5E78EB3B">
            <w:pPr>
              <w:snapToGrid w:val="0"/>
              <w:spacing w:beforeLines="50" w:line="360" w:lineRule="auto"/>
              <w:jc w:val="center"/>
              <w:rPr>
                <w:rFonts w:ascii="宋体" w:hAnsi="宋体" w:cs="宋体"/>
                <w:color w:val="auto"/>
                <w:szCs w:val="21"/>
                <w:highlight w:val="none"/>
              </w:rPr>
            </w:pPr>
          </w:p>
        </w:tc>
      </w:tr>
      <w:tr w14:paraId="61DA1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157CBDD0">
            <w:pPr>
              <w:keepNext w:val="0"/>
              <w:keepLines w:val="0"/>
              <w:pageBreakBefore w:val="0"/>
              <w:widowControl/>
              <w:tabs>
                <w:tab w:val="left" w:pos="5450"/>
              </w:tabs>
              <w:kinsoku/>
              <w:wordWrap/>
              <w:overflowPunct/>
              <w:autoSpaceDE/>
              <w:autoSpaceDN/>
              <w:bidi w:val="0"/>
              <w:adjustRightInd w:val="0"/>
              <w:snapToGrid w:val="0"/>
              <w:spacing w:line="400" w:lineRule="exact"/>
              <w:ind w:right="0" w:rightChars="0"/>
              <w:jc w:val="center"/>
              <w:rPr>
                <w:rFonts w:ascii="宋体" w:hAnsi="宋体" w:cs="宋体"/>
                <w:color w:val="auto"/>
                <w:szCs w:val="21"/>
                <w:highlight w:val="none"/>
              </w:rPr>
            </w:pPr>
            <w:r>
              <w:rPr>
                <w:rFonts w:hint="eastAsia" w:ascii="宋体" w:hAnsi="宋体" w:cs="宋体"/>
                <w:color w:val="auto"/>
                <w:szCs w:val="21"/>
                <w:highlight w:val="none"/>
              </w:rPr>
              <w:t>服务期及服务地点</w:t>
            </w:r>
          </w:p>
        </w:tc>
        <w:tc>
          <w:tcPr>
            <w:tcW w:w="2669" w:type="dxa"/>
            <w:tcBorders>
              <w:top w:val="single" w:color="auto" w:sz="4" w:space="0"/>
              <w:left w:val="single" w:color="auto" w:sz="4" w:space="0"/>
              <w:bottom w:val="single" w:color="auto" w:sz="4" w:space="0"/>
              <w:right w:val="single" w:color="auto" w:sz="4" w:space="0"/>
            </w:tcBorders>
            <w:vAlign w:val="center"/>
          </w:tcPr>
          <w:p w14:paraId="6CA1CC94">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0E32A93F">
            <w:pPr>
              <w:snapToGrid w:val="0"/>
              <w:spacing w:beforeLines="50" w:line="360" w:lineRule="auto"/>
              <w:ind w:left="43"/>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14:paraId="6DD9943F">
            <w:pPr>
              <w:snapToGrid w:val="0"/>
              <w:spacing w:beforeLines="50" w:line="360" w:lineRule="auto"/>
              <w:ind w:left="43"/>
              <w:jc w:val="center"/>
              <w:rPr>
                <w:rFonts w:ascii="宋体" w:hAnsi="宋体" w:cs="宋体"/>
                <w:color w:val="auto"/>
                <w:szCs w:val="21"/>
                <w:highlight w:val="none"/>
              </w:rPr>
            </w:pPr>
          </w:p>
        </w:tc>
      </w:tr>
      <w:tr w14:paraId="65801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6F24592D">
            <w:pPr>
              <w:keepNext w:val="0"/>
              <w:keepLines w:val="0"/>
              <w:pageBreakBefore w:val="0"/>
              <w:widowControl/>
              <w:kinsoku/>
              <w:wordWrap/>
              <w:overflowPunct/>
              <w:autoSpaceDE/>
              <w:autoSpaceDN/>
              <w:bidi w:val="0"/>
              <w:spacing w:line="400" w:lineRule="exact"/>
              <w:ind w:right="0" w:rightChars="0"/>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669" w:type="dxa"/>
            <w:tcBorders>
              <w:top w:val="single" w:color="auto" w:sz="4" w:space="0"/>
              <w:left w:val="single" w:color="auto" w:sz="4" w:space="0"/>
              <w:bottom w:val="single" w:color="auto" w:sz="4" w:space="0"/>
              <w:right w:val="single" w:color="auto" w:sz="4" w:space="0"/>
            </w:tcBorders>
            <w:vAlign w:val="center"/>
          </w:tcPr>
          <w:p w14:paraId="3D579B08">
            <w:pPr>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A581D62">
            <w:pPr>
              <w:snapToGrid w:val="0"/>
              <w:spacing w:beforeLines="50" w:line="360" w:lineRule="auto"/>
              <w:ind w:left="43"/>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14:paraId="566928AD">
            <w:pPr>
              <w:snapToGrid w:val="0"/>
              <w:spacing w:beforeLines="50" w:line="360" w:lineRule="auto"/>
              <w:ind w:left="43"/>
              <w:jc w:val="center"/>
              <w:rPr>
                <w:rFonts w:ascii="宋体" w:hAnsi="宋体" w:cs="宋体"/>
                <w:color w:val="auto"/>
                <w:szCs w:val="21"/>
                <w:highlight w:val="none"/>
              </w:rPr>
            </w:pPr>
          </w:p>
        </w:tc>
      </w:tr>
      <w:tr w14:paraId="77BE5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03674A04">
            <w:pPr>
              <w:keepNext w:val="0"/>
              <w:keepLines w:val="0"/>
              <w:pageBreakBefore w:val="0"/>
              <w:widowControl/>
              <w:kinsoku/>
              <w:wordWrap/>
              <w:overflowPunct/>
              <w:autoSpaceDE/>
              <w:autoSpaceDN/>
              <w:bidi w:val="0"/>
              <w:spacing w:line="400" w:lineRule="exact"/>
              <w:ind w:right="0" w:rightChars="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2669" w:type="dxa"/>
            <w:tcBorders>
              <w:top w:val="single" w:color="auto" w:sz="4" w:space="0"/>
              <w:left w:val="single" w:color="auto" w:sz="4" w:space="0"/>
              <w:bottom w:val="single" w:color="auto" w:sz="4" w:space="0"/>
              <w:right w:val="single" w:color="auto" w:sz="4" w:space="0"/>
            </w:tcBorders>
            <w:vAlign w:val="center"/>
          </w:tcPr>
          <w:p w14:paraId="763E1245">
            <w:pPr>
              <w:snapToGrid w:val="0"/>
              <w:spacing w:beforeLines="50" w:line="360" w:lineRule="auto"/>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67ED709">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14:paraId="04107D7E">
            <w:pPr>
              <w:snapToGrid w:val="0"/>
              <w:spacing w:beforeLines="50" w:line="360" w:lineRule="auto"/>
              <w:jc w:val="center"/>
              <w:rPr>
                <w:rFonts w:ascii="宋体" w:hAnsi="宋体" w:cs="宋体"/>
                <w:color w:val="auto"/>
                <w:szCs w:val="21"/>
                <w:highlight w:val="none"/>
              </w:rPr>
            </w:pPr>
          </w:p>
        </w:tc>
      </w:tr>
      <w:tr w14:paraId="0464A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tcBorders>
              <w:top w:val="single" w:color="auto" w:sz="4" w:space="0"/>
              <w:left w:val="single" w:color="auto" w:sz="4" w:space="0"/>
              <w:bottom w:val="single" w:color="auto" w:sz="4" w:space="0"/>
              <w:right w:val="single" w:color="auto" w:sz="4" w:space="0"/>
            </w:tcBorders>
            <w:vAlign w:val="center"/>
          </w:tcPr>
          <w:p w14:paraId="764A883C">
            <w:pPr>
              <w:keepNext w:val="0"/>
              <w:keepLines w:val="0"/>
              <w:pageBreakBefore w:val="0"/>
              <w:widowControl/>
              <w:kinsoku/>
              <w:wordWrap/>
              <w:overflowPunct/>
              <w:autoSpaceDE/>
              <w:autoSpaceDN/>
              <w:bidi w:val="0"/>
              <w:spacing w:line="400" w:lineRule="exact"/>
              <w:ind w:right="0" w:rightChars="0"/>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2669" w:type="dxa"/>
            <w:tcBorders>
              <w:top w:val="single" w:color="auto" w:sz="4" w:space="0"/>
              <w:left w:val="single" w:color="auto" w:sz="4" w:space="0"/>
              <w:bottom w:val="single" w:color="auto" w:sz="4" w:space="0"/>
              <w:right w:val="single" w:color="auto" w:sz="4" w:space="0"/>
            </w:tcBorders>
            <w:vAlign w:val="center"/>
          </w:tcPr>
          <w:p w14:paraId="04E95047">
            <w:pPr>
              <w:snapToGrid w:val="0"/>
              <w:spacing w:beforeLines="50" w:line="360" w:lineRule="auto"/>
              <w:jc w:val="center"/>
              <w:rPr>
                <w:rFonts w:ascii="宋体" w:hAnsi="宋体" w:cs="宋体"/>
                <w:color w:val="auto"/>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A779162">
            <w:pPr>
              <w:snapToGrid w:val="0"/>
              <w:spacing w:beforeLines="50" w:line="360" w:lineRule="auto"/>
              <w:jc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14:paraId="7AA8BE97">
            <w:pPr>
              <w:snapToGrid w:val="0"/>
              <w:spacing w:beforeLines="50" w:line="360" w:lineRule="auto"/>
              <w:jc w:val="center"/>
              <w:rPr>
                <w:rFonts w:ascii="宋体" w:hAnsi="宋体" w:cs="宋体"/>
                <w:color w:val="auto"/>
                <w:szCs w:val="21"/>
                <w:highlight w:val="none"/>
              </w:rPr>
            </w:pPr>
          </w:p>
        </w:tc>
      </w:tr>
    </w:tbl>
    <w:p w14:paraId="21E5AA25">
      <w:pPr>
        <w:pStyle w:val="11"/>
        <w:spacing w:after="0" w:line="360" w:lineRule="auto"/>
        <w:contextualSpacing/>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w:t>
      </w:r>
    </w:p>
    <w:p w14:paraId="050BA433">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1.说明：应对照谈判文件“第三章 采购需求”中的商务要求逐条明确响应，并作出偏离说明。</w:t>
      </w:r>
    </w:p>
    <w:p w14:paraId="59FBB596">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2.供应商应根据自身的承诺，对照谈判文件要求在“偏离说明”中注明“正偏离”、“负偏离”或者“无偏离”。既不属于“正偏离”也不属于“负偏离”即为“无偏离”。</w:t>
      </w:r>
    </w:p>
    <w:p w14:paraId="37D28404">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不按照要求填写响应内容的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按无效竞标处理。</w:t>
      </w:r>
    </w:p>
    <w:p w14:paraId="18065931">
      <w:pPr>
        <w:spacing w:line="360" w:lineRule="auto"/>
        <w:jc w:val="left"/>
        <w:rPr>
          <w:rFonts w:ascii="宋体" w:hAnsi="宋体" w:cs="宋体"/>
          <w:color w:val="auto"/>
          <w:szCs w:val="21"/>
          <w:highlight w:val="none"/>
          <w:u w:val="single"/>
        </w:rPr>
      </w:pPr>
    </w:p>
    <w:p w14:paraId="2F77B2EC">
      <w:pPr>
        <w:spacing w:line="360" w:lineRule="auto"/>
        <w:ind w:right="-817" w:rightChars="-389"/>
        <w:contextualSpacing/>
        <w:rPr>
          <w:rFonts w:ascii="宋体" w:hAnsi="宋体" w:cs="宋体"/>
          <w:color w:val="auto"/>
          <w:szCs w:val="21"/>
          <w:highlight w:val="none"/>
        </w:rPr>
      </w:pPr>
    </w:p>
    <w:p w14:paraId="023B0115">
      <w:pPr>
        <w:spacing w:line="360" w:lineRule="auto"/>
        <w:ind w:right="-817" w:rightChars="-389"/>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法定代表人或者委托代理人（签字或者电子签名）：</w:t>
      </w:r>
      <w:r>
        <w:rPr>
          <w:rFonts w:hint="eastAsia" w:ascii="宋体" w:hAnsi="宋体" w:cs="宋体"/>
          <w:color w:val="auto"/>
          <w:szCs w:val="21"/>
          <w:highlight w:val="none"/>
          <w:u w:val="single"/>
          <w:lang w:val="en-US" w:eastAsia="zh-CN"/>
        </w:rPr>
        <w:t xml:space="preserve">             </w:t>
      </w:r>
    </w:p>
    <w:p w14:paraId="043D63A8">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p w14:paraId="252083FC">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14:paraId="12A5733E">
      <w:pPr>
        <w:adjustRightInd w:val="0"/>
        <w:snapToGrid w:val="0"/>
        <w:spacing w:line="520" w:lineRule="exact"/>
        <w:ind w:firstLine="7040" w:firstLineChars="1600"/>
        <w:jc w:val="center"/>
        <w:rPr>
          <w:rFonts w:ascii="宋体" w:hAnsi="宋体" w:cs="宋体"/>
          <w:bCs/>
          <w:color w:val="auto"/>
          <w:sz w:val="44"/>
          <w:szCs w:val="44"/>
          <w:highlight w:val="none"/>
        </w:rPr>
      </w:pPr>
    </w:p>
    <w:p w14:paraId="563285DA">
      <w:pPr>
        <w:spacing w:line="360" w:lineRule="auto"/>
        <w:ind w:right="-817" w:rightChars="-389" w:firstLine="5280" w:firstLineChars="1200"/>
        <w:contextualSpacing/>
        <w:rPr>
          <w:rFonts w:ascii="宋体" w:hAnsi="宋体" w:cs="宋体"/>
          <w:b/>
          <w:color w:val="auto"/>
          <w:szCs w:val="21"/>
          <w:highlight w:val="none"/>
        </w:rPr>
      </w:pPr>
      <w:r>
        <w:rPr>
          <w:rFonts w:hint="eastAsia" w:ascii="宋体" w:hAnsi="宋体" w:cs="宋体"/>
          <w:bCs/>
          <w:color w:val="auto"/>
          <w:sz w:val="44"/>
          <w:szCs w:val="44"/>
          <w:highlight w:val="none"/>
        </w:rPr>
        <w:br w:type="page"/>
      </w:r>
    </w:p>
    <w:p w14:paraId="5440EEF4">
      <w:pPr>
        <w:adjustRightInd w:val="0"/>
        <w:snapToGrid w:val="0"/>
        <w:spacing w:line="30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服务需求</w:t>
      </w:r>
      <w:r>
        <w:rPr>
          <w:rFonts w:hint="eastAsia" w:ascii="宋体" w:hAnsi="宋体" w:cs="宋体"/>
          <w:bCs/>
          <w:color w:val="auto"/>
          <w:sz w:val="32"/>
          <w:szCs w:val="32"/>
          <w:highlight w:val="none"/>
        </w:rPr>
        <w:t>偏离表</w:t>
      </w:r>
    </w:p>
    <w:p w14:paraId="318E4A81">
      <w:pPr>
        <w:spacing w:line="520" w:lineRule="exact"/>
        <w:rPr>
          <w:rFonts w:ascii="宋体" w:hAnsi="宋体" w:cs="宋体"/>
          <w:color w:val="auto"/>
          <w:sz w:val="32"/>
          <w:szCs w:val="32"/>
          <w:highlight w:val="none"/>
        </w:rPr>
      </w:pPr>
    </w:p>
    <w:p w14:paraId="04966EE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14:paraId="3AEDEDFC">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42BC69D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bl>
      <w:tblPr>
        <w:tblStyle w:val="29"/>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8"/>
        <w:gridCol w:w="3048"/>
        <w:gridCol w:w="2743"/>
        <w:gridCol w:w="1497"/>
      </w:tblGrid>
      <w:tr w14:paraId="789454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4" w:space="0"/>
              <w:left w:val="single" w:color="auto" w:sz="4" w:space="0"/>
              <w:bottom w:val="single" w:color="auto" w:sz="6" w:space="0"/>
              <w:right w:val="single" w:color="auto" w:sz="6" w:space="0"/>
            </w:tcBorders>
            <w:vAlign w:val="center"/>
          </w:tcPr>
          <w:p w14:paraId="1F14F1A0">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918" w:type="dxa"/>
            <w:tcBorders>
              <w:top w:val="single" w:color="auto" w:sz="4" w:space="0"/>
              <w:left w:val="single" w:color="auto" w:sz="6" w:space="0"/>
              <w:bottom w:val="single" w:color="auto" w:sz="6" w:space="0"/>
              <w:right w:val="single" w:color="auto" w:sz="4" w:space="0"/>
            </w:tcBorders>
            <w:vAlign w:val="center"/>
          </w:tcPr>
          <w:p w14:paraId="01DAFE75">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3048" w:type="dxa"/>
            <w:tcBorders>
              <w:top w:val="single" w:color="auto" w:sz="4" w:space="0"/>
              <w:left w:val="single" w:color="auto" w:sz="4" w:space="0"/>
              <w:bottom w:val="single" w:color="auto" w:sz="6" w:space="0"/>
              <w:right w:val="single" w:color="auto" w:sz="6" w:space="0"/>
            </w:tcBorders>
            <w:vAlign w:val="center"/>
          </w:tcPr>
          <w:p w14:paraId="27AEE83F">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谈判文件要求</w:t>
            </w:r>
          </w:p>
        </w:tc>
        <w:tc>
          <w:tcPr>
            <w:tcW w:w="2743" w:type="dxa"/>
            <w:tcBorders>
              <w:top w:val="single" w:color="auto" w:sz="4" w:space="0"/>
              <w:left w:val="single" w:color="auto" w:sz="6" w:space="0"/>
              <w:bottom w:val="single" w:color="auto" w:sz="6" w:space="0"/>
              <w:right w:val="single" w:color="auto" w:sz="6" w:space="0"/>
            </w:tcBorders>
            <w:vAlign w:val="center"/>
          </w:tcPr>
          <w:p w14:paraId="401AD963">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竞标响应</w:t>
            </w:r>
          </w:p>
        </w:tc>
        <w:tc>
          <w:tcPr>
            <w:tcW w:w="1497" w:type="dxa"/>
            <w:tcBorders>
              <w:top w:val="single" w:color="auto" w:sz="4" w:space="0"/>
              <w:left w:val="single" w:color="auto" w:sz="6" w:space="0"/>
              <w:bottom w:val="single" w:color="auto" w:sz="6" w:space="0"/>
              <w:right w:val="single" w:color="auto" w:sz="4" w:space="0"/>
            </w:tcBorders>
            <w:vAlign w:val="center"/>
          </w:tcPr>
          <w:p w14:paraId="22AE5D77">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r>
      <w:tr w14:paraId="07434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14:paraId="2F1ABF23">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918" w:type="dxa"/>
            <w:tcBorders>
              <w:top w:val="single" w:color="auto" w:sz="6" w:space="0"/>
              <w:left w:val="single" w:color="auto" w:sz="6" w:space="0"/>
              <w:bottom w:val="single" w:color="auto" w:sz="6" w:space="0"/>
              <w:right w:val="single" w:color="auto" w:sz="4" w:space="0"/>
            </w:tcBorders>
            <w:vAlign w:val="center"/>
          </w:tcPr>
          <w:p w14:paraId="0795DE99">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14:paraId="1C2E223B">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14:paraId="41DB95C5">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14:paraId="1C6B7933">
            <w:pPr>
              <w:pStyle w:val="13"/>
              <w:spacing w:line="360" w:lineRule="auto"/>
              <w:ind w:firstLine="0" w:firstLineChars="0"/>
              <w:jc w:val="center"/>
              <w:rPr>
                <w:rFonts w:ascii="宋体" w:hAnsi="宋体" w:eastAsia="宋体" w:cs="宋体"/>
                <w:color w:val="auto"/>
                <w:kern w:val="2"/>
                <w:sz w:val="21"/>
                <w:szCs w:val="21"/>
                <w:highlight w:val="none"/>
              </w:rPr>
            </w:pPr>
          </w:p>
        </w:tc>
      </w:tr>
      <w:tr w14:paraId="05052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14:paraId="5B3B6AD0">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918" w:type="dxa"/>
            <w:tcBorders>
              <w:top w:val="single" w:color="auto" w:sz="6" w:space="0"/>
              <w:left w:val="single" w:color="auto" w:sz="6" w:space="0"/>
              <w:bottom w:val="single" w:color="auto" w:sz="6" w:space="0"/>
              <w:right w:val="single" w:color="auto" w:sz="4" w:space="0"/>
            </w:tcBorders>
            <w:vAlign w:val="center"/>
          </w:tcPr>
          <w:p w14:paraId="3117B08E">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14:paraId="126162EA">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14:paraId="14637B77">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14:paraId="3D6A10E0">
            <w:pPr>
              <w:pStyle w:val="13"/>
              <w:spacing w:line="360" w:lineRule="auto"/>
              <w:ind w:firstLine="0" w:firstLineChars="0"/>
              <w:jc w:val="center"/>
              <w:rPr>
                <w:rFonts w:ascii="宋体" w:hAnsi="宋体" w:eastAsia="宋体" w:cs="宋体"/>
                <w:color w:val="auto"/>
                <w:kern w:val="2"/>
                <w:sz w:val="21"/>
                <w:szCs w:val="21"/>
                <w:highlight w:val="none"/>
              </w:rPr>
            </w:pPr>
          </w:p>
        </w:tc>
      </w:tr>
      <w:tr w14:paraId="6C010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14:paraId="39538EDD">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918" w:type="dxa"/>
            <w:tcBorders>
              <w:top w:val="single" w:color="auto" w:sz="6" w:space="0"/>
              <w:left w:val="single" w:color="auto" w:sz="6" w:space="0"/>
              <w:bottom w:val="single" w:color="auto" w:sz="6" w:space="0"/>
              <w:right w:val="single" w:color="auto" w:sz="4" w:space="0"/>
            </w:tcBorders>
            <w:vAlign w:val="center"/>
          </w:tcPr>
          <w:p w14:paraId="42D9D99C">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14:paraId="435E0D23">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14:paraId="4B1CCB45">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14:paraId="24285EC1">
            <w:pPr>
              <w:pStyle w:val="13"/>
              <w:spacing w:line="360" w:lineRule="auto"/>
              <w:ind w:firstLine="0" w:firstLineChars="0"/>
              <w:jc w:val="center"/>
              <w:rPr>
                <w:rFonts w:ascii="宋体" w:hAnsi="宋体" w:eastAsia="宋体" w:cs="宋体"/>
                <w:color w:val="auto"/>
                <w:kern w:val="2"/>
                <w:sz w:val="21"/>
                <w:szCs w:val="21"/>
                <w:highlight w:val="none"/>
              </w:rPr>
            </w:pPr>
          </w:p>
        </w:tc>
      </w:tr>
      <w:tr w14:paraId="6F1E9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14:paraId="27522D42">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918" w:type="dxa"/>
            <w:tcBorders>
              <w:top w:val="single" w:color="auto" w:sz="6" w:space="0"/>
              <w:left w:val="single" w:color="auto" w:sz="6" w:space="0"/>
              <w:bottom w:val="single" w:color="auto" w:sz="6" w:space="0"/>
              <w:right w:val="single" w:color="auto" w:sz="4" w:space="0"/>
            </w:tcBorders>
            <w:vAlign w:val="center"/>
          </w:tcPr>
          <w:p w14:paraId="1F56118C">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14:paraId="31D46201">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14:paraId="02FAF6E1">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14:paraId="14FA7FB1">
            <w:pPr>
              <w:pStyle w:val="13"/>
              <w:spacing w:line="360" w:lineRule="auto"/>
              <w:ind w:firstLine="0" w:firstLineChars="0"/>
              <w:jc w:val="center"/>
              <w:rPr>
                <w:rFonts w:ascii="宋体" w:hAnsi="宋体" w:eastAsia="宋体" w:cs="宋体"/>
                <w:color w:val="auto"/>
                <w:kern w:val="2"/>
                <w:sz w:val="21"/>
                <w:szCs w:val="21"/>
                <w:highlight w:val="none"/>
              </w:rPr>
            </w:pPr>
          </w:p>
        </w:tc>
      </w:tr>
      <w:tr w14:paraId="4155E3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14:paraId="06092214">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918" w:type="dxa"/>
            <w:tcBorders>
              <w:top w:val="single" w:color="auto" w:sz="6" w:space="0"/>
              <w:left w:val="single" w:color="auto" w:sz="6" w:space="0"/>
              <w:bottom w:val="single" w:color="auto" w:sz="6" w:space="0"/>
              <w:right w:val="single" w:color="auto" w:sz="4" w:space="0"/>
            </w:tcBorders>
            <w:vAlign w:val="center"/>
          </w:tcPr>
          <w:p w14:paraId="0AA1D54D">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6" w:space="0"/>
              <w:right w:val="single" w:color="auto" w:sz="6" w:space="0"/>
            </w:tcBorders>
            <w:vAlign w:val="center"/>
          </w:tcPr>
          <w:p w14:paraId="7B1F62B1">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6" w:space="0"/>
              <w:right w:val="single" w:color="auto" w:sz="6" w:space="0"/>
            </w:tcBorders>
            <w:vAlign w:val="center"/>
          </w:tcPr>
          <w:p w14:paraId="68B83530">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6" w:space="0"/>
              <w:right w:val="single" w:color="auto" w:sz="4" w:space="0"/>
            </w:tcBorders>
            <w:vAlign w:val="center"/>
          </w:tcPr>
          <w:p w14:paraId="210A1205">
            <w:pPr>
              <w:pStyle w:val="13"/>
              <w:spacing w:line="360" w:lineRule="auto"/>
              <w:ind w:firstLine="0" w:firstLineChars="0"/>
              <w:jc w:val="center"/>
              <w:rPr>
                <w:rFonts w:ascii="宋体" w:hAnsi="宋体" w:eastAsia="宋体" w:cs="宋体"/>
                <w:color w:val="auto"/>
                <w:kern w:val="2"/>
                <w:sz w:val="21"/>
                <w:szCs w:val="21"/>
                <w:highlight w:val="none"/>
              </w:rPr>
            </w:pPr>
          </w:p>
        </w:tc>
      </w:tr>
      <w:tr w14:paraId="43E5D0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 w:type="dxa"/>
            <w:tcBorders>
              <w:top w:val="single" w:color="auto" w:sz="6" w:space="0"/>
              <w:left w:val="single" w:color="auto" w:sz="4" w:space="0"/>
              <w:bottom w:val="single" w:color="auto" w:sz="4" w:space="0"/>
              <w:right w:val="single" w:color="auto" w:sz="6" w:space="0"/>
            </w:tcBorders>
            <w:vAlign w:val="center"/>
          </w:tcPr>
          <w:p w14:paraId="4899114A">
            <w:pPr>
              <w:pStyle w:val="13"/>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918" w:type="dxa"/>
            <w:tcBorders>
              <w:top w:val="single" w:color="auto" w:sz="6" w:space="0"/>
              <w:left w:val="single" w:color="auto" w:sz="6" w:space="0"/>
              <w:bottom w:val="single" w:color="auto" w:sz="4" w:space="0"/>
              <w:right w:val="single" w:color="auto" w:sz="4" w:space="0"/>
            </w:tcBorders>
            <w:vAlign w:val="center"/>
          </w:tcPr>
          <w:p w14:paraId="3B826DD2">
            <w:pPr>
              <w:pStyle w:val="13"/>
              <w:spacing w:line="360" w:lineRule="auto"/>
              <w:ind w:firstLine="0" w:firstLineChars="0"/>
              <w:jc w:val="center"/>
              <w:rPr>
                <w:rFonts w:ascii="宋体" w:hAnsi="宋体" w:eastAsia="宋体" w:cs="宋体"/>
                <w:color w:val="auto"/>
                <w:kern w:val="2"/>
                <w:sz w:val="21"/>
                <w:szCs w:val="21"/>
                <w:highlight w:val="none"/>
              </w:rPr>
            </w:pPr>
          </w:p>
        </w:tc>
        <w:tc>
          <w:tcPr>
            <w:tcW w:w="3048" w:type="dxa"/>
            <w:tcBorders>
              <w:top w:val="single" w:color="auto" w:sz="6" w:space="0"/>
              <w:left w:val="single" w:color="auto" w:sz="4" w:space="0"/>
              <w:bottom w:val="single" w:color="auto" w:sz="4" w:space="0"/>
              <w:right w:val="single" w:color="auto" w:sz="6" w:space="0"/>
            </w:tcBorders>
            <w:vAlign w:val="center"/>
          </w:tcPr>
          <w:p w14:paraId="28282672">
            <w:pPr>
              <w:pStyle w:val="13"/>
              <w:spacing w:line="360" w:lineRule="auto"/>
              <w:ind w:firstLine="0" w:firstLineChars="0"/>
              <w:jc w:val="center"/>
              <w:rPr>
                <w:rFonts w:ascii="宋体" w:hAnsi="宋体" w:eastAsia="宋体" w:cs="宋体"/>
                <w:color w:val="auto"/>
                <w:kern w:val="2"/>
                <w:sz w:val="21"/>
                <w:szCs w:val="21"/>
                <w:highlight w:val="none"/>
              </w:rPr>
            </w:pPr>
          </w:p>
        </w:tc>
        <w:tc>
          <w:tcPr>
            <w:tcW w:w="2743" w:type="dxa"/>
            <w:tcBorders>
              <w:top w:val="single" w:color="auto" w:sz="6" w:space="0"/>
              <w:left w:val="single" w:color="auto" w:sz="6" w:space="0"/>
              <w:bottom w:val="single" w:color="auto" w:sz="4" w:space="0"/>
              <w:right w:val="single" w:color="auto" w:sz="6" w:space="0"/>
            </w:tcBorders>
            <w:vAlign w:val="center"/>
          </w:tcPr>
          <w:p w14:paraId="02406714">
            <w:pPr>
              <w:pStyle w:val="13"/>
              <w:spacing w:line="360" w:lineRule="auto"/>
              <w:ind w:firstLine="0" w:firstLineChars="0"/>
              <w:jc w:val="center"/>
              <w:rPr>
                <w:rFonts w:ascii="宋体" w:hAnsi="宋体" w:eastAsia="宋体" w:cs="宋体"/>
                <w:color w:val="auto"/>
                <w:kern w:val="2"/>
                <w:sz w:val="21"/>
                <w:szCs w:val="21"/>
                <w:highlight w:val="none"/>
              </w:rPr>
            </w:pPr>
          </w:p>
        </w:tc>
        <w:tc>
          <w:tcPr>
            <w:tcW w:w="1497" w:type="dxa"/>
            <w:tcBorders>
              <w:top w:val="single" w:color="auto" w:sz="6" w:space="0"/>
              <w:left w:val="single" w:color="auto" w:sz="6" w:space="0"/>
              <w:bottom w:val="single" w:color="auto" w:sz="4" w:space="0"/>
              <w:right w:val="single" w:color="auto" w:sz="4" w:space="0"/>
            </w:tcBorders>
            <w:vAlign w:val="center"/>
          </w:tcPr>
          <w:p w14:paraId="1BBFFFB4">
            <w:pPr>
              <w:pStyle w:val="13"/>
              <w:spacing w:line="360" w:lineRule="auto"/>
              <w:ind w:firstLine="0" w:firstLineChars="0"/>
              <w:jc w:val="center"/>
              <w:rPr>
                <w:rFonts w:ascii="宋体" w:hAnsi="宋体" w:eastAsia="宋体" w:cs="宋体"/>
                <w:color w:val="auto"/>
                <w:kern w:val="2"/>
                <w:sz w:val="21"/>
                <w:szCs w:val="21"/>
                <w:highlight w:val="none"/>
              </w:rPr>
            </w:pPr>
          </w:p>
        </w:tc>
      </w:tr>
    </w:tbl>
    <w:p w14:paraId="669D3F4E">
      <w:pPr>
        <w:pStyle w:val="13"/>
        <w:spacing w:line="360" w:lineRule="auto"/>
        <w:ind w:firstLine="0" w:firstLineChars="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7BD08B6C">
      <w:pPr>
        <w:pStyle w:val="13"/>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1.说明：应对照谈判文件“第三章 采购需求”中的内容和要求逐条实质性响应，并作出偏离说明。</w:t>
      </w:r>
    </w:p>
    <w:p w14:paraId="64A45CB3">
      <w:pPr>
        <w:pStyle w:val="13"/>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w:t>
      </w:r>
      <w:r>
        <w:rPr>
          <w:rFonts w:hint="eastAsia" w:ascii="宋体" w:hAnsi="宋体" w:eastAsia="宋体" w:cs="宋体"/>
          <w:color w:val="auto"/>
          <w:sz w:val="21"/>
          <w:szCs w:val="21"/>
          <w:highlight w:val="none"/>
          <w:lang w:val="en-US" w:eastAsia="zh-CN"/>
        </w:rPr>
        <w:t>实际情况</w:t>
      </w:r>
      <w:r>
        <w:rPr>
          <w:rFonts w:hint="eastAsia" w:ascii="宋体" w:hAnsi="宋体" w:eastAsia="宋体" w:cs="宋体"/>
          <w:color w:val="auto"/>
          <w:sz w:val="21"/>
          <w:szCs w:val="21"/>
          <w:highlight w:val="none"/>
        </w:rPr>
        <w:t>，对照谈判文件要求，在“偏离说明”中注明“正偏离”、“负偏离”或者“无偏离”。既不属于“正偏离”也不属于“负偏离”即为“无偏离”。</w:t>
      </w:r>
    </w:p>
    <w:p w14:paraId="15E8FC09">
      <w:pPr>
        <w:pStyle w:val="13"/>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3.供应商认为其竞标响应有正偏离的，请在服务需求偏离表中列明。</w:t>
      </w:r>
    </w:p>
    <w:p w14:paraId="19797B63">
      <w:pPr>
        <w:pStyle w:val="13"/>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4.如服务需求偏离表中的竞标响应与佐证材料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rPr>
        <w:t>不一致的，以佐证材料为准。</w:t>
      </w:r>
    </w:p>
    <w:p w14:paraId="56EB907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不按照要求填写响应内容的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按无效竞标处理。</w:t>
      </w:r>
    </w:p>
    <w:p w14:paraId="00E575F5">
      <w:pPr>
        <w:pStyle w:val="13"/>
        <w:spacing w:line="360" w:lineRule="auto"/>
        <w:ind w:firstLine="0" w:firstLineChars="0"/>
        <w:rPr>
          <w:rFonts w:ascii="宋体" w:hAnsi="宋体" w:eastAsia="宋体" w:cs="宋体"/>
          <w:color w:val="auto"/>
          <w:sz w:val="21"/>
          <w:szCs w:val="21"/>
          <w:highlight w:val="none"/>
        </w:rPr>
      </w:pPr>
    </w:p>
    <w:p w14:paraId="216A159F">
      <w:pPr>
        <w:spacing w:line="360" w:lineRule="auto"/>
        <w:ind w:right="-817" w:rightChars="-389"/>
        <w:contextualSpacing/>
        <w:rPr>
          <w:rFonts w:ascii="宋体" w:hAnsi="宋体" w:cs="宋体"/>
          <w:color w:val="auto"/>
          <w:szCs w:val="21"/>
          <w:highlight w:val="none"/>
        </w:rPr>
      </w:pPr>
    </w:p>
    <w:p w14:paraId="17E6C88C">
      <w:pPr>
        <w:spacing w:line="360" w:lineRule="auto"/>
        <w:ind w:right="-817" w:rightChars="-389"/>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法定代表人或者委托代理人（签字或者电子签名）：</w:t>
      </w:r>
      <w:r>
        <w:rPr>
          <w:rFonts w:hint="eastAsia" w:ascii="宋体" w:hAnsi="宋体" w:cs="宋体"/>
          <w:color w:val="auto"/>
          <w:szCs w:val="21"/>
          <w:highlight w:val="none"/>
          <w:u w:val="single"/>
          <w:lang w:val="en-US" w:eastAsia="zh-CN"/>
        </w:rPr>
        <w:t xml:space="preserve">           </w:t>
      </w:r>
    </w:p>
    <w:p w14:paraId="5A152666">
      <w:pPr>
        <w:spacing w:line="360" w:lineRule="auto"/>
        <w:ind w:right="-817" w:rightChars="-389" w:firstLine="2520" w:firstLineChars="1200"/>
        <w:contextualSpacing/>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43B32C8B">
      <w:pPr>
        <w:spacing w:line="360" w:lineRule="auto"/>
        <w:ind w:right="-817" w:rightChars="-389" w:firstLine="2520" w:firstLineChars="1200"/>
        <w:contextualSpacing/>
        <w:rPr>
          <w:rFonts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0FDDB9E4">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14:paraId="06FD8FFD">
      <w:pPr>
        <w:pStyle w:val="15"/>
        <w:spacing w:line="500" w:lineRule="exact"/>
        <w:jc w:val="center"/>
        <w:rPr>
          <w:rFonts w:hAnsi="宋体"/>
          <w:b/>
          <w:bCs/>
          <w:color w:val="auto"/>
          <w:sz w:val="30"/>
          <w:szCs w:val="30"/>
        </w:rPr>
      </w:pPr>
      <w:r>
        <w:rPr>
          <w:rFonts w:hAnsi="宋体"/>
          <w:b/>
          <w:bCs/>
          <w:color w:val="auto"/>
          <w:sz w:val="30"/>
          <w:szCs w:val="30"/>
        </w:rPr>
        <w:t>中小企业声明函（</w:t>
      </w:r>
      <w:r>
        <w:rPr>
          <w:rFonts w:hint="eastAsia" w:hAnsi="宋体"/>
          <w:b/>
          <w:bCs/>
          <w:color w:val="auto"/>
          <w:sz w:val="30"/>
          <w:szCs w:val="30"/>
        </w:rPr>
        <w:t>服务</w:t>
      </w:r>
      <w:r>
        <w:rPr>
          <w:rFonts w:hAnsi="宋体"/>
          <w:b/>
          <w:bCs/>
          <w:color w:val="auto"/>
          <w:sz w:val="30"/>
          <w:szCs w:val="30"/>
        </w:rPr>
        <w:t>）</w:t>
      </w:r>
    </w:p>
    <w:p w14:paraId="0CC93B92">
      <w:pPr>
        <w:rPr>
          <w:color w:val="auto"/>
        </w:rPr>
      </w:pPr>
    </w:p>
    <w:p w14:paraId="114D3DCC">
      <w:pPr>
        <w:pStyle w:val="15"/>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color w:val="auto"/>
          <w:sz w:val="21"/>
          <w:szCs w:val="21"/>
        </w:rPr>
      </w:pPr>
      <w:r>
        <w:rPr>
          <w:rFonts w:hint="eastAsia"/>
          <w:color w:val="auto"/>
          <w:sz w:val="21"/>
          <w:szCs w:val="21"/>
        </w:rPr>
        <w:t>本公司（联合体）郑重声明，根据《政府采购促进中小企业发展管理办法》（财库﹝2020﹞46 号）的规定，本公司（联合体）参加</w:t>
      </w:r>
      <w:r>
        <w:rPr>
          <w:rFonts w:hint="eastAsia"/>
          <w:color w:val="auto"/>
          <w:sz w:val="21"/>
          <w:szCs w:val="21"/>
          <w:u w:val="single"/>
        </w:rPr>
        <w:t>（单位名称）</w:t>
      </w:r>
      <w:r>
        <w:rPr>
          <w:rFonts w:hint="eastAsia"/>
          <w:color w:val="auto"/>
          <w:sz w:val="21"/>
          <w:szCs w:val="21"/>
        </w:rPr>
        <w:t>的</w:t>
      </w:r>
      <w:r>
        <w:rPr>
          <w:rFonts w:hint="eastAsia"/>
          <w:color w:val="auto"/>
          <w:sz w:val="21"/>
          <w:szCs w:val="21"/>
          <w:u w:val="single"/>
        </w:rPr>
        <w:t>（项目名称）</w:t>
      </w:r>
      <w:r>
        <w:rPr>
          <w:rFonts w:hint="eastAsia"/>
          <w:color w:val="auto"/>
          <w:sz w:val="21"/>
          <w:szCs w:val="21"/>
        </w:rPr>
        <w:t>采购活动，服务全部由符合政策要求的中小企业承接。相关企业（含联合体中的中小企业、签订分包意向协议的中小企业）的具体情况如下：</w:t>
      </w:r>
    </w:p>
    <w:p w14:paraId="7DD29C94">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r>
        <w:rPr>
          <w:rFonts w:hint="eastAsia"/>
          <w:color w:val="auto"/>
          <w:sz w:val="21"/>
          <w:szCs w:val="21"/>
        </w:rPr>
        <w:t>1.</w:t>
      </w:r>
      <w:r>
        <w:rPr>
          <w:rFonts w:hint="eastAsia"/>
          <w:color w:val="auto"/>
          <w:sz w:val="21"/>
          <w:szCs w:val="21"/>
          <w:u w:val="single"/>
        </w:rPr>
        <w:t xml:space="preserve">（标的名称） </w:t>
      </w:r>
      <w:r>
        <w:rPr>
          <w:rFonts w:hint="eastAsia"/>
          <w:color w:val="auto"/>
          <w:sz w:val="21"/>
          <w:szCs w:val="21"/>
        </w:rPr>
        <w:t>，属于</w:t>
      </w:r>
      <w:r>
        <w:rPr>
          <w:rFonts w:hint="eastAsia"/>
          <w:color w:val="auto"/>
          <w:sz w:val="21"/>
          <w:szCs w:val="21"/>
          <w:u w:val="single"/>
        </w:rPr>
        <w:t>（采购文件中明确的所属行业）</w:t>
      </w:r>
      <w:r>
        <w:rPr>
          <w:rFonts w:hint="eastAsia"/>
          <w:color w:val="auto"/>
          <w:sz w:val="21"/>
          <w:szCs w:val="21"/>
        </w:rPr>
        <w:t>；承接企业为</w:t>
      </w:r>
      <w:r>
        <w:rPr>
          <w:rFonts w:hint="eastAsia"/>
          <w:color w:val="auto"/>
          <w:sz w:val="21"/>
          <w:szCs w:val="21"/>
          <w:u w:val="single"/>
        </w:rPr>
        <w:t>（企业名称）</w:t>
      </w:r>
      <w:r>
        <w:rPr>
          <w:rFonts w:hint="eastAsia"/>
          <w:color w:val="auto"/>
          <w:sz w:val="21"/>
          <w:szCs w:val="21"/>
        </w:rPr>
        <w:t>，从业人员</w:t>
      </w:r>
      <w:r>
        <w:rPr>
          <w:rFonts w:hint="eastAsia"/>
          <w:color w:val="auto"/>
          <w:sz w:val="21"/>
          <w:szCs w:val="21"/>
          <w:u w:val="single"/>
        </w:rPr>
        <w:t xml:space="preserve">     </w:t>
      </w:r>
      <w:r>
        <w:rPr>
          <w:rFonts w:hint="eastAsia"/>
          <w:color w:val="auto"/>
          <w:sz w:val="21"/>
          <w:szCs w:val="21"/>
        </w:rPr>
        <w:t>人，营业收入为</w:t>
      </w:r>
      <w:r>
        <w:rPr>
          <w:rFonts w:hint="eastAsia"/>
          <w:color w:val="auto"/>
          <w:sz w:val="21"/>
          <w:szCs w:val="21"/>
          <w:u w:val="single"/>
        </w:rPr>
        <w:t xml:space="preserve">     </w:t>
      </w:r>
      <w:r>
        <w:rPr>
          <w:rFonts w:hint="eastAsia"/>
          <w:color w:val="auto"/>
          <w:sz w:val="21"/>
          <w:szCs w:val="21"/>
        </w:rPr>
        <w:t>万元，资产总额为</w:t>
      </w:r>
      <w:r>
        <w:rPr>
          <w:rFonts w:hint="eastAsia"/>
          <w:color w:val="auto"/>
          <w:sz w:val="21"/>
          <w:szCs w:val="21"/>
          <w:u w:val="single"/>
        </w:rPr>
        <w:t xml:space="preserve">     </w:t>
      </w:r>
      <w:r>
        <w:rPr>
          <w:rFonts w:hint="eastAsia"/>
          <w:color w:val="auto"/>
          <w:sz w:val="21"/>
          <w:szCs w:val="21"/>
        </w:rPr>
        <w:t>万元，属于</w:t>
      </w:r>
      <w:r>
        <w:rPr>
          <w:rFonts w:hint="eastAsia"/>
          <w:color w:val="auto"/>
          <w:sz w:val="21"/>
          <w:szCs w:val="21"/>
          <w:u w:val="single"/>
        </w:rPr>
        <w:t>（中型企业、小型企业、微型企业）</w:t>
      </w:r>
      <w:r>
        <w:rPr>
          <w:rFonts w:hint="eastAsia"/>
          <w:color w:val="auto"/>
          <w:sz w:val="21"/>
          <w:szCs w:val="21"/>
        </w:rPr>
        <w:t xml:space="preserve">； </w:t>
      </w:r>
    </w:p>
    <w:p w14:paraId="274A43E1">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r>
        <w:rPr>
          <w:rFonts w:hint="eastAsia"/>
          <w:color w:val="auto"/>
          <w:sz w:val="21"/>
          <w:szCs w:val="21"/>
        </w:rPr>
        <w:t>2.</w:t>
      </w:r>
      <w:r>
        <w:rPr>
          <w:rFonts w:hint="eastAsia"/>
          <w:color w:val="auto"/>
          <w:sz w:val="21"/>
          <w:szCs w:val="21"/>
          <w:u w:val="single"/>
        </w:rPr>
        <w:t xml:space="preserve">（标的名称） </w:t>
      </w:r>
      <w:r>
        <w:rPr>
          <w:rFonts w:hint="eastAsia"/>
          <w:color w:val="auto"/>
          <w:sz w:val="21"/>
          <w:szCs w:val="21"/>
        </w:rPr>
        <w:t>，属于</w:t>
      </w:r>
      <w:r>
        <w:rPr>
          <w:rFonts w:hint="eastAsia"/>
          <w:color w:val="auto"/>
          <w:sz w:val="21"/>
          <w:szCs w:val="21"/>
          <w:u w:val="single"/>
        </w:rPr>
        <w:t>（采购文件中明确的所属行业）</w:t>
      </w:r>
      <w:r>
        <w:rPr>
          <w:rFonts w:hint="eastAsia"/>
          <w:color w:val="auto"/>
          <w:sz w:val="21"/>
          <w:szCs w:val="21"/>
        </w:rPr>
        <w:t>；承接企业为（企业名称），从业人员</w:t>
      </w:r>
      <w:r>
        <w:rPr>
          <w:rFonts w:hint="eastAsia"/>
          <w:color w:val="auto"/>
          <w:sz w:val="21"/>
          <w:szCs w:val="21"/>
          <w:u w:val="single"/>
        </w:rPr>
        <w:t xml:space="preserve">     </w:t>
      </w:r>
      <w:r>
        <w:rPr>
          <w:rFonts w:hint="eastAsia"/>
          <w:color w:val="auto"/>
          <w:sz w:val="21"/>
          <w:szCs w:val="21"/>
        </w:rPr>
        <w:t>人，营业收入为</w:t>
      </w:r>
      <w:r>
        <w:rPr>
          <w:rFonts w:hint="eastAsia"/>
          <w:color w:val="auto"/>
          <w:sz w:val="21"/>
          <w:szCs w:val="21"/>
          <w:u w:val="single"/>
        </w:rPr>
        <w:t xml:space="preserve">     </w:t>
      </w:r>
      <w:r>
        <w:rPr>
          <w:rFonts w:hint="eastAsia"/>
          <w:color w:val="auto"/>
          <w:sz w:val="21"/>
          <w:szCs w:val="21"/>
        </w:rPr>
        <w:t>万元，资产总额为</w:t>
      </w:r>
      <w:r>
        <w:rPr>
          <w:rFonts w:hint="eastAsia"/>
          <w:color w:val="auto"/>
          <w:sz w:val="21"/>
          <w:szCs w:val="21"/>
          <w:u w:val="single"/>
        </w:rPr>
        <w:t xml:space="preserve">     </w:t>
      </w:r>
      <w:r>
        <w:rPr>
          <w:rFonts w:hint="eastAsia"/>
          <w:color w:val="auto"/>
          <w:sz w:val="21"/>
          <w:szCs w:val="21"/>
        </w:rPr>
        <w:t>万元，属于</w:t>
      </w:r>
      <w:r>
        <w:rPr>
          <w:rFonts w:hint="eastAsia"/>
          <w:color w:val="auto"/>
          <w:sz w:val="21"/>
          <w:szCs w:val="21"/>
          <w:u w:val="single"/>
        </w:rPr>
        <w:t>（中型企业、小型企业、微型企业）</w:t>
      </w:r>
      <w:r>
        <w:rPr>
          <w:rFonts w:hint="eastAsia"/>
          <w:color w:val="auto"/>
          <w:sz w:val="21"/>
          <w:szCs w:val="21"/>
        </w:rPr>
        <w:t>；</w:t>
      </w:r>
    </w:p>
    <w:p w14:paraId="70E8CF57">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r>
        <w:rPr>
          <w:rFonts w:hint="eastAsia"/>
          <w:color w:val="auto"/>
          <w:sz w:val="21"/>
          <w:szCs w:val="21"/>
        </w:rPr>
        <w:t>……</w:t>
      </w:r>
    </w:p>
    <w:p w14:paraId="49ACB9CF">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r>
        <w:rPr>
          <w:rFonts w:hint="eastAsia"/>
          <w:color w:val="auto"/>
          <w:sz w:val="21"/>
          <w:szCs w:val="21"/>
        </w:rPr>
        <w:t>以上企业，不属于大企业的分支机构，不存在控股股东为大企业的情形，也不存在与大企业的负责人为同一人的情形。</w:t>
      </w:r>
    </w:p>
    <w:p w14:paraId="54BA462E">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r>
        <w:rPr>
          <w:rFonts w:hint="eastAsia"/>
          <w:color w:val="auto"/>
          <w:sz w:val="21"/>
          <w:szCs w:val="21"/>
        </w:rPr>
        <w:t>本企业对上述声明内容的真实性负责。如有虚假，将依法承担相应责任。</w:t>
      </w:r>
    </w:p>
    <w:p w14:paraId="356F70E0">
      <w:pPr>
        <w:pStyle w:val="15"/>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color w:val="auto"/>
          <w:sz w:val="21"/>
          <w:szCs w:val="21"/>
        </w:rPr>
      </w:pPr>
    </w:p>
    <w:p w14:paraId="6A98283C">
      <w:pPr>
        <w:pStyle w:val="15"/>
        <w:keepNext w:val="0"/>
        <w:keepLines w:val="0"/>
        <w:pageBreakBefore w:val="0"/>
        <w:widowControl w:val="0"/>
        <w:kinsoku/>
        <w:wordWrap/>
        <w:overflowPunct/>
        <w:topLinePunct w:val="0"/>
        <w:autoSpaceDE/>
        <w:autoSpaceDN/>
        <w:bidi w:val="0"/>
        <w:adjustRightInd/>
        <w:snapToGrid/>
        <w:spacing w:line="460" w:lineRule="exact"/>
        <w:ind w:firstLine="4620" w:firstLineChars="2200"/>
        <w:jc w:val="left"/>
        <w:textAlignment w:val="auto"/>
        <w:rPr>
          <w:color w:val="auto"/>
          <w:sz w:val="21"/>
          <w:szCs w:val="21"/>
        </w:rPr>
      </w:pPr>
      <w:r>
        <w:rPr>
          <w:rFonts w:hint="eastAsia"/>
          <w:color w:val="auto"/>
          <w:sz w:val="21"/>
          <w:szCs w:val="21"/>
        </w:rPr>
        <w:t>企业名称（盖章）：</w:t>
      </w:r>
    </w:p>
    <w:p w14:paraId="2EE9B076">
      <w:pPr>
        <w:pStyle w:val="15"/>
        <w:keepNext w:val="0"/>
        <w:keepLines w:val="0"/>
        <w:pageBreakBefore w:val="0"/>
        <w:widowControl w:val="0"/>
        <w:kinsoku/>
        <w:wordWrap/>
        <w:overflowPunct/>
        <w:topLinePunct w:val="0"/>
        <w:autoSpaceDE/>
        <w:autoSpaceDN/>
        <w:bidi w:val="0"/>
        <w:adjustRightInd/>
        <w:snapToGrid/>
        <w:spacing w:line="460" w:lineRule="exact"/>
        <w:ind w:right="420" w:firstLine="4620" w:firstLineChars="2200"/>
        <w:textAlignment w:val="auto"/>
        <w:rPr>
          <w:color w:val="auto"/>
          <w:sz w:val="21"/>
          <w:szCs w:val="21"/>
        </w:rPr>
      </w:pPr>
      <w:r>
        <w:rPr>
          <w:rFonts w:hint="eastAsia"/>
          <w:color w:val="auto"/>
          <w:sz w:val="21"/>
          <w:szCs w:val="21"/>
        </w:rPr>
        <w:t>日 期：</w:t>
      </w:r>
    </w:p>
    <w:p w14:paraId="65B4C621">
      <w:pPr>
        <w:pStyle w:val="12"/>
        <w:spacing w:after="0" w:line="360" w:lineRule="auto"/>
        <w:ind w:left="3960" w:right="1808"/>
        <w:contextualSpacing/>
        <w:rPr>
          <w:rFonts w:ascii="宋体" w:hAnsi="宋体" w:cs="宋体"/>
          <w:color w:val="auto"/>
          <w:szCs w:val="21"/>
          <w:highlight w:val="none"/>
        </w:rPr>
      </w:pPr>
    </w:p>
    <w:p w14:paraId="42C4210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894E3CE">
      <w:pPr>
        <w:spacing w:line="360" w:lineRule="auto"/>
        <w:jc w:val="center"/>
        <w:rPr>
          <w:rFonts w:ascii="宋体" w:hAnsi="宋体" w:cs="宋体"/>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残疾人福利性单位声明函</w:t>
      </w:r>
    </w:p>
    <w:p w14:paraId="6F6C5E3A">
      <w:pPr>
        <w:spacing w:line="520" w:lineRule="exact"/>
        <w:rPr>
          <w:rFonts w:ascii="宋体" w:hAnsi="宋体" w:cs="宋体"/>
          <w:color w:val="auto"/>
          <w:sz w:val="32"/>
          <w:szCs w:val="32"/>
          <w:highlight w:val="none"/>
        </w:rPr>
      </w:pPr>
    </w:p>
    <w:p w14:paraId="439BDC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E8579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3EAAE60C">
      <w:pPr>
        <w:spacing w:line="360" w:lineRule="auto"/>
        <w:rPr>
          <w:rFonts w:ascii="宋体" w:hAnsi="宋体" w:cs="宋体"/>
          <w:color w:val="auto"/>
          <w:szCs w:val="21"/>
          <w:highlight w:val="none"/>
        </w:rPr>
      </w:pPr>
    </w:p>
    <w:p w14:paraId="003D5D96">
      <w:pPr>
        <w:spacing w:line="360" w:lineRule="auto"/>
        <w:rPr>
          <w:rFonts w:ascii="宋体" w:hAnsi="宋体" w:cs="宋体"/>
          <w:color w:val="auto"/>
          <w:szCs w:val="21"/>
          <w:highlight w:val="none"/>
        </w:rPr>
      </w:pPr>
    </w:p>
    <w:p w14:paraId="4789DF17">
      <w:pPr>
        <w:spacing w:line="360" w:lineRule="auto"/>
        <w:rPr>
          <w:rFonts w:ascii="宋体" w:hAnsi="宋体" w:cs="宋体"/>
          <w:color w:val="auto"/>
          <w:szCs w:val="21"/>
          <w:highlight w:val="none"/>
        </w:rPr>
      </w:pPr>
    </w:p>
    <w:p w14:paraId="70703DC9">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14:paraId="41E868EB">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14:paraId="5B692898">
      <w:pPr>
        <w:spacing w:line="360" w:lineRule="auto"/>
        <w:rPr>
          <w:rFonts w:ascii="宋体" w:hAnsi="宋体" w:cs="宋体"/>
          <w:color w:val="auto"/>
          <w:szCs w:val="21"/>
          <w:highlight w:val="none"/>
        </w:rPr>
      </w:pPr>
    </w:p>
    <w:p w14:paraId="1FD2C38C">
      <w:pPr>
        <w:spacing w:line="360" w:lineRule="auto"/>
        <w:rPr>
          <w:rFonts w:ascii="宋体" w:hAnsi="宋体" w:cs="宋体"/>
          <w:color w:val="auto"/>
          <w:szCs w:val="21"/>
          <w:highlight w:val="none"/>
        </w:rPr>
      </w:pPr>
    </w:p>
    <w:p w14:paraId="611AA3BC">
      <w:pPr>
        <w:spacing w:line="360" w:lineRule="auto"/>
        <w:rPr>
          <w:rFonts w:ascii="宋体" w:hAnsi="宋体" w:cs="宋体"/>
          <w:color w:val="auto"/>
          <w:szCs w:val="21"/>
          <w:highlight w:val="none"/>
        </w:rPr>
      </w:pPr>
    </w:p>
    <w:p w14:paraId="5338EAFE">
      <w:pPr>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E0C8425">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color w:val="auto"/>
          <w:sz w:val="32"/>
          <w:szCs w:val="32"/>
          <w:highlight w:val="none"/>
        </w:rPr>
        <w:t>质疑函（格式）</w:t>
      </w:r>
    </w:p>
    <w:p w14:paraId="30C5416C">
      <w:pPr>
        <w:spacing w:line="360" w:lineRule="auto"/>
        <w:jc w:val="center"/>
        <w:rPr>
          <w:rFonts w:ascii="宋体" w:hAnsi="宋体" w:cs="宋体"/>
          <w:b/>
          <w:bCs/>
          <w:color w:val="auto"/>
          <w:sz w:val="32"/>
          <w:szCs w:val="32"/>
          <w:highlight w:val="none"/>
        </w:rPr>
      </w:pPr>
    </w:p>
    <w:p w14:paraId="38DFCADF">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14:paraId="352DB37B">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742A236C">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4162F8E">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26B9D242">
      <w:pPr>
        <w:pStyle w:val="15"/>
        <w:spacing w:line="320" w:lineRule="exact"/>
        <w:ind w:firstLine="420" w:firstLineChars="200"/>
        <w:rPr>
          <w:rFonts w:hint="eastAsia" w:hAnsi="宋体" w:eastAsia="宋体" w:cs="宋体"/>
          <w:bCs/>
          <w:color w:val="auto"/>
          <w:sz w:val="21"/>
          <w:highlight w:val="none"/>
          <w:lang w:val="en-US" w:eastAsia="zh-CN"/>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p>
    <w:p w14:paraId="0F43C1A9">
      <w:pPr>
        <w:pStyle w:val="15"/>
        <w:spacing w:line="3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447B76E8">
      <w:pPr>
        <w:pStyle w:val="15"/>
        <w:spacing w:line="320" w:lineRule="exact"/>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D9DCA0D">
      <w:pPr>
        <w:pStyle w:val="15"/>
        <w:spacing w:line="320" w:lineRule="exact"/>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14:paraId="7716E52C">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0A27FE5F">
      <w:pPr>
        <w:pStyle w:val="15"/>
        <w:spacing w:line="320" w:lineRule="exact"/>
        <w:ind w:left="25" w:leftChars="12" w:firstLine="413" w:firstLineChars="197"/>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0C9B7F85">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1F03B3EC">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w:t>
      </w:r>
    </w:p>
    <w:p w14:paraId="41E3A727">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4905E9B6">
      <w:pPr>
        <w:pStyle w:val="15"/>
        <w:spacing w:line="320" w:lineRule="exact"/>
        <w:ind w:left="25" w:leftChars="12" w:firstLine="308" w:firstLineChars="147"/>
        <w:contextualSpacing/>
        <w:rPr>
          <w:rFonts w:hAnsi="宋体" w:cs="宋体"/>
          <w:color w:val="auto"/>
          <w:sz w:val="21"/>
          <w:highlight w:val="none"/>
        </w:rPr>
      </w:pPr>
      <w:r>
        <w:rPr>
          <w:rFonts w:hint="eastAsia" w:hAnsi="宋体" w:cs="宋体"/>
          <w:color w:val="auto"/>
          <w:sz w:val="21"/>
          <w:highlight w:val="none"/>
        </w:rPr>
        <w:t xml:space="preserve">□采购过程   </w:t>
      </w:r>
    </w:p>
    <w:p w14:paraId="01AEBB36">
      <w:pPr>
        <w:pStyle w:val="15"/>
        <w:spacing w:line="320" w:lineRule="exact"/>
        <w:ind w:left="25" w:leftChars="12" w:firstLine="308" w:firstLineChars="147"/>
        <w:contextualSpacing/>
        <w:rPr>
          <w:rFonts w:hAnsi="宋体" w:cs="宋体"/>
          <w:bCs/>
          <w:color w:val="auto"/>
          <w:sz w:val="21"/>
          <w:highlight w:val="none"/>
          <w:u w:val="single"/>
        </w:rPr>
      </w:pPr>
      <w:r>
        <w:rPr>
          <w:rFonts w:hint="eastAsia" w:hAnsi="宋体" w:cs="宋体"/>
          <w:color w:val="auto"/>
          <w:sz w:val="21"/>
          <w:highlight w:val="none"/>
        </w:rPr>
        <w:t xml:space="preserve">□成交结果   </w:t>
      </w:r>
    </w:p>
    <w:p w14:paraId="2FC3250D">
      <w:pPr>
        <w:pStyle w:val="15"/>
        <w:spacing w:line="320" w:lineRule="exact"/>
        <w:ind w:left="25" w:leftChars="12" w:firstLine="413" w:firstLineChars="196"/>
        <w:contextualSpacing/>
        <w:rPr>
          <w:rFonts w:hAnsi="宋体" w:cs="宋体"/>
          <w:b/>
          <w:color w:val="auto"/>
          <w:sz w:val="21"/>
          <w:highlight w:val="none"/>
        </w:rPr>
      </w:pPr>
      <w:r>
        <w:rPr>
          <w:rFonts w:hint="eastAsia" w:hAnsi="宋体" w:cs="宋体"/>
          <w:b/>
          <w:color w:val="auto"/>
          <w:sz w:val="21"/>
          <w:highlight w:val="none"/>
        </w:rPr>
        <w:t>三、质疑事项具体内容</w:t>
      </w:r>
    </w:p>
    <w:p w14:paraId="55FF79E6">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14:paraId="4B0F288C">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14:paraId="30974272">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14:paraId="6319FAE3">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质疑事项2</w:t>
      </w:r>
    </w:p>
    <w:p w14:paraId="61ED625B">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w:t>
      </w:r>
    </w:p>
    <w:p w14:paraId="23D4BF9E">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四、与质疑事项相关的质疑请求：</w:t>
      </w:r>
    </w:p>
    <w:p w14:paraId="680B905F">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r>
        <w:rPr>
          <w:rFonts w:hint="eastAsia" w:hAnsi="宋体" w:cs="宋体"/>
          <w:bCs/>
          <w:color w:val="auto"/>
          <w:sz w:val="21"/>
          <w:highlight w:val="none"/>
          <w:u w:val="single"/>
          <w:lang w:val="en-US" w:eastAsia="zh-CN"/>
        </w:rPr>
        <w:t xml:space="preserve"> </w:t>
      </w:r>
      <w:r>
        <w:rPr>
          <w:rFonts w:hint="eastAsia" w:hAnsi="宋体" w:cs="宋体"/>
          <w:bCs/>
          <w:color w:val="auto"/>
          <w:sz w:val="21"/>
          <w:highlight w:val="none"/>
          <w:u w:val="single"/>
        </w:rPr>
        <w:t xml:space="preserve">    </w:t>
      </w:r>
    </w:p>
    <w:p w14:paraId="3D0302CD">
      <w:pPr>
        <w:pStyle w:val="15"/>
        <w:spacing w:line="320" w:lineRule="exact"/>
        <w:ind w:left="25" w:leftChars="12" w:firstLine="308" w:firstLineChars="147"/>
        <w:contextualSpacing/>
        <w:rPr>
          <w:rFonts w:hAnsi="宋体" w:cs="宋体"/>
          <w:color w:val="auto"/>
          <w:sz w:val="21"/>
          <w:highlight w:val="none"/>
        </w:rPr>
      </w:pPr>
    </w:p>
    <w:p w14:paraId="79CA3E9A">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签字（签章）：                                       公章：</w:t>
      </w:r>
    </w:p>
    <w:p w14:paraId="1F3D3909">
      <w:pPr>
        <w:pStyle w:val="15"/>
        <w:spacing w:line="320" w:lineRule="exact"/>
        <w:ind w:left="25" w:leftChars="12" w:firstLine="308" w:firstLineChars="147"/>
        <w:contextualSpacing/>
        <w:rPr>
          <w:rFonts w:hAnsi="宋体" w:cs="宋体"/>
          <w:color w:val="auto"/>
          <w:sz w:val="21"/>
          <w:highlight w:val="none"/>
        </w:rPr>
      </w:pPr>
    </w:p>
    <w:p w14:paraId="1CCA9305">
      <w:pPr>
        <w:pStyle w:val="15"/>
        <w:spacing w:line="320" w:lineRule="exact"/>
        <w:ind w:left="25" w:leftChars="12" w:firstLine="413" w:firstLineChars="197"/>
        <w:contextualSpacing/>
        <w:rPr>
          <w:rFonts w:hAnsi="宋体" w:cs="宋体"/>
          <w:color w:val="auto"/>
          <w:sz w:val="21"/>
          <w:highlight w:val="none"/>
        </w:rPr>
      </w:pPr>
      <w:r>
        <w:rPr>
          <w:rFonts w:hint="eastAsia" w:hAnsi="宋体" w:cs="宋体"/>
          <w:color w:val="auto"/>
          <w:sz w:val="21"/>
          <w:highlight w:val="none"/>
        </w:rPr>
        <w:t>日期：</w:t>
      </w:r>
    </w:p>
    <w:p w14:paraId="1E8F961F">
      <w:pPr>
        <w:pStyle w:val="15"/>
        <w:spacing w:line="320" w:lineRule="exact"/>
        <w:rPr>
          <w:rFonts w:hAnsi="宋体" w:cs="宋体"/>
          <w:b/>
          <w:color w:val="auto"/>
          <w:sz w:val="24"/>
          <w:szCs w:val="24"/>
          <w:highlight w:val="none"/>
        </w:rPr>
      </w:pPr>
    </w:p>
    <w:p w14:paraId="47BBB531">
      <w:pPr>
        <w:pStyle w:val="15"/>
        <w:spacing w:line="320" w:lineRule="exact"/>
        <w:rPr>
          <w:rFonts w:hAnsi="宋体" w:cs="宋体"/>
          <w:b/>
          <w:color w:val="auto"/>
          <w:sz w:val="21"/>
          <w:highlight w:val="none"/>
        </w:rPr>
      </w:pPr>
      <w:r>
        <w:rPr>
          <w:rFonts w:hint="eastAsia" w:hAnsi="宋体" w:cs="宋体"/>
          <w:b/>
          <w:color w:val="auto"/>
          <w:sz w:val="21"/>
          <w:highlight w:val="none"/>
        </w:rPr>
        <w:t>说明：</w:t>
      </w:r>
    </w:p>
    <w:p w14:paraId="73201D47">
      <w:pPr>
        <w:pStyle w:val="15"/>
        <w:spacing w:line="320" w:lineRule="exact"/>
        <w:ind w:left="25" w:leftChars="12" w:firstLine="310" w:firstLineChars="147"/>
        <w:contextualSpacing/>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14674553">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FE1948">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03E0E8CC">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4.质疑函的质疑请求应与质疑事项相关。</w:t>
      </w:r>
    </w:p>
    <w:p w14:paraId="48973E24">
      <w:pPr>
        <w:pStyle w:val="15"/>
        <w:spacing w:line="320" w:lineRule="exact"/>
        <w:ind w:left="25" w:leftChars="12" w:firstLine="310" w:firstLineChars="147"/>
        <w:contextualSpacing/>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3531E5EF">
      <w:pPr>
        <w:pStyle w:val="2"/>
        <w:jc w:val="center"/>
        <w:rPr>
          <w:rFonts w:hint="eastAsia" w:ascii="宋体" w:hAnsi="宋体" w:cs="宋体"/>
          <w:b w:val="0"/>
          <w:bCs w:val="0"/>
          <w:color w:val="auto"/>
          <w:highlight w:val="none"/>
        </w:rPr>
      </w:pPr>
      <w:r>
        <w:rPr>
          <w:rFonts w:hint="eastAsia" w:ascii="宋体" w:hAnsi="宋体" w:cs="宋体"/>
          <w:b w:val="0"/>
          <w:bCs w:val="0"/>
          <w:color w:val="auto"/>
          <w:highlight w:val="none"/>
        </w:rPr>
        <w:br w:type="page"/>
      </w:r>
      <w:bookmarkStart w:id="78" w:name="_Toc3096"/>
      <w:bookmarkStart w:id="79" w:name="_Toc129703553"/>
    </w:p>
    <w:p w14:paraId="0CB44A0A">
      <w:pPr>
        <w:pStyle w:val="2"/>
        <w:jc w:val="center"/>
        <w:rPr>
          <w:rFonts w:hint="eastAsia" w:ascii="宋体" w:hAnsi="宋体" w:cs="宋体"/>
          <w:b w:val="0"/>
          <w:bCs w:val="0"/>
          <w:color w:val="auto"/>
          <w:highlight w:val="none"/>
        </w:rPr>
      </w:pPr>
    </w:p>
    <w:p w14:paraId="76CB7CDF">
      <w:pPr>
        <w:pStyle w:val="2"/>
        <w:jc w:val="center"/>
        <w:rPr>
          <w:rFonts w:hint="eastAsia" w:ascii="宋体" w:hAnsi="宋体" w:cs="宋体"/>
          <w:b w:val="0"/>
          <w:bCs w:val="0"/>
          <w:color w:val="auto"/>
          <w:highlight w:val="none"/>
        </w:rPr>
      </w:pPr>
    </w:p>
    <w:p w14:paraId="038D8854">
      <w:pPr>
        <w:pStyle w:val="2"/>
        <w:jc w:val="center"/>
        <w:rPr>
          <w:rFonts w:hint="eastAsia" w:ascii="宋体" w:hAnsi="宋体" w:cs="宋体"/>
          <w:b w:val="0"/>
          <w:bCs w:val="0"/>
          <w:color w:val="auto"/>
          <w:highlight w:val="none"/>
        </w:rPr>
      </w:pPr>
    </w:p>
    <w:p w14:paraId="4AA93843">
      <w:pPr>
        <w:pStyle w:val="2"/>
        <w:jc w:val="center"/>
        <w:rPr>
          <w:rFonts w:hint="eastAsia" w:ascii="宋体" w:hAnsi="宋体" w:cs="宋体"/>
          <w:color w:val="auto"/>
          <w:highlight w:val="none"/>
        </w:rPr>
        <w:sectPr>
          <w:footerReference r:id="rId13" w:type="first"/>
          <w:pgSz w:w="11910" w:h="16840"/>
          <w:pgMar w:top="1340" w:right="1500" w:bottom="1338" w:left="1502" w:header="720" w:footer="720" w:gutter="0"/>
          <w:cols w:space="720" w:num="1"/>
        </w:sectPr>
      </w:pPr>
      <w:r>
        <w:rPr>
          <w:rFonts w:hint="eastAsia" w:ascii="宋体" w:hAnsi="宋体" w:cs="宋体"/>
          <w:color w:val="auto"/>
          <w:highlight w:val="none"/>
        </w:rPr>
        <w:t>第六章 合同文本</w:t>
      </w:r>
      <w:bookmarkEnd w:id="78"/>
      <w:bookmarkEnd w:id="79"/>
    </w:p>
    <w:p w14:paraId="674F12EB">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6BE53D6B">
      <w:pPr>
        <w:snapToGrid w:val="0"/>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文本</w:t>
      </w:r>
    </w:p>
    <w:p w14:paraId="04ECCFA2">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008CEC41">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w:t>
      </w:r>
      <w:r>
        <w:rPr>
          <w:rFonts w:hint="eastAsia" w:ascii="宋体" w:hAnsi="宋体" w:eastAsia="宋体" w:cs="宋体"/>
          <w:color w:val="auto"/>
          <w:sz w:val="21"/>
          <w:szCs w:val="21"/>
          <w:highlight w:val="none"/>
          <w:u w:val="single"/>
        </w:rPr>
        <w:t xml:space="preserve">                        </w:t>
      </w:r>
    </w:p>
    <w:p w14:paraId="6756786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EBBA3F2">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14:paraId="43C1AFE2">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w:t>
      </w:r>
    </w:p>
    <w:p w14:paraId="026DD6B2">
      <w:pPr>
        <w:spacing w:line="360" w:lineRule="auto"/>
        <w:ind w:firstLine="420" w:firstLineChars="200"/>
        <w:rPr>
          <w:rFonts w:hint="eastAsia" w:ascii="宋体" w:hAnsi="宋体" w:eastAsia="宋体" w:cs="宋体"/>
          <w:color w:val="auto"/>
          <w:sz w:val="21"/>
          <w:szCs w:val="21"/>
          <w:highlight w:val="none"/>
        </w:rPr>
      </w:pPr>
    </w:p>
    <w:p w14:paraId="44B27D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根据《中华人民共和国政府采购法》、《中华人民共和国民法典》等法律、法规规定，按照磋商文件规定条款和乙方响应文件及其承诺，甲乙双方签订本合同。</w:t>
      </w:r>
    </w:p>
    <w:p w14:paraId="7CD432F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464626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1、项目一览表</w:t>
      </w:r>
    </w:p>
    <w:tbl>
      <w:tblPr>
        <w:tblStyle w:val="29"/>
        <w:tblW w:w="87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183"/>
        <w:gridCol w:w="840"/>
        <w:gridCol w:w="1290"/>
        <w:gridCol w:w="1245"/>
        <w:gridCol w:w="1290"/>
      </w:tblGrid>
      <w:tr w14:paraId="347E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8B972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89E2C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EA8E8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AC49E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F20AD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51DE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价</w:t>
            </w:r>
          </w:p>
          <w:p w14:paraId="79695E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663FA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  价</w:t>
            </w:r>
          </w:p>
          <w:p w14:paraId="746A67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1204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FA55A89">
            <w:pPr>
              <w:spacing w:line="360" w:lineRule="auto"/>
              <w:jc w:val="center"/>
              <w:rPr>
                <w:rFonts w:hint="eastAsia" w:ascii="宋体" w:hAnsi="宋体" w:eastAsia="宋体" w:cs="宋体"/>
                <w:color w:val="auto"/>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54C3DD4">
            <w:pPr>
              <w:spacing w:line="360" w:lineRule="auto"/>
              <w:jc w:val="center"/>
              <w:rPr>
                <w:rFonts w:hint="eastAsia" w:ascii="宋体" w:hAnsi="宋体" w:eastAsia="宋体" w:cs="宋体"/>
                <w:color w:val="auto"/>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FF33117">
            <w:pPr>
              <w:spacing w:line="360" w:lineRule="auto"/>
              <w:jc w:val="center"/>
              <w:rPr>
                <w:rFonts w:hint="eastAsia" w:ascii="宋体" w:hAnsi="宋体" w:eastAsia="宋体" w:cs="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D425ACA">
            <w:pPr>
              <w:spacing w:line="360" w:lineRule="auto"/>
              <w:jc w:val="center"/>
              <w:rPr>
                <w:rFonts w:hint="eastAsia" w:ascii="宋体" w:hAnsi="宋体" w:eastAsia="宋体" w:cs="宋体"/>
                <w:color w:val="auto"/>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3FD74E3">
            <w:pPr>
              <w:spacing w:line="360" w:lineRule="auto"/>
              <w:jc w:val="center"/>
              <w:rPr>
                <w:rFonts w:hint="eastAsia" w:ascii="宋体" w:hAnsi="宋体" w:eastAsia="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2470FB5">
            <w:pPr>
              <w:spacing w:line="360" w:lineRule="auto"/>
              <w:jc w:val="center"/>
              <w:rPr>
                <w:rFonts w:hint="eastAsia" w:ascii="宋体" w:hAnsi="宋体" w:eastAsia="宋体" w:cs="宋体"/>
                <w:color w:val="auto"/>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FBE036A">
            <w:pPr>
              <w:spacing w:line="360" w:lineRule="auto"/>
              <w:jc w:val="center"/>
              <w:rPr>
                <w:rFonts w:hint="eastAsia" w:ascii="宋体" w:hAnsi="宋体" w:eastAsia="宋体" w:cs="宋体"/>
                <w:color w:val="auto"/>
                <w:sz w:val="21"/>
                <w:szCs w:val="21"/>
                <w:highlight w:val="none"/>
              </w:rPr>
            </w:pPr>
          </w:p>
        </w:tc>
      </w:tr>
      <w:tr w14:paraId="0C52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781" w:type="dxa"/>
            <w:gridSpan w:val="7"/>
            <w:tcBorders>
              <w:top w:val="single" w:color="auto" w:sz="4" w:space="0"/>
              <w:left w:val="single" w:color="auto" w:sz="4" w:space="0"/>
              <w:bottom w:val="single" w:color="auto" w:sz="4" w:space="0"/>
              <w:right w:val="single" w:color="auto" w:sz="4" w:space="0"/>
            </w:tcBorders>
            <w:noWrap w:val="0"/>
            <w:vAlign w:val="center"/>
          </w:tcPr>
          <w:p w14:paraId="25CEFE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详见报价表</w:t>
            </w:r>
          </w:p>
        </w:tc>
      </w:tr>
      <w:tr w14:paraId="1D0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781" w:type="dxa"/>
            <w:gridSpan w:val="7"/>
            <w:tcBorders>
              <w:top w:val="single" w:color="auto" w:sz="4" w:space="0"/>
              <w:left w:val="single" w:color="auto" w:sz="4" w:space="0"/>
              <w:bottom w:val="single" w:color="auto" w:sz="4" w:space="0"/>
              <w:right w:val="single" w:color="auto" w:sz="4" w:space="0"/>
            </w:tcBorders>
            <w:noWrap w:val="0"/>
            <w:vAlign w:val="center"/>
          </w:tcPr>
          <w:p w14:paraId="39535F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人民币合计金额（大写）：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bl>
    <w:p w14:paraId="20E487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但不限于满足本次竞标全部采购需求所应提供的服务，以及伴随的货物和工程（如有）的价格；包含竞标服务、货物、人工、运输（含保险）、安装（如有）、调试、检验、技术服务、培训、税费等所有费用。如采购文件对其另有规定的，从其规定。</w:t>
      </w:r>
    </w:p>
    <w:p w14:paraId="3225FEF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质量保证</w:t>
      </w:r>
    </w:p>
    <w:p w14:paraId="1A0B0C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052D833A">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文件规定的和响应文件承诺的内容向甲方提供服务。</w:t>
      </w:r>
    </w:p>
    <w:p w14:paraId="5F0951F3">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对达不到要求者，根据实际情况，经双方协商，可按以下办法处理：</w:t>
      </w:r>
    </w:p>
    <w:p w14:paraId="6F2E9B51">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⑴贬值处理：由甲乙双方合议定价。</w:t>
      </w:r>
    </w:p>
    <w:p w14:paraId="0EA635D2">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⑵退款处理：乙方应退还甲方支付的合同款，同时应承担之前提供服务产生的费用。</w:t>
      </w:r>
    </w:p>
    <w:p w14:paraId="5EC4337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权利保证</w:t>
      </w:r>
    </w:p>
    <w:p w14:paraId="02F3625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1、乙方应保证所提供服务在使用时不会侵犯任何第三方的专利权、商标权、工业设计权等知识产权及其他合法权利，且所有权、处分权等没有受到任何限制。</w:t>
      </w:r>
    </w:p>
    <w:p w14:paraId="7FA0821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96D261C">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　交付和验收</w:t>
      </w:r>
    </w:p>
    <w:p w14:paraId="2C8921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r>
        <w:rPr>
          <w:rFonts w:hint="eastAsia" w:ascii="宋体" w:hAnsi="宋体" w:eastAsia="宋体" w:cs="宋体"/>
          <w:color w:val="auto"/>
          <w:sz w:val="21"/>
          <w:szCs w:val="21"/>
          <w:highlight w:val="none"/>
          <w:u w:val="single"/>
        </w:rPr>
        <w:t>自</w:t>
      </w:r>
      <w:r>
        <w:rPr>
          <w:rFonts w:hint="eastAsia" w:ascii="宋体" w:hAnsi="宋体" w:eastAsia="宋体" w:cs="宋体"/>
          <w:color w:val="auto"/>
          <w:sz w:val="21"/>
          <w:szCs w:val="21"/>
          <w:highlight w:val="none"/>
          <w:u w:val="single"/>
          <w:lang w:val="en-US" w:eastAsia="zh-CN"/>
        </w:rPr>
        <w:t>2025年9月1日</w:t>
      </w:r>
      <w:r>
        <w:rPr>
          <w:rFonts w:hint="eastAsia" w:ascii="宋体" w:hAnsi="宋体" w:eastAsia="宋体" w:cs="宋体"/>
          <w:color w:val="auto"/>
          <w:sz w:val="21"/>
          <w:szCs w:val="21"/>
          <w:highlight w:val="none"/>
          <w:u w:val="single"/>
        </w:rPr>
        <w:t>起至</w:t>
      </w:r>
      <w:r>
        <w:rPr>
          <w:rFonts w:hint="eastAsia" w:ascii="宋体" w:hAnsi="宋体" w:eastAsia="宋体" w:cs="宋体"/>
          <w:color w:val="auto"/>
          <w:sz w:val="21"/>
          <w:szCs w:val="21"/>
          <w:highlight w:val="none"/>
          <w:u w:val="single"/>
          <w:lang w:val="en-US" w:eastAsia="zh-CN"/>
        </w:rPr>
        <w:t>2027</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31</w:t>
      </w:r>
      <w:r>
        <w:rPr>
          <w:rFonts w:hint="eastAsia" w:ascii="宋体" w:hAnsi="宋体" w:eastAsia="宋体" w:cs="宋体"/>
          <w:color w:val="auto"/>
          <w:sz w:val="21"/>
          <w:szCs w:val="21"/>
          <w:highlight w:val="none"/>
          <w:u w:val="single"/>
        </w:rPr>
        <w:t xml:space="preserve">日 </w:t>
      </w: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u w:val="single"/>
        </w:rPr>
        <w:t xml:space="preserve">采购人指定地点 </w:t>
      </w:r>
      <w:r>
        <w:rPr>
          <w:rFonts w:hint="eastAsia" w:ascii="宋体" w:hAnsi="宋体" w:eastAsia="宋体" w:cs="宋体"/>
          <w:color w:val="auto"/>
          <w:sz w:val="21"/>
          <w:szCs w:val="21"/>
          <w:highlight w:val="none"/>
        </w:rPr>
        <w:t>。</w:t>
      </w:r>
    </w:p>
    <w:p w14:paraId="231C567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2、乙方应按响应文件的承诺向甲方提供相应的服务，并提供所服务内容的相关技术资料。</w:t>
      </w:r>
    </w:p>
    <w:p w14:paraId="261F1F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3、乙方提供不符合响应文件和本合同规定的服务成果，甲方有权拒绝接受。</w:t>
      </w:r>
    </w:p>
    <w:p w14:paraId="084634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9F82B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5、甲乙双方应按照《广西壮族自治区政府采购项目履约验收管理办法》、双方合同、响应文件验收。</w:t>
      </w:r>
    </w:p>
    <w:p w14:paraId="2E8925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6C29F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7、甲方验收时以书面形式提出异议的，乙方应自收到甲方书面异议后五个工作日内及时予以解决，否则甲方有权不出具服务验收合格单。</w:t>
      </w:r>
    </w:p>
    <w:p w14:paraId="2B367BAB">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售后服务及培训</w:t>
      </w:r>
    </w:p>
    <w:p w14:paraId="18A2ECC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1、乙方应按照国家有关法律法规和本合同所附的《商务响应表》、《售后服务承诺》要求为甲方提供相应的售后服务。</w:t>
      </w:r>
    </w:p>
    <w:p w14:paraId="61454E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2、甲方应提供必要测试条件（如场地、电源、水源等）。</w:t>
      </w:r>
    </w:p>
    <w:p w14:paraId="501BF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3、乙方负责甲方有关人员的培训。培训时间、地点：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40AEE9">
      <w:pPr>
        <w:snapToGrid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第六条　付款方式</w:t>
      </w:r>
    </w:p>
    <w:p w14:paraId="46B5B2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采购合同履行中，甲方需追加与合同标的相同的货物、工程或者服务的，在不改变合同其他条款的前提下，可以与乙方协商签订补充合同，但所有补充合同的采购金额不得超过原合同采购金额的百分之十。</w:t>
      </w:r>
    </w:p>
    <w:p w14:paraId="7CA5220E">
      <w:pPr>
        <w:spacing w:line="360" w:lineRule="auto"/>
        <w:ind w:firstLine="420" w:firstLineChars="2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自服务开始之日起分24次按月支付合同款</w:t>
      </w:r>
      <w:r>
        <w:rPr>
          <w:rFonts w:hint="eastAsia" w:ascii="宋体" w:hAnsi="宋体" w:cs="宋体"/>
          <w:color w:val="auto"/>
          <w:sz w:val="21"/>
          <w:szCs w:val="21"/>
          <w:highlight w:val="none"/>
          <w:lang w:val="en-US" w:eastAsia="zh-CN"/>
        </w:rPr>
        <w:t>（每月支付</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，根据验收情况扣除相应违约金后支付。甲方每次付款前，</w:t>
      </w:r>
      <w:r>
        <w:rPr>
          <w:rFonts w:hint="eastAsia" w:ascii="宋体" w:hAnsi="宋体" w:eastAsia="宋体" w:cs="宋体"/>
          <w:color w:val="auto"/>
          <w:sz w:val="21"/>
          <w:szCs w:val="21"/>
          <w:highlight w:val="none"/>
          <w:lang w:eastAsia="zh-CN"/>
        </w:rPr>
        <w:t>乙方须根据甲方要求提供真实、有效、合法的正式发票。</w:t>
      </w:r>
      <w:r>
        <w:rPr>
          <w:rFonts w:hint="eastAsia" w:ascii="宋体" w:hAnsi="宋体" w:cs="宋体"/>
          <w:color w:val="auto"/>
          <w:sz w:val="21"/>
          <w:szCs w:val="21"/>
          <w:highlight w:val="none"/>
          <w:lang w:eastAsia="zh-CN"/>
        </w:rPr>
        <w:t>收到</w:t>
      </w:r>
      <w:r>
        <w:rPr>
          <w:rFonts w:hint="eastAsia" w:ascii="宋体" w:hAnsi="宋体" w:cs="宋体"/>
          <w:color w:val="auto"/>
          <w:sz w:val="21"/>
          <w:szCs w:val="21"/>
          <w:highlight w:val="none"/>
          <w:lang w:val="en-US" w:eastAsia="zh-CN"/>
        </w:rPr>
        <w:t>乙</w:t>
      </w:r>
      <w:r>
        <w:rPr>
          <w:rFonts w:hint="eastAsia" w:ascii="宋体" w:hAnsi="宋体" w:cs="宋体"/>
          <w:color w:val="auto"/>
          <w:sz w:val="21"/>
          <w:szCs w:val="21"/>
          <w:highlight w:val="none"/>
          <w:lang w:eastAsia="zh-CN"/>
        </w:rPr>
        <w:t>方提供有效发票</w:t>
      </w:r>
      <w:r>
        <w:rPr>
          <w:rFonts w:hint="eastAsia" w:ascii="宋体" w:hAnsi="宋体" w:cs="宋体"/>
          <w:color w:val="auto"/>
          <w:sz w:val="21"/>
          <w:szCs w:val="21"/>
          <w:highlight w:val="none"/>
          <w:lang w:val="en-US" w:eastAsia="zh-CN"/>
        </w:rPr>
        <w:t>60天内进行支付。</w:t>
      </w:r>
    </w:p>
    <w:p w14:paraId="16A32B68">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履约保证金</w:t>
      </w:r>
    </w:p>
    <w:p w14:paraId="0E362C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履约保证金金额：按成交金额的2%交纳。</w:t>
      </w:r>
    </w:p>
    <w:p w14:paraId="0B20B6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履约保证金递交方式：以电汇、转账、汇票</w:t>
      </w:r>
      <w:r>
        <w:rPr>
          <w:rFonts w:hint="eastAsia" w:ascii="宋体" w:hAnsi="宋体" w:eastAsia="宋体" w:cs="宋体"/>
          <w:color w:val="auto"/>
          <w:sz w:val="21"/>
          <w:szCs w:val="21"/>
          <w:highlight w:val="none"/>
          <w:lang w:eastAsia="zh-CN"/>
        </w:rPr>
        <w:t>、保函</w:t>
      </w:r>
      <w:r>
        <w:rPr>
          <w:rFonts w:hint="eastAsia" w:ascii="宋体" w:hAnsi="宋体" w:eastAsia="宋体" w:cs="宋体"/>
          <w:color w:val="auto"/>
          <w:sz w:val="21"/>
          <w:szCs w:val="21"/>
          <w:highlight w:val="none"/>
        </w:rPr>
        <w:t>等非现金形式提交。由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在签订合同前按规定的金额直接缴入广西机电职业技术学院账户。</w:t>
      </w:r>
    </w:p>
    <w:p w14:paraId="0652A5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 广西机电职业技术学院；</w:t>
      </w:r>
    </w:p>
    <w:p w14:paraId="431554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r>
        <w:rPr>
          <w:rFonts w:hint="eastAsia" w:ascii="宋体" w:hAnsi="宋体" w:cs="宋体"/>
          <w:color w:val="auto"/>
          <w:sz w:val="21"/>
          <w:szCs w:val="21"/>
          <w:highlight w:val="none"/>
          <w:lang w:eastAsia="zh-CN"/>
        </w:rPr>
        <w:t>中国建设银行广西南宁大学路支行</w:t>
      </w:r>
      <w:r>
        <w:rPr>
          <w:rFonts w:hint="eastAsia" w:ascii="宋体" w:hAnsi="宋体" w:eastAsia="宋体" w:cs="宋体"/>
          <w:color w:val="auto"/>
          <w:sz w:val="21"/>
          <w:szCs w:val="21"/>
          <w:highlight w:val="none"/>
        </w:rPr>
        <w:t>；</w:t>
      </w:r>
    </w:p>
    <w:p w14:paraId="4087E8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银行账号：4500 1604 8510 5050 3961。</w:t>
      </w:r>
    </w:p>
    <w:p w14:paraId="29C72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须在签订合同之前按照本条规定的履约保证金金额、递交方式直接转入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账户，否则不予签订合同。</w:t>
      </w:r>
      <w:r>
        <w:rPr>
          <w:rFonts w:hint="eastAsia" w:ascii="宋体" w:hAnsi="宋体" w:eastAsia="宋体" w:cs="宋体"/>
          <w:color w:val="auto"/>
          <w:sz w:val="21"/>
          <w:szCs w:val="21"/>
          <w:highlight w:val="none"/>
          <w:lang w:val="en-US" w:eastAsia="zh-CN"/>
        </w:rPr>
        <w:t>合同终止后，</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向履约保证金收取单位提供《采购项目合同验收书》、《采购项目履约保证金退付意见书》，保证金收取单位在收到合格材料后，根据成交人相关违约处罚扣款后的实际数额在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个工作日内办理退还手续（不计利息）。</w:t>
      </w:r>
    </w:p>
    <w:p w14:paraId="6BE7F6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在履约保证金退还日期前，若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的开户名称、开户银行、账号有变动的，请以书面形式通知广西机电职业技术学院，否则由此产生的后果由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自负。</w:t>
      </w:r>
    </w:p>
    <w:p w14:paraId="3811B1E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税费</w:t>
      </w:r>
    </w:p>
    <w:p w14:paraId="6A9739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本合同执行中相关的一切税费均由乙方负担，合同另有约定的除外。</w:t>
      </w:r>
    </w:p>
    <w:p w14:paraId="4BB8C89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违约责任</w:t>
      </w:r>
    </w:p>
    <w:p w14:paraId="23E8F49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256F9E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2、乙方提供的服务如侵犯了第三方合法权益而引发的任何纠纷或者诉讼，均由乙方负责交涉并承担全部责任。</w:t>
      </w:r>
    </w:p>
    <w:p w14:paraId="1E1BC8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3、甲方延期付款的，每天向乙方偿付延期款额3‰滞纳金，但滞纳金累计不得超过延期款额5%。</w:t>
      </w:r>
    </w:p>
    <w:p w14:paraId="3847BE3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不可抗力事件处理</w:t>
      </w:r>
    </w:p>
    <w:p w14:paraId="07C67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40BC4C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DD39F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1F6D8BA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第十一条  合同争议解决</w:t>
      </w:r>
    </w:p>
    <w:p w14:paraId="3982ABB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1、因服务质量问题发生争议的，应邀请国家认可的质量检测机构进行鉴定。服务符合标准的，鉴定费由甲方承担；服务不符合标准的，鉴定费由乙方承担。</w:t>
      </w:r>
    </w:p>
    <w:p w14:paraId="72FC2E7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2、因履行本合同引起的或者与本合同有关的争议，甲乙双方应首先通过友好协商解决，如果协商不能解决，可向甲方所在地有管辖权的人民法院提起诉讼。</w:t>
      </w:r>
    </w:p>
    <w:p w14:paraId="7303E6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11949DA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合同生效及其它</w:t>
      </w:r>
    </w:p>
    <w:p w14:paraId="224C09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1、合同经双方法定代表人或者授权代表签字并加盖单位公章后生效（委托代理人签字的需后附授权委托书，格式自拟）。</w:t>
      </w:r>
    </w:p>
    <w:p w14:paraId="5B625E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2、合同执行中涉及采购资金和采购内容修改或者补充的，须经财政部门审批，并签书面补充协议报财政部门备案，方可作为主合同不可分割的一部分。</w:t>
      </w:r>
    </w:p>
    <w:p w14:paraId="67AAB4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49C186D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合同的变更、终止与转让</w:t>
      </w:r>
    </w:p>
    <w:p w14:paraId="41D976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1、除《中华人民共和国政府采购法》第五十条规定的情形外，本合同一经签订，甲乙双方不得擅自变更、中止或者终止。</w:t>
      </w:r>
    </w:p>
    <w:p w14:paraId="5FC1A4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3D5ED9D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签订本合同依据</w:t>
      </w:r>
    </w:p>
    <w:p w14:paraId="2794A0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4C711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w:t>
      </w:r>
    </w:p>
    <w:p w14:paraId="6AE484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3、商务要求偏离表和技术要求偏离表；</w:t>
      </w:r>
    </w:p>
    <w:p w14:paraId="630CD9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4、服务承诺方案；</w:t>
      </w:r>
    </w:p>
    <w:p w14:paraId="3F171F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5、响应文件中的其他相关文件。</w:t>
      </w:r>
    </w:p>
    <w:p w14:paraId="38C148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上述合同文件互相补充和解释。如果合同文件之间存在矛盾或者不一致之处，以上述文件的排列顺序在先者为准。</w:t>
      </w:r>
    </w:p>
    <w:p w14:paraId="48953AC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第十五条　</w:t>
      </w:r>
      <w:r>
        <w:rPr>
          <w:rFonts w:hint="eastAsia" w:ascii="宋体" w:hAnsi="宋体" w:eastAsia="宋体" w:cs="宋体"/>
          <w:color w:val="auto"/>
          <w:sz w:val="21"/>
          <w:szCs w:val="21"/>
          <w:highlight w:val="none"/>
        </w:rPr>
        <w:t>本合同一式四份，具有同等法律效力，采购代理机构一份，甲方两份（其中一份采用活页装订），乙方一份（可根据需要另增加）。</w:t>
      </w:r>
    </w:p>
    <w:p w14:paraId="351FF0C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本合同甲乙双方签字盖章后生效，本合同自签订之日起2个工作日内，甲方应当将采购合同在广西壮族自治区财政厅指定的媒体上公告。</w:t>
      </w:r>
    </w:p>
    <w:tbl>
      <w:tblPr>
        <w:tblStyle w:val="2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14:paraId="592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4529" w:type="dxa"/>
            <w:vAlign w:val="center"/>
          </w:tcPr>
          <w:p w14:paraId="2C3BD76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40A529B3">
            <w:pPr>
              <w:snapToGrid w:val="0"/>
              <w:spacing w:line="360" w:lineRule="auto"/>
              <w:rPr>
                <w:rFonts w:ascii="宋体" w:hAnsi="宋体"/>
                <w:color w:val="auto"/>
                <w:szCs w:val="21"/>
                <w:highlight w:val="none"/>
              </w:rPr>
            </w:pPr>
          </w:p>
          <w:p w14:paraId="43969360">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30" w:type="dxa"/>
            <w:vAlign w:val="center"/>
          </w:tcPr>
          <w:p w14:paraId="3BF8E86A">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2FB97886">
            <w:pPr>
              <w:snapToGrid w:val="0"/>
              <w:spacing w:line="360" w:lineRule="auto"/>
              <w:rPr>
                <w:rFonts w:ascii="宋体" w:hAnsi="宋体"/>
                <w:color w:val="auto"/>
                <w:szCs w:val="21"/>
                <w:highlight w:val="none"/>
              </w:rPr>
            </w:pPr>
          </w:p>
          <w:p w14:paraId="2B989A92">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1A27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62064878">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30" w:type="dxa"/>
          </w:tcPr>
          <w:p w14:paraId="7BB0856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677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3FCE8DD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30" w:type="dxa"/>
          </w:tcPr>
          <w:p w14:paraId="7E5CEB44">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1A34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659A16C6">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30" w:type="dxa"/>
          </w:tcPr>
          <w:p w14:paraId="0056DE1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6BC5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1DBCD12A">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30" w:type="dxa"/>
          </w:tcPr>
          <w:p w14:paraId="031C0EA7">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76E2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3AB1388A">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开户银行：</w:t>
            </w:r>
            <w:r>
              <w:rPr>
                <w:rFonts w:hint="eastAsia" w:ascii="宋体" w:hAnsi="宋体"/>
                <w:color w:val="auto"/>
                <w:szCs w:val="21"/>
                <w:highlight w:val="none"/>
                <w:lang w:eastAsia="zh-CN"/>
              </w:rPr>
              <w:t>中国建设银行广西南宁大学路支行</w:t>
            </w:r>
          </w:p>
        </w:tc>
        <w:tc>
          <w:tcPr>
            <w:tcW w:w="4530" w:type="dxa"/>
          </w:tcPr>
          <w:p w14:paraId="495D8D57">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C2F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4529" w:type="dxa"/>
          </w:tcPr>
          <w:p w14:paraId="2F26D62E">
            <w:pPr>
              <w:snapToGrid w:val="0"/>
              <w:spacing w:line="360" w:lineRule="auto"/>
              <w:rPr>
                <w:rFonts w:ascii="宋体" w:hAnsi="宋体"/>
                <w:color w:val="auto"/>
                <w:szCs w:val="21"/>
                <w:highlight w:val="none"/>
              </w:rPr>
            </w:pPr>
            <w:r>
              <w:rPr>
                <w:rFonts w:hint="eastAsia" w:ascii="宋体" w:hAnsi="宋体"/>
                <w:color w:val="auto"/>
                <w:szCs w:val="21"/>
                <w:highlight w:val="none"/>
              </w:rPr>
              <w:t>账号：45001604851050503961</w:t>
            </w:r>
          </w:p>
        </w:tc>
        <w:tc>
          <w:tcPr>
            <w:tcW w:w="4530" w:type="dxa"/>
          </w:tcPr>
          <w:p w14:paraId="5853FE2D">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6D85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exact"/>
        </w:trPr>
        <w:tc>
          <w:tcPr>
            <w:tcW w:w="4529" w:type="dxa"/>
          </w:tcPr>
          <w:p w14:paraId="5670DBEF">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30" w:type="dxa"/>
          </w:tcPr>
          <w:p w14:paraId="5CD258E6">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198E470E">
      <w:pPr>
        <w:snapToGrid w:val="0"/>
        <w:spacing w:line="360" w:lineRule="auto"/>
        <w:ind w:left="420" w:hanging="420" w:hangingChars="200"/>
        <w:rPr>
          <w:rFonts w:ascii="宋体" w:hAnsi="宋体"/>
          <w:color w:val="auto"/>
          <w:szCs w:val="21"/>
          <w:highlight w:val="none"/>
        </w:rPr>
      </w:pPr>
    </w:p>
    <w:p w14:paraId="7015FE57">
      <w:pPr>
        <w:rPr>
          <w:rFonts w:hint="eastAsia" w:ascii="宋体" w:hAnsi="宋体"/>
          <w:b/>
          <w:color w:val="auto"/>
          <w:szCs w:val="21"/>
          <w:highlight w:val="none"/>
        </w:rPr>
      </w:pPr>
      <w:r>
        <w:rPr>
          <w:rFonts w:hint="eastAsia" w:ascii="宋体" w:hAnsi="宋体"/>
          <w:b/>
          <w:color w:val="auto"/>
          <w:szCs w:val="21"/>
          <w:highlight w:val="none"/>
        </w:rPr>
        <w:br w:type="page"/>
      </w:r>
    </w:p>
    <w:p w14:paraId="0399C4D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合 同 附 件</w:t>
      </w:r>
    </w:p>
    <w:tbl>
      <w:tblPr>
        <w:tblStyle w:val="29"/>
        <w:tblW w:w="9084" w:type="dxa"/>
        <w:tblInd w:w="0" w:type="dxa"/>
        <w:tblLayout w:type="fixed"/>
        <w:tblCellMar>
          <w:top w:w="0" w:type="dxa"/>
          <w:left w:w="108" w:type="dxa"/>
          <w:bottom w:w="0" w:type="dxa"/>
          <w:right w:w="108" w:type="dxa"/>
        </w:tblCellMar>
      </w:tblPr>
      <w:tblGrid>
        <w:gridCol w:w="4248"/>
        <w:gridCol w:w="4836"/>
      </w:tblGrid>
      <w:tr w14:paraId="1963ACA2">
        <w:tblPrEx>
          <w:tblCellMar>
            <w:top w:w="0" w:type="dxa"/>
            <w:left w:w="108" w:type="dxa"/>
            <w:bottom w:w="0" w:type="dxa"/>
            <w:right w:w="108" w:type="dxa"/>
          </w:tblCellMar>
        </w:tblPrEx>
        <w:trPr>
          <w:trHeight w:val="1226" w:hRule="atLeast"/>
        </w:trPr>
        <w:tc>
          <w:tcPr>
            <w:tcW w:w="9084" w:type="dxa"/>
            <w:gridSpan w:val="2"/>
            <w:tcBorders>
              <w:top w:val="single" w:color="auto" w:sz="4" w:space="0"/>
              <w:left w:val="single" w:color="auto" w:sz="4" w:space="0"/>
              <w:right w:val="single" w:color="auto" w:sz="4" w:space="0"/>
            </w:tcBorders>
          </w:tcPr>
          <w:p w14:paraId="79F0B315">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1. 供应商承诺具体事项：</w:t>
            </w:r>
          </w:p>
        </w:tc>
      </w:tr>
      <w:tr w14:paraId="0B799DE2">
        <w:tblPrEx>
          <w:tblCellMar>
            <w:top w:w="0" w:type="dxa"/>
            <w:left w:w="108" w:type="dxa"/>
            <w:bottom w:w="0" w:type="dxa"/>
            <w:right w:w="108" w:type="dxa"/>
          </w:tblCellMar>
        </w:tblPrEx>
        <w:trPr>
          <w:trHeight w:val="1228" w:hRule="atLeast"/>
        </w:trPr>
        <w:tc>
          <w:tcPr>
            <w:tcW w:w="9084" w:type="dxa"/>
            <w:gridSpan w:val="2"/>
            <w:tcBorders>
              <w:top w:val="single" w:color="auto" w:sz="4" w:space="0"/>
              <w:left w:val="single" w:color="auto" w:sz="4" w:space="0"/>
              <w:right w:val="single" w:color="auto" w:sz="4" w:space="0"/>
            </w:tcBorders>
          </w:tcPr>
          <w:p w14:paraId="3385A81E">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2. 售后服务具体事项：</w:t>
            </w:r>
          </w:p>
        </w:tc>
      </w:tr>
      <w:tr w14:paraId="24AEA860">
        <w:tblPrEx>
          <w:tblCellMar>
            <w:top w:w="0" w:type="dxa"/>
            <w:left w:w="108" w:type="dxa"/>
            <w:bottom w:w="0" w:type="dxa"/>
            <w:right w:w="108" w:type="dxa"/>
          </w:tblCellMar>
        </w:tblPrEx>
        <w:trPr>
          <w:trHeight w:val="1088" w:hRule="atLeast"/>
        </w:trPr>
        <w:tc>
          <w:tcPr>
            <w:tcW w:w="9084" w:type="dxa"/>
            <w:gridSpan w:val="2"/>
            <w:tcBorders>
              <w:top w:val="single" w:color="auto" w:sz="4" w:space="0"/>
              <w:left w:val="single" w:color="auto" w:sz="4" w:space="0"/>
              <w:right w:val="single" w:color="auto" w:sz="4" w:space="0"/>
            </w:tcBorders>
          </w:tcPr>
          <w:p w14:paraId="3D833446">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 xml:space="preserve">3. </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期责任：</w:t>
            </w:r>
          </w:p>
        </w:tc>
      </w:tr>
      <w:tr w14:paraId="6897EF4A">
        <w:tblPrEx>
          <w:tblCellMar>
            <w:top w:w="0" w:type="dxa"/>
            <w:left w:w="108" w:type="dxa"/>
            <w:bottom w:w="0" w:type="dxa"/>
            <w:right w:w="108" w:type="dxa"/>
          </w:tblCellMar>
        </w:tblPrEx>
        <w:trPr>
          <w:trHeight w:val="1360" w:hRule="atLeast"/>
        </w:trPr>
        <w:tc>
          <w:tcPr>
            <w:tcW w:w="9084" w:type="dxa"/>
            <w:gridSpan w:val="2"/>
            <w:tcBorders>
              <w:top w:val="single" w:color="auto" w:sz="4" w:space="0"/>
              <w:left w:val="single" w:color="auto" w:sz="4" w:space="0"/>
              <w:right w:val="single" w:color="auto" w:sz="4" w:space="0"/>
            </w:tcBorders>
          </w:tcPr>
          <w:p w14:paraId="6105470C">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4. 其他具体事项：</w:t>
            </w:r>
          </w:p>
        </w:tc>
      </w:tr>
      <w:tr w14:paraId="2C4AFA42">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528F5874">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甲方（章）</w:t>
            </w:r>
          </w:p>
          <w:p w14:paraId="46F9D3F6">
            <w:pPr>
              <w:snapToGrid w:val="0"/>
              <w:spacing w:line="360" w:lineRule="auto"/>
              <w:ind w:firstLine="420" w:firstLineChars="200"/>
              <w:rPr>
                <w:rFonts w:ascii="宋体" w:hAnsi="宋体"/>
                <w:b w:val="0"/>
                <w:bCs/>
                <w:color w:val="auto"/>
                <w:szCs w:val="21"/>
                <w:highlight w:val="none"/>
              </w:rPr>
            </w:pPr>
          </w:p>
          <w:p w14:paraId="65AF586A">
            <w:pPr>
              <w:snapToGrid w:val="0"/>
              <w:spacing w:line="360" w:lineRule="auto"/>
              <w:rPr>
                <w:rFonts w:ascii="宋体" w:hAnsi="宋体"/>
                <w:b w:val="0"/>
                <w:bCs/>
                <w:color w:val="auto"/>
                <w:szCs w:val="21"/>
                <w:highlight w:val="none"/>
              </w:rPr>
            </w:pPr>
          </w:p>
          <w:p w14:paraId="43ADD8B4">
            <w:pPr>
              <w:snapToGrid w:val="0"/>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 xml:space="preserve">                 年   月   日 </w:t>
            </w:r>
          </w:p>
        </w:tc>
        <w:tc>
          <w:tcPr>
            <w:tcW w:w="4836" w:type="dxa"/>
            <w:tcBorders>
              <w:top w:val="single" w:color="auto" w:sz="4" w:space="0"/>
              <w:left w:val="single" w:color="auto" w:sz="4" w:space="0"/>
              <w:bottom w:val="single" w:color="auto" w:sz="4" w:space="0"/>
              <w:right w:val="single" w:color="auto" w:sz="4" w:space="0"/>
            </w:tcBorders>
            <w:vAlign w:val="center"/>
          </w:tcPr>
          <w:p w14:paraId="792B0BDE">
            <w:pPr>
              <w:snapToGrid w:val="0"/>
              <w:spacing w:line="360" w:lineRule="auto"/>
              <w:rPr>
                <w:rFonts w:ascii="宋体" w:hAnsi="宋体"/>
                <w:b w:val="0"/>
                <w:bCs/>
                <w:color w:val="auto"/>
                <w:szCs w:val="21"/>
                <w:highlight w:val="none"/>
              </w:rPr>
            </w:pPr>
            <w:r>
              <w:rPr>
                <w:rFonts w:hint="eastAsia" w:ascii="宋体" w:hAnsi="宋体"/>
                <w:b w:val="0"/>
                <w:bCs/>
                <w:color w:val="auto"/>
                <w:szCs w:val="21"/>
                <w:highlight w:val="none"/>
              </w:rPr>
              <w:t>乙方（章）</w:t>
            </w:r>
          </w:p>
          <w:p w14:paraId="719ABF2E">
            <w:pPr>
              <w:snapToGrid w:val="0"/>
              <w:spacing w:line="360" w:lineRule="auto"/>
              <w:ind w:firstLine="420" w:firstLineChars="200"/>
              <w:rPr>
                <w:rFonts w:ascii="宋体" w:hAnsi="宋体"/>
                <w:b w:val="0"/>
                <w:bCs/>
                <w:color w:val="auto"/>
                <w:szCs w:val="21"/>
                <w:highlight w:val="none"/>
              </w:rPr>
            </w:pPr>
          </w:p>
          <w:p w14:paraId="235E2679">
            <w:pPr>
              <w:snapToGrid w:val="0"/>
              <w:spacing w:line="360" w:lineRule="auto"/>
              <w:rPr>
                <w:rFonts w:ascii="宋体" w:hAnsi="宋体"/>
                <w:b w:val="0"/>
                <w:bCs/>
                <w:color w:val="auto"/>
                <w:szCs w:val="21"/>
                <w:highlight w:val="none"/>
              </w:rPr>
            </w:pPr>
          </w:p>
          <w:p w14:paraId="2016A523">
            <w:pPr>
              <w:snapToGrid w:val="0"/>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 xml:space="preserve">                年   月   日</w:t>
            </w:r>
          </w:p>
        </w:tc>
      </w:tr>
    </w:tbl>
    <w:p w14:paraId="57092FF5">
      <w:pPr>
        <w:bidi w:val="0"/>
        <w:rPr>
          <w:color w:val="auto"/>
          <w:highlight w:val="none"/>
        </w:rPr>
      </w:pPr>
      <w:r>
        <w:rPr>
          <w:rFonts w:hint="eastAsia" w:ascii="宋体" w:hAnsi="宋体"/>
          <w:color w:val="auto"/>
          <w:szCs w:val="21"/>
          <w:highlight w:val="none"/>
        </w:rPr>
        <w:t xml:space="preserve">   注：售后服务事项填不下时可另加附页</w:t>
      </w:r>
    </w:p>
    <w:sectPr>
      <w:pgSz w:w="11910" w:h="16840"/>
      <w:pgMar w:top="1340" w:right="1500" w:bottom="1338" w:left="150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C50FB2-655F-4B3A-A1CE-17CD51C20BB9}"/>
  </w:font>
  <w:font w:name="黑体">
    <w:panose1 w:val="02010609060101010101"/>
    <w:charset w:val="86"/>
    <w:family w:val="auto"/>
    <w:pitch w:val="default"/>
    <w:sig w:usb0="800002BF" w:usb1="38CF7CFA" w:usb2="00000016" w:usb3="00000000" w:csb0="00040001" w:csb1="00000000"/>
    <w:embedRegular r:id="rId2" w:fontKey="{6A87C983-4C27-45AA-8AB9-60B97C9AE6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4E6AF60-F1CB-4F39-A72B-34ED1340513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4" w:fontKey="{B25D9E41-836C-42A5-9B86-9986D0EBDE1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B83A5147-BB56-4FE7-A1B2-1AACC33F5F3A}"/>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embedRegular r:id="rId6" w:fontKey="{4C73B858-52CE-4AEE-86D3-44DB14EB523A}"/>
  </w:font>
  <w:font w:name="Helvetica">
    <w:altName w:val="Arial"/>
    <w:panose1 w:val="020B0604020202020204"/>
    <w:charset w:val="00"/>
    <w:family w:val="swiss"/>
    <w:pitch w:val="default"/>
    <w:sig w:usb0="00000000" w:usb1="00000000" w:usb2="00000000" w:usb3="00000000" w:csb0="00000001" w:csb1="00000000"/>
    <w:embedRegular r:id="rId7" w:fontKey="{CE3FD1C2-6CA3-4AB3-A287-E77BFBBF80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573B">
    <w:pPr>
      <w:pStyle w:val="18"/>
      <w:ind w:firstLine="360"/>
      <w:jc w:val="center"/>
    </w:pPr>
  </w:p>
  <w:p w14:paraId="2411F4A7">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1D4F">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7D42">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9229">
    <w:pPr>
      <w:pStyle w:val="18"/>
      <w:jc w:val="center"/>
    </w:pPr>
    <w:r>
      <w:fldChar w:fldCharType="begin"/>
    </w:r>
    <w:r>
      <w:instrText xml:space="preserve"> PAGE   \* MERGEFORMAT </w:instrText>
    </w:r>
    <w:r>
      <w:fldChar w:fldCharType="separate"/>
    </w:r>
    <w:r>
      <w:rPr>
        <w:lang w:val="zh-CN"/>
      </w:rPr>
      <w:t>1</w:t>
    </w:r>
    <w:r>
      <w:rPr>
        <w:lang w:val="zh-CN"/>
      </w:rPr>
      <w:fldChar w:fldCharType="end"/>
    </w:r>
  </w:p>
  <w:p w14:paraId="3B8EA06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5590">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B1BB">
    <w:pPr>
      <w:pStyle w:val="18"/>
      <w:jc w:val="center"/>
    </w:pPr>
    <w:r>
      <w:fldChar w:fldCharType="begin"/>
    </w:r>
    <w:r>
      <w:instrText xml:space="preserve"> PAGE   \* MERGEFORMAT </w:instrText>
    </w:r>
    <w:r>
      <w:fldChar w:fldCharType="separate"/>
    </w:r>
    <w:r>
      <w:rPr>
        <w:lang w:val="zh-CN"/>
      </w:rPr>
      <w:t>1</w:t>
    </w:r>
    <w:r>
      <w:rPr>
        <w:lang w:val="zh-CN"/>
      </w:rPr>
      <w:fldChar w:fldCharType="end"/>
    </w:r>
  </w:p>
  <w:p w14:paraId="1D585031">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DA0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3E3EDB">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14:paraId="133E3ED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4203">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4095">
    <w:pPr>
      <w:pStyle w:val="1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55AE">
    <w:pPr>
      <w:pStyle w:val="19"/>
      <w:pBdr>
        <w:bottom w:val="single" w:color="auto" w:sz="4" w:space="1"/>
      </w:pBdr>
      <w:ind w:firstLine="360"/>
    </w:pPr>
    <w:r>
      <w:rPr>
        <w:rFonts w:hint="eastAsia"/>
        <w:lang w:val="en-US" w:eastAsia="zh-CN"/>
      </w:rPr>
      <w:t>江南校区医疗服务采购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7518">
    <w:pPr>
      <w:pStyle w:val="19"/>
      <w:pBdr>
        <w:bottom w:val="single" w:color="auto" w:sz="4" w:space="1"/>
      </w:pBdr>
      <w:ind w:firstLine="360"/>
      <w:rPr>
        <w:rFonts w:hint="default" w:eastAsia="宋体"/>
        <w:lang w:val="en-US" w:eastAsia="zh-CN"/>
      </w:rPr>
    </w:pPr>
    <w:r>
      <w:rPr>
        <w:rFonts w:hint="eastAsia"/>
        <w:lang w:val="en-US" w:eastAsia="zh-CN"/>
      </w:rPr>
      <w:t>江南校区医疗服务采购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g3MTIzZjhhZmNiNWMwZDJlMGNkNzMxNzk1NjIifQ=="/>
  </w:docVars>
  <w:rsids>
    <w:rsidRoot w:val="003512C6"/>
    <w:rsid w:val="00000672"/>
    <w:rsid w:val="00000B45"/>
    <w:rsid w:val="00001799"/>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5880"/>
    <w:rsid w:val="000462CB"/>
    <w:rsid w:val="00046B5E"/>
    <w:rsid w:val="0004783A"/>
    <w:rsid w:val="000509D9"/>
    <w:rsid w:val="000552A6"/>
    <w:rsid w:val="00055D41"/>
    <w:rsid w:val="00056975"/>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B728B"/>
    <w:rsid w:val="000C03DC"/>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5A9C"/>
    <w:rsid w:val="00146EC6"/>
    <w:rsid w:val="001478D2"/>
    <w:rsid w:val="00150CC9"/>
    <w:rsid w:val="00152A87"/>
    <w:rsid w:val="00154486"/>
    <w:rsid w:val="00156D0E"/>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7ECC"/>
    <w:rsid w:val="001C1AED"/>
    <w:rsid w:val="001C1B38"/>
    <w:rsid w:val="001C25A7"/>
    <w:rsid w:val="001C318C"/>
    <w:rsid w:val="001C4287"/>
    <w:rsid w:val="001C4479"/>
    <w:rsid w:val="001C5A0A"/>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6F5"/>
    <w:rsid w:val="001E28DF"/>
    <w:rsid w:val="001E2B9F"/>
    <w:rsid w:val="001E4A8D"/>
    <w:rsid w:val="001E5A94"/>
    <w:rsid w:val="001E7648"/>
    <w:rsid w:val="001F127B"/>
    <w:rsid w:val="001F2A2E"/>
    <w:rsid w:val="001F2E3D"/>
    <w:rsid w:val="001F3B72"/>
    <w:rsid w:val="001F3C63"/>
    <w:rsid w:val="001F4460"/>
    <w:rsid w:val="001F5C1C"/>
    <w:rsid w:val="001F5DAF"/>
    <w:rsid w:val="001F637C"/>
    <w:rsid w:val="001F6B6C"/>
    <w:rsid w:val="001F711A"/>
    <w:rsid w:val="001F728A"/>
    <w:rsid w:val="001F75B0"/>
    <w:rsid w:val="001F7686"/>
    <w:rsid w:val="00200CE5"/>
    <w:rsid w:val="002014DB"/>
    <w:rsid w:val="00201E12"/>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6B1"/>
    <w:rsid w:val="002575E3"/>
    <w:rsid w:val="002603C1"/>
    <w:rsid w:val="002609A1"/>
    <w:rsid w:val="002612B1"/>
    <w:rsid w:val="00266165"/>
    <w:rsid w:val="0027125E"/>
    <w:rsid w:val="00271767"/>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763"/>
    <w:rsid w:val="00290606"/>
    <w:rsid w:val="00290E61"/>
    <w:rsid w:val="00290F9D"/>
    <w:rsid w:val="002918A7"/>
    <w:rsid w:val="00291D6D"/>
    <w:rsid w:val="00291FF1"/>
    <w:rsid w:val="002923F6"/>
    <w:rsid w:val="00293361"/>
    <w:rsid w:val="00293770"/>
    <w:rsid w:val="00293D0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8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7E6"/>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A11"/>
    <w:rsid w:val="00363F39"/>
    <w:rsid w:val="00364738"/>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38D"/>
    <w:rsid w:val="00377A3B"/>
    <w:rsid w:val="00377E3C"/>
    <w:rsid w:val="0038099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65AC"/>
    <w:rsid w:val="003E6E24"/>
    <w:rsid w:val="003E72B9"/>
    <w:rsid w:val="003E7A18"/>
    <w:rsid w:val="003E7ED4"/>
    <w:rsid w:val="003F0E52"/>
    <w:rsid w:val="003F0EF2"/>
    <w:rsid w:val="003F0F6B"/>
    <w:rsid w:val="003F1F40"/>
    <w:rsid w:val="003F1FE3"/>
    <w:rsid w:val="003F3865"/>
    <w:rsid w:val="003F3A0A"/>
    <w:rsid w:val="003F4632"/>
    <w:rsid w:val="003F47BA"/>
    <w:rsid w:val="003F6617"/>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0C"/>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7C0"/>
    <w:rsid w:val="004E3930"/>
    <w:rsid w:val="004E3E34"/>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853"/>
    <w:rsid w:val="005779E4"/>
    <w:rsid w:val="00577A3F"/>
    <w:rsid w:val="00580AC5"/>
    <w:rsid w:val="00580EB3"/>
    <w:rsid w:val="00581A2A"/>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B87"/>
    <w:rsid w:val="005D02E3"/>
    <w:rsid w:val="005D0310"/>
    <w:rsid w:val="005D039C"/>
    <w:rsid w:val="005D1370"/>
    <w:rsid w:val="005D1F34"/>
    <w:rsid w:val="005D2529"/>
    <w:rsid w:val="005D2C1F"/>
    <w:rsid w:val="005D34B2"/>
    <w:rsid w:val="005D3B54"/>
    <w:rsid w:val="005D40CD"/>
    <w:rsid w:val="005D4546"/>
    <w:rsid w:val="005D6B59"/>
    <w:rsid w:val="005D7037"/>
    <w:rsid w:val="005E03E4"/>
    <w:rsid w:val="005E0454"/>
    <w:rsid w:val="005E0BF4"/>
    <w:rsid w:val="005E171D"/>
    <w:rsid w:val="005E34C2"/>
    <w:rsid w:val="005E35C6"/>
    <w:rsid w:val="005E417A"/>
    <w:rsid w:val="005E5B0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0CF"/>
    <w:rsid w:val="00637774"/>
    <w:rsid w:val="0064024C"/>
    <w:rsid w:val="00640291"/>
    <w:rsid w:val="0064103F"/>
    <w:rsid w:val="00641FAC"/>
    <w:rsid w:val="006432A5"/>
    <w:rsid w:val="00643664"/>
    <w:rsid w:val="00643CAA"/>
    <w:rsid w:val="00644075"/>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B6C"/>
    <w:rsid w:val="00694202"/>
    <w:rsid w:val="006942AE"/>
    <w:rsid w:val="0069483C"/>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0CB"/>
    <w:rsid w:val="006B224E"/>
    <w:rsid w:val="006B31C3"/>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4E5"/>
    <w:rsid w:val="0073792F"/>
    <w:rsid w:val="00740367"/>
    <w:rsid w:val="00740BAD"/>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977A2"/>
    <w:rsid w:val="007A0A5E"/>
    <w:rsid w:val="007A11C2"/>
    <w:rsid w:val="007A2367"/>
    <w:rsid w:val="007A41BF"/>
    <w:rsid w:val="007A490A"/>
    <w:rsid w:val="007A51B4"/>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0140"/>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786"/>
    <w:rsid w:val="00971CF1"/>
    <w:rsid w:val="009721E9"/>
    <w:rsid w:val="00972A58"/>
    <w:rsid w:val="00973772"/>
    <w:rsid w:val="009738FC"/>
    <w:rsid w:val="00975E1E"/>
    <w:rsid w:val="00975E70"/>
    <w:rsid w:val="00977CD6"/>
    <w:rsid w:val="00982481"/>
    <w:rsid w:val="00982D26"/>
    <w:rsid w:val="0098330E"/>
    <w:rsid w:val="009833DD"/>
    <w:rsid w:val="00983A87"/>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3B3"/>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F9B"/>
    <w:rsid w:val="00AC733E"/>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918"/>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102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4FF"/>
    <w:rsid w:val="00B94956"/>
    <w:rsid w:val="00B94C7F"/>
    <w:rsid w:val="00B94DF6"/>
    <w:rsid w:val="00B956B5"/>
    <w:rsid w:val="00B95904"/>
    <w:rsid w:val="00B95C3A"/>
    <w:rsid w:val="00B95FCE"/>
    <w:rsid w:val="00B97497"/>
    <w:rsid w:val="00BA0A23"/>
    <w:rsid w:val="00BA0D44"/>
    <w:rsid w:val="00BA0E26"/>
    <w:rsid w:val="00BA11BB"/>
    <w:rsid w:val="00BA2B61"/>
    <w:rsid w:val="00BA31BF"/>
    <w:rsid w:val="00BA43FC"/>
    <w:rsid w:val="00BA478B"/>
    <w:rsid w:val="00BA5224"/>
    <w:rsid w:val="00BA7456"/>
    <w:rsid w:val="00BA7925"/>
    <w:rsid w:val="00BA7B27"/>
    <w:rsid w:val="00BA7E3B"/>
    <w:rsid w:val="00BB079C"/>
    <w:rsid w:val="00BB32A1"/>
    <w:rsid w:val="00BB39C1"/>
    <w:rsid w:val="00BB52AF"/>
    <w:rsid w:val="00BB5555"/>
    <w:rsid w:val="00BB5D16"/>
    <w:rsid w:val="00BB6180"/>
    <w:rsid w:val="00BB6595"/>
    <w:rsid w:val="00BB69E6"/>
    <w:rsid w:val="00BB6DEF"/>
    <w:rsid w:val="00BB7714"/>
    <w:rsid w:val="00BC1B7A"/>
    <w:rsid w:val="00BC2BC7"/>
    <w:rsid w:val="00BC2C17"/>
    <w:rsid w:val="00BC3ACD"/>
    <w:rsid w:val="00BC506D"/>
    <w:rsid w:val="00BC5C09"/>
    <w:rsid w:val="00BC63C3"/>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F"/>
    <w:rsid w:val="00BF59B1"/>
    <w:rsid w:val="00BF6A78"/>
    <w:rsid w:val="00BF6E19"/>
    <w:rsid w:val="00BF79B4"/>
    <w:rsid w:val="00C0099F"/>
    <w:rsid w:val="00C01427"/>
    <w:rsid w:val="00C016A1"/>
    <w:rsid w:val="00C04AAB"/>
    <w:rsid w:val="00C058AF"/>
    <w:rsid w:val="00C05A11"/>
    <w:rsid w:val="00C06F5A"/>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6FF4"/>
    <w:rsid w:val="00C77818"/>
    <w:rsid w:val="00C77AE3"/>
    <w:rsid w:val="00C8063F"/>
    <w:rsid w:val="00C81549"/>
    <w:rsid w:val="00C816C8"/>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870"/>
    <w:rsid w:val="00CA7500"/>
    <w:rsid w:val="00CA7C34"/>
    <w:rsid w:val="00CB0696"/>
    <w:rsid w:val="00CB1239"/>
    <w:rsid w:val="00CB19FE"/>
    <w:rsid w:val="00CB2EEF"/>
    <w:rsid w:val="00CB304C"/>
    <w:rsid w:val="00CB53E8"/>
    <w:rsid w:val="00CB594A"/>
    <w:rsid w:val="00CB5A10"/>
    <w:rsid w:val="00CB5CB2"/>
    <w:rsid w:val="00CB6979"/>
    <w:rsid w:val="00CC0484"/>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1027"/>
    <w:rsid w:val="00D9393E"/>
    <w:rsid w:val="00D93B66"/>
    <w:rsid w:val="00D94C7D"/>
    <w:rsid w:val="00D94CA4"/>
    <w:rsid w:val="00D94FB4"/>
    <w:rsid w:val="00D95E99"/>
    <w:rsid w:val="00DA098C"/>
    <w:rsid w:val="00DA1A3A"/>
    <w:rsid w:val="00DA2712"/>
    <w:rsid w:val="00DA2C65"/>
    <w:rsid w:val="00DA395D"/>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1D"/>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42DD"/>
    <w:rsid w:val="00EB559F"/>
    <w:rsid w:val="00EB5F3D"/>
    <w:rsid w:val="00EB6EC2"/>
    <w:rsid w:val="00EC0090"/>
    <w:rsid w:val="00EC1CEB"/>
    <w:rsid w:val="00EC268C"/>
    <w:rsid w:val="00EC3602"/>
    <w:rsid w:val="00EC3753"/>
    <w:rsid w:val="00EC3CB8"/>
    <w:rsid w:val="00EC3D46"/>
    <w:rsid w:val="00EC4E71"/>
    <w:rsid w:val="00EC569A"/>
    <w:rsid w:val="00EC666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613B"/>
    <w:rsid w:val="00EE6911"/>
    <w:rsid w:val="00EE7E17"/>
    <w:rsid w:val="00EF2C8E"/>
    <w:rsid w:val="00EF37E4"/>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B30"/>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31C7"/>
    <w:rsid w:val="00FA472D"/>
    <w:rsid w:val="00FA7254"/>
    <w:rsid w:val="00FB0214"/>
    <w:rsid w:val="00FB080C"/>
    <w:rsid w:val="00FB0FAF"/>
    <w:rsid w:val="00FB12BC"/>
    <w:rsid w:val="00FB1434"/>
    <w:rsid w:val="00FB18F6"/>
    <w:rsid w:val="00FB2056"/>
    <w:rsid w:val="00FB2A5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273A25"/>
    <w:rsid w:val="01421BEC"/>
    <w:rsid w:val="015C26BC"/>
    <w:rsid w:val="017A1371"/>
    <w:rsid w:val="01B003E7"/>
    <w:rsid w:val="021804B2"/>
    <w:rsid w:val="022B0E5C"/>
    <w:rsid w:val="023870D5"/>
    <w:rsid w:val="02511F9D"/>
    <w:rsid w:val="029C1412"/>
    <w:rsid w:val="03056ED3"/>
    <w:rsid w:val="034675D0"/>
    <w:rsid w:val="035E4919"/>
    <w:rsid w:val="0381685A"/>
    <w:rsid w:val="03A314B8"/>
    <w:rsid w:val="03A907BD"/>
    <w:rsid w:val="03D82B98"/>
    <w:rsid w:val="03EF1013"/>
    <w:rsid w:val="03EF5BD6"/>
    <w:rsid w:val="03F83E8B"/>
    <w:rsid w:val="046B5540"/>
    <w:rsid w:val="04927B6B"/>
    <w:rsid w:val="04F96FF0"/>
    <w:rsid w:val="054D733B"/>
    <w:rsid w:val="05900FD6"/>
    <w:rsid w:val="05A21435"/>
    <w:rsid w:val="05B74650"/>
    <w:rsid w:val="05D215EF"/>
    <w:rsid w:val="05F31C91"/>
    <w:rsid w:val="05F902FF"/>
    <w:rsid w:val="062232FF"/>
    <w:rsid w:val="062260D2"/>
    <w:rsid w:val="066E3041"/>
    <w:rsid w:val="06915006"/>
    <w:rsid w:val="069C7CC4"/>
    <w:rsid w:val="06A92350"/>
    <w:rsid w:val="06FA2BAB"/>
    <w:rsid w:val="074D53D1"/>
    <w:rsid w:val="07550A75"/>
    <w:rsid w:val="07846919"/>
    <w:rsid w:val="07B72767"/>
    <w:rsid w:val="08077E72"/>
    <w:rsid w:val="080F2686"/>
    <w:rsid w:val="08147C9D"/>
    <w:rsid w:val="0878647D"/>
    <w:rsid w:val="08935065"/>
    <w:rsid w:val="08BC1FF8"/>
    <w:rsid w:val="08E729B2"/>
    <w:rsid w:val="09053F2C"/>
    <w:rsid w:val="09223D2A"/>
    <w:rsid w:val="09270E73"/>
    <w:rsid w:val="092C43F4"/>
    <w:rsid w:val="0978425B"/>
    <w:rsid w:val="09CC2AAC"/>
    <w:rsid w:val="09D820EE"/>
    <w:rsid w:val="09FC7A51"/>
    <w:rsid w:val="0A56459C"/>
    <w:rsid w:val="0A652D3E"/>
    <w:rsid w:val="0A93759F"/>
    <w:rsid w:val="0AAD7F01"/>
    <w:rsid w:val="0AB319EF"/>
    <w:rsid w:val="0B0C10FF"/>
    <w:rsid w:val="0B253A7F"/>
    <w:rsid w:val="0B3A48F0"/>
    <w:rsid w:val="0B3C19E4"/>
    <w:rsid w:val="0B4B7C0B"/>
    <w:rsid w:val="0B6B051B"/>
    <w:rsid w:val="0B6C35B5"/>
    <w:rsid w:val="0B723658"/>
    <w:rsid w:val="0B7A1444"/>
    <w:rsid w:val="0B93537C"/>
    <w:rsid w:val="0B9F0F39"/>
    <w:rsid w:val="0BB53545"/>
    <w:rsid w:val="0C1D7BFA"/>
    <w:rsid w:val="0C22507E"/>
    <w:rsid w:val="0C3E353A"/>
    <w:rsid w:val="0C671F47"/>
    <w:rsid w:val="0C6C00A7"/>
    <w:rsid w:val="0C92213C"/>
    <w:rsid w:val="0CAD246E"/>
    <w:rsid w:val="0CB47CA0"/>
    <w:rsid w:val="0CB85C95"/>
    <w:rsid w:val="0CD619C5"/>
    <w:rsid w:val="0CDB347F"/>
    <w:rsid w:val="0D4A5F0F"/>
    <w:rsid w:val="0D4F221D"/>
    <w:rsid w:val="0D74544A"/>
    <w:rsid w:val="0D84032B"/>
    <w:rsid w:val="0D881D7B"/>
    <w:rsid w:val="0D907DC5"/>
    <w:rsid w:val="0DD01512"/>
    <w:rsid w:val="0DF77E44"/>
    <w:rsid w:val="0DFF6240"/>
    <w:rsid w:val="0E2624D8"/>
    <w:rsid w:val="0EA300C1"/>
    <w:rsid w:val="0EAB6328"/>
    <w:rsid w:val="0ED317E0"/>
    <w:rsid w:val="0ED35683"/>
    <w:rsid w:val="0EE06B2A"/>
    <w:rsid w:val="0EE54141"/>
    <w:rsid w:val="0F0A0484"/>
    <w:rsid w:val="0F0A4535"/>
    <w:rsid w:val="0F2C39E7"/>
    <w:rsid w:val="0F824086"/>
    <w:rsid w:val="0FB75ADD"/>
    <w:rsid w:val="0FBA737B"/>
    <w:rsid w:val="100C6D43"/>
    <w:rsid w:val="10910627"/>
    <w:rsid w:val="109D405E"/>
    <w:rsid w:val="10A27F31"/>
    <w:rsid w:val="10A46ADD"/>
    <w:rsid w:val="10AC2CA2"/>
    <w:rsid w:val="10B33658"/>
    <w:rsid w:val="10CA487C"/>
    <w:rsid w:val="10E50428"/>
    <w:rsid w:val="11902A8A"/>
    <w:rsid w:val="11927058"/>
    <w:rsid w:val="11DA1F57"/>
    <w:rsid w:val="11F32F2D"/>
    <w:rsid w:val="121865DB"/>
    <w:rsid w:val="123A29F6"/>
    <w:rsid w:val="125010CC"/>
    <w:rsid w:val="126537F7"/>
    <w:rsid w:val="12A52565"/>
    <w:rsid w:val="12E34E3B"/>
    <w:rsid w:val="12FE1C75"/>
    <w:rsid w:val="13345697"/>
    <w:rsid w:val="13675A6C"/>
    <w:rsid w:val="13813137"/>
    <w:rsid w:val="13AF4F03"/>
    <w:rsid w:val="13FB7F63"/>
    <w:rsid w:val="141C70BE"/>
    <w:rsid w:val="14551D69"/>
    <w:rsid w:val="14661880"/>
    <w:rsid w:val="14736E66"/>
    <w:rsid w:val="14832587"/>
    <w:rsid w:val="14863CD0"/>
    <w:rsid w:val="149B6AC2"/>
    <w:rsid w:val="14A423A8"/>
    <w:rsid w:val="14B7032D"/>
    <w:rsid w:val="14F74BCE"/>
    <w:rsid w:val="15293653"/>
    <w:rsid w:val="1534169A"/>
    <w:rsid w:val="15663771"/>
    <w:rsid w:val="159B19A2"/>
    <w:rsid w:val="15A00DC2"/>
    <w:rsid w:val="15B605E5"/>
    <w:rsid w:val="15C03E03"/>
    <w:rsid w:val="15DB629E"/>
    <w:rsid w:val="15F1786F"/>
    <w:rsid w:val="160F7CF5"/>
    <w:rsid w:val="161A6DC6"/>
    <w:rsid w:val="162A25EB"/>
    <w:rsid w:val="165A3666"/>
    <w:rsid w:val="16F2389F"/>
    <w:rsid w:val="16FD2A55"/>
    <w:rsid w:val="170830C2"/>
    <w:rsid w:val="17231CAA"/>
    <w:rsid w:val="17342109"/>
    <w:rsid w:val="17343EB7"/>
    <w:rsid w:val="17366761"/>
    <w:rsid w:val="177C01F0"/>
    <w:rsid w:val="178057B9"/>
    <w:rsid w:val="17901AB3"/>
    <w:rsid w:val="17CE6630"/>
    <w:rsid w:val="17CF598E"/>
    <w:rsid w:val="188D7D23"/>
    <w:rsid w:val="18953B09"/>
    <w:rsid w:val="18AC1971"/>
    <w:rsid w:val="18DC0363"/>
    <w:rsid w:val="18FA4C8D"/>
    <w:rsid w:val="191775ED"/>
    <w:rsid w:val="19210A83"/>
    <w:rsid w:val="194D300E"/>
    <w:rsid w:val="19642638"/>
    <w:rsid w:val="19820BA0"/>
    <w:rsid w:val="19A90B8D"/>
    <w:rsid w:val="19C03CF6"/>
    <w:rsid w:val="19C150EF"/>
    <w:rsid w:val="19C31523"/>
    <w:rsid w:val="19CA465F"/>
    <w:rsid w:val="19E35721"/>
    <w:rsid w:val="19EF056A"/>
    <w:rsid w:val="19F6167D"/>
    <w:rsid w:val="19FB2A6A"/>
    <w:rsid w:val="1A1F59F4"/>
    <w:rsid w:val="1A3B3CB4"/>
    <w:rsid w:val="1A420699"/>
    <w:rsid w:val="1A534654"/>
    <w:rsid w:val="1AB62E35"/>
    <w:rsid w:val="1AC9700C"/>
    <w:rsid w:val="1ADE7164"/>
    <w:rsid w:val="1AE259D8"/>
    <w:rsid w:val="1AFA16D5"/>
    <w:rsid w:val="1AFA71C6"/>
    <w:rsid w:val="1B334486"/>
    <w:rsid w:val="1B4F19F8"/>
    <w:rsid w:val="1B5F527B"/>
    <w:rsid w:val="1B6E048E"/>
    <w:rsid w:val="1B811695"/>
    <w:rsid w:val="1BCD0EF8"/>
    <w:rsid w:val="1BD92184"/>
    <w:rsid w:val="1C093B64"/>
    <w:rsid w:val="1C1C4F1A"/>
    <w:rsid w:val="1C406A69"/>
    <w:rsid w:val="1C420E24"/>
    <w:rsid w:val="1C5170A2"/>
    <w:rsid w:val="1C6F0FEC"/>
    <w:rsid w:val="1D036806"/>
    <w:rsid w:val="1D1F4CC2"/>
    <w:rsid w:val="1D306ECF"/>
    <w:rsid w:val="1D385D84"/>
    <w:rsid w:val="1D4061A8"/>
    <w:rsid w:val="1D634A51"/>
    <w:rsid w:val="1D723DB3"/>
    <w:rsid w:val="1DBC4C07"/>
    <w:rsid w:val="1DDA616F"/>
    <w:rsid w:val="1E0A5972"/>
    <w:rsid w:val="1E14234D"/>
    <w:rsid w:val="1E326C77"/>
    <w:rsid w:val="1E7E2B40"/>
    <w:rsid w:val="1E8A07BD"/>
    <w:rsid w:val="1E9B4F4B"/>
    <w:rsid w:val="1E9D669E"/>
    <w:rsid w:val="1EAE27A1"/>
    <w:rsid w:val="1EC21DA9"/>
    <w:rsid w:val="1ECE5138"/>
    <w:rsid w:val="1EDA17E8"/>
    <w:rsid w:val="1F063325"/>
    <w:rsid w:val="1F0B6F56"/>
    <w:rsid w:val="1F334A54"/>
    <w:rsid w:val="1F413615"/>
    <w:rsid w:val="1F4655C1"/>
    <w:rsid w:val="1F4C5B16"/>
    <w:rsid w:val="1F5275D0"/>
    <w:rsid w:val="1F666BD8"/>
    <w:rsid w:val="1F947BE9"/>
    <w:rsid w:val="1FBC5DF5"/>
    <w:rsid w:val="1FC55574"/>
    <w:rsid w:val="1FD72C6D"/>
    <w:rsid w:val="1FE84499"/>
    <w:rsid w:val="1FEB3581"/>
    <w:rsid w:val="200A3A07"/>
    <w:rsid w:val="200A58D9"/>
    <w:rsid w:val="20120678"/>
    <w:rsid w:val="202D76F6"/>
    <w:rsid w:val="2030310A"/>
    <w:rsid w:val="20362A4E"/>
    <w:rsid w:val="20436F19"/>
    <w:rsid w:val="205337A5"/>
    <w:rsid w:val="20C242E2"/>
    <w:rsid w:val="20D85658"/>
    <w:rsid w:val="21000617"/>
    <w:rsid w:val="21333432"/>
    <w:rsid w:val="213A2640"/>
    <w:rsid w:val="2155548F"/>
    <w:rsid w:val="216655B5"/>
    <w:rsid w:val="21735FAB"/>
    <w:rsid w:val="21B83F86"/>
    <w:rsid w:val="21C67CEA"/>
    <w:rsid w:val="21D1555A"/>
    <w:rsid w:val="21D86082"/>
    <w:rsid w:val="21E55E66"/>
    <w:rsid w:val="21F26E49"/>
    <w:rsid w:val="220B7F0B"/>
    <w:rsid w:val="221178A8"/>
    <w:rsid w:val="221213CF"/>
    <w:rsid w:val="22327A92"/>
    <w:rsid w:val="2237485C"/>
    <w:rsid w:val="228269AC"/>
    <w:rsid w:val="22947AC1"/>
    <w:rsid w:val="22965435"/>
    <w:rsid w:val="22B909F8"/>
    <w:rsid w:val="22BD6F35"/>
    <w:rsid w:val="22BE59FA"/>
    <w:rsid w:val="22C022F4"/>
    <w:rsid w:val="22C95DFC"/>
    <w:rsid w:val="22E542B8"/>
    <w:rsid w:val="22F34C27"/>
    <w:rsid w:val="23113BB8"/>
    <w:rsid w:val="231D53A2"/>
    <w:rsid w:val="233A5A18"/>
    <w:rsid w:val="23632A7F"/>
    <w:rsid w:val="236F29AB"/>
    <w:rsid w:val="239A32F4"/>
    <w:rsid w:val="23B25E13"/>
    <w:rsid w:val="23B7504C"/>
    <w:rsid w:val="23C136E1"/>
    <w:rsid w:val="23EA4F78"/>
    <w:rsid w:val="23F44FA7"/>
    <w:rsid w:val="24194213"/>
    <w:rsid w:val="24226097"/>
    <w:rsid w:val="242E1C8E"/>
    <w:rsid w:val="244B45EE"/>
    <w:rsid w:val="2452597D"/>
    <w:rsid w:val="24571307"/>
    <w:rsid w:val="246C6B17"/>
    <w:rsid w:val="24BA2984"/>
    <w:rsid w:val="24C54C65"/>
    <w:rsid w:val="24E02313"/>
    <w:rsid w:val="25002C5A"/>
    <w:rsid w:val="25093D59"/>
    <w:rsid w:val="25102EC3"/>
    <w:rsid w:val="25246333"/>
    <w:rsid w:val="25DC0BEB"/>
    <w:rsid w:val="26446DE3"/>
    <w:rsid w:val="264D165B"/>
    <w:rsid w:val="26A34BB6"/>
    <w:rsid w:val="26D02B33"/>
    <w:rsid w:val="26D7699F"/>
    <w:rsid w:val="274A5E17"/>
    <w:rsid w:val="27612030"/>
    <w:rsid w:val="277E7300"/>
    <w:rsid w:val="278E3170"/>
    <w:rsid w:val="279938C3"/>
    <w:rsid w:val="27A74232"/>
    <w:rsid w:val="27F24859"/>
    <w:rsid w:val="27FF051D"/>
    <w:rsid w:val="281E2746"/>
    <w:rsid w:val="28223894"/>
    <w:rsid w:val="288451FA"/>
    <w:rsid w:val="28C36E49"/>
    <w:rsid w:val="28C50BDF"/>
    <w:rsid w:val="28D07D79"/>
    <w:rsid w:val="292B734E"/>
    <w:rsid w:val="29583A35"/>
    <w:rsid w:val="29751CF5"/>
    <w:rsid w:val="29787AF8"/>
    <w:rsid w:val="297E0FC2"/>
    <w:rsid w:val="299B1B74"/>
    <w:rsid w:val="29A70519"/>
    <w:rsid w:val="2A0911D4"/>
    <w:rsid w:val="2A0C4820"/>
    <w:rsid w:val="2A851825"/>
    <w:rsid w:val="2AD566EC"/>
    <w:rsid w:val="2AE95142"/>
    <w:rsid w:val="2B002D8D"/>
    <w:rsid w:val="2B09065E"/>
    <w:rsid w:val="2B774624"/>
    <w:rsid w:val="2B786611"/>
    <w:rsid w:val="2BBB02AC"/>
    <w:rsid w:val="2BC068DD"/>
    <w:rsid w:val="2C1B6F9C"/>
    <w:rsid w:val="2C351E0C"/>
    <w:rsid w:val="2C626979"/>
    <w:rsid w:val="2C7A72BE"/>
    <w:rsid w:val="2C862667"/>
    <w:rsid w:val="2CCB2770"/>
    <w:rsid w:val="2CEB696E"/>
    <w:rsid w:val="2CEB6AA0"/>
    <w:rsid w:val="2D355E3C"/>
    <w:rsid w:val="2D4B565F"/>
    <w:rsid w:val="2D9865F7"/>
    <w:rsid w:val="2DCA2A28"/>
    <w:rsid w:val="2DF81343"/>
    <w:rsid w:val="2DF94920"/>
    <w:rsid w:val="2E0777D8"/>
    <w:rsid w:val="2E0F2B31"/>
    <w:rsid w:val="2E6B4F22"/>
    <w:rsid w:val="2E755089"/>
    <w:rsid w:val="2EE47B19"/>
    <w:rsid w:val="2F2443BA"/>
    <w:rsid w:val="2F401D3C"/>
    <w:rsid w:val="2F81180C"/>
    <w:rsid w:val="2FA95C88"/>
    <w:rsid w:val="2FFF22FB"/>
    <w:rsid w:val="3041370F"/>
    <w:rsid w:val="304C3BC8"/>
    <w:rsid w:val="30662713"/>
    <w:rsid w:val="3075311F"/>
    <w:rsid w:val="309A577C"/>
    <w:rsid w:val="30BB2AFC"/>
    <w:rsid w:val="31083A05"/>
    <w:rsid w:val="315C42DF"/>
    <w:rsid w:val="31894122"/>
    <w:rsid w:val="31B9703B"/>
    <w:rsid w:val="31C37EBA"/>
    <w:rsid w:val="32453A27"/>
    <w:rsid w:val="32537490"/>
    <w:rsid w:val="32573967"/>
    <w:rsid w:val="3263064A"/>
    <w:rsid w:val="3268280F"/>
    <w:rsid w:val="327613D0"/>
    <w:rsid w:val="32922545"/>
    <w:rsid w:val="32944965"/>
    <w:rsid w:val="32AC0C06"/>
    <w:rsid w:val="32CD2047"/>
    <w:rsid w:val="33F20F2A"/>
    <w:rsid w:val="340C5B48"/>
    <w:rsid w:val="341744ED"/>
    <w:rsid w:val="341D049F"/>
    <w:rsid w:val="344A041F"/>
    <w:rsid w:val="34527226"/>
    <w:rsid w:val="345B1120"/>
    <w:rsid w:val="34A43FD3"/>
    <w:rsid w:val="34AB16EB"/>
    <w:rsid w:val="34CF747A"/>
    <w:rsid w:val="34E74919"/>
    <w:rsid w:val="3537750C"/>
    <w:rsid w:val="3537798C"/>
    <w:rsid w:val="35571045"/>
    <w:rsid w:val="355754E9"/>
    <w:rsid w:val="357F7ED5"/>
    <w:rsid w:val="3592207D"/>
    <w:rsid w:val="35A95619"/>
    <w:rsid w:val="35C13FC9"/>
    <w:rsid w:val="35D2691D"/>
    <w:rsid w:val="35ED7BFB"/>
    <w:rsid w:val="36257395"/>
    <w:rsid w:val="362E6D87"/>
    <w:rsid w:val="364257B6"/>
    <w:rsid w:val="366F50BD"/>
    <w:rsid w:val="36A302BA"/>
    <w:rsid w:val="36D45041"/>
    <w:rsid w:val="36F834D1"/>
    <w:rsid w:val="370E27C2"/>
    <w:rsid w:val="37195766"/>
    <w:rsid w:val="374264D3"/>
    <w:rsid w:val="376E40E2"/>
    <w:rsid w:val="379E634E"/>
    <w:rsid w:val="37AD5029"/>
    <w:rsid w:val="37AD54D8"/>
    <w:rsid w:val="37DB7874"/>
    <w:rsid w:val="37EA5922"/>
    <w:rsid w:val="38276B93"/>
    <w:rsid w:val="38687C86"/>
    <w:rsid w:val="387C0DC3"/>
    <w:rsid w:val="38926838"/>
    <w:rsid w:val="38B13162"/>
    <w:rsid w:val="38B54B0D"/>
    <w:rsid w:val="38E05CE7"/>
    <w:rsid w:val="390511A3"/>
    <w:rsid w:val="39096AFA"/>
    <w:rsid w:val="39180AEB"/>
    <w:rsid w:val="39533B20"/>
    <w:rsid w:val="398919E9"/>
    <w:rsid w:val="398A4B4C"/>
    <w:rsid w:val="398C3287"/>
    <w:rsid w:val="398E6FFF"/>
    <w:rsid w:val="39D92080"/>
    <w:rsid w:val="39DE08C0"/>
    <w:rsid w:val="3A0B64A7"/>
    <w:rsid w:val="3A107D3F"/>
    <w:rsid w:val="3A1A29A4"/>
    <w:rsid w:val="3A5169AB"/>
    <w:rsid w:val="3A9A6882"/>
    <w:rsid w:val="3AF74C02"/>
    <w:rsid w:val="3B251BE5"/>
    <w:rsid w:val="3B2E729B"/>
    <w:rsid w:val="3B3360B0"/>
    <w:rsid w:val="3B393A1B"/>
    <w:rsid w:val="3B535750"/>
    <w:rsid w:val="3B5F50F7"/>
    <w:rsid w:val="3BA448B8"/>
    <w:rsid w:val="3BA50630"/>
    <w:rsid w:val="3BBD597A"/>
    <w:rsid w:val="3BF6010B"/>
    <w:rsid w:val="3BF84C04"/>
    <w:rsid w:val="3C004876"/>
    <w:rsid w:val="3C0059A5"/>
    <w:rsid w:val="3C134E78"/>
    <w:rsid w:val="3C1D466B"/>
    <w:rsid w:val="3C815187"/>
    <w:rsid w:val="3CB21257"/>
    <w:rsid w:val="3CCF5D67"/>
    <w:rsid w:val="3CE7667B"/>
    <w:rsid w:val="3DD50217"/>
    <w:rsid w:val="3DD521AA"/>
    <w:rsid w:val="3DF14FF1"/>
    <w:rsid w:val="3DF6345D"/>
    <w:rsid w:val="3E2C6DE7"/>
    <w:rsid w:val="3E7964D0"/>
    <w:rsid w:val="3E8E35FE"/>
    <w:rsid w:val="3EAB0654"/>
    <w:rsid w:val="3EB048FD"/>
    <w:rsid w:val="3EC357A9"/>
    <w:rsid w:val="3EC80E72"/>
    <w:rsid w:val="3ED437FA"/>
    <w:rsid w:val="3EE13701"/>
    <w:rsid w:val="3F0F2990"/>
    <w:rsid w:val="3F1A4BB3"/>
    <w:rsid w:val="3F2F3033"/>
    <w:rsid w:val="3F4A5C66"/>
    <w:rsid w:val="3F9A4950"/>
    <w:rsid w:val="3F9D61EE"/>
    <w:rsid w:val="3FC217B1"/>
    <w:rsid w:val="3FFC3745"/>
    <w:rsid w:val="40192BA6"/>
    <w:rsid w:val="40396DBD"/>
    <w:rsid w:val="403B38E3"/>
    <w:rsid w:val="40577546"/>
    <w:rsid w:val="40A62E81"/>
    <w:rsid w:val="40D519B8"/>
    <w:rsid w:val="40D63474"/>
    <w:rsid w:val="40F70244"/>
    <w:rsid w:val="4114603C"/>
    <w:rsid w:val="41354782"/>
    <w:rsid w:val="41405083"/>
    <w:rsid w:val="418B457A"/>
    <w:rsid w:val="42003213"/>
    <w:rsid w:val="421107CE"/>
    <w:rsid w:val="42550A18"/>
    <w:rsid w:val="42626CEA"/>
    <w:rsid w:val="426C3C56"/>
    <w:rsid w:val="42C910A8"/>
    <w:rsid w:val="42D812EB"/>
    <w:rsid w:val="42F473A1"/>
    <w:rsid w:val="438020AF"/>
    <w:rsid w:val="438B51D4"/>
    <w:rsid w:val="43983292"/>
    <w:rsid w:val="43B315F1"/>
    <w:rsid w:val="43BD4B90"/>
    <w:rsid w:val="43E066A9"/>
    <w:rsid w:val="43F6248D"/>
    <w:rsid w:val="43FD725B"/>
    <w:rsid w:val="441E62C0"/>
    <w:rsid w:val="44242A3A"/>
    <w:rsid w:val="44245691"/>
    <w:rsid w:val="44274ACD"/>
    <w:rsid w:val="44727C49"/>
    <w:rsid w:val="448677B1"/>
    <w:rsid w:val="45064FAD"/>
    <w:rsid w:val="453C0257"/>
    <w:rsid w:val="45811C7C"/>
    <w:rsid w:val="46053138"/>
    <w:rsid w:val="463404A8"/>
    <w:rsid w:val="46422FE8"/>
    <w:rsid w:val="465B1D5F"/>
    <w:rsid w:val="468B3EFB"/>
    <w:rsid w:val="46AC17F9"/>
    <w:rsid w:val="46AC6D17"/>
    <w:rsid w:val="46C10A14"/>
    <w:rsid w:val="46CB53EF"/>
    <w:rsid w:val="46D0767C"/>
    <w:rsid w:val="46DC75FC"/>
    <w:rsid w:val="470A6193"/>
    <w:rsid w:val="47135B09"/>
    <w:rsid w:val="47555600"/>
    <w:rsid w:val="475F1FDB"/>
    <w:rsid w:val="476C422B"/>
    <w:rsid w:val="47B71E17"/>
    <w:rsid w:val="47DC4F5C"/>
    <w:rsid w:val="47F65806"/>
    <w:rsid w:val="47FD322E"/>
    <w:rsid w:val="483D40CA"/>
    <w:rsid w:val="48B40671"/>
    <w:rsid w:val="48D92A3A"/>
    <w:rsid w:val="493059DD"/>
    <w:rsid w:val="493523C3"/>
    <w:rsid w:val="493F3E17"/>
    <w:rsid w:val="494B6CBB"/>
    <w:rsid w:val="49717773"/>
    <w:rsid w:val="49892943"/>
    <w:rsid w:val="499B5738"/>
    <w:rsid w:val="499F244D"/>
    <w:rsid w:val="49C56195"/>
    <w:rsid w:val="49F032CD"/>
    <w:rsid w:val="49F41101"/>
    <w:rsid w:val="4A123335"/>
    <w:rsid w:val="4A1922FA"/>
    <w:rsid w:val="4A2031D2"/>
    <w:rsid w:val="4A2319E6"/>
    <w:rsid w:val="4A534079"/>
    <w:rsid w:val="4A633B90"/>
    <w:rsid w:val="4A8F58C2"/>
    <w:rsid w:val="4AC00623"/>
    <w:rsid w:val="4AEC627C"/>
    <w:rsid w:val="4AF96BC7"/>
    <w:rsid w:val="4AFD2237"/>
    <w:rsid w:val="4B137364"/>
    <w:rsid w:val="4B2422D7"/>
    <w:rsid w:val="4B513A02"/>
    <w:rsid w:val="4B9A1D7B"/>
    <w:rsid w:val="4BAB57EF"/>
    <w:rsid w:val="4BC114B6"/>
    <w:rsid w:val="4BC15012"/>
    <w:rsid w:val="4BC34D4C"/>
    <w:rsid w:val="4BE576B2"/>
    <w:rsid w:val="4BF60C7D"/>
    <w:rsid w:val="4BFB4050"/>
    <w:rsid w:val="4C1A4723"/>
    <w:rsid w:val="4C3954F1"/>
    <w:rsid w:val="4C5365B2"/>
    <w:rsid w:val="4C5F5826"/>
    <w:rsid w:val="4C651E42"/>
    <w:rsid w:val="4C6A56AA"/>
    <w:rsid w:val="4C800A2A"/>
    <w:rsid w:val="4C87625C"/>
    <w:rsid w:val="4CE70AA9"/>
    <w:rsid w:val="4CEF36E2"/>
    <w:rsid w:val="4D0B1DBF"/>
    <w:rsid w:val="4D36558C"/>
    <w:rsid w:val="4D3B1120"/>
    <w:rsid w:val="4D3E3E0B"/>
    <w:rsid w:val="4D4545BE"/>
    <w:rsid w:val="4D491763"/>
    <w:rsid w:val="4D7B235A"/>
    <w:rsid w:val="4D8E3A18"/>
    <w:rsid w:val="4D8E6820"/>
    <w:rsid w:val="4DD92AE7"/>
    <w:rsid w:val="4DDA060D"/>
    <w:rsid w:val="4DDF79D2"/>
    <w:rsid w:val="4E477C08"/>
    <w:rsid w:val="4E6D76D3"/>
    <w:rsid w:val="4E736E68"/>
    <w:rsid w:val="4E9C3B15"/>
    <w:rsid w:val="4E9E5ADF"/>
    <w:rsid w:val="4EA01857"/>
    <w:rsid w:val="4EA053B3"/>
    <w:rsid w:val="4EC6759F"/>
    <w:rsid w:val="4ED60DD5"/>
    <w:rsid w:val="4EFD0A57"/>
    <w:rsid w:val="4F005E52"/>
    <w:rsid w:val="4F2A2ECF"/>
    <w:rsid w:val="4F2C30EB"/>
    <w:rsid w:val="4F2F5C4F"/>
    <w:rsid w:val="4F372FFB"/>
    <w:rsid w:val="4F5B2C9D"/>
    <w:rsid w:val="4FA05C21"/>
    <w:rsid w:val="4FA76FA4"/>
    <w:rsid w:val="4FC4552E"/>
    <w:rsid w:val="4FD47893"/>
    <w:rsid w:val="4FE64802"/>
    <w:rsid w:val="4FF05EC6"/>
    <w:rsid w:val="501F0559"/>
    <w:rsid w:val="50323E9E"/>
    <w:rsid w:val="503F3CF4"/>
    <w:rsid w:val="505E1082"/>
    <w:rsid w:val="50836D3A"/>
    <w:rsid w:val="50D43A3A"/>
    <w:rsid w:val="51085492"/>
    <w:rsid w:val="51186838"/>
    <w:rsid w:val="513F391C"/>
    <w:rsid w:val="51564E44"/>
    <w:rsid w:val="518427E0"/>
    <w:rsid w:val="51843A53"/>
    <w:rsid w:val="51B55619"/>
    <w:rsid w:val="51BF1FF4"/>
    <w:rsid w:val="51CE66DB"/>
    <w:rsid w:val="51DB6702"/>
    <w:rsid w:val="51F36455"/>
    <w:rsid w:val="52140592"/>
    <w:rsid w:val="52203A33"/>
    <w:rsid w:val="5221680B"/>
    <w:rsid w:val="5263308F"/>
    <w:rsid w:val="52734B8D"/>
    <w:rsid w:val="527525AD"/>
    <w:rsid w:val="529A4CBF"/>
    <w:rsid w:val="52C10D75"/>
    <w:rsid w:val="52C911A4"/>
    <w:rsid w:val="52DE64AA"/>
    <w:rsid w:val="52F65EE9"/>
    <w:rsid w:val="530A729F"/>
    <w:rsid w:val="53186A49"/>
    <w:rsid w:val="53277E51"/>
    <w:rsid w:val="53635735"/>
    <w:rsid w:val="53894668"/>
    <w:rsid w:val="53DA528D"/>
    <w:rsid w:val="543C5B7E"/>
    <w:rsid w:val="54444F1A"/>
    <w:rsid w:val="5453706B"/>
    <w:rsid w:val="546649A9"/>
    <w:rsid w:val="54721D56"/>
    <w:rsid w:val="54DE09E3"/>
    <w:rsid w:val="54E3249D"/>
    <w:rsid w:val="550C4BD7"/>
    <w:rsid w:val="553A5A4E"/>
    <w:rsid w:val="554F18E1"/>
    <w:rsid w:val="55572986"/>
    <w:rsid w:val="55872E29"/>
    <w:rsid w:val="559E63C4"/>
    <w:rsid w:val="55B31B7D"/>
    <w:rsid w:val="55C71477"/>
    <w:rsid w:val="56222F84"/>
    <w:rsid w:val="5628215A"/>
    <w:rsid w:val="562F6EEA"/>
    <w:rsid w:val="56386683"/>
    <w:rsid w:val="56537644"/>
    <w:rsid w:val="5682502E"/>
    <w:rsid w:val="569D042A"/>
    <w:rsid w:val="56B12892"/>
    <w:rsid w:val="56BC4D54"/>
    <w:rsid w:val="57284198"/>
    <w:rsid w:val="573F3570"/>
    <w:rsid w:val="575612BA"/>
    <w:rsid w:val="575B0FEC"/>
    <w:rsid w:val="5795565B"/>
    <w:rsid w:val="57AF7B19"/>
    <w:rsid w:val="57D913AD"/>
    <w:rsid w:val="57F66C4E"/>
    <w:rsid w:val="581513C1"/>
    <w:rsid w:val="58366D88"/>
    <w:rsid w:val="5859176C"/>
    <w:rsid w:val="586C530E"/>
    <w:rsid w:val="58A10F2E"/>
    <w:rsid w:val="58A17F07"/>
    <w:rsid w:val="58BE5CBA"/>
    <w:rsid w:val="593E4146"/>
    <w:rsid w:val="599F06CE"/>
    <w:rsid w:val="59B754D5"/>
    <w:rsid w:val="59BC506B"/>
    <w:rsid w:val="5A11145A"/>
    <w:rsid w:val="5A3A1A12"/>
    <w:rsid w:val="5A596455"/>
    <w:rsid w:val="5A957D93"/>
    <w:rsid w:val="5A986507"/>
    <w:rsid w:val="5AC71F19"/>
    <w:rsid w:val="5ACF192F"/>
    <w:rsid w:val="5AF2343A"/>
    <w:rsid w:val="5B3760D9"/>
    <w:rsid w:val="5B57329D"/>
    <w:rsid w:val="5B6F05E7"/>
    <w:rsid w:val="5BA83AF9"/>
    <w:rsid w:val="5BCA7F13"/>
    <w:rsid w:val="5BD87FA2"/>
    <w:rsid w:val="5C1F382B"/>
    <w:rsid w:val="5C735EB5"/>
    <w:rsid w:val="5CA22C3E"/>
    <w:rsid w:val="5CA249EC"/>
    <w:rsid w:val="5CC22998"/>
    <w:rsid w:val="5CCB7A9F"/>
    <w:rsid w:val="5D0E5BDE"/>
    <w:rsid w:val="5D2317D1"/>
    <w:rsid w:val="5DCA7D57"/>
    <w:rsid w:val="5DCD7847"/>
    <w:rsid w:val="5DD62B9F"/>
    <w:rsid w:val="5E162F9C"/>
    <w:rsid w:val="5E437B09"/>
    <w:rsid w:val="5E632EE2"/>
    <w:rsid w:val="5E993BCD"/>
    <w:rsid w:val="5EB427B5"/>
    <w:rsid w:val="5F636BF1"/>
    <w:rsid w:val="5F80710D"/>
    <w:rsid w:val="5F9436B0"/>
    <w:rsid w:val="5FB24F46"/>
    <w:rsid w:val="5FDB60F0"/>
    <w:rsid w:val="5FE7761C"/>
    <w:rsid w:val="5FF732A1"/>
    <w:rsid w:val="60172FFB"/>
    <w:rsid w:val="601E522F"/>
    <w:rsid w:val="605C4EB2"/>
    <w:rsid w:val="606007BB"/>
    <w:rsid w:val="607246D5"/>
    <w:rsid w:val="607C7302"/>
    <w:rsid w:val="60AC7F66"/>
    <w:rsid w:val="60C34F31"/>
    <w:rsid w:val="60EB3EF5"/>
    <w:rsid w:val="61001CE1"/>
    <w:rsid w:val="614D7F45"/>
    <w:rsid w:val="618835DC"/>
    <w:rsid w:val="61B20A9E"/>
    <w:rsid w:val="61BF10D9"/>
    <w:rsid w:val="621D3D33"/>
    <w:rsid w:val="62491E66"/>
    <w:rsid w:val="62816E52"/>
    <w:rsid w:val="629F7BDB"/>
    <w:rsid w:val="62AA0157"/>
    <w:rsid w:val="62BD432E"/>
    <w:rsid w:val="62CC4571"/>
    <w:rsid w:val="63035AB9"/>
    <w:rsid w:val="63090016"/>
    <w:rsid w:val="630C2BBF"/>
    <w:rsid w:val="630F25FC"/>
    <w:rsid w:val="63343F7A"/>
    <w:rsid w:val="633A3BD0"/>
    <w:rsid w:val="6345036E"/>
    <w:rsid w:val="6374130E"/>
    <w:rsid w:val="63F7561D"/>
    <w:rsid w:val="640C7C21"/>
    <w:rsid w:val="64234664"/>
    <w:rsid w:val="644E0701"/>
    <w:rsid w:val="6457430E"/>
    <w:rsid w:val="64746C6E"/>
    <w:rsid w:val="64956BCA"/>
    <w:rsid w:val="64B2774A"/>
    <w:rsid w:val="64E45EF7"/>
    <w:rsid w:val="64E536C8"/>
    <w:rsid w:val="65444892"/>
    <w:rsid w:val="65B65064"/>
    <w:rsid w:val="65EF15EA"/>
    <w:rsid w:val="65FE5B17"/>
    <w:rsid w:val="664B5464"/>
    <w:rsid w:val="66636F9A"/>
    <w:rsid w:val="667E5B82"/>
    <w:rsid w:val="66A57729"/>
    <w:rsid w:val="66F45705"/>
    <w:rsid w:val="67177D85"/>
    <w:rsid w:val="677368EF"/>
    <w:rsid w:val="677435B2"/>
    <w:rsid w:val="67915D89"/>
    <w:rsid w:val="679B09B6"/>
    <w:rsid w:val="67A57EB3"/>
    <w:rsid w:val="67EF75F1"/>
    <w:rsid w:val="67FD51CC"/>
    <w:rsid w:val="68030C53"/>
    <w:rsid w:val="680C6C71"/>
    <w:rsid w:val="68780FD5"/>
    <w:rsid w:val="68815E47"/>
    <w:rsid w:val="6894168D"/>
    <w:rsid w:val="68983B76"/>
    <w:rsid w:val="68BC6E36"/>
    <w:rsid w:val="68DA695F"/>
    <w:rsid w:val="68E44108"/>
    <w:rsid w:val="6902517F"/>
    <w:rsid w:val="69124F16"/>
    <w:rsid w:val="693469CC"/>
    <w:rsid w:val="696D1EDE"/>
    <w:rsid w:val="69855479"/>
    <w:rsid w:val="69C64B0E"/>
    <w:rsid w:val="69CD5C14"/>
    <w:rsid w:val="69CF0D33"/>
    <w:rsid w:val="69F60125"/>
    <w:rsid w:val="6A240149"/>
    <w:rsid w:val="6A440DE6"/>
    <w:rsid w:val="6A4F3958"/>
    <w:rsid w:val="6A502E2E"/>
    <w:rsid w:val="6A6C2A79"/>
    <w:rsid w:val="6A7656E1"/>
    <w:rsid w:val="6A9A6D03"/>
    <w:rsid w:val="6AB24495"/>
    <w:rsid w:val="6B5D66AE"/>
    <w:rsid w:val="6B5E7715"/>
    <w:rsid w:val="6B9946B3"/>
    <w:rsid w:val="6BC404DB"/>
    <w:rsid w:val="6BDB75D3"/>
    <w:rsid w:val="6BDE1D62"/>
    <w:rsid w:val="6C21592D"/>
    <w:rsid w:val="6C865790"/>
    <w:rsid w:val="6C88775B"/>
    <w:rsid w:val="6CB73B9C"/>
    <w:rsid w:val="6CED3A62"/>
    <w:rsid w:val="6CF21078"/>
    <w:rsid w:val="6CFA1CDB"/>
    <w:rsid w:val="6D06067F"/>
    <w:rsid w:val="6D1837C6"/>
    <w:rsid w:val="6D364980"/>
    <w:rsid w:val="6DBD1686"/>
    <w:rsid w:val="6DC347C2"/>
    <w:rsid w:val="6DE76850"/>
    <w:rsid w:val="6DEF3809"/>
    <w:rsid w:val="6DF777CB"/>
    <w:rsid w:val="6E485BC3"/>
    <w:rsid w:val="6E510270"/>
    <w:rsid w:val="6E6C09B6"/>
    <w:rsid w:val="6E7361E8"/>
    <w:rsid w:val="6E9A1018"/>
    <w:rsid w:val="6E9E14B7"/>
    <w:rsid w:val="6F4F630E"/>
    <w:rsid w:val="6F8F2BAE"/>
    <w:rsid w:val="6FB20BD4"/>
    <w:rsid w:val="6FBA59BE"/>
    <w:rsid w:val="7023779A"/>
    <w:rsid w:val="70296B3E"/>
    <w:rsid w:val="70374F21"/>
    <w:rsid w:val="705F6A24"/>
    <w:rsid w:val="70611204"/>
    <w:rsid w:val="70FE0775"/>
    <w:rsid w:val="71082AEF"/>
    <w:rsid w:val="710957B2"/>
    <w:rsid w:val="710F1CFB"/>
    <w:rsid w:val="7148570A"/>
    <w:rsid w:val="71B52674"/>
    <w:rsid w:val="71C72AD3"/>
    <w:rsid w:val="71DF79D6"/>
    <w:rsid w:val="72273A51"/>
    <w:rsid w:val="7234593E"/>
    <w:rsid w:val="7278340F"/>
    <w:rsid w:val="7282487D"/>
    <w:rsid w:val="72B56DCF"/>
    <w:rsid w:val="72C30190"/>
    <w:rsid w:val="72D134DE"/>
    <w:rsid w:val="72DA0F7B"/>
    <w:rsid w:val="72EF4CB6"/>
    <w:rsid w:val="72F83160"/>
    <w:rsid w:val="72FF004B"/>
    <w:rsid w:val="730668BB"/>
    <w:rsid w:val="736E5255"/>
    <w:rsid w:val="73972979"/>
    <w:rsid w:val="73E86D31"/>
    <w:rsid w:val="73F15E96"/>
    <w:rsid w:val="73FE0302"/>
    <w:rsid w:val="74017DF2"/>
    <w:rsid w:val="74257F85"/>
    <w:rsid w:val="74367A9C"/>
    <w:rsid w:val="7439758C"/>
    <w:rsid w:val="74443079"/>
    <w:rsid w:val="74490570"/>
    <w:rsid w:val="74866F0E"/>
    <w:rsid w:val="748D1686"/>
    <w:rsid w:val="74CC21AE"/>
    <w:rsid w:val="74FA2C30"/>
    <w:rsid w:val="750006C1"/>
    <w:rsid w:val="751B4EE4"/>
    <w:rsid w:val="752C6A97"/>
    <w:rsid w:val="754F71E0"/>
    <w:rsid w:val="7567301A"/>
    <w:rsid w:val="75766894"/>
    <w:rsid w:val="75845151"/>
    <w:rsid w:val="75DF5F11"/>
    <w:rsid w:val="75FF0362"/>
    <w:rsid w:val="760065B4"/>
    <w:rsid w:val="76210EC3"/>
    <w:rsid w:val="76361FD5"/>
    <w:rsid w:val="764D37C3"/>
    <w:rsid w:val="76571F4C"/>
    <w:rsid w:val="76B547FD"/>
    <w:rsid w:val="76BC49EB"/>
    <w:rsid w:val="76F53C3E"/>
    <w:rsid w:val="77000DA2"/>
    <w:rsid w:val="770B16B4"/>
    <w:rsid w:val="771C3252"/>
    <w:rsid w:val="773D0BA8"/>
    <w:rsid w:val="776C1A27"/>
    <w:rsid w:val="7778536A"/>
    <w:rsid w:val="779A3235"/>
    <w:rsid w:val="77A902F6"/>
    <w:rsid w:val="77E64BA8"/>
    <w:rsid w:val="77F4039A"/>
    <w:rsid w:val="781E69D1"/>
    <w:rsid w:val="78281DF2"/>
    <w:rsid w:val="78340059"/>
    <w:rsid w:val="78837FE7"/>
    <w:rsid w:val="78D6184E"/>
    <w:rsid w:val="78EF4FEB"/>
    <w:rsid w:val="791A3E30"/>
    <w:rsid w:val="793D7263"/>
    <w:rsid w:val="79554E68"/>
    <w:rsid w:val="796778E1"/>
    <w:rsid w:val="798017B9"/>
    <w:rsid w:val="79B57324"/>
    <w:rsid w:val="79E43F1C"/>
    <w:rsid w:val="79EB28EA"/>
    <w:rsid w:val="79F36E1F"/>
    <w:rsid w:val="7A287E87"/>
    <w:rsid w:val="7A5D0830"/>
    <w:rsid w:val="7A6335B5"/>
    <w:rsid w:val="7AA31C03"/>
    <w:rsid w:val="7AA939B2"/>
    <w:rsid w:val="7ADD0453"/>
    <w:rsid w:val="7AE53FCA"/>
    <w:rsid w:val="7AF20495"/>
    <w:rsid w:val="7AF46346"/>
    <w:rsid w:val="7AFE508C"/>
    <w:rsid w:val="7B060239"/>
    <w:rsid w:val="7B0F5EBF"/>
    <w:rsid w:val="7B130FB9"/>
    <w:rsid w:val="7B5B603A"/>
    <w:rsid w:val="7B875081"/>
    <w:rsid w:val="7BDB07C8"/>
    <w:rsid w:val="7BDE0625"/>
    <w:rsid w:val="7BE40282"/>
    <w:rsid w:val="7BF64EDE"/>
    <w:rsid w:val="7C400C1E"/>
    <w:rsid w:val="7C7970C0"/>
    <w:rsid w:val="7CBB1486"/>
    <w:rsid w:val="7D056BA5"/>
    <w:rsid w:val="7D0B358C"/>
    <w:rsid w:val="7D3A1897"/>
    <w:rsid w:val="7D4350AB"/>
    <w:rsid w:val="7D636781"/>
    <w:rsid w:val="7D6A07B6"/>
    <w:rsid w:val="7D9615AC"/>
    <w:rsid w:val="7D9D293A"/>
    <w:rsid w:val="7DA168CE"/>
    <w:rsid w:val="7DBC3708"/>
    <w:rsid w:val="7DD11708"/>
    <w:rsid w:val="7DEB18F7"/>
    <w:rsid w:val="7E292420"/>
    <w:rsid w:val="7E2E7AE7"/>
    <w:rsid w:val="7E437985"/>
    <w:rsid w:val="7E454CBD"/>
    <w:rsid w:val="7E867872"/>
    <w:rsid w:val="7E8D29AE"/>
    <w:rsid w:val="7E9E4BBC"/>
    <w:rsid w:val="7EB125FB"/>
    <w:rsid w:val="7EB55151"/>
    <w:rsid w:val="7EBC46EA"/>
    <w:rsid w:val="7EC167BD"/>
    <w:rsid w:val="7EF02F3D"/>
    <w:rsid w:val="7F3F579F"/>
    <w:rsid w:val="7F45772D"/>
    <w:rsid w:val="7F6A06C9"/>
    <w:rsid w:val="7FA53D28"/>
    <w:rsid w:val="7FAC50B6"/>
    <w:rsid w:val="7FC74772"/>
    <w:rsid w:val="7FF82C26"/>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8"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paragraph" w:styleId="5">
    <w:name w:val="heading 4"/>
    <w:basedOn w:val="1"/>
    <w:next w:val="1"/>
    <w:link w:val="67"/>
    <w:autoRedefine/>
    <w:semiHidden/>
    <w:unhideWhenUsed/>
    <w:qFormat/>
    <w:uiPriority w:val="9"/>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37"/>
    <w:autoRedefine/>
    <w:qFormat/>
    <w:uiPriority w:val="9"/>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ind w:firstLine="420"/>
    </w:pPr>
    <w:rPr>
      <w:szCs w:val="20"/>
    </w:rPr>
  </w:style>
  <w:style w:type="paragraph" w:styleId="8">
    <w:name w:val="index 8"/>
    <w:basedOn w:val="1"/>
    <w:next w:val="1"/>
    <w:autoRedefine/>
    <w:qFormat/>
    <w:uiPriority w:val="99"/>
    <w:pPr>
      <w:ind w:left="1400" w:leftChars="1400"/>
    </w:pPr>
  </w:style>
  <w:style w:type="paragraph" w:styleId="9">
    <w:name w:val="List Number"/>
    <w:basedOn w:val="1"/>
    <w:autoRedefine/>
    <w:qFormat/>
    <w:uiPriority w:val="99"/>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8"/>
    <w:autoRedefine/>
    <w:qFormat/>
    <w:uiPriority w:val="99"/>
    <w:pPr>
      <w:jc w:val="left"/>
    </w:pPr>
  </w:style>
  <w:style w:type="paragraph" w:styleId="11">
    <w:name w:val="Body Text 3"/>
    <w:basedOn w:val="1"/>
    <w:link w:val="39"/>
    <w:autoRedefine/>
    <w:unhideWhenUsed/>
    <w:qFormat/>
    <w:uiPriority w:val="99"/>
    <w:pPr>
      <w:spacing w:after="120"/>
    </w:pPr>
    <w:rPr>
      <w:sz w:val="16"/>
      <w:szCs w:val="16"/>
    </w:rPr>
  </w:style>
  <w:style w:type="paragraph" w:styleId="12">
    <w:name w:val="Body Text"/>
    <w:basedOn w:val="1"/>
    <w:next w:val="1"/>
    <w:link w:val="40"/>
    <w:autoRedefine/>
    <w:unhideWhenUsed/>
    <w:qFormat/>
    <w:uiPriority w:val="99"/>
    <w:pPr>
      <w:spacing w:after="120"/>
    </w:pPr>
  </w:style>
  <w:style w:type="paragraph" w:styleId="13">
    <w:name w:val="Body Text Indent"/>
    <w:basedOn w:val="1"/>
    <w:link w:val="41"/>
    <w:autoRedefine/>
    <w:qFormat/>
    <w:uiPriority w:val="99"/>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42"/>
    <w:autoRedefine/>
    <w:qFormat/>
    <w:uiPriority w:val="99"/>
    <w:rPr>
      <w:rFonts w:ascii="宋体" w:hAnsi="Courier New"/>
      <w:kern w:val="0"/>
      <w:sz w:val="20"/>
      <w:szCs w:val="21"/>
    </w:rPr>
  </w:style>
  <w:style w:type="paragraph" w:styleId="16">
    <w:name w:val="Date"/>
    <w:basedOn w:val="1"/>
    <w:next w:val="1"/>
    <w:link w:val="43"/>
    <w:autoRedefine/>
    <w:unhideWhenUsed/>
    <w:qFormat/>
    <w:uiPriority w:val="99"/>
    <w:pPr>
      <w:ind w:left="100" w:leftChars="2500"/>
    </w:pPr>
  </w:style>
  <w:style w:type="paragraph" w:styleId="17">
    <w:name w:val="Balloon Text"/>
    <w:basedOn w:val="1"/>
    <w:link w:val="68"/>
    <w:autoRedefine/>
    <w:semiHidden/>
    <w:qFormat/>
    <w:uiPriority w:val="99"/>
    <w:rPr>
      <w:sz w:val="18"/>
      <w:szCs w:val="18"/>
    </w:rPr>
  </w:style>
  <w:style w:type="paragraph" w:styleId="18">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Body Text 2"/>
    <w:basedOn w:val="1"/>
    <w:autoRedefine/>
    <w:unhideWhenUsed/>
    <w:qFormat/>
    <w:uiPriority w:val="8"/>
    <w:pPr>
      <w:jc w:val="center"/>
    </w:pPr>
    <w:rPr>
      <w:sz w:val="18"/>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autoRedefine/>
    <w:unhideWhenUsed/>
    <w:qFormat/>
    <w:uiPriority w:val="99"/>
    <w:rPr>
      <w:rFonts w:ascii="Calibri" w:hAnsi="Calibri"/>
      <w:kern w:val="0"/>
      <w:sz w:val="24"/>
    </w:rPr>
  </w:style>
  <w:style w:type="paragraph" w:styleId="25">
    <w:name w:val="index 1"/>
    <w:basedOn w:val="1"/>
    <w:next w:val="1"/>
    <w:autoRedefine/>
    <w:semiHidden/>
    <w:qFormat/>
    <w:uiPriority w:val="99"/>
    <w:pPr>
      <w:spacing w:line="400" w:lineRule="exact"/>
      <w:ind w:firstLine="420" w:firstLineChars="200"/>
    </w:pPr>
    <w:rPr>
      <w:rFonts w:ascii="宋体" w:hAnsi="Courier New"/>
      <w:b/>
      <w:szCs w:val="20"/>
    </w:rPr>
  </w:style>
  <w:style w:type="paragraph" w:styleId="26">
    <w:name w:val="Title"/>
    <w:basedOn w:val="1"/>
    <w:autoRedefine/>
    <w:qFormat/>
    <w:uiPriority w:val="0"/>
    <w:pPr>
      <w:spacing w:before="240" w:after="60"/>
      <w:jc w:val="center"/>
      <w:outlineLvl w:val="0"/>
    </w:pPr>
    <w:rPr>
      <w:rFonts w:ascii="Arial" w:hAnsi="Arial"/>
      <w:b/>
      <w:sz w:val="32"/>
    </w:rPr>
  </w:style>
  <w:style w:type="paragraph" w:styleId="27">
    <w:name w:val="annotation subject"/>
    <w:basedOn w:val="10"/>
    <w:next w:val="10"/>
    <w:link w:val="46"/>
    <w:autoRedefine/>
    <w:qFormat/>
    <w:uiPriority w:val="99"/>
    <w:rPr>
      <w:b/>
      <w:bCs/>
    </w:rPr>
  </w:style>
  <w:style w:type="paragraph" w:styleId="28">
    <w:name w:val="Body Text First Indent"/>
    <w:basedOn w:val="12"/>
    <w:autoRedefine/>
    <w:qFormat/>
    <w:uiPriority w:val="0"/>
    <w:pPr>
      <w:ind w:firstLine="420" w:firstLineChars="100"/>
    </w:p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FollowedHyperlink"/>
    <w:basedOn w:val="31"/>
    <w:autoRedefine/>
    <w:semiHidden/>
    <w:unhideWhenUsed/>
    <w:qFormat/>
    <w:uiPriority w:val="99"/>
    <w:rPr>
      <w:color w:val="800080" w:themeColor="followedHyperlink"/>
      <w:u w:val="single"/>
      <w14:textFill>
        <w14:solidFill>
          <w14:schemeClr w14:val="folHlink"/>
        </w14:solidFill>
      </w14:textFill>
    </w:rPr>
  </w:style>
  <w:style w:type="character" w:styleId="33">
    <w:name w:val="Hyperlink"/>
    <w:autoRedefine/>
    <w:unhideWhenUsed/>
    <w:qFormat/>
    <w:uiPriority w:val="99"/>
    <w:rPr>
      <w:color w:val="0000FF"/>
      <w:u w:val="single"/>
    </w:rPr>
  </w:style>
  <w:style w:type="character" w:styleId="34">
    <w:name w:val="annotation reference"/>
    <w:autoRedefine/>
    <w:qFormat/>
    <w:uiPriority w:val="99"/>
    <w:rPr>
      <w:sz w:val="21"/>
      <w:szCs w:val="21"/>
    </w:rPr>
  </w:style>
  <w:style w:type="character" w:customStyle="1" w:styleId="35">
    <w:name w:val="标题 1 Char"/>
    <w:link w:val="2"/>
    <w:autoRedefine/>
    <w:qFormat/>
    <w:uiPriority w:val="0"/>
    <w:rPr>
      <w:b/>
      <w:bCs/>
      <w:kern w:val="44"/>
      <w:sz w:val="44"/>
      <w:szCs w:val="44"/>
    </w:rPr>
  </w:style>
  <w:style w:type="character" w:customStyle="1" w:styleId="36">
    <w:name w:val="标题 2 Char"/>
    <w:link w:val="3"/>
    <w:autoRedefine/>
    <w:qFormat/>
    <w:uiPriority w:val="9"/>
    <w:rPr>
      <w:rFonts w:ascii="Cambria" w:hAnsi="Cambria" w:eastAsia="宋体" w:cs="Times New Roman"/>
      <w:b/>
      <w:bCs/>
      <w:kern w:val="2"/>
      <w:sz w:val="32"/>
      <w:szCs w:val="32"/>
    </w:rPr>
  </w:style>
  <w:style w:type="character" w:customStyle="1" w:styleId="37">
    <w:name w:val="标题 5 Char"/>
    <w:link w:val="6"/>
    <w:autoRedefine/>
    <w:semiHidden/>
    <w:qFormat/>
    <w:uiPriority w:val="9"/>
    <w:rPr>
      <w:rFonts w:ascii="Times New Roman" w:hAnsi="Times New Roman"/>
      <w:b/>
      <w:bCs/>
      <w:kern w:val="2"/>
      <w:sz w:val="28"/>
      <w:szCs w:val="28"/>
    </w:rPr>
  </w:style>
  <w:style w:type="character" w:customStyle="1" w:styleId="38">
    <w:name w:val="批注文字 Char"/>
    <w:link w:val="10"/>
    <w:autoRedefine/>
    <w:qFormat/>
    <w:uiPriority w:val="99"/>
    <w:rPr>
      <w:rFonts w:ascii="Times New Roman" w:hAnsi="Times New Roman"/>
      <w:kern w:val="2"/>
      <w:sz w:val="21"/>
      <w:szCs w:val="24"/>
    </w:rPr>
  </w:style>
  <w:style w:type="character" w:customStyle="1" w:styleId="39">
    <w:name w:val="正文文本 3 Char"/>
    <w:link w:val="11"/>
    <w:autoRedefine/>
    <w:semiHidden/>
    <w:qFormat/>
    <w:uiPriority w:val="99"/>
    <w:rPr>
      <w:rFonts w:ascii="Times New Roman" w:hAnsi="Times New Roman"/>
      <w:kern w:val="2"/>
      <w:sz w:val="16"/>
      <w:szCs w:val="16"/>
    </w:rPr>
  </w:style>
  <w:style w:type="character" w:customStyle="1" w:styleId="40">
    <w:name w:val="正文文本 Char"/>
    <w:link w:val="12"/>
    <w:autoRedefine/>
    <w:qFormat/>
    <w:uiPriority w:val="99"/>
    <w:rPr>
      <w:rFonts w:ascii="Times New Roman" w:hAnsi="Times New Roman"/>
      <w:kern w:val="2"/>
      <w:sz w:val="21"/>
      <w:szCs w:val="24"/>
    </w:rPr>
  </w:style>
  <w:style w:type="character" w:customStyle="1" w:styleId="41">
    <w:name w:val="正文文本缩进 Char"/>
    <w:link w:val="13"/>
    <w:autoRedefine/>
    <w:qFormat/>
    <w:uiPriority w:val="99"/>
    <w:rPr>
      <w:rFonts w:ascii="仿宋_GB2312" w:hAnsi="Times New Roman" w:eastAsia="仿宋_GB2312" w:cs="Times New Roman"/>
      <w:sz w:val="32"/>
      <w:szCs w:val="20"/>
    </w:rPr>
  </w:style>
  <w:style w:type="character" w:customStyle="1" w:styleId="42">
    <w:name w:val="纯文本 Char"/>
    <w:link w:val="15"/>
    <w:autoRedefine/>
    <w:qFormat/>
    <w:uiPriority w:val="99"/>
    <w:rPr>
      <w:rFonts w:ascii="宋体" w:hAnsi="Courier New" w:eastAsia="宋体" w:cs="Courier New"/>
      <w:szCs w:val="21"/>
    </w:rPr>
  </w:style>
  <w:style w:type="character" w:customStyle="1" w:styleId="43">
    <w:name w:val="日期 Char"/>
    <w:link w:val="16"/>
    <w:autoRedefine/>
    <w:semiHidden/>
    <w:qFormat/>
    <w:uiPriority w:val="99"/>
    <w:rPr>
      <w:rFonts w:ascii="Times New Roman" w:hAnsi="Times New Roman"/>
      <w:kern w:val="2"/>
      <w:sz w:val="21"/>
      <w:szCs w:val="24"/>
    </w:rPr>
  </w:style>
  <w:style w:type="character" w:customStyle="1" w:styleId="44">
    <w:name w:val="页脚 Char1"/>
    <w:link w:val="18"/>
    <w:autoRedefine/>
    <w:qFormat/>
    <w:uiPriority w:val="99"/>
    <w:rPr>
      <w:sz w:val="18"/>
      <w:szCs w:val="18"/>
    </w:rPr>
  </w:style>
  <w:style w:type="character" w:customStyle="1" w:styleId="45">
    <w:name w:val="页眉 Char"/>
    <w:link w:val="19"/>
    <w:autoRedefine/>
    <w:qFormat/>
    <w:uiPriority w:val="99"/>
    <w:rPr>
      <w:sz w:val="18"/>
      <w:szCs w:val="18"/>
    </w:rPr>
  </w:style>
  <w:style w:type="character" w:customStyle="1" w:styleId="46">
    <w:name w:val="批注主题 Char"/>
    <w:link w:val="27"/>
    <w:autoRedefine/>
    <w:qFormat/>
    <w:uiPriority w:val="99"/>
    <w:rPr>
      <w:rFonts w:ascii="Times New Roman" w:hAnsi="Times New Roman"/>
      <w:b/>
      <w:bCs/>
      <w:kern w:val="2"/>
      <w:sz w:val="21"/>
      <w:szCs w:val="24"/>
    </w:rPr>
  </w:style>
  <w:style w:type="character" w:customStyle="1" w:styleId="47">
    <w:name w:val="正文文本缩进 字符1"/>
    <w:autoRedefine/>
    <w:qFormat/>
    <w:uiPriority w:val="0"/>
    <w:rPr>
      <w:rFonts w:ascii="仿宋_GB2312" w:hAnsi="Times New Roman" w:eastAsia="仿宋_GB2312" w:cs="Times New Roman"/>
      <w:sz w:val="32"/>
      <w:szCs w:val="20"/>
    </w:rPr>
  </w:style>
  <w:style w:type="character" w:customStyle="1" w:styleId="48">
    <w:name w:val="apple-style-span"/>
    <w:autoRedefine/>
    <w:qFormat/>
    <w:uiPriority w:val="0"/>
  </w:style>
  <w:style w:type="character" w:customStyle="1" w:styleId="49">
    <w:name w:val="标题 1 字符"/>
    <w:autoRedefine/>
    <w:qFormat/>
    <w:uiPriority w:val="9"/>
    <w:rPr>
      <w:b/>
      <w:bCs/>
      <w:kern w:val="44"/>
      <w:sz w:val="44"/>
      <w:szCs w:val="44"/>
    </w:rPr>
  </w:style>
  <w:style w:type="character" w:customStyle="1" w:styleId="50">
    <w:name w:val="textcontents"/>
    <w:autoRedefine/>
    <w:qFormat/>
    <w:uiPriority w:val="0"/>
  </w:style>
  <w:style w:type="character" w:customStyle="1" w:styleId="51">
    <w:name w:val="纯文本 字符1"/>
    <w:autoRedefine/>
    <w:qFormat/>
    <w:uiPriority w:val="0"/>
    <w:rPr>
      <w:rFonts w:ascii="宋体" w:hAnsi="Courier New"/>
    </w:rPr>
  </w:style>
  <w:style w:type="character" w:customStyle="1" w:styleId="52">
    <w:name w:val="批注文字 字符1"/>
    <w:autoRedefine/>
    <w:qFormat/>
    <w:uiPriority w:val="0"/>
    <w:rPr>
      <w:kern w:val="2"/>
      <w:sz w:val="21"/>
      <w:szCs w:val="24"/>
    </w:rPr>
  </w:style>
  <w:style w:type="character" w:customStyle="1" w:styleId="53">
    <w:name w:val="纯文本 字符2"/>
    <w:autoRedefine/>
    <w:qFormat/>
    <w:uiPriority w:val="0"/>
    <w:rPr>
      <w:rFonts w:ascii="宋体" w:hAnsi="Courier New" w:eastAsia="宋体" w:cs="Courier New"/>
      <w:szCs w:val="21"/>
    </w:rPr>
  </w:style>
  <w:style w:type="character" w:customStyle="1" w:styleId="54">
    <w:name w:val="页脚 Char"/>
    <w:autoRedefine/>
    <w:qFormat/>
    <w:uiPriority w:val="99"/>
    <w:rPr>
      <w:lang w:eastAsia="zh-CN"/>
    </w:rPr>
  </w:style>
  <w:style w:type="paragraph" w:customStyle="1" w:styleId="55">
    <w:name w:val="默认段落字体 Para Char Char Char Char Char Char Char Char Char1 Char Char Char Char"/>
    <w:basedOn w:val="1"/>
    <w:autoRedefine/>
    <w:qFormat/>
    <w:uiPriority w:val="99"/>
    <w:rPr>
      <w:rFonts w:ascii="Tahoma" w:hAnsi="Tahoma"/>
      <w:sz w:val="24"/>
      <w:szCs w:val="20"/>
    </w:rPr>
  </w:style>
  <w:style w:type="paragraph" w:customStyle="1" w:styleId="56">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styleId="57">
    <w:name w:val="List Paragraph"/>
    <w:basedOn w:val="1"/>
    <w:autoRedefine/>
    <w:qFormat/>
    <w:uiPriority w:val="34"/>
    <w:pPr>
      <w:ind w:firstLine="420" w:firstLineChars="200"/>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character" w:customStyle="1" w:styleId="59">
    <w:name w:val="批注文字 Char1"/>
    <w:autoRedefine/>
    <w:qFormat/>
    <w:uiPriority w:val="0"/>
    <w:rPr>
      <w:rFonts w:ascii="Times New Roman" w:hAnsi="Times New Roman"/>
      <w:kern w:val="2"/>
      <w:sz w:val="21"/>
      <w:szCs w:val="24"/>
    </w:rPr>
  </w:style>
  <w:style w:type="character" w:customStyle="1" w:styleId="60">
    <w:name w:val="批注文字 字符2"/>
    <w:autoRedefine/>
    <w:qFormat/>
    <w:uiPriority w:val="0"/>
    <w:rPr>
      <w:rFonts w:ascii="Times New Roman" w:hAnsi="Times New Roman"/>
      <w:kern w:val="2"/>
      <w:sz w:val="21"/>
      <w:szCs w:val="24"/>
    </w:rPr>
  </w:style>
  <w:style w:type="character" w:customStyle="1" w:styleId="61">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2">
    <w:name w:val="纯文本 Char1"/>
    <w:autoRedefine/>
    <w:qFormat/>
    <w:uiPriority w:val="0"/>
    <w:rPr>
      <w:rFonts w:ascii="宋体" w:hAnsi="Courier New" w:eastAsia="宋体" w:cs="Courier New"/>
      <w:szCs w:val="21"/>
    </w:rPr>
  </w:style>
  <w:style w:type="character" w:customStyle="1" w:styleId="63">
    <w:name w:val="批注文字 Char2"/>
    <w:autoRedefine/>
    <w:qFormat/>
    <w:uiPriority w:val="0"/>
    <w:rPr>
      <w:rFonts w:ascii="Times New Roman" w:hAnsi="Times New Roman"/>
      <w:kern w:val="2"/>
      <w:sz w:val="21"/>
      <w:szCs w:val="24"/>
    </w:rPr>
  </w:style>
  <w:style w:type="character" w:customStyle="1" w:styleId="64">
    <w:name w:val="正文2 Char Char"/>
    <w:link w:val="65"/>
    <w:autoRedefine/>
    <w:qFormat/>
    <w:uiPriority w:val="0"/>
    <w:rPr>
      <w:kern w:val="2"/>
      <w:sz w:val="24"/>
    </w:rPr>
  </w:style>
  <w:style w:type="paragraph" w:customStyle="1" w:styleId="65">
    <w:name w:val="正文2"/>
    <w:basedOn w:val="1"/>
    <w:link w:val="64"/>
    <w:autoRedefine/>
    <w:qFormat/>
    <w:uiPriority w:val="0"/>
    <w:pPr>
      <w:adjustRightInd w:val="0"/>
      <w:spacing w:before="156" w:line="360" w:lineRule="auto"/>
      <w:ind w:firstLine="510" w:firstLineChars="200"/>
    </w:pPr>
    <w:rPr>
      <w:sz w:val="24"/>
      <w:szCs w:val="20"/>
    </w:rPr>
  </w:style>
  <w:style w:type="paragraph" w:customStyle="1" w:styleId="6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7">
    <w:name w:val="标题 4 Char"/>
    <w:basedOn w:val="31"/>
    <w:link w:val="5"/>
    <w:autoRedefine/>
    <w:semiHidden/>
    <w:qFormat/>
    <w:uiPriority w:val="9"/>
    <w:rPr>
      <w:rFonts w:ascii="Arial" w:hAnsi="Arial" w:eastAsia="黑体"/>
      <w:b/>
      <w:bCs/>
      <w:kern w:val="2"/>
      <w:sz w:val="28"/>
      <w:szCs w:val="28"/>
    </w:rPr>
  </w:style>
  <w:style w:type="character" w:customStyle="1" w:styleId="68">
    <w:name w:val="批注框文本 Char"/>
    <w:basedOn w:val="31"/>
    <w:link w:val="17"/>
    <w:autoRedefine/>
    <w:semiHidden/>
    <w:qFormat/>
    <w:uiPriority w:val="99"/>
    <w:rPr>
      <w:kern w:val="2"/>
      <w:sz w:val="18"/>
      <w:szCs w:val="18"/>
    </w:rPr>
  </w:style>
  <w:style w:type="paragraph" w:styleId="6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表格文字115"/>
    <w:basedOn w:val="1"/>
    <w:autoRedefine/>
    <w:qFormat/>
    <w:uiPriority w:val="99"/>
    <w:pPr>
      <w:spacing w:before="25" w:after="25"/>
      <w:jc w:val="left"/>
    </w:pPr>
    <w:rPr>
      <w:bCs/>
      <w:spacing w:val="10"/>
      <w:kern w:val="0"/>
      <w:sz w:val="24"/>
    </w:rPr>
  </w:style>
  <w:style w:type="paragraph" w:customStyle="1" w:styleId="71">
    <w:name w:val="Body Text Indent1"/>
    <w:basedOn w:val="1"/>
    <w:autoRedefine/>
    <w:qFormat/>
    <w:uiPriority w:val="99"/>
    <w:pPr>
      <w:spacing w:after="120"/>
      <w:ind w:left="420" w:leftChars="200"/>
    </w:pPr>
  </w:style>
  <w:style w:type="character" w:customStyle="1" w:styleId="72">
    <w:name w:val="font51"/>
    <w:basedOn w:val="31"/>
    <w:autoRedefine/>
    <w:qFormat/>
    <w:uiPriority w:val="0"/>
    <w:rPr>
      <w:rFonts w:hint="eastAsia" w:ascii="宋体" w:hAnsi="宋体" w:eastAsia="宋体" w:cs="宋体"/>
      <w:color w:val="000000"/>
      <w:sz w:val="20"/>
      <w:szCs w:val="20"/>
      <w:u w:val="none"/>
    </w:rPr>
  </w:style>
  <w:style w:type="character" w:customStyle="1" w:styleId="73">
    <w:name w:val="font21"/>
    <w:basedOn w:val="31"/>
    <w:autoRedefine/>
    <w:qFormat/>
    <w:uiPriority w:val="0"/>
    <w:rPr>
      <w:rFonts w:hint="eastAsia" w:ascii="宋体" w:hAnsi="宋体" w:eastAsia="宋体" w:cs="宋体"/>
      <w:color w:val="000000"/>
      <w:sz w:val="20"/>
      <w:szCs w:val="20"/>
      <w:u w:val="none"/>
    </w:rPr>
  </w:style>
  <w:style w:type="character" w:customStyle="1" w:styleId="74">
    <w:name w:val="font41"/>
    <w:basedOn w:val="31"/>
    <w:autoRedefine/>
    <w:qFormat/>
    <w:uiPriority w:val="0"/>
    <w:rPr>
      <w:rFonts w:hint="default" w:ascii="Arial" w:hAnsi="Arial" w:cs="Arial"/>
      <w:color w:val="000000"/>
      <w:sz w:val="20"/>
      <w:szCs w:val="20"/>
      <w:u w:val="none"/>
    </w:rPr>
  </w:style>
  <w:style w:type="paragraph" w:customStyle="1" w:styleId="75">
    <w:name w:val="正文首行缩进 21"/>
    <w:basedOn w:val="71"/>
    <w:autoRedefine/>
    <w:qFormat/>
    <w:uiPriority w:val="99"/>
    <w:pPr>
      <w:ind w:firstLine="420" w:firstLineChars="200"/>
    </w:pPr>
    <w:rPr>
      <w:rFonts w:ascii="Calibri" w:hAnsi="Calibri"/>
      <w:szCs w:val="22"/>
    </w:rPr>
  </w:style>
  <w:style w:type="character" w:customStyle="1" w:styleId="76">
    <w:name w:val="font01"/>
    <w:basedOn w:val="31"/>
    <w:autoRedefine/>
    <w:qFormat/>
    <w:uiPriority w:val="0"/>
    <w:rPr>
      <w:rFonts w:hint="eastAsia" w:ascii="宋体" w:hAnsi="宋体" w:eastAsia="宋体" w:cs="宋体"/>
      <w:color w:val="000000"/>
      <w:sz w:val="22"/>
      <w:szCs w:val="22"/>
      <w:u w:val="none"/>
    </w:rPr>
  </w:style>
  <w:style w:type="character" w:customStyle="1" w:styleId="77">
    <w:name w:val="font11"/>
    <w:basedOn w:val="31"/>
    <w:autoRedefine/>
    <w:qFormat/>
    <w:uiPriority w:val="0"/>
    <w:rPr>
      <w:rFonts w:hint="eastAsia" w:ascii="宋体" w:hAnsi="宋体" w:eastAsia="宋体" w:cs="宋体"/>
      <w:color w:val="FF0000"/>
      <w:sz w:val="22"/>
      <w:szCs w:val="22"/>
      <w:u w:val="none"/>
    </w:rPr>
  </w:style>
  <w:style w:type="paragraph" w:customStyle="1" w:styleId="78">
    <w:name w:val="正文（缩进）"/>
    <w:basedOn w:val="1"/>
    <w:autoRedefine/>
    <w:qFormat/>
    <w:uiPriority w:val="0"/>
    <w:pPr>
      <w:spacing w:beforeLines="50" w:line="360" w:lineRule="auto"/>
      <w:ind w:firstLine="48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4E0BA-3675-4CA3-A3DE-CA78302FBD87}">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Company>广西云龙招标有限公司</Company>
  <Pages>60</Pages>
  <Words>2279</Words>
  <Characters>2688</Characters>
  <Lines>308</Lines>
  <Paragraphs>86</Paragraphs>
  <TotalTime>3</TotalTime>
  <ScaleCrop>false</ScaleCrop>
  <LinksUpToDate>false</LinksUpToDate>
  <CharactersWithSpaces>2774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2023-03-22T07:18:00Z</dcterms:created>
  <dc:creator>周振新</dc:creator>
  <cp:lastModifiedBy>杨灵洁-2025.8.4</cp:lastModifiedBy>
  <cp:lastPrinted>2025-07-25T09:04:00Z</cp:lastPrinted>
  <dcterms:modified xsi:type="dcterms:W3CDTF">2025-08-04T06:47:14Z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425230FF0F7E4A2E85C0D32CD33F5588_13</vt:lpwstr>
  </property>
  <property fmtid="{D5CDD505-2E9C-101B-9397-08002B2CF9AE}" pid="4" name="KSOTemplateDocerSaveRecord">
    <vt:lpwstr>eyJoZGlkIjoiMWI0YzI0MzUwNzViMzI1NDA4NzdiOTNhNWI1YzY2ZGMiLCJ1c2VySWQiOiIxMjg1MDgzOTc4In0=</vt:lpwstr>
  </property>
</Properties>
</file>