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E5CB4">
      <w:pPr>
        <w:spacing w:before="240" w:beforeLines="100" w:after="120" w:afterLines="50" w:line="600" w:lineRule="exact"/>
        <w:jc w:val="center"/>
        <w:rPr>
          <w:rFonts w:hint="eastAsia" w:ascii="宋体" w:hAnsi="宋体" w:eastAsia="宋体" w:cs="宋体"/>
          <w:color w:val="auto"/>
          <w:sz w:val="52"/>
          <w:szCs w:val="52"/>
          <w:highlight w:val="none"/>
        </w:rPr>
      </w:pPr>
      <w:bookmarkStart w:id="133" w:name="_GoBack"/>
      <w:bookmarkEnd w:id="133"/>
    </w:p>
    <w:p w14:paraId="1883FE68">
      <w:pPr>
        <w:spacing w:before="120" w:beforeLines="50" w:line="360" w:lineRule="auto"/>
        <w:jc w:val="center"/>
        <w:rPr>
          <w:rFonts w:hint="eastAsia" w:ascii="宋体" w:hAnsi="宋体" w:eastAsia="宋体" w:cs="宋体"/>
          <w:color w:val="auto"/>
          <w:sz w:val="52"/>
          <w:szCs w:val="52"/>
          <w:highlight w:val="none"/>
        </w:rPr>
      </w:pPr>
    </w:p>
    <w:p w14:paraId="180EECFD">
      <w:pPr>
        <w:spacing w:line="360" w:lineRule="auto"/>
        <w:jc w:val="center"/>
        <w:rPr>
          <w:rFonts w:hint="eastAsia" w:ascii="宋体" w:hAnsi="宋体" w:eastAsia="宋体" w:cs="宋体"/>
          <w:b/>
          <w:color w:val="auto"/>
          <w:sz w:val="44"/>
          <w:szCs w:val="44"/>
          <w:highlight w:val="none"/>
        </w:rPr>
      </w:pPr>
    </w:p>
    <w:p w14:paraId="1B829717">
      <w:pPr>
        <w:snapToGrid w:val="0"/>
        <w:spacing w:before="120" w:beforeLines="50"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征 集 文 件</w:t>
      </w:r>
    </w:p>
    <w:p w14:paraId="50B42934">
      <w:pPr>
        <w:spacing w:line="360" w:lineRule="auto"/>
        <w:jc w:val="center"/>
        <w:rPr>
          <w:rFonts w:hint="eastAsia" w:ascii="宋体" w:hAnsi="宋体" w:eastAsia="宋体" w:cs="宋体"/>
          <w:snapToGrid w:val="0"/>
          <w:color w:val="auto"/>
          <w:spacing w:val="-3"/>
          <w:kern w:val="0"/>
          <w:sz w:val="30"/>
          <w:szCs w:val="30"/>
          <w:highlight w:val="none"/>
          <w:lang w:val="en-US" w:eastAsia="en-US" w:bidi="ar-SA"/>
        </w:rPr>
      </w:pPr>
      <w:r>
        <w:rPr>
          <w:rFonts w:hint="eastAsia" w:ascii="宋体" w:hAnsi="宋体" w:eastAsia="宋体" w:cs="宋体"/>
          <w:snapToGrid w:val="0"/>
          <w:color w:val="auto"/>
          <w:spacing w:val="-3"/>
          <w:kern w:val="0"/>
          <w:sz w:val="30"/>
          <w:szCs w:val="30"/>
          <w:highlight w:val="none"/>
          <w:lang w:val="en-US" w:eastAsia="en-US" w:bidi="ar-SA"/>
        </w:rPr>
        <w:t>（全流程电子化评审）</w:t>
      </w:r>
    </w:p>
    <w:p w14:paraId="2D4E5368">
      <w:pPr>
        <w:snapToGrid w:val="0"/>
        <w:spacing w:line="360" w:lineRule="auto"/>
        <w:rPr>
          <w:rFonts w:hint="eastAsia" w:ascii="宋体" w:hAnsi="宋体" w:eastAsia="宋体" w:cs="宋体"/>
          <w:color w:val="auto"/>
          <w:sz w:val="30"/>
          <w:szCs w:val="72"/>
          <w:highlight w:val="none"/>
        </w:rPr>
      </w:pPr>
    </w:p>
    <w:p w14:paraId="648BF082">
      <w:pPr>
        <w:snapToGrid w:val="0"/>
        <w:spacing w:line="360" w:lineRule="auto"/>
        <w:rPr>
          <w:rFonts w:hint="eastAsia" w:ascii="宋体" w:hAnsi="宋体" w:eastAsia="宋体" w:cs="宋体"/>
          <w:color w:val="auto"/>
          <w:sz w:val="30"/>
          <w:szCs w:val="72"/>
          <w:highlight w:val="none"/>
        </w:rPr>
      </w:pPr>
    </w:p>
    <w:p w14:paraId="7A7F83FD">
      <w:pPr>
        <w:snapToGrid w:val="0"/>
        <w:spacing w:line="360" w:lineRule="auto"/>
        <w:rPr>
          <w:rFonts w:hint="eastAsia" w:ascii="宋体" w:hAnsi="宋体" w:eastAsia="宋体" w:cs="宋体"/>
          <w:color w:val="auto"/>
          <w:sz w:val="30"/>
          <w:szCs w:val="72"/>
          <w:highlight w:val="none"/>
        </w:rPr>
      </w:pPr>
    </w:p>
    <w:p w14:paraId="24877473">
      <w:pPr>
        <w:pStyle w:val="23"/>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项目</w:t>
      </w:r>
      <w:r>
        <w:rPr>
          <w:rFonts w:hint="default" w:ascii="Times New Roman" w:hAnsi="Times New Roman" w:eastAsia="宋体" w:cs="Times New Roman"/>
          <w:b/>
          <w:bCs/>
          <w:color w:val="auto"/>
          <w:w w:val="95"/>
          <w:sz w:val="28"/>
          <w:szCs w:val="28"/>
          <w:highlight w:val="none"/>
        </w:rPr>
        <w:t>名称</w:t>
      </w:r>
      <w:r>
        <w:rPr>
          <w:rFonts w:hint="default" w:ascii="Times New Roman" w:hAnsi="Times New Roman" w:eastAsia="宋体" w:cs="Times New Roman"/>
          <w:b/>
          <w:bCs/>
          <w:color w:val="auto"/>
          <w:sz w:val="28"/>
          <w:szCs w:val="28"/>
          <w:highlight w:val="none"/>
        </w:rPr>
        <w:t>：</w:t>
      </w:r>
      <w:r>
        <w:rPr>
          <w:rFonts w:hint="eastAsia" w:ascii="Times New Roman" w:hAnsi="Times New Roman" w:eastAsia="宋体" w:cs="Times New Roman"/>
          <w:b/>
          <w:bCs/>
          <w:color w:val="auto"/>
          <w:sz w:val="28"/>
          <w:szCs w:val="28"/>
          <w:highlight w:val="none"/>
          <w:lang w:val="en-US" w:eastAsia="zh-CN"/>
        </w:rPr>
        <w:t>2025—2027年度田东县政府投资项目竣工结算评审服务</w:t>
      </w:r>
    </w:p>
    <w:p w14:paraId="6FA8DA99">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b/>
          <w:bCs/>
          <w:color w:val="auto"/>
          <w:w w:val="95"/>
          <w:sz w:val="28"/>
          <w:szCs w:val="28"/>
          <w:highlight w:val="none"/>
        </w:rPr>
        <w:t>项目</w:t>
      </w:r>
      <w:r>
        <w:rPr>
          <w:rFonts w:hint="default" w:ascii="Times New Roman" w:hAnsi="Times New Roman" w:eastAsia="宋体" w:cs="Times New Roman"/>
          <w:b/>
          <w:bCs/>
          <w:color w:val="auto"/>
          <w:sz w:val="28"/>
          <w:szCs w:val="28"/>
          <w:highlight w:val="none"/>
        </w:rPr>
        <w:t>编号</w:t>
      </w:r>
      <w:r>
        <w:rPr>
          <w:rFonts w:hint="default" w:ascii="Times New Roman" w:hAnsi="Times New Roman" w:eastAsia="宋体" w:cs="Times New Roman"/>
          <w:b/>
          <w:bCs/>
          <w:color w:val="auto"/>
          <w:w w:val="95"/>
          <w:sz w:val="28"/>
          <w:szCs w:val="28"/>
          <w:highlight w:val="none"/>
        </w:rPr>
        <w:t>：</w:t>
      </w:r>
      <w:r>
        <w:rPr>
          <w:rFonts w:hint="eastAsia" w:cs="Times New Roman"/>
          <w:b/>
          <w:bCs/>
          <w:color w:val="auto"/>
          <w:w w:val="95"/>
          <w:sz w:val="28"/>
          <w:szCs w:val="28"/>
          <w:highlight w:val="none"/>
          <w:lang w:eastAsia="zh-CN"/>
        </w:rPr>
        <w:t>BSZC2025-K3-220093-GXZJ</w:t>
      </w:r>
    </w:p>
    <w:p w14:paraId="44A5797B">
      <w:pPr>
        <w:pStyle w:val="23"/>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w w:val="95"/>
          <w:sz w:val="28"/>
          <w:szCs w:val="28"/>
          <w:highlight w:val="none"/>
        </w:rPr>
      </w:pPr>
      <w:r>
        <w:rPr>
          <w:rFonts w:hint="eastAsia" w:hAnsi="宋体" w:eastAsia="宋体" w:cs="宋体"/>
          <w:b/>
          <w:bCs/>
          <w:color w:val="auto"/>
          <w:w w:val="95"/>
          <w:sz w:val="28"/>
          <w:szCs w:val="28"/>
          <w:highlight w:val="none"/>
          <w:lang w:val="en-US" w:eastAsia="zh-CN"/>
        </w:rPr>
        <w:t>征集</w:t>
      </w:r>
      <w:r>
        <w:rPr>
          <w:rFonts w:hint="eastAsia" w:ascii="宋体" w:hAnsi="宋体" w:eastAsia="宋体" w:cs="宋体"/>
          <w:b/>
          <w:bCs/>
          <w:color w:val="auto"/>
          <w:w w:val="95"/>
          <w:sz w:val="28"/>
          <w:szCs w:val="28"/>
          <w:highlight w:val="none"/>
        </w:rPr>
        <w:t>人：</w:t>
      </w:r>
      <w:r>
        <w:rPr>
          <w:rFonts w:hint="eastAsia" w:ascii="宋体" w:hAnsi="宋体" w:eastAsia="宋体" w:cs="宋体"/>
          <w:b/>
          <w:bCs/>
          <w:color w:val="auto"/>
          <w:w w:val="95"/>
          <w:sz w:val="28"/>
          <w:szCs w:val="28"/>
          <w:highlight w:val="none"/>
          <w:lang w:val="en-US" w:eastAsia="zh-CN"/>
        </w:rPr>
        <w:t>田东县财政局</w:t>
      </w:r>
    </w:p>
    <w:p w14:paraId="44EC3741">
      <w:pPr>
        <w:pStyle w:val="23"/>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eastAsia="宋体" w:cs="宋体"/>
          <w:b/>
          <w:bCs/>
          <w:color w:val="auto"/>
          <w:w w:val="95"/>
          <w:sz w:val="28"/>
          <w:szCs w:val="28"/>
          <w:highlight w:val="none"/>
        </w:rPr>
      </w:pPr>
      <w:r>
        <w:rPr>
          <w:rFonts w:hint="eastAsia" w:ascii="宋体" w:hAnsi="宋体" w:eastAsia="宋体" w:cs="宋体"/>
          <w:b/>
          <w:bCs/>
          <w:color w:val="auto"/>
          <w:w w:val="95"/>
          <w:sz w:val="28"/>
          <w:szCs w:val="28"/>
          <w:highlight w:val="none"/>
        </w:rPr>
        <w:t>采购代理机构：</w:t>
      </w:r>
      <w:r>
        <w:rPr>
          <w:rFonts w:hint="eastAsia" w:hAnsi="宋体" w:eastAsia="宋体" w:cs="宋体"/>
          <w:b/>
          <w:bCs/>
          <w:color w:val="auto"/>
          <w:w w:val="95"/>
          <w:sz w:val="28"/>
          <w:szCs w:val="28"/>
          <w:highlight w:val="none"/>
          <w:lang w:val="en-US" w:eastAsia="zh-CN"/>
        </w:rPr>
        <w:t>广西中吉银工程项目管理有限公司</w:t>
      </w:r>
    </w:p>
    <w:p w14:paraId="24CFD178">
      <w:pPr>
        <w:pStyle w:val="23"/>
        <w:snapToGrid w:val="0"/>
        <w:spacing w:line="360" w:lineRule="auto"/>
        <w:ind w:firstLine="1125" w:firstLineChars="393"/>
        <w:rPr>
          <w:rFonts w:hint="eastAsia" w:ascii="宋体" w:hAnsi="宋体" w:eastAsia="宋体" w:cs="宋体"/>
          <w:b/>
          <w:bCs/>
          <w:color w:val="auto"/>
          <w:w w:val="95"/>
          <w:sz w:val="30"/>
          <w:szCs w:val="30"/>
          <w:highlight w:val="none"/>
        </w:rPr>
      </w:pPr>
    </w:p>
    <w:p w14:paraId="2AA44FB4">
      <w:pPr>
        <w:pStyle w:val="23"/>
        <w:snapToGrid w:val="0"/>
        <w:spacing w:line="360" w:lineRule="auto"/>
        <w:ind w:firstLine="841" w:firstLineChars="294"/>
        <w:rPr>
          <w:rFonts w:hint="eastAsia" w:ascii="宋体" w:hAnsi="宋体" w:eastAsia="宋体" w:cs="宋体"/>
          <w:color w:val="auto"/>
          <w:szCs w:val="20"/>
          <w:highlight w:val="none"/>
        </w:rPr>
      </w:pPr>
      <w:r>
        <w:rPr>
          <w:rFonts w:hint="eastAsia" w:ascii="宋体" w:hAnsi="宋体" w:eastAsia="宋体" w:cs="宋体"/>
          <w:b/>
          <w:bCs/>
          <w:color w:val="auto"/>
          <w:w w:val="95"/>
          <w:sz w:val="30"/>
          <w:szCs w:val="30"/>
          <w:highlight w:val="none"/>
        </w:rPr>
        <w:t xml:space="preserve">  </w:t>
      </w:r>
      <w:r>
        <w:rPr>
          <w:rFonts w:hint="eastAsia" w:ascii="Times New Roman" w:hAnsi="Times New Roman" w:eastAsia="宋体" w:cs="Times New Roman"/>
          <w:b/>
          <w:bCs/>
          <w:color w:val="auto"/>
          <w:w w:val="95"/>
          <w:sz w:val="30"/>
          <w:szCs w:val="30"/>
          <w:highlight w:val="none"/>
        </w:rPr>
        <w:t xml:space="preserve">       </w:t>
      </w:r>
      <w:r>
        <w:rPr>
          <w:rFonts w:hint="default" w:ascii="Times New Roman" w:hAnsi="Times New Roman" w:eastAsia="宋体" w:cs="Times New Roman"/>
          <w:b/>
          <w:bCs/>
          <w:color w:val="auto"/>
          <w:w w:val="95"/>
          <w:sz w:val="30"/>
          <w:szCs w:val="30"/>
          <w:highlight w:val="none"/>
        </w:rPr>
        <w:t xml:space="preserve"> </w:t>
      </w:r>
      <w:r>
        <w:rPr>
          <w:rFonts w:hint="default" w:ascii="Times New Roman" w:hAnsi="Times New Roman" w:eastAsia="宋体" w:cs="Times New Roman"/>
          <w:b/>
          <w:bCs/>
          <w:color w:val="auto"/>
          <w:w w:val="95"/>
          <w:sz w:val="30"/>
          <w:szCs w:val="30"/>
          <w:highlight w:val="none"/>
          <w:lang w:val="en-US" w:eastAsia="zh-CN"/>
        </w:rPr>
        <w:t>202</w:t>
      </w:r>
      <w:r>
        <w:rPr>
          <w:rFonts w:hint="eastAsia" w:ascii="Times New Roman" w:hAnsi="Times New Roman" w:eastAsia="宋体" w:cs="Times New Roman"/>
          <w:b/>
          <w:bCs/>
          <w:color w:val="auto"/>
          <w:w w:val="95"/>
          <w:sz w:val="30"/>
          <w:szCs w:val="30"/>
          <w:highlight w:val="none"/>
          <w:lang w:val="en-US" w:eastAsia="zh-CN"/>
        </w:rPr>
        <w:t>5</w:t>
      </w:r>
      <w:r>
        <w:rPr>
          <w:rFonts w:hint="default" w:ascii="Times New Roman" w:hAnsi="Times New Roman" w:eastAsia="宋体" w:cs="Times New Roman"/>
          <w:b/>
          <w:bCs/>
          <w:color w:val="auto"/>
          <w:w w:val="95"/>
          <w:sz w:val="30"/>
          <w:szCs w:val="30"/>
          <w:highlight w:val="none"/>
        </w:rPr>
        <w:t>年</w:t>
      </w:r>
      <w:r>
        <w:rPr>
          <w:rFonts w:hint="eastAsia" w:ascii="Times New Roman" w:hAnsi="Times New Roman" w:cs="Times New Roman"/>
          <w:b/>
          <w:bCs/>
          <w:color w:val="auto"/>
          <w:w w:val="95"/>
          <w:sz w:val="30"/>
          <w:szCs w:val="30"/>
          <w:highlight w:val="none"/>
          <w:lang w:val="en-US" w:eastAsia="zh-CN"/>
        </w:rPr>
        <w:t>6</w:t>
      </w:r>
      <w:r>
        <w:rPr>
          <w:rFonts w:hint="default" w:ascii="Times New Roman" w:hAnsi="Times New Roman" w:eastAsia="宋体" w:cs="Times New Roman"/>
          <w:b/>
          <w:bCs/>
          <w:color w:val="auto"/>
          <w:w w:val="95"/>
          <w:sz w:val="30"/>
          <w:szCs w:val="30"/>
          <w:highlight w:val="none"/>
        </w:rPr>
        <w:t>月</w:t>
      </w:r>
      <w:r>
        <w:rPr>
          <w:rFonts w:hint="eastAsia" w:ascii="Times New Roman" w:hAnsi="Times New Roman" w:cs="Times New Roman"/>
          <w:b/>
          <w:bCs/>
          <w:color w:val="auto"/>
          <w:w w:val="95"/>
          <w:sz w:val="30"/>
          <w:szCs w:val="30"/>
          <w:highlight w:val="none"/>
          <w:lang w:val="en-US" w:eastAsia="zh-CN"/>
        </w:rPr>
        <w:t>24</w:t>
      </w:r>
      <w:r>
        <w:rPr>
          <w:rFonts w:hint="default" w:ascii="Times New Roman" w:hAnsi="Times New Roman" w:eastAsia="宋体" w:cs="Times New Roman"/>
          <w:b/>
          <w:bCs/>
          <w:color w:val="auto"/>
          <w:w w:val="95"/>
          <w:sz w:val="30"/>
          <w:szCs w:val="30"/>
          <w:highlight w:val="none"/>
        </w:rPr>
        <w:t>日</w:t>
      </w:r>
    </w:p>
    <w:p w14:paraId="0463A2E1">
      <w:pPr>
        <w:pStyle w:val="23"/>
        <w:spacing w:before="120" w:after="120" w:line="360" w:lineRule="auto"/>
        <w:jc w:val="center"/>
        <w:rPr>
          <w:rFonts w:hint="eastAsia" w:ascii="宋体" w:hAnsi="宋体" w:eastAsia="宋体" w:cs="宋体"/>
          <w:color w:val="auto"/>
          <w:highlight w:val="none"/>
        </w:rPr>
      </w:pPr>
    </w:p>
    <w:p w14:paraId="0E52832E">
      <w:pPr>
        <w:pStyle w:val="17"/>
        <w:kinsoku w:val="0"/>
        <w:overflowPunct w:val="0"/>
        <w:rPr>
          <w:rFonts w:hint="eastAsia" w:ascii="宋体" w:hAnsi="宋体" w:eastAsia="宋体" w:cs="宋体"/>
          <w:color w:val="auto"/>
          <w:sz w:val="40"/>
          <w:highlight w:val="none"/>
        </w:rPr>
      </w:pPr>
    </w:p>
    <w:p w14:paraId="4FACA626">
      <w:pPr>
        <w:spacing w:line="360" w:lineRule="auto"/>
        <w:rPr>
          <w:rFonts w:hint="eastAsia" w:ascii="宋体" w:hAnsi="宋体" w:eastAsia="宋体" w:cs="宋体"/>
          <w:b/>
          <w:color w:val="auto"/>
          <w:sz w:val="32"/>
          <w:szCs w:val="32"/>
          <w:highlight w:val="none"/>
        </w:rPr>
      </w:pPr>
    </w:p>
    <w:p w14:paraId="4698DFAC">
      <w:pPr>
        <w:spacing w:line="360" w:lineRule="auto"/>
        <w:ind w:firstLine="420" w:firstLineChars="200"/>
        <w:rPr>
          <w:rFonts w:hint="eastAsia" w:ascii="宋体" w:hAnsi="宋体" w:eastAsia="宋体" w:cs="宋体"/>
          <w:bCs/>
          <w:color w:val="auto"/>
          <w:szCs w:val="21"/>
          <w:highlight w:val="none"/>
        </w:rPr>
      </w:pPr>
    </w:p>
    <w:p w14:paraId="0BBBE6CC">
      <w:pPr>
        <w:pStyle w:val="23"/>
        <w:spacing w:before="120" w:after="12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78208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343AE57">
      <w:pPr>
        <w:spacing w:line="400" w:lineRule="exact"/>
        <w:jc w:val="center"/>
        <w:rPr>
          <w:rFonts w:hint="eastAsia" w:ascii="宋体" w:hAnsi="宋体" w:eastAsia="宋体" w:cs="宋体"/>
          <w:b/>
          <w:color w:val="auto"/>
          <w:sz w:val="44"/>
          <w:szCs w:val="44"/>
          <w:highlight w:val="none"/>
        </w:rPr>
      </w:pPr>
    </w:p>
    <w:p w14:paraId="148ADA7B">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Fonts w:hint="default" w:ascii="Times New Roman" w:hAnsi="Times New Roman" w:eastAsia="宋体" w:cs="Times New Roman"/>
          <w:b w:val="0"/>
          <w:color w:val="auto"/>
          <w:highlight w:val="none"/>
        </w:rPr>
        <w:fldChar w:fldCharType="begin"/>
      </w:r>
      <w:r>
        <w:rPr>
          <w:rFonts w:hint="default" w:ascii="Times New Roman" w:hAnsi="Times New Roman" w:eastAsia="宋体" w:cs="Times New Roman"/>
          <w:b w:val="0"/>
          <w:color w:val="auto"/>
          <w:highlight w:val="none"/>
        </w:rPr>
        <w:instrText xml:space="preserve"> TOC \o "1-2" \h \z \u </w:instrText>
      </w:r>
      <w:r>
        <w:rPr>
          <w:rFonts w:hint="default" w:ascii="Times New Roman" w:hAnsi="Times New Roman" w:eastAsia="宋体" w:cs="Times New Roman"/>
          <w:b w:val="0"/>
          <w:color w:val="auto"/>
          <w:highlight w:val="none"/>
        </w:rPr>
        <w:fldChar w:fldCharType="separate"/>
      </w: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"_Toc74323511"</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第一章 </w:t>
      </w:r>
      <w:r>
        <w:rPr>
          <w:rStyle w:val="52"/>
          <w:rFonts w:hint="default" w:ascii="Times New Roman" w:hAnsi="Times New Roman" w:eastAsia="宋体" w:cs="Times New Roman"/>
          <w:color w:val="auto"/>
          <w:highlight w:val="none"/>
          <w:lang w:eastAsia="zh-CN"/>
        </w:rPr>
        <w:t xml:space="preserve"> 征集公告</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_Toc74323511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1AC3F34A">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"_Toc74323512"</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第二章  采购需求</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_Toc74323512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4</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498616F6">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"_Toc74323513"</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第三章  </w:t>
      </w:r>
      <w:r>
        <w:rPr>
          <w:rStyle w:val="52"/>
          <w:rFonts w:hint="default" w:ascii="Times New Roman" w:hAnsi="Times New Roman" w:eastAsia="宋体" w:cs="Times New Roman"/>
          <w:color w:val="auto"/>
          <w:highlight w:val="none"/>
          <w:lang w:eastAsia="zh-CN"/>
        </w:rPr>
        <w:t>供应商</w:t>
      </w:r>
      <w:r>
        <w:rPr>
          <w:rStyle w:val="52"/>
          <w:rFonts w:hint="default" w:ascii="Times New Roman" w:hAnsi="Times New Roman" w:eastAsia="宋体" w:cs="Times New Roman"/>
          <w:color w:val="auto"/>
          <w:highlight w:val="none"/>
        </w:rPr>
        <w:t>须</w:t>
      </w:r>
      <w:bookmarkStart w:id="0" w:name="_Hlt82165829"/>
      <w:r>
        <w:rPr>
          <w:rStyle w:val="52"/>
          <w:rFonts w:hint="default" w:ascii="Times New Roman" w:hAnsi="Times New Roman" w:eastAsia="宋体" w:cs="Times New Roman"/>
          <w:color w:val="auto"/>
          <w:highlight w:val="none"/>
        </w:rPr>
        <w:t>知</w:t>
      </w:r>
      <w:bookmarkEnd w:id="0"/>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_Toc74323513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9</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65F4D42D">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"_Toc74323514"</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第四章  </w:t>
      </w:r>
      <w:r>
        <w:rPr>
          <w:rStyle w:val="52"/>
          <w:rFonts w:hint="default" w:ascii="Times New Roman" w:hAnsi="Times New Roman" w:eastAsia="宋体" w:cs="Times New Roman"/>
          <w:color w:val="auto"/>
          <w:highlight w:val="none"/>
          <w:lang w:eastAsia="zh-CN"/>
        </w:rPr>
        <w:t>评审方法及评审标准</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_Toc74323514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30</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5D8E646A">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"_Toc74323515"</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 xml:space="preserve">第五章  </w:t>
      </w:r>
      <w:r>
        <w:rPr>
          <w:rStyle w:val="52"/>
          <w:rFonts w:hint="default" w:ascii="Times New Roman" w:hAnsi="Times New Roman" w:eastAsia="宋体" w:cs="Times New Roman"/>
          <w:color w:val="auto"/>
          <w:highlight w:val="none"/>
          <w:lang w:eastAsia="zh-CN"/>
        </w:rPr>
        <w:t>拟签订的框架协议文本和采购合同文本</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_Toc74323515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40</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332CE8E7">
      <w:pPr>
        <w:pStyle w:val="31"/>
        <w:tabs>
          <w:tab w:val="right" w:leader="dot" w:pos="8789"/>
          <w:tab w:val="clear" w:pos="8398"/>
        </w:tabs>
        <w:snapToGrid w:val="0"/>
        <w:spacing w:before="0" w:after="0" w:line="500" w:lineRule="atLeast"/>
        <w:ind w:firstLine="0" w:firstLineChars="0"/>
        <w:rPr>
          <w:rFonts w:hint="default" w:ascii="Times New Roman" w:hAnsi="Times New Roman" w:eastAsia="宋体" w:cs="Times New Roman"/>
          <w:b w:val="0"/>
          <w:bCs w:val="0"/>
          <w:caps w:val="0"/>
          <w:color w:val="auto"/>
          <w:sz w:val="21"/>
          <w:szCs w:val="22"/>
          <w:highlight w:val="none"/>
          <w:lang w:val="en-US" w:eastAsia="zh-CN"/>
        </w:rPr>
      </w:pPr>
      <w:r>
        <w:rPr>
          <w:rStyle w:val="52"/>
          <w:rFonts w:hint="default" w:ascii="Times New Roman" w:hAnsi="Times New Roman" w:eastAsia="宋体" w:cs="Times New Roman"/>
          <w:color w:val="auto"/>
          <w:highlight w:val="none"/>
        </w:rPr>
        <w:fldChar w:fldCharType="begin"/>
      </w:r>
      <w:r>
        <w:rPr>
          <w:rStyle w:val="52"/>
          <w:rFonts w:hint="default" w:ascii="Times New Roman" w:hAnsi="Times New Roman" w:eastAsia="宋体" w:cs="Times New Roman"/>
          <w:color w:val="auto"/>
          <w:highlight w:val="none"/>
        </w:rPr>
        <w:instrText xml:space="preserve"> </w:instrText>
      </w:r>
      <w:r>
        <w:rPr>
          <w:rFonts w:hint="default" w:ascii="Times New Roman" w:hAnsi="Times New Roman" w:eastAsia="宋体" w:cs="Times New Roman"/>
          <w:color w:val="auto"/>
          <w:highlight w:val="none"/>
        </w:rPr>
        <w:instrText xml:space="preserve">HYPERLINK \l "_Toc74323516"</w:instrText>
      </w:r>
      <w:r>
        <w:rPr>
          <w:rStyle w:val="52"/>
          <w:rFonts w:hint="default" w:ascii="Times New Roman" w:hAnsi="Times New Roman" w:eastAsia="宋体" w:cs="Times New Roman"/>
          <w:color w:val="auto"/>
          <w:highlight w:val="none"/>
        </w:rPr>
        <w:instrText xml:space="preserve"> </w:instrText>
      </w:r>
      <w:r>
        <w:rPr>
          <w:rStyle w:val="52"/>
          <w:rFonts w:hint="default" w:ascii="Times New Roman" w:hAnsi="Times New Roman" w:eastAsia="宋体" w:cs="Times New Roman"/>
          <w:color w:val="auto"/>
          <w:highlight w:val="none"/>
        </w:rPr>
        <w:fldChar w:fldCharType="separate"/>
      </w:r>
      <w:r>
        <w:rPr>
          <w:rStyle w:val="52"/>
          <w:rFonts w:hint="default" w:ascii="Times New Roman" w:hAnsi="Times New Roman" w:eastAsia="宋体" w:cs="Times New Roman"/>
          <w:color w:val="auto"/>
          <w:highlight w:val="none"/>
        </w:rPr>
        <w:t>第六章　</w:t>
      </w:r>
      <w:r>
        <w:rPr>
          <w:rStyle w:val="52"/>
          <w:rFonts w:hint="default" w:ascii="Times New Roman" w:hAnsi="Times New Roman" w:eastAsia="宋体" w:cs="Times New Roman"/>
          <w:color w:val="auto"/>
          <w:highlight w:val="none"/>
          <w:lang w:eastAsia="zh-CN"/>
        </w:rPr>
        <w:t>响应文件</w:t>
      </w:r>
      <w:r>
        <w:rPr>
          <w:rStyle w:val="52"/>
          <w:rFonts w:hint="default" w:ascii="Times New Roman" w:hAnsi="Times New Roman" w:eastAsia="宋体" w:cs="Times New Roman"/>
          <w:color w:val="auto"/>
          <w:highlight w:val="none"/>
        </w:rPr>
        <w:t>格式</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_Toc74323516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57</w:t>
      </w:r>
      <w:r>
        <w:rPr>
          <w:rFonts w:hint="default" w:ascii="Times New Roman" w:hAnsi="Times New Roman" w:eastAsia="宋体" w:cs="Times New Roman"/>
          <w:color w:val="auto"/>
          <w:highlight w:val="none"/>
        </w:rPr>
        <w:fldChar w:fldCharType="end"/>
      </w:r>
      <w:r>
        <w:rPr>
          <w:rStyle w:val="52"/>
          <w:rFonts w:hint="default" w:ascii="Times New Roman" w:hAnsi="Times New Roman" w:eastAsia="宋体" w:cs="Times New Roman"/>
          <w:color w:val="auto"/>
          <w:highlight w:val="none"/>
        </w:rPr>
        <w:fldChar w:fldCharType="end"/>
      </w:r>
    </w:p>
    <w:p w14:paraId="0C38593F">
      <w:pPr>
        <w:tabs>
          <w:tab w:val="right" w:leader="dot" w:pos="8789"/>
        </w:tabs>
        <w:snapToGrid w:val="0"/>
        <w:spacing w:line="500" w:lineRule="atLeast"/>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rPr>
        <w:fldChar w:fldCharType="end"/>
      </w:r>
    </w:p>
    <w:p w14:paraId="397F5BE8">
      <w:pPr>
        <w:spacing w:before="120" w:beforeLines="50" w:line="480" w:lineRule="exact"/>
        <w:rPr>
          <w:rFonts w:hint="eastAsia" w:ascii="宋体" w:hAnsi="宋体" w:eastAsia="宋体" w:cs="宋体"/>
          <w:color w:val="auto"/>
          <w:sz w:val="30"/>
          <w:highlight w:val="none"/>
        </w:rPr>
      </w:pPr>
    </w:p>
    <w:p w14:paraId="50ABD438">
      <w:pPr>
        <w:rPr>
          <w:rFonts w:hint="eastAsia" w:ascii="宋体" w:hAnsi="宋体" w:eastAsia="宋体" w:cs="宋体"/>
          <w:color w:val="auto"/>
          <w:highlight w:val="none"/>
        </w:rPr>
      </w:pPr>
    </w:p>
    <w:p w14:paraId="5869EF8F">
      <w:pPr>
        <w:spacing w:before="120" w:beforeLines="50" w:line="480" w:lineRule="exact"/>
        <w:rPr>
          <w:rFonts w:hint="eastAsia" w:ascii="宋体" w:hAnsi="宋体" w:eastAsia="宋体" w:cs="宋体"/>
          <w:color w:val="auto"/>
          <w:sz w:val="30"/>
          <w:highlight w:val="none"/>
        </w:rPr>
      </w:pPr>
    </w:p>
    <w:p w14:paraId="3359B6D4">
      <w:pPr>
        <w:spacing w:before="120" w:beforeLines="50" w:line="480" w:lineRule="exact"/>
        <w:rPr>
          <w:rFonts w:hint="eastAsia" w:ascii="宋体" w:hAnsi="宋体" w:eastAsia="宋体" w:cs="宋体"/>
          <w:color w:val="auto"/>
          <w:sz w:val="30"/>
          <w:highlight w:val="none"/>
        </w:rPr>
      </w:pPr>
    </w:p>
    <w:p w14:paraId="26FF7BBA">
      <w:pPr>
        <w:pStyle w:val="15"/>
        <w:rPr>
          <w:rFonts w:hint="eastAsia" w:ascii="宋体" w:hAnsi="宋体" w:eastAsia="宋体" w:cs="宋体"/>
          <w:b/>
          <w:bCs/>
          <w:color w:val="auto"/>
          <w:highlight w:val="none"/>
        </w:rPr>
      </w:pPr>
      <w:bookmarkStart w:id="1" w:name="_Toc254970630"/>
      <w:bookmarkStart w:id="2" w:name="_Toc254970489"/>
    </w:p>
    <w:p w14:paraId="174EF0EF">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sectPr>
          <w:footerReference r:id="rId3" w:type="default"/>
          <w:pgSz w:w="11906" w:h="16839"/>
          <w:pgMar w:top="1431" w:right="1305" w:bottom="880" w:left="1785" w:header="0" w:footer="720" w:gutter="0"/>
          <w:pgNumType w:fmt="decimal" w:start="1"/>
          <w:cols w:space="720" w:num="1"/>
        </w:sectPr>
      </w:pPr>
      <w:bookmarkStart w:id="3" w:name="_Toc74323511"/>
    </w:p>
    <w:p w14:paraId="780CDA11">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第一章</w:t>
      </w:r>
      <w:bookmarkEnd w:id="1"/>
      <w:bookmarkEnd w:id="2"/>
      <w:bookmarkStart w:id="4" w:name="_Toc28359001"/>
      <w:bookmarkStart w:id="5" w:name="_Toc35393789"/>
      <w:r>
        <w:rPr>
          <w:rFonts w:hint="eastAsia" w:ascii="宋体" w:hAnsi="宋体" w:eastAsia="宋体" w:cs="宋体"/>
          <w:color w:val="auto"/>
          <w:highlight w:val="none"/>
        </w:rPr>
        <w:t xml:space="preserve"> </w:t>
      </w:r>
      <w:bookmarkEnd w:id="3"/>
      <w:bookmarkEnd w:id="4"/>
      <w:bookmarkEnd w:id="5"/>
      <w:r>
        <w:rPr>
          <w:rFonts w:hint="eastAsia" w:ascii="宋体" w:hAnsi="宋体" w:eastAsia="宋体" w:cs="宋体"/>
          <w:color w:val="auto"/>
          <w:highlight w:val="none"/>
        </w:rPr>
        <w:t>征集公告</w:t>
      </w:r>
    </w:p>
    <w:p w14:paraId="6DE9D69D">
      <w:pPr>
        <w:spacing w:line="360" w:lineRule="auto"/>
        <w:rPr>
          <w:rFonts w:hint="eastAsia" w:ascii="宋体" w:hAnsi="宋体" w:eastAsia="宋体" w:cs="宋体"/>
          <w:color w:val="auto"/>
          <w:szCs w:val="21"/>
          <w:highlight w:val="none"/>
        </w:rPr>
      </w:pPr>
    </w:p>
    <w:p w14:paraId="34D600E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4"/>
          <w:highlight w:val="none"/>
          <w:lang w:val="en-US" w:eastAsia="zh-CN"/>
        </w:rPr>
        <w:t>一、征集人信息</w:t>
      </w:r>
    </w:p>
    <w:p w14:paraId="49042CE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征集人名称：田东县财政局 </w:t>
      </w:r>
    </w:p>
    <w:p w14:paraId="7C29029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征集人地址：田东县油城路13号 </w:t>
      </w:r>
    </w:p>
    <w:p w14:paraId="5D5C4FB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征集人联系人：谭工 </w:t>
      </w:r>
    </w:p>
    <w:p w14:paraId="183E779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征集人联系方式：0776-5220191</w:t>
      </w:r>
    </w:p>
    <w:p w14:paraId="384AEDA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0"/>
          <w:sz w:val="21"/>
          <w:szCs w:val="21"/>
          <w:highlight w:val="none"/>
          <w:lang w:val="en-US" w:eastAsia="zh-CN" w:bidi="ar"/>
        </w:rPr>
      </w:pPr>
    </w:p>
    <w:p w14:paraId="655BBB5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lang w:eastAsia="zh-CN"/>
        </w:rPr>
      </w:pPr>
      <w:bookmarkStart w:id="6" w:name="_Toc28359079"/>
      <w:bookmarkStart w:id="7" w:name="_Toc28359002"/>
      <w:bookmarkStart w:id="8" w:name="_Toc35393621"/>
      <w:bookmarkStart w:id="9" w:name="_Toc35393790"/>
      <w:bookmarkStart w:id="10" w:name="_Hlk24379207"/>
      <w:r>
        <w:rPr>
          <w:rFonts w:hint="eastAsia" w:ascii="宋体" w:hAnsi="宋体" w:cs="宋体"/>
          <w:b/>
          <w:bCs/>
          <w:color w:val="auto"/>
          <w:sz w:val="24"/>
          <w:highlight w:val="none"/>
          <w:lang w:val="en-US" w:eastAsia="zh-CN"/>
        </w:rPr>
        <w:t>二</w:t>
      </w:r>
      <w:r>
        <w:rPr>
          <w:rFonts w:hint="eastAsia" w:ascii="宋体" w:hAnsi="宋体" w:eastAsia="宋体" w:cs="宋体"/>
          <w:b/>
          <w:bCs/>
          <w:color w:val="auto"/>
          <w:sz w:val="24"/>
          <w:highlight w:val="none"/>
        </w:rPr>
        <w:t>、</w:t>
      </w:r>
      <w:bookmarkEnd w:id="6"/>
      <w:bookmarkEnd w:id="7"/>
      <w:bookmarkEnd w:id="8"/>
      <w:bookmarkEnd w:id="9"/>
      <w:r>
        <w:rPr>
          <w:rFonts w:hint="eastAsia" w:ascii="宋体" w:hAnsi="宋体" w:eastAsia="宋体" w:cs="宋体"/>
          <w:b/>
          <w:bCs/>
          <w:color w:val="auto"/>
          <w:sz w:val="24"/>
          <w:highlight w:val="none"/>
          <w:lang w:val="en-US" w:eastAsia="zh-CN"/>
        </w:rPr>
        <w:t>采购项目信息</w:t>
      </w:r>
      <w:bookmarkEnd w:id="10"/>
    </w:p>
    <w:p w14:paraId="2D225C7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szCs w:val="21"/>
          <w:highlight w:val="none"/>
          <w:u w:val="none"/>
          <w:lang w:eastAsia="zh-CN"/>
        </w:rPr>
      </w:pPr>
      <w:r>
        <w:rPr>
          <w:rFonts w:hint="default" w:ascii="Times New Roman" w:hAnsi="Times New Roman" w:eastAsia="宋体" w:cs="Times New Roman"/>
          <w:color w:val="auto"/>
          <w:szCs w:val="21"/>
          <w:highlight w:val="none"/>
        </w:rPr>
        <w:t>项目名称：</w:t>
      </w:r>
      <w:r>
        <w:rPr>
          <w:rFonts w:hint="eastAsia" w:ascii="Times New Roman" w:hAnsi="Times New Roman" w:eastAsia="宋体" w:cs="Times New Roman"/>
          <w:color w:val="auto"/>
          <w:szCs w:val="21"/>
          <w:highlight w:val="none"/>
          <w:u w:val="none"/>
          <w:lang w:eastAsia="zh-CN"/>
        </w:rPr>
        <w:t>2025—2027年度田东县政府投资项目竣工结算评审服务</w:t>
      </w:r>
    </w:p>
    <w:p w14:paraId="5D924D0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u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BSZC2025-K3-220093-GXZJ</w:t>
      </w:r>
    </w:p>
    <w:p w14:paraId="67CCB52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highlight w:val="none"/>
        </w:rPr>
      </w:pPr>
      <w:r>
        <w:rPr>
          <w:rFonts w:hint="eastAsia" w:ascii="宋体" w:hAnsi="宋体" w:eastAsia="宋体" w:cs="宋体"/>
          <w:color w:val="auto"/>
          <w:kern w:val="0"/>
          <w:sz w:val="21"/>
          <w:szCs w:val="21"/>
          <w:highlight w:val="none"/>
          <w:lang w:val="en-US" w:eastAsia="zh-CN" w:bidi="ar"/>
        </w:rPr>
        <w:t>适用采购人或者服务对象范围：</w:t>
      </w:r>
      <w:r>
        <w:rPr>
          <w:rFonts w:hint="eastAsia" w:ascii="宋体" w:hAnsi="宋体" w:cs="宋体"/>
          <w:color w:val="auto"/>
          <w:kern w:val="0"/>
          <w:sz w:val="21"/>
          <w:szCs w:val="21"/>
          <w:highlight w:val="none"/>
          <w:lang w:val="en-US" w:eastAsia="zh-CN" w:bidi="ar"/>
        </w:rPr>
        <w:t>田东县下使用财政性资金的全部采购单位 </w:t>
      </w:r>
    </w:p>
    <w:p w14:paraId="7AB7907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采购需求</w:t>
      </w:r>
      <w:r>
        <w:rPr>
          <w:rFonts w:hint="eastAsia" w:ascii="宋体" w:hAnsi="宋体" w:eastAsia="宋体" w:cs="宋体"/>
          <w:color w:val="auto"/>
          <w:szCs w:val="21"/>
          <w:highlight w:val="none"/>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3187"/>
        <w:gridCol w:w="2258"/>
        <w:gridCol w:w="2258"/>
      </w:tblGrid>
      <w:tr w14:paraId="45B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top"/>
          </w:tcPr>
          <w:p w14:paraId="668908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序号</w:t>
            </w:r>
          </w:p>
        </w:tc>
        <w:tc>
          <w:tcPr>
            <w:tcW w:w="3187" w:type="dxa"/>
            <w:vAlign w:val="top"/>
          </w:tcPr>
          <w:p w14:paraId="2FF817F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采购需求</w:t>
            </w:r>
          </w:p>
        </w:tc>
        <w:tc>
          <w:tcPr>
            <w:tcW w:w="2258" w:type="dxa"/>
            <w:vAlign w:val="top"/>
          </w:tcPr>
          <w:p w14:paraId="3D2C4A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最高限制单价</w:t>
            </w:r>
          </w:p>
        </w:tc>
        <w:tc>
          <w:tcPr>
            <w:tcW w:w="2258" w:type="dxa"/>
            <w:vAlign w:val="top"/>
          </w:tcPr>
          <w:p w14:paraId="7A9560B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val="en-US" w:eastAsia="zh-CN"/>
              </w:rPr>
              <w:t>预估采购数量</w:t>
            </w:r>
          </w:p>
        </w:tc>
      </w:tr>
      <w:tr w14:paraId="563E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314D59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1</w:t>
            </w:r>
          </w:p>
        </w:tc>
        <w:tc>
          <w:tcPr>
            <w:tcW w:w="3187" w:type="dxa"/>
            <w:vAlign w:val="center"/>
          </w:tcPr>
          <w:p w14:paraId="103F8D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eastAsia="zh-CN"/>
              </w:rPr>
              <w:t>2025—2027年度田东县政府投资项目竣工结算评审服务</w:t>
            </w:r>
          </w:p>
        </w:tc>
        <w:tc>
          <w:tcPr>
            <w:tcW w:w="2258" w:type="dxa"/>
            <w:vAlign w:val="center"/>
          </w:tcPr>
          <w:p w14:paraId="51CB91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highlight w:val="none"/>
                <w:u w:val="none"/>
                <w:lang w:val="en-US" w:eastAsia="zh-CN"/>
              </w:rPr>
            </w:pPr>
            <w:r>
              <w:rPr>
                <w:rFonts w:hint="eastAsia" w:ascii="宋体" w:hAnsi="宋体" w:eastAsia="宋体" w:cs="宋体"/>
                <w:color w:val="auto"/>
                <w:szCs w:val="21"/>
                <w:highlight w:val="none"/>
                <w:lang w:val="en-US" w:eastAsia="zh-CN"/>
              </w:rPr>
              <w:t>/</w:t>
            </w:r>
          </w:p>
        </w:tc>
        <w:tc>
          <w:tcPr>
            <w:tcW w:w="2258" w:type="dxa"/>
            <w:vAlign w:val="center"/>
          </w:tcPr>
          <w:p w14:paraId="565057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12</w:t>
            </w:r>
          </w:p>
        </w:tc>
      </w:tr>
    </w:tbl>
    <w:p w14:paraId="3BC6C1B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imes New Roman" w:hAnsi="Times New Roman" w:eastAsia="宋体" w:cs="Times New Roman"/>
          <w:color w:val="auto"/>
          <w:szCs w:val="21"/>
          <w:highlight w:val="none"/>
          <w:lang w:eastAsia="zh-CN"/>
        </w:rPr>
      </w:pPr>
      <w:bookmarkStart w:id="11" w:name="_Toc35393622"/>
      <w:bookmarkStart w:id="12" w:name="_Toc28359080"/>
      <w:bookmarkStart w:id="13" w:name="_Toc35393791"/>
      <w:bookmarkStart w:id="14" w:name="_Toc28359003"/>
    </w:p>
    <w:p w14:paraId="5E3F0E0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供应商的资格条件</w:t>
      </w:r>
      <w:r>
        <w:rPr>
          <w:rFonts w:hint="eastAsia" w:ascii="宋体" w:hAnsi="宋体" w:eastAsia="宋体" w:cs="宋体"/>
          <w:b/>
          <w:bCs/>
          <w:color w:val="auto"/>
          <w:sz w:val="24"/>
          <w:highlight w:val="none"/>
        </w:rPr>
        <w:t>：</w:t>
      </w:r>
      <w:bookmarkEnd w:id="11"/>
      <w:bookmarkEnd w:id="12"/>
      <w:bookmarkEnd w:id="13"/>
      <w:bookmarkEnd w:id="14"/>
    </w:p>
    <w:p w14:paraId="52C8EBE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bookmarkStart w:id="15" w:name="_Hlk51746371"/>
      <w:bookmarkStart w:id="16" w:name="_Toc35393792"/>
      <w:bookmarkStart w:id="17" w:name="_Toc28359004"/>
      <w:bookmarkStart w:id="18" w:name="_Toc35393623"/>
      <w:bookmarkStart w:id="19" w:name="_Toc28359081"/>
      <w:r>
        <w:rPr>
          <w:rFonts w:hint="default" w:ascii="Times New Roman" w:hAnsi="Times New Roman" w:eastAsia="宋体" w:cs="Times New Roman"/>
          <w:color w:val="auto"/>
          <w:szCs w:val="21"/>
          <w:highlight w:val="none"/>
          <w:lang w:eastAsia="zh-CN"/>
        </w:rPr>
        <w:t>1</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eastAsia="zh-CN"/>
        </w:rPr>
        <w:t>满足《中华人民共和国政府采购法》第二十二条规定</w:t>
      </w:r>
      <w:r>
        <w:rPr>
          <w:rFonts w:hint="eastAsia" w:ascii="Times New Roman" w:hAnsi="Times New Roman" w:eastAsia="宋体" w:cs="Times New Roman"/>
          <w:color w:val="auto"/>
          <w:szCs w:val="21"/>
          <w:highlight w:val="none"/>
          <w:lang w:eastAsia="zh-CN"/>
        </w:rPr>
        <w:t>。</w:t>
      </w:r>
    </w:p>
    <w:p w14:paraId="4E9F9A1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落实政府采购政策需满足的资格要求：</w:t>
      </w:r>
      <w:r>
        <w:rPr>
          <w:rFonts w:hint="eastAsia" w:ascii="Times New Roman" w:hAnsi="Times New Roman" w:eastAsia="宋体" w:cs="Times New Roman"/>
          <w:color w:val="auto"/>
          <w:szCs w:val="21"/>
          <w:highlight w:val="none"/>
          <w:lang w:val="en-US" w:eastAsia="zh-CN"/>
        </w:rPr>
        <w:t>无</w:t>
      </w:r>
      <w:r>
        <w:rPr>
          <w:rFonts w:hint="default" w:ascii="Times New Roman" w:hAnsi="Times New Roman" w:eastAsia="宋体" w:cs="Times New Roman"/>
          <w:color w:val="auto"/>
          <w:szCs w:val="21"/>
          <w:highlight w:val="none"/>
        </w:rPr>
        <w:t>。</w:t>
      </w:r>
    </w:p>
    <w:p w14:paraId="11B2E29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本项目的特定要求：</w:t>
      </w:r>
      <w:r>
        <w:rPr>
          <w:rFonts w:hint="default" w:ascii="Times New Roman" w:hAnsi="Times New Roman" w:eastAsia="宋体" w:cs="Times New Roman"/>
          <w:color w:val="auto"/>
          <w:szCs w:val="21"/>
          <w:highlight w:val="none"/>
        </w:rPr>
        <w:t>供应商具有参与项目竣工结算评审等工作的工程造价专业技术能力</w:t>
      </w:r>
      <w:r>
        <w:rPr>
          <w:rFonts w:hint="default" w:ascii="Times New Roman" w:hAnsi="Times New Roman" w:eastAsia="宋体" w:cs="Times New Roman"/>
          <w:color w:val="auto"/>
          <w:szCs w:val="21"/>
          <w:highlight w:val="none"/>
          <w:lang w:eastAsia="zh-CN"/>
        </w:rPr>
        <w:t>。</w:t>
      </w:r>
    </w:p>
    <w:p w14:paraId="218F00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4</w:t>
      </w:r>
      <w:r>
        <w:rPr>
          <w:rFonts w:hint="eastAsia" w:ascii="Times New Roman" w:hAnsi="Times New Roman" w:eastAsia="宋体" w:cs="Times New Roman"/>
          <w:color w:val="auto"/>
          <w:szCs w:val="21"/>
          <w:highlight w:val="none"/>
          <w:lang w:eastAsia="zh-CN"/>
        </w:rPr>
        <w:t>、单位负责人为同一人或者存在直接控股、管理关系的不同供应商，不得同时参加本服务合同的政府采购活动。为本项目提供过整体设计、规范编制或者项目管理、监理、检测、造价咨询、财务管理等服务的供应商，不得再参加本项目上述服务以外的其他采购活动。</w:t>
      </w:r>
    </w:p>
    <w:p w14:paraId="40CAFD4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eastAsia="zh-CN"/>
        </w:rPr>
        <w:t>5</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eastAsia="zh-CN"/>
        </w:rPr>
        <w:t>对在“信用中国 ”网站(www.creditchina.gov.cn) 、中国政府采购网(www.ccgp.gov.cn)被列 入失信被执行人、重大税收违法案件当事人名单、政府采购严重违法失信行为记录名单</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违约行为、不良行为、</w:t>
      </w:r>
      <w:r>
        <w:rPr>
          <w:rFonts w:hint="eastAsia" w:ascii="Times New Roman" w:hAnsi="Times New Roman" w:eastAsia="宋体" w:cs="Times New Roman"/>
          <w:color w:val="auto"/>
          <w:kern w:val="2"/>
          <w:sz w:val="21"/>
          <w:szCs w:val="21"/>
          <w:highlight w:val="none"/>
          <w:lang w:val="en-US" w:eastAsia="zh-CN" w:bidi="ar-SA"/>
        </w:rPr>
        <w:t>违反廉洁从业规定的</w:t>
      </w:r>
      <w:r>
        <w:rPr>
          <w:rFonts w:hint="default" w:ascii="Times New Roman" w:hAnsi="Times New Roman" w:eastAsia="宋体" w:cs="Times New Roman"/>
          <w:color w:val="auto"/>
          <w:szCs w:val="21"/>
          <w:highlight w:val="none"/>
          <w:lang w:eastAsia="zh-CN"/>
        </w:rPr>
        <w:t>及其他不符合《中华人民共和国政府采购法》第二十二条规定条件的供应商，不得参与政府采购活动。</w:t>
      </w:r>
    </w:p>
    <w:bookmarkEnd w:id="15"/>
    <w:p w14:paraId="5D392FD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框架协议的期限</w:t>
      </w:r>
    </w:p>
    <w:p w14:paraId="7A80F7E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24个月</w:t>
      </w:r>
    </w:p>
    <w:p w14:paraId="00E987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五、</w:t>
      </w:r>
      <w:bookmarkEnd w:id="16"/>
      <w:bookmarkEnd w:id="17"/>
      <w:bookmarkEnd w:id="18"/>
      <w:bookmarkEnd w:id="19"/>
      <w:r>
        <w:rPr>
          <w:rFonts w:hint="eastAsia" w:ascii="宋体" w:hAnsi="宋体" w:eastAsia="宋体" w:cs="宋体"/>
          <w:b/>
          <w:bCs/>
          <w:color w:val="auto"/>
          <w:sz w:val="24"/>
          <w:highlight w:val="none"/>
          <w:lang w:val="en-US" w:eastAsia="zh-CN"/>
        </w:rPr>
        <w:t>获取征集文件的时间、地点和方式</w:t>
      </w:r>
    </w:p>
    <w:p w14:paraId="39B0FF9F">
      <w:pPr>
        <w:keepNext w:val="0"/>
        <w:keepLines w:val="0"/>
        <w:pageBreakBefore w:val="0"/>
        <w:widowControl w:val="0"/>
        <w:kinsoku/>
        <w:wordWrap/>
        <w:overflowPunct/>
        <w:topLinePunct w:val="0"/>
        <w:autoSpaceDE/>
        <w:autoSpaceDN/>
        <w:bidi w:val="0"/>
        <w:adjustRightInd/>
        <w:spacing w:line="360" w:lineRule="auto"/>
        <w:ind w:firstLine="540"/>
        <w:textAlignment w:val="auto"/>
        <w:rPr>
          <w:rFonts w:hint="default" w:ascii="Times New Roman" w:hAnsi="Times New Roman" w:eastAsia="宋体" w:cs="Times New Roman"/>
          <w:bCs/>
          <w:color w:val="auto"/>
          <w:kern w:val="0"/>
          <w:szCs w:val="21"/>
          <w:highlight w:val="none"/>
          <w:u w:val="none"/>
        </w:rPr>
      </w:pPr>
      <w:r>
        <w:rPr>
          <w:rFonts w:hint="default" w:ascii="Times New Roman" w:hAnsi="Times New Roman" w:eastAsia="宋体" w:cs="Times New Roman"/>
          <w:bCs/>
          <w:color w:val="auto"/>
          <w:kern w:val="0"/>
          <w:szCs w:val="21"/>
          <w:highlight w:val="none"/>
          <w:u w:val="none"/>
        </w:rPr>
        <w:t>时间：202</w:t>
      </w:r>
      <w:r>
        <w:rPr>
          <w:rFonts w:hint="eastAsia" w:ascii="Times New Roman" w:hAnsi="Times New Roman" w:eastAsia="宋体" w:cs="Times New Roman"/>
          <w:bCs/>
          <w:color w:val="auto"/>
          <w:kern w:val="0"/>
          <w:szCs w:val="21"/>
          <w:highlight w:val="none"/>
          <w:u w:val="none"/>
          <w:lang w:val="en-US" w:eastAsia="zh-CN"/>
        </w:rPr>
        <w:t>5</w:t>
      </w:r>
      <w:r>
        <w:rPr>
          <w:rFonts w:hint="default" w:ascii="Times New Roman" w:hAnsi="Times New Roman" w:eastAsia="宋体" w:cs="Times New Roman"/>
          <w:bCs/>
          <w:color w:val="auto"/>
          <w:kern w:val="0"/>
          <w:szCs w:val="21"/>
          <w:highlight w:val="none"/>
          <w:u w:val="none"/>
        </w:rPr>
        <w:t>年</w:t>
      </w:r>
      <w:r>
        <w:rPr>
          <w:rFonts w:hint="eastAsia" w:cs="Times New Roman"/>
          <w:bCs/>
          <w:color w:val="auto"/>
          <w:kern w:val="0"/>
          <w:szCs w:val="21"/>
          <w:highlight w:val="none"/>
          <w:u w:val="none"/>
          <w:lang w:val="en-US" w:eastAsia="zh-CN"/>
        </w:rPr>
        <w:t>6</w:t>
      </w:r>
      <w:r>
        <w:rPr>
          <w:rFonts w:hint="default" w:ascii="Times New Roman" w:hAnsi="Times New Roman" w:eastAsia="宋体" w:cs="Times New Roman"/>
          <w:bCs/>
          <w:color w:val="auto"/>
          <w:kern w:val="0"/>
          <w:szCs w:val="21"/>
          <w:highlight w:val="none"/>
          <w:u w:val="none"/>
        </w:rPr>
        <w:t>月</w:t>
      </w:r>
      <w:r>
        <w:rPr>
          <w:rFonts w:hint="eastAsia" w:cs="Times New Roman"/>
          <w:bCs/>
          <w:color w:val="auto"/>
          <w:kern w:val="0"/>
          <w:szCs w:val="21"/>
          <w:highlight w:val="none"/>
          <w:u w:val="none"/>
          <w:lang w:val="en-US" w:eastAsia="zh-CN"/>
        </w:rPr>
        <w:t>24</w:t>
      </w:r>
      <w:r>
        <w:rPr>
          <w:rFonts w:hint="default" w:ascii="Times New Roman" w:hAnsi="Times New Roman" w:eastAsia="宋体" w:cs="Times New Roman"/>
          <w:bCs/>
          <w:color w:val="auto"/>
          <w:kern w:val="0"/>
          <w:szCs w:val="21"/>
          <w:highlight w:val="none"/>
          <w:u w:val="none"/>
        </w:rPr>
        <w:t>日至202</w:t>
      </w:r>
      <w:r>
        <w:rPr>
          <w:rFonts w:hint="eastAsia" w:ascii="Times New Roman" w:hAnsi="Times New Roman" w:eastAsia="宋体" w:cs="Times New Roman"/>
          <w:bCs/>
          <w:color w:val="auto"/>
          <w:kern w:val="0"/>
          <w:szCs w:val="21"/>
          <w:highlight w:val="none"/>
          <w:u w:val="none"/>
          <w:lang w:val="en-US" w:eastAsia="zh-CN"/>
        </w:rPr>
        <w:t>5</w:t>
      </w:r>
      <w:r>
        <w:rPr>
          <w:rFonts w:hint="default" w:ascii="Times New Roman" w:hAnsi="Times New Roman" w:eastAsia="宋体" w:cs="Times New Roman"/>
          <w:bCs/>
          <w:color w:val="auto"/>
          <w:kern w:val="0"/>
          <w:szCs w:val="21"/>
          <w:highlight w:val="none"/>
          <w:u w:val="none"/>
        </w:rPr>
        <w:t>年</w:t>
      </w:r>
      <w:r>
        <w:rPr>
          <w:rFonts w:hint="eastAsia" w:cs="Times New Roman"/>
          <w:bCs/>
          <w:color w:val="auto"/>
          <w:kern w:val="0"/>
          <w:szCs w:val="21"/>
          <w:highlight w:val="none"/>
          <w:u w:val="none"/>
          <w:lang w:val="en-US" w:eastAsia="zh-CN"/>
        </w:rPr>
        <w:t>7</w:t>
      </w:r>
      <w:r>
        <w:rPr>
          <w:rFonts w:hint="default" w:ascii="Times New Roman" w:hAnsi="Times New Roman" w:eastAsia="宋体" w:cs="Times New Roman"/>
          <w:bCs/>
          <w:color w:val="auto"/>
          <w:kern w:val="0"/>
          <w:szCs w:val="21"/>
          <w:highlight w:val="none"/>
          <w:u w:val="none"/>
        </w:rPr>
        <w:t>月</w:t>
      </w:r>
      <w:r>
        <w:rPr>
          <w:rFonts w:hint="eastAsia" w:cs="Times New Roman"/>
          <w:bCs/>
          <w:color w:val="auto"/>
          <w:kern w:val="0"/>
          <w:szCs w:val="21"/>
          <w:highlight w:val="none"/>
          <w:u w:val="none"/>
          <w:lang w:val="en-US" w:eastAsia="zh-CN"/>
        </w:rPr>
        <w:t>1</w:t>
      </w:r>
      <w:r>
        <w:rPr>
          <w:rFonts w:hint="default" w:ascii="Times New Roman" w:hAnsi="Times New Roman" w:eastAsia="宋体" w:cs="Times New Roman"/>
          <w:bCs/>
          <w:color w:val="auto"/>
          <w:kern w:val="0"/>
          <w:szCs w:val="21"/>
          <w:highlight w:val="none"/>
          <w:u w:val="none"/>
        </w:rPr>
        <w:t>日</w:t>
      </w:r>
      <w:r>
        <w:rPr>
          <w:rFonts w:hint="eastAsia" w:ascii="Times New Roman" w:hAnsi="Times New Roman" w:eastAsia="宋体" w:cs="Times New Roman"/>
          <w:bCs/>
          <w:color w:val="auto"/>
          <w:kern w:val="0"/>
          <w:szCs w:val="21"/>
          <w:highlight w:val="none"/>
          <w:u w:val="none"/>
          <w:lang w:eastAsia="zh-CN"/>
        </w:rPr>
        <w:t>，</w:t>
      </w:r>
      <w:r>
        <w:rPr>
          <w:rFonts w:hint="eastAsia"/>
          <w:color w:val="auto"/>
          <w:highlight w:val="none"/>
        </w:rPr>
        <w:t>每天上午</w:t>
      </w:r>
      <w:r>
        <w:rPr>
          <w:color w:val="auto"/>
          <w:highlight w:val="none"/>
          <w:u w:val="single"/>
        </w:rPr>
        <w:t>00</w:t>
      </w:r>
      <w:r>
        <w:rPr>
          <w:rFonts w:hint="eastAsia"/>
          <w:color w:val="auto"/>
          <w:highlight w:val="none"/>
          <w:u w:val="single"/>
        </w:rPr>
        <w:t>:</w:t>
      </w:r>
      <w:r>
        <w:rPr>
          <w:color w:val="auto"/>
          <w:highlight w:val="none"/>
          <w:u w:val="single"/>
        </w:rPr>
        <w:t>00</w:t>
      </w:r>
      <w:r>
        <w:rPr>
          <w:rFonts w:hint="eastAsia"/>
          <w:color w:val="auto"/>
          <w:highlight w:val="none"/>
          <w:u w:val="single"/>
        </w:rPr>
        <w:t>至</w:t>
      </w:r>
      <w:r>
        <w:rPr>
          <w:color w:val="auto"/>
          <w:highlight w:val="none"/>
          <w:u w:val="single"/>
        </w:rPr>
        <w:t>12</w:t>
      </w:r>
      <w:r>
        <w:rPr>
          <w:rFonts w:hint="eastAsia"/>
          <w:color w:val="auto"/>
          <w:highlight w:val="none"/>
          <w:u w:val="single"/>
        </w:rPr>
        <w:t>：0</w:t>
      </w:r>
      <w:r>
        <w:rPr>
          <w:color w:val="auto"/>
          <w:highlight w:val="none"/>
          <w:u w:val="single"/>
        </w:rPr>
        <w:t>0</w:t>
      </w:r>
      <w:r>
        <w:rPr>
          <w:rFonts w:hint="eastAsia"/>
          <w:color w:val="auto"/>
          <w:highlight w:val="none"/>
          <w:u w:val="single"/>
        </w:rPr>
        <w:t>，下午</w:t>
      </w:r>
      <w:r>
        <w:rPr>
          <w:color w:val="auto"/>
          <w:highlight w:val="none"/>
          <w:u w:val="single"/>
        </w:rPr>
        <w:t>12</w:t>
      </w:r>
      <w:r>
        <w:rPr>
          <w:rFonts w:hint="eastAsia"/>
          <w:color w:val="auto"/>
          <w:highlight w:val="none"/>
          <w:u w:val="single"/>
        </w:rPr>
        <w:t>:</w:t>
      </w:r>
      <w:r>
        <w:rPr>
          <w:color w:val="auto"/>
          <w:highlight w:val="none"/>
          <w:u w:val="single"/>
        </w:rPr>
        <w:t>00</w:t>
      </w:r>
      <w:r>
        <w:rPr>
          <w:rFonts w:hint="eastAsia"/>
          <w:color w:val="auto"/>
          <w:highlight w:val="none"/>
          <w:u w:val="single"/>
        </w:rPr>
        <w:t>至</w:t>
      </w:r>
      <w:r>
        <w:rPr>
          <w:color w:val="auto"/>
          <w:highlight w:val="none"/>
          <w:u w:val="single"/>
        </w:rPr>
        <w:t>23</w:t>
      </w:r>
      <w:r>
        <w:rPr>
          <w:rFonts w:hint="eastAsia"/>
          <w:color w:val="auto"/>
          <w:highlight w:val="none"/>
          <w:u w:val="single"/>
        </w:rPr>
        <w:t>:</w:t>
      </w:r>
      <w:r>
        <w:rPr>
          <w:color w:val="auto"/>
          <w:highlight w:val="none"/>
          <w:u w:val="single"/>
        </w:rPr>
        <w:t>59</w:t>
      </w:r>
      <w:r>
        <w:rPr>
          <w:rFonts w:hint="eastAsia"/>
          <w:color w:val="auto"/>
          <w:highlight w:val="none"/>
          <w:u w:val="single"/>
        </w:rPr>
        <w:t>（</w:t>
      </w:r>
      <w:r>
        <w:rPr>
          <w:rFonts w:hint="eastAsia"/>
          <w:color w:val="auto"/>
          <w:highlight w:val="none"/>
        </w:rPr>
        <w:t>北京时间，法定节假日除外）。</w:t>
      </w:r>
    </w:p>
    <w:p w14:paraId="0D55693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bCs/>
          <w:color w:val="auto"/>
          <w:kern w:val="0"/>
          <w:szCs w:val="21"/>
          <w:highlight w:val="none"/>
          <w:u w:val="none"/>
          <w:lang w:val="en-US" w:eastAsia="zh-CN"/>
        </w:rPr>
      </w:pPr>
      <w:r>
        <w:rPr>
          <w:rFonts w:hint="default" w:ascii="Times New Roman" w:hAnsi="Times New Roman" w:eastAsia="宋体" w:cs="Times New Roman"/>
          <w:bCs/>
          <w:color w:val="auto"/>
          <w:kern w:val="0"/>
          <w:szCs w:val="21"/>
          <w:highlight w:val="none"/>
          <w:u w:val="none"/>
          <w:lang w:val="en-US" w:eastAsia="zh-CN"/>
        </w:rPr>
        <w:t>地点：“ 政采云 ”平台（http：//www.zcygov.cn）</w:t>
      </w:r>
    </w:p>
    <w:p w14:paraId="20BB8E2C">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Cs/>
          <w:color w:val="auto"/>
          <w:kern w:val="0"/>
          <w:szCs w:val="21"/>
          <w:highlight w:val="none"/>
        </w:rPr>
        <w:t>方式：</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登录政采云平台</w:t>
      </w:r>
      <w:r>
        <w:rPr>
          <w:rFonts w:hint="eastAsia" w:ascii="Times New Roman" w:hAnsi="Times New Roman" w:cs="Times New Roman"/>
          <w:bCs/>
          <w:color w:val="auto"/>
          <w:kern w:val="0"/>
          <w:szCs w:val="21"/>
          <w:highlight w:val="none"/>
          <w:lang w:eastAsia="zh-CN"/>
        </w:rPr>
        <w:t>http://www.ccgp-guangxi.gov.cn/site/home</w:t>
      </w:r>
      <w:r>
        <w:rPr>
          <w:rFonts w:hint="default" w:ascii="Times New Roman" w:hAnsi="Times New Roman" w:cs="Times New Roman"/>
          <w:bCs/>
          <w:color w:val="auto"/>
          <w:kern w:val="0"/>
          <w:szCs w:val="21"/>
          <w:highlight w:val="none"/>
        </w:rPr>
        <w:t>在线申请获取</w:t>
      </w:r>
      <w:r>
        <w:rPr>
          <w:rFonts w:hint="eastAsia" w:ascii="Times New Roman" w:hAnsi="Times New Roman" w:cs="Times New Roman"/>
          <w:bCs/>
          <w:color w:val="auto"/>
          <w:kern w:val="0"/>
          <w:szCs w:val="21"/>
          <w:highlight w:val="none"/>
          <w:lang w:val="en-US" w:eastAsia="zh-CN"/>
        </w:rPr>
        <w:t>征集</w:t>
      </w:r>
      <w:r>
        <w:rPr>
          <w:rFonts w:hint="default" w:ascii="Times New Roman" w:hAnsi="Times New Roman" w:cs="Times New Roman"/>
          <w:bCs/>
          <w:color w:val="auto"/>
          <w:kern w:val="0"/>
          <w:szCs w:val="21"/>
          <w:highlight w:val="none"/>
        </w:rPr>
        <w:t>文件（进入“项目采购”应用，在获取采购文件菜单中选择项目</w:t>
      </w:r>
      <w:r>
        <w:rPr>
          <w:rFonts w:hint="eastAsia" w:ascii="Times New Roman" w:hAnsi="Times New Roman" w:cs="Times New Roman"/>
          <w:bCs/>
          <w:color w:val="auto"/>
          <w:kern w:val="0"/>
          <w:szCs w:val="21"/>
          <w:highlight w:val="none"/>
          <w:lang w:eastAsia="zh-CN"/>
        </w:rPr>
        <w:t>，</w:t>
      </w:r>
      <w:r>
        <w:rPr>
          <w:rFonts w:hint="default" w:ascii="Times New Roman" w:hAnsi="Times New Roman" w:cs="Times New Roman"/>
          <w:bCs/>
          <w:color w:val="auto"/>
          <w:kern w:val="0"/>
          <w:szCs w:val="21"/>
          <w:highlight w:val="none"/>
        </w:rPr>
        <w:t>申请获取</w:t>
      </w:r>
      <w:r>
        <w:rPr>
          <w:rFonts w:hint="eastAsia" w:ascii="Times New Roman" w:hAnsi="Times New Roman" w:cs="Times New Roman"/>
          <w:bCs/>
          <w:color w:val="auto"/>
          <w:kern w:val="0"/>
          <w:szCs w:val="21"/>
          <w:highlight w:val="none"/>
          <w:lang w:eastAsia="zh-CN"/>
        </w:rPr>
        <w:t>征集</w:t>
      </w:r>
      <w:r>
        <w:rPr>
          <w:rFonts w:hint="default" w:ascii="Times New Roman" w:hAnsi="Times New Roman" w:cs="Times New Roman"/>
          <w:bCs/>
          <w:color w:val="auto"/>
          <w:kern w:val="0"/>
          <w:szCs w:val="21"/>
          <w:highlight w:val="none"/>
        </w:rPr>
        <w:t>文件）</w:t>
      </w:r>
      <w:r>
        <w:rPr>
          <w:rFonts w:hint="eastAsia" w:ascii="Times New Roman" w:hAnsi="Times New Roman" w:cs="Times New Roman"/>
          <w:bCs/>
          <w:color w:val="auto"/>
          <w:kern w:val="0"/>
          <w:szCs w:val="21"/>
          <w:highlight w:val="none"/>
          <w:lang w:eastAsia="zh-CN"/>
        </w:rPr>
        <w:t>。</w:t>
      </w:r>
      <w:r>
        <w:rPr>
          <w:rFonts w:hint="eastAsia" w:ascii="Times New Roman" w:hAnsi="Times New Roman" w:eastAsia="宋体" w:cs="Times New Roman"/>
          <w:color w:val="auto"/>
          <w:szCs w:val="21"/>
          <w:highlight w:val="none"/>
          <w:lang w:val="zh-CN" w:eastAsia="zh-CN"/>
        </w:rPr>
        <w:t>本项目不接受未获取</w:t>
      </w:r>
      <w:r>
        <w:rPr>
          <w:rFonts w:hint="eastAsia" w:ascii="Times New Roman" w:hAnsi="Times New Roman" w:cs="Times New Roman"/>
          <w:bCs/>
          <w:color w:val="auto"/>
          <w:kern w:val="0"/>
          <w:szCs w:val="21"/>
          <w:highlight w:val="none"/>
          <w:lang w:eastAsia="zh-CN"/>
        </w:rPr>
        <w:t>征集</w:t>
      </w:r>
      <w:r>
        <w:rPr>
          <w:rFonts w:hint="eastAsia" w:ascii="Times New Roman" w:hAnsi="Times New Roman" w:eastAsia="宋体" w:cs="Times New Roman"/>
          <w:color w:val="auto"/>
          <w:szCs w:val="21"/>
          <w:highlight w:val="none"/>
          <w:lang w:val="zh-CN" w:eastAsia="zh-CN"/>
        </w:rPr>
        <w:t>文件的供应商，</w:t>
      </w:r>
      <w:r>
        <w:rPr>
          <w:rFonts w:hint="eastAsia" w:ascii="Times New Roman" w:hAnsi="Times New Roman" w:eastAsia="宋体" w:cs="Times New Roman"/>
          <w:color w:val="auto"/>
          <w:szCs w:val="21"/>
          <w:highlight w:val="none"/>
          <w:lang w:val="en-US" w:eastAsia="zh-CN"/>
        </w:rPr>
        <w:t>获取</w:t>
      </w:r>
      <w:r>
        <w:rPr>
          <w:rFonts w:hint="eastAsia" w:ascii="Times New Roman" w:hAnsi="Times New Roman" w:cs="Times New Roman"/>
          <w:bCs/>
          <w:color w:val="auto"/>
          <w:kern w:val="0"/>
          <w:szCs w:val="21"/>
          <w:highlight w:val="none"/>
          <w:lang w:eastAsia="zh-CN"/>
        </w:rPr>
        <w:t>征集</w:t>
      </w:r>
      <w:r>
        <w:rPr>
          <w:rFonts w:hint="eastAsia" w:ascii="Times New Roman" w:hAnsi="Times New Roman" w:eastAsia="宋体" w:cs="Times New Roman"/>
          <w:color w:val="auto"/>
          <w:szCs w:val="21"/>
          <w:highlight w:val="none"/>
          <w:lang w:val="zh-CN" w:eastAsia="zh-CN"/>
        </w:rPr>
        <w:t>文件的供应商</w:t>
      </w:r>
      <w:r>
        <w:rPr>
          <w:rFonts w:hint="eastAsia" w:ascii="Times New Roman" w:hAnsi="Times New Roman" w:eastAsia="宋体" w:cs="Times New Roman"/>
          <w:color w:val="auto"/>
          <w:szCs w:val="21"/>
          <w:highlight w:val="none"/>
          <w:lang w:val="en-US" w:eastAsia="zh-CN"/>
        </w:rPr>
        <w:t>并不等同于符合申请人的资格要求。</w:t>
      </w:r>
    </w:p>
    <w:p w14:paraId="4FEE4A2A">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bCs/>
          <w:color w:val="auto"/>
          <w:sz w:val="24"/>
          <w:highlight w:val="none"/>
        </w:rPr>
      </w:pPr>
      <w:bookmarkStart w:id="20" w:name="_Toc28359082"/>
      <w:bookmarkStart w:id="21" w:name="_Toc35393624"/>
      <w:bookmarkStart w:id="22" w:name="_Toc28359005"/>
      <w:bookmarkStart w:id="23" w:name="_Toc35393793"/>
      <w:r>
        <w:rPr>
          <w:rFonts w:hint="eastAsia" w:cs="Times New Roman"/>
          <w:b/>
          <w:bCs/>
          <w:color w:val="auto"/>
          <w:sz w:val="24"/>
          <w:highlight w:val="none"/>
          <w:lang w:val="en-US" w:eastAsia="zh-CN"/>
        </w:rPr>
        <w:t>六</w:t>
      </w:r>
      <w:r>
        <w:rPr>
          <w:rFonts w:hint="default" w:ascii="Times New Roman" w:hAnsi="Times New Roman" w:eastAsia="宋体" w:cs="Times New Roman"/>
          <w:b/>
          <w:bCs/>
          <w:color w:val="auto"/>
          <w:sz w:val="24"/>
          <w:highlight w:val="none"/>
        </w:rPr>
        <w:t>、</w:t>
      </w:r>
      <w:bookmarkEnd w:id="20"/>
      <w:bookmarkEnd w:id="21"/>
      <w:bookmarkEnd w:id="22"/>
      <w:bookmarkEnd w:id="23"/>
      <w:r>
        <w:rPr>
          <w:rFonts w:hint="default" w:ascii="Times New Roman" w:hAnsi="Times New Roman" w:eastAsia="宋体" w:cs="Times New Roman"/>
          <w:b/>
          <w:bCs/>
          <w:color w:val="auto"/>
          <w:sz w:val="24"/>
          <w:highlight w:val="none"/>
        </w:rPr>
        <w:t>响应文件的提交方式、提交截止时间和地点，开启方式、时间和地点</w:t>
      </w:r>
    </w:p>
    <w:p w14:paraId="1B24C31E">
      <w:pPr>
        <w:spacing w:line="360" w:lineRule="auto"/>
        <w:ind w:firstLine="420" w:firstLineChars="200"/>
        <w:rPr>
          <w:rFonts w:hint="eastAsia" w:ascii="Times New Roman" w:hAnsi="Times New Roman" w:cs="Times New Roman"/>
          <w:bCs/>
          <w:color w:val="auto"/>
          <w:kern w:val="0"/>
          <w:szCs w:val="21"/>
          <w:highlight w:val="none"/>
        </w:rPr>
      </w:pPr>
      <w:bookmarkStart w:id="24" w:name="_Toc35393794"/>
      <w:bookmarkStart w:id="25" w:name="_Toc28359007"/>
      <w:bookmarkStart w:id="26" w:name="_Toc28359084"/>
      <w:bookmarkStart w:id="27" w:name="_Toc35393625"/>
      <w:r>
        <w:rPr>
          <w:rFonts w:hint="eastAsia" w:ascii="Times New Roman" w:hAnsi="Times New Roman" w:cs="Times New Roman"/>
          <w:bCs/>
          <w:color w:val="auto"/>
          <w:kern w:val="0"/>
          <w:szCs w:val="21"/>
          <w:highlight w:val="none"/>
        </w:rPr>
        <w:t>响应文件提交截止时间：2025年</w:t>
      </w:r>
      <w:r>
        <w:rPr>
          <w:rFonts w:hint="eastAsia" w:cs="Times New Roman"/>
          <w:bCs/>
          <w:color w:val="auto"/>
          <w:kern w:val="0"/>
          <w:szCs w:val="21"/>
          <w:highlight w:val="none"/>
          <w:lang w:val="en-US" w:eastAsia="zh-CN"/>
        </w:rPr>
        <w:t>7</w:t>
      </w:r>
      <w:r>
        <w:rPr>
          <w:rFonts w:hint="eastAsia"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17</w:t>
      </w:r>
      <w:r>
        <w:rPr>
          <w:rFonts w:hint="eastAsia" w:ascii="Times New Roman" w:hAnsi="Times New Roman" w:cs="Times New Roman"/>
          <w:bCs/>
          <w:color w:val="auto"/>
          <w:kern w:val="0"/>
          <w:szCs w:val="21"/>
          <w:highlight w:val="none"/>
        </w:rPr>
        <w:t>日 09:00（北京时间）</w:t>
      </w:r>
    </w:p>
    <w:p w14:paraId="15226CC1">
      <w:pPr>
        <w:spacing w:line="360" w:lineRule="auto"/>
        <w:ind w:firstLine="420" w:firstLineChars="200"/>
        <w:rPr>
          <w:rFonts w:hint="eastAsia"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响应文件提交地点（网址）：请登录广西政府采购云平台投标客户端投标</w:t>
      </w:r>
    </w:p>
    <w:p w14:paraId="2734DFFE">
      <w:pPr>
        <w:spacing w:line="360" w:lineRule="auto"/>
        <w:ind w:firstLine="420" w:firstLineChars="200"/>
        <w:rPr>
          <w:rFonts w:hint="eastAsia"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响应文件开启时间：2025年</w:t>
      </w:r>
      <w:r>
        <w:rPr>
          <w:rFonts w:hint="eastAsia" w:cs="Times New Roman"/>
          <w:bCs/>
          <w:color w:val="auto"/>
          <w:kern w:val="0"/>
          <w:szCs w:val="21"/>
          <w:highlight w:val="none"/>
          <w:lang w:val="en-US" w:eastAsia="zh-CN"/>
        </w:rPr>
        <w:t>7</w:t>
      </w:r>
      <w:r>
        <w:rPr>
          <w:rFonts w:hint="eastAsia"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17</w:t>
      </w:r>
      <w:r>
        <w:rPr>
          <w:rFonts w:hint="eastAsia" w:ascii="Times New Roman" w:hAnsi="Times New Roman" w:cs="Times New Roman"/>
          <w:bCs/>
          <w:color w:val="auto"/>
          <w:kern w:val="0"/>
          <w:szCs w:val="21"/>
          <w:highlight w:val="none"/>
        </w:rPr>
        <w:t>日 09:00</w:t>
      </w:r>
    </w:p>
    <w:p w14:paraId="6C456935">
      <w:pPr>
        <w:spacing w:line="360" w:lineRule="auto"/>
        <w:ind w:firstLine="420" w:firstLineChars="200"/>
        <w:rPr>
          <w:rFonts w:hint="eastAsia"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rPr>
        <w:t>响应文件开启地点：广西政府采购云平台开标大厅</w:t>
      </w:r>
    </w:p>
    <w:p w14:paraId="6DA0A75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eastAsia="宋体" w:cs="宋体"/>
          <w:b/>
          <w:bCs/>
          <w:color w:val="auto"/>
          <w:sz w:val="24"/>
          <w:highlight w:val="none"/>
        </w:rPr>
        <w:t>、公告期限</w:t>
      </w:r>
      <w:bookmarkEnd w:id="24"/>
      <w:bookmarkEnd w:id="25"/>
      <w:bookmarkEnd w:id="26"/>
      <w:bookmarkEnd w:id="27"/>
    </w:p>
    <w:p w14:paraId="07AF3AA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自本公告发布之日起5个工作日。</w:t>
      </w:r>
    </w:p>
    <w:p w14:paraId="7111CE0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bookmarkStart w:id="28" w:name="_Toc35393795"/>
      <w:bookmarkStart w:id="29" w:name="_Toc35393626"/>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rPr>
        <w:t>、其他补充事宜</w:t>
      </w:r>
      <w:bookmarkEnd w:id="28"/>
      <w:bookmarkEnd w:id="29"/>
    </w:p>
    <w:p w14:paraId="30181D70">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Times New Roman" w:hAnsi="Times New Roman" w:eastAsia="宋体" w:cs="Times New Roman"/>
          <w:color w:val="auto"/>
          <w:kern w:val="0"/>
          <w:szCs w:val="21"/>
          <w:highlight w:val="none"/>
          <w:lang w:val="en-US" w:eastAsia="zh-CN"/>
        </w:rPr>
      </w:pPr>
      <w:bookmarkStart w:id="30" w:name="_Hlk37429674"/>
      <w:bookmarkStart w:id="31" w:name="_Toc35393627"/>
      <w:bookmarkStart w:id="32" w:name="_Toc28359008"/>
      <w:bookmarkStart w:id="33" w:name="_Toc35393796"/>
      <w:bookmarkStart w:id="34" w:name="_Toc28359085"/>
      <w:r>
        <w:rPr>
          <w:rFonts w:hint="default"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eastAsia="zh-CN"/>
        </w:rPr>
        <w:t>投标</w:t>
      </w:r>
      <w:r>
        <w:rPr>
          <w:rFonts w:hint="default" w:ascii="Times New Roman" w:hAnsi="Times New Roman" w:eastAsia="宋体" w:cs="Times New Roman"/>
          <w:color w:val="auto"/>
          <w:kern w:val="0"/>
          <w:szCs w:val="21"/>
          <w:highlight w:val="none"/>
        </w:rPr>
        <w:t>保证金：本项目不收取</w:t>
      </w:r>
      <w:r>
        <w:rPr>
          <w:rFonts w:hint="eastAsia" w:ascii="Times New Roman" w:hAnsi="Times New Roman" w:eastAsia="宋体" w:cs="Times New Roman"/>
          <w:color w:val="auto"/>
          <w:kern w:val="0"/>
          <w:szCs w:val="21"/>
          <w:highlight w:val="none"/>
          <w:lang w:eastAsia="zh-CN"/>
        </w:rPr>
        <w:t>投标</w:t>
      </w:r>
      <w:r>
        <w:rPr>
          <w:rFonts w:hint="default" w:ascii="Times New Roman" w:hAnsi="Times New Roman" w:eastAsia="宋体" w:cs="Times New Roman"/>
          <w:color w:val="auto"/>
          <w:kern w:val="0"/>
          <w:szCs w:val="21"/>
          <w:highlight w:val="none"/>
        </w:rPr>
        <w:t>保证金</w:t>
      </w:r>
      <w:r>
        <w:rPr>
          <w:rFonts w:hint="eastAsia" w:ascii="Times New Roman" w:hAnsi="Times New Roman" w:eastAsia="宋体" w:cs="Times New Roman"/>
          <w:color w:val="auto"/>
          <w:kern w:val="0"/>
          <w:szCs w:val="21"/>
          <w:highlight w:val="none"/>
          <w:lang w:eastAsia="zh-CN"/>
        </w:rPr>
        <w:t>。</w:t>
      </w:r>
    </w:p>
    <w:p w14:paraId="6E29217B">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val="en-US" w:eastAsia="zh-CN"/>
        </w:rPr>
        <w:t>2</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网上查询地址</w:t>
      </w:r>
      <w:r>
        <w:rPr>
          <w:rFonts w:hint="eastAsia" w:ascii="Times New Roman" w:hAnsi="Times New Roman" w:eastAsia="宋体" w:cs="Times New Roman"/>
          <w:color w:val="auto"/>
          <w:kern w:val="0"/>
          <w:szCs w:val="21"/>
          <w:highlight w:val="none"/>
          <w:lang w:eastAsia="zh-CN"/>
        </w:rPr>
        <w:t>：https://</w:t>
      </w:r>
      <w:r>
        <w:rPr>
          <w:rFonts w:hint="default" w:ascii="Times New Roman" w:hAnsi="Times New Roman" w:cs="Times New Roman"/>
          <w:color w:val="auto"/>
          <w:szCs w:val="21"/>
          <w:highlight w:val="none"/>
        </w:rPr>
        <w:fldChar w:fldCharType="begin"/>
      </w:r>
      <w:r>
        <w:rPr>
          <w:rFonts w:hint="default" w:ascii="Times New Roman" w:hAnsi="Times New Roman" w:cs="Times New Roman"/>
          <w:color w:val="auto"/>
          <w:szCs w:val="21"/>
          <w:highlight w:val="none"/>
        </w:rPr>
        <w:instrText xml:space="preserve"> HYPERLINK "http://www.ccgp.gov.cn（中国政府采购网）、zfcg.gxzf.gov.cn（广西壮族自治区政府采购网）、全国公共资源交易平台（广西•百色）（http:/ggzy.jgswj.gxzf.gov.cn/bsggzy/）" </w:instrText>
      </w:r>
      <w:r>
        <w:rPr>
          <w:rFonts w:hint="default" w:ascii="Times New Roman" w:hAnsi="Times New Roman" w:cs="Times New Roman"/>
          <w:color w:val="auto"/>
          <w:szCs w:val="21"/>
          <w:highlight w:val="none"/>
        </w:rPr>
        <w:fldChar w:fldCharType="separate"/>
      </w:r>
      <w:r>
        <w:rPr>
          <w:rFonts w:hint="default" w:ascii="Times New Roman" w:hAnsi="Times New Roman" w:cs="Times New Roman"/>
          <w:color w:val="auto"/>
          <w:szCs w:val="21"/>
          <w:highlight w:val="none"/>
        </w:rPr>
        <w:t>www.ccgp.gov.cn（中国政府采购网）、https://zfcg.gxzf.gov.cn（广西壮族自治区政府采购网）、http://ggzy.jgswj.gxzf.gov.cn/bsggzy/</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全国公共资源交易平台（广西•百色）</w:t>
      </w:r>
      <w:r>
        <w:rPr>
          <w:rFonts w:hint="default" w:ascii="Times New Roman" w:hAnsi="Times New Roman" w:cs="Times New Roman"/>
          <w:color w:val="auto"/>
          <w:szCs w:val="21"/>
          <w:highlight w:val="none"/>
        </w:rPr>
        <w:fldChar w:fldCharType="end"/>
      </w:r>
      <w:r>
        <w:rPr>
          <w:rFonts w:hint="eastAsia" w:ascii="Times New Roman" w:hAnsi="Times New Roman" w:cs="Times New Roman"/>
          <w:color w:val="auto"/>
          <w:szCs w:val="21"/>
          <w:highlight w:val="none"/>
          <w:lang w:eastAsia="zh-CN"/>
        </w:rPr>
        <w:t>）</w:t>
      </w:r>
      <w:r>
        <w:rPr>
          <w:rFonts w:hint="default" w:ascii="Times New Roman" w:hAnsi="Times New Roman" w:eastAsia="宋体" w:cs="Times New Roman"/>
          <w:color w:val="auto"/>
          <w:kern w:val="0"/>
          <w:szCs w:val="21"/>
          <w:highlight w:val="none"/>
          <w:lang w:eastAsia="zh-CN"/>
        </w:rPr>
        <w:t>。</w:t>
      </w:r>
    </w:p>
    <w:p w14:paraId="5374246C">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kern w:val="0"/>
          <w:szCs w:val="21"/>
          <w:highlight w:val="none"/>
          <w:lang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供应商认为采购文件使自己的权益受到损害的，可以在知道或者应知其权益受到损害之日起</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个工作日内，以书面形式向征集人、采购代理机构提出质疑。质疑供应商对征集人、采购代理机构的答 复不满意或者征集人、采购代</w:t>
      </w:r>
      <w:r>
        <w:rPr>
          <w:rFonts w:hint="default" w:ascii="Times New Roman" w:hAnsi="Times New Roman" w:eastAsia="宋体" w:cs="Times New Roman"/>
          <w:color w:val="auto"/>
          <w:kern w:val="0"/>
          <w:szCs w:val="21"/>
          <w:highlight w:val="none"/>
          <w:lang w:eastAsia="zh-CN"/>
        </w:rPr>
        <w:t>理机构未在规定的时间内作出答复的，可以在答复期满后十五个工作日内向</w:t>
      </w:r>
      <w:r>
        <w:rPr>
          <w:rFonts w:hint="default" w:ascii="Times New Roman" w:hAnsi="Times New Roman" w:eastAsia="宋体" w:cs="Times New Roman"/>
          <w:color w:val="auto"/>
          <w:kern w:val="0"/>
          <w:szCs w:val="21"/>
          <w:highlight w:val="none"/>
          <w:lang w:val="en-US" w:eastAsia="zh-CN"/>
        </w:rPr>
        <w:t>田东县</w:t>
      </w:r>
      <w:r>
        <w:rPr>
          <w:rFonts w:hint="default" w:ascii="Times New Roman" w:hAnsi="Times New Roman" w:eastAsia="宋体" w:cs="Times New Roman"/>
          <w:color w:val="auto"/>
          <w:kern w:val="0"/>
          <w:szCs w:val="21"/>
          <w:highlight w:val="none"/>
          <w:lang w:eastAsia="zh-CN"/>
        </w:rPr>
        <w:t>政府采购监督管理部门投诉。</w:t>
      </w:r>
    </w:p>
    <w:p w14:paraId="619EEDA7">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val="en-US" w:eastAsia="zh-CN"/>
        </w:rPr>
        <w:t>4</w:t>
      </w:r>
      <w:r>
        <w:rPr>
          <w:rFonts w:hint="eastAsia" w:ascii="Times New Roman" w:hAnsi="Times New Roman" w:eastAsia="宋体" w:cs="Times New Roman"/>
          <w:color w:val="auto"/>
          <w:kern w:val="0"/>
          <w:szCs w:val="21"/>
          <w:highlight w:val="none"/>
          <w:lang w:eastAsia="zh-CN"/>
        </w:rPr>
        <w:t>、</w:t>
      </w:r>
      <w:r>
        <w:rPr>
          <w:rFonts w:hint="default" w:ascii="Times New Roman" w:hAnsi="Times New Roman" w:cs="Times New Roman"/>
          <w:color w:val="auto"/>
          <w:szCs w:val="21"/>
          <w:highlight w:val="none"/>
        </w:rPr>
        <w:t>在线</w:t>
      </w:r>
      <w:r>
        <w:rPr>
          <w:rFonts w:hint="eastAsia" w:ascii="Times New Roman" w:hAnsi="Times New Roman" w:cs="Times New Roman"/>
          <w:color w:val="auto"/>
          <w:szCs w:val="21"/>
          <w:highlight w:val="none"/>
          <w:lang w:eastAsia="zh-CN"/>
        </w:rPr>
        <w:t>投标</w:t>
      </w:r>
      <w:r>
        <w:rPr>
          <w:rFonts w:hint="default" w:ascii="Times New Roman" w:hAnsi="Times New Roman" w:cs="Times New Roman"/>
          <w:color w:val="auto"/>
          <w:szCs w:val="21"/>
          <w:highlight w:val="none"/>
        </w:rPr>
        <w:t>响应（电子</w:t>
      </w:r>
      <w:r>
        <w:rPr>
          <w:rFonts w:hint="eastAsia" w:ascii="Times New Roman" w:hAnsi="Times New Roman" w:cs="Times New Roman"/>
          <w:color w:val="auto"/>
          <w:szCs w:val="21"/>
          <w:highlight w:val="none"/>
          <w:lang w:eastAsia="zh-CN"/>
        </w:rPr>
        <w:t>投标</w:t>
      </w:r>
      <w:r>
        <w:rPr>
          <w:rFonts w:hint="default" w:ascii="Times New Roman" w:hAnsi="Times New Roman" w:cs="Times New Roman"/>
          <w:color w:val="auto"/>
          <w:szCs w:val="21"/>
          <w:highlight w:val="none"/>
        </w:rPr>
        <w:t>）说明：本项目为全流程电子标，若对项目采购电子交易系统操作有疑问，可登录“政采云”平台（</w:t>
      </w:r>
      <w:r>
        <w:rPr>
          <w:rFonts w:hint="eastAsia" w:ascii="Times New Roman" w:hAnsi="Times New Roman" w:cs="Times New Roman"/>
          <w:color w:val="auto"/>
          <w:szCs w:val="21"/>
          <w:highlight w:val="none"/>
          <w:lang w:eastAsia="zh-CN"/>
        </w:rPr>
        <w:t>http://www.ccgp-guangxi.gov.cn/site/home</w:t>
      </w:r>
      <w:r>
        <w:rPr>
          <w:rFonts w:hint="default" w:ascii="Times New Roman" w:hAnsi="Times New Roman" w:cs="Times New Roman"/>
          <w:color w:val="auto"/>
          <w:szCs w:val="21"/>
          <w:highlight w:val="none"/>
        </w:rPr>
        <w:t>），点击右侧咨询小采或拨打政采云服务热线95763获取热线服务帮助。</w:t>
      </w:r>
    </w:p>
    <w:bookmarkEnd w:id="30"/>
    <w:p w14:paraId="41970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eastAsia="宋体" w:cs="宋体"/>
          <w:b/>
          <w:bCs/>
          <w:color w:val="auto"/>
          <w:sz w:val="24"/>
          <w:highlight w:val="none"/>
        </w:rPr>
        <w:t>、对本次招标提出询问，请按以下方式联系。</w:t>
      </w:r>
      <w:bookmarkEnd w:id="31"/>
      <w:bookmarkEnd w:id="32"/>
      <w:bookmarkEnd w:id="33"/>
      <w:bookmarkEnd w:id="34"/>
    </w:p>
    <w:p w14:paraId="6AF9741F">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信息</w:t>
      </w:r>
    </w:p>
    <w:p w14:paraId="0AEE2A29">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名 称：</w:t>
      </w:r>
      <w:r>
        <w:rPr>
          <w:rFonts w:hint="default" w:ascii="Times New Roman" w:hAnsi="Times New Roman" w:eastAsia="宋体" w:cs="Times New Roman"/>
          <w:color w:val="auto"/>
          <w:szCs w:val="21"/>
          <w:highlight w:val="none"/>
          <w:u w:val="single"/>
        </w:rPr>
        <w:t>　</w:t>
      </w:r>
      <w:r>
        <w:rPr>
          <w:rFonts w:hint="default" w:ascii="Times New Roman" w:hAnsi="Times New Roman" w:eastAsia="宋体" w:cs="Times New Roman"/>
          <w:color w:val="auto"/>
          <w:szCs w:val="21"/>
          <w:highlight w:val="none"/>
          <w:u w:val="single"/>
          <w:lang w:eastAsia="zh-CN"/>
        </w:rPr>
        <w:t>田东县财政局</w:t>
      </w:r>
      <w:r>
        <w:rPr>
          <w:rFonts w:hint="default" w:ascii="Times New Roman" w:hAnsi="Times New Roman" w:eastAsia="宋体" w:cs="Times New Roman"/>
          <w:color w:val="auto"/>
          <w:szCs w:val="21"/>
          <w:highlight w:val="none"/>
          <w:u w:val="single"/>
        </w:rPr>
        <w:t>　</w:t>
      </w:r>
    </w:p>
    <w:p w14:paraId="5853D951">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地址：</w:t>
      </w:r>
      <w:r>
        <w:rPr>
          <w:rFonts w:hint="default" w:ascii="Times New Roman" w:hAnsi="Times New Roman" w:eastAsia="宋体" w:cs="Times New Roman"/>
          <w:color w:val="auto"/>
          <w:szCs w:val="21"/>
          <w:highlight w:val="none"/>
          <w:u w:val="single"/>
        </w:rPr>
        <w:t>　田东县油城路13号　</w:t>
      </w:r>
    </w:p>
    <w:p w14:paraId="41D2399B">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联系方式：</w:t>
      </w:r>
      <w:r>
        <w:rPr>
          <w:rFonts w:hint="default" w:ascii="Times New Roman" w:hAnsi="Times New Roman" w:eastAsia="宋体" w:cs="Times New Roman"/>
          <w:color w:val="auto"/>
          <w:szCs w:val="21"/>
          <w:highlight w:val="none"/>
          <w:u w:val="single"/>
        </w:rPr>
        <w:t>　</w:t>
      </w:r>
      <w:r>
        <w:rPr>
          <w:rFonts w:hint="eastAsia" w:cs="Times New Roman"/>
          <w:color w:val="auto"/>
          <w:szCs w:val="21"/>
          <w:highlight w:val="none"/>
          <w:u w:val="single"/>
          <w:lang w:eastAsia="zh-CN"/>
        </w:rPr>
        <w:t>谭工</w:t>
      </w:r>
      <w:r>
        <w:rPr>
          <w:rFonts w:hint="eastAsia" w:cs="Times New Roman"/>
          <w:color w:val="auto"/>
          <w:szCs w:val="21"/>
          <w:highlight w:val="none"/>
          <w:u w:val="single"/>
          <w:lang w:eastAsia="zh-CN"/>
        </w:rPr>
        <w:t xml:space="preserve">0776-5220191 </w:t>
      </w:r>
      <w:r>
        <w:rPr>
          <w:rFonts w:hint="default" w:ascii="Times New Roman" w:hAnsi="Times New Roman" w:eastAsia="宋体" w:cs="Times New Roman"/>
          <w:color w:val="auto"/>
          <w:szCs w:val="21"/>
          <w:highlight w:val="none"/>
          <w:u w:val="single"/>
        </w:rPr>
        <w:t>　</w:t>
      </w:r>
      <w:bookmarkStart w:id="35" w:name="_Toc28359009"/>
      <w:bookmarkStart w:id="36" w:name="_Toc28359086"/>
    </w:p>
    <w:p w14:paraId="531235F2">
      <w:pPr>
        <w:keepNext w:val="0"/>
        <w:keepLines w:val="0"/>
        <w:pageBreakBefore w:val="0"/>
        <w:widowControl w:val="0"/>
        <w:kinsoku/>
        <w:wordWrap/>
        <w:overflowPunct/>
        <w:topLinePunct w:val="0"/>
        <w:autoSpaceDE/>
        <w:autoSpaceDN/>
        <w:bidi w:val="0"/>
        <w:adjustRightInd/>
        <w:spacing w:line="360" w:lineRule="auto"/>
        <w:ind w:firstLine="424" w:firstLineChars="202"/>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2.采购代理机构信息</w:t>
      </w:r>
      <w:bookmarkEnd w:id="35"/>
      <w:bookmarkEnd w:id="36"/>
    </w:p>
    <w:p w14:paraId="3256FC55">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名 称：</w:t>
      </w:r>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eastAsia="zh-CN"/>
        </w:rPr>
        <w:t>广西中吉银工程项目管理有限公司</w:t>
      </w:r>
      <w:r>
        <w:rPr>
          <w:rFonts w:hint="default" w:ascii="Times New Roman" w:hAnsi="Times New Roman" w:eastAsia="宋体" w:cs="Times New Roman"/>
          <w:color w:val="auto"/>
          <w:szCs w:val="21"/>
          <w:highlight w:val="none"/>
          <w:u w:val="single"/>
        </w:rPr>
        <w:t>　</w:t>
      </w:r>
    </w:p>
    <w:p w14:paraId="53E99A12">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　址：</w:t>
      </w:r>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val="en-US" w:eastAsia="zh-CN"/>
        </w:rPr>
        <w:t>广西壮族自治区百色市右江区城北二路18-1号鑫鑫大酒店2号楼副楼五楼</w:t>
      </w:r>
      <w:r>
        <w:rPr>
          <w:rFonts w:hint="default" w:ascii="Times New Roman" w:hAnsi="Times New Roman" w:eastAsia="宋体" w:cs="Times New Roman"/>
          <w:color w:val="auto"/>
          <w:szCs w:val="21"/>
          <w:highlight w:val="none"/>
          <w:u w:val="single"/>
        </w:rPr>
        <w:t>　</w:t>
      </w:r>
    </w:p>
    <w:p w14:paraId="038653AA">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default" w:ascii="Times New Roman" w:hAnsi="Times New Roman" w:eastAsia="宋体" w:cs="Times New Roman"/>
          <w:color w:val="auto"/>
          <w:spacing w:val="9"/>
          <w:sz w:val="20"/>
          <w:szCs w:val="20"/>
          <w:highlight w:val="none"/>
          <w:u w:val="none" w:color="auto"/>
          <w:lang w:eastAsia="zh-CN"/>
        </w:rPr>
      </w:pPr>
      <w:r>
        <w:rPr>
          <w:rFonts w:hint="default" w:ascii="Times New Roman" w:hAnsi="Times New Roman" w:eastAsia="宋体" w:cs="Times New Roman"/>
          <w:color w:val="auto"/>
          <w:szCs w:val="21"/>
          <w:highlight w:val="none"/>
        </w:rPr>
        <w:t>联系方式：</w:t>
      </w:r>
      <w:bookmarkStart w:id="37" w:name="_Toc28359087"/>
      <w:bookmarkStart w:id="38" w:name="_Toc28359010"/>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val="en-US" w:eastAsia="zh-CN"/>
        </w:rPr>
        <w:t>邓亮娟</w:t>
      </w:r>
      <w:r>
        <w:rPr>
          <w:rFonts w:hint="default" w:ascii="Times New Roman" w:hAnsi="Times New Roman" w:eastAsia="宋体" w:cs="Times New Roman"/>
          <w:color w:val="auto"/>
          <w:szCs w:val="21"/>
          <w:highlight w:val="none"/>
          <w:u w:val="single"/>
        </w:rPr>
        <w:t>　</w:t>
      </w:r>
      <w:r>
        <w:rPr>
          <w:rFonts w:hint="eastAsia" w:ascii="Times New Roman" w:hAnsi="Times New Roman" w:eastAsia="宋体" w:cs="Times New Roman"/>
          <w:color w:val="auto"/>
          <w:szCs w:val="21"/>
          <w:highlight w:val="none"/>
          <w:u w:val="single"/>
          <w:lang w:val="en-US" w:eastAsia="zh-CN"/>
        </w:rPr>
        <w:t>0776-3070776</w:t>
      </w:r>
      <w:bookmarkEnd w:id="37"/>
      <w:bookmarkEnd w:id="38"/>
    </w:p>
    <w:p w14:paraId="25495EFE">
      <w:pPr>
        <w:pStyle w:val="17"/>
        <w:spacing w:before="65" w:line="405" w:lineRule="auto"/>
        <w:ind w:right="2"/>
        <w:jc w:val="right"/>
        <w:rPr>
          <w:rFonts w:hint="default" w:ascii="Times New Roman" w:hAnsi="Times New Roman" w:eastAsia="宋体" w:cs="Times New Roman"/>
          <w:color w:val="auto"/>
          <w:spacing w:val="9"/>
          <w:sz w:val="20"/>
          <w:szCs w:val="20"/>
          <w:highlight w:val="none"/>
          <w:u w:val="none" w:color="auto"/>
          <w:lang w:eastAsia="zh-CN"/>
        </w:rPr>
      </w:pPr>
    </w:p>
    <w:p w14:paraId="16C03138">
      <w:pPr>
        <w:pStyle w:val="17"/>
        <w:spacing w:before="65" w:line="405" w:lineRule="auto"/>
        <w:ind w:right="2"/>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sz w:val="20"/>
          <w:szCs w:val="20"/>
          <w:highlight w:val="none"/>
          <w:u w:val="none" w:color="auto"/>
          <w:lang w:val="en-US" w:eastAsia="zh-CN"/>
        </w:rPr>
        <w:t xml:space="preserve">                                                 </w:t>
      </w:r>
      <w:r>
        <w:rPr>
          <w:rFonts w:hint="eastAsia" w:ascii="Times New Roman" w:hAnsi="Times New Roman" w:eastAsia="宋体" w:cs="Times New Roman"/>
          <w:color w:val="auto"/>
          <w:kern w:val="2"/>
          <w:sz w:val="21"/>
          <w:szCs w:val="21"/>
          <w:highlight w:val="none"/>
          <w:u w:val="none"/>
          <w:lang w:val="en-US" w:eastAsia="zh-CN" w:bidi="ar-SA"/>
        </w:rPr>
        <w:t xml:space="preserve">   广西中吉银工程项目管理有限公司</w:t>
      </w:r>
    </w:p>
    <w:p w14:paraId="63D42C2A">
      <w:pPr>
        <w:pStyle w:val="17"/>
        <w:spacing w:before="1" w:line="228" w:lineRule="auto"/>
        <w:jc w:val="center"/>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 xml:space="preserve">                                                    </w:t>
      </w:r>
      <w:r>
        <w:rPr>
          <w:rFonts w:hint="default" w:ascii="Times New Roman" w:hAnsi="Times New Roman" w:eastAsia="宋体" w:cs="Times New Roman"/>
          <w:color w:val="auto"/>
          <w:kern w:val="2"/>
          <w:sz w:val="21"/>
          <w:szCs w:val="21"/>
          <w:highlight w:val="none"/>
          <w:u w:val="none"/>
          <w:lang w:val="en-US" w:eastAsia="zh-CN" w:bidi="ar-SA"/>
        </w:rPr>
        <w:t>202</w:t>
      </w:r>
      <w:r>
        <w:rPr>
          <w:rFonts w:hint="eastAsia" w:ascii="Times New Roman" w:hAnsi="Times New Roman" w:eastAsia="宋体" w:cs="Times New Roman"/>
          <w:color w:val="auto"/>
          <w:kern w:val="2"/>
          <w:sz w:val="21"/>
          <w:szCs w:val="21"/>
          <w:highlight w:val="none"/>
          <w:u w:val="none"/>
          <w:lang w:val="en-US" w:eastAsia="zh-CN" w:bidi="ar-SA"/>
        </w:rPr>
        <w:t>5</w:t>
      </w:r>
      <w:r>
        <w:rPr>
          <w:rFonts w:hint="default" w:ascii="Times New Roman" w:hAnsi="Times New Roman" w:eastAsia="宋体" w:cs="Times New Roman"/>
          <w:color w:val="auto"/>
          <w:kern w:val="2"/>
          <w:sz w:val="21"/>
          <w:szCs w:val="21"/>
          <w:highlight w:val="none"/>
          <w:u w:val="none"/>
          <w:lang w:val="en-US" w:eastAsia="zh-CN" w:bidi="ar-SA"/>
        </w:rPr>
        <w:t>年</w:t>
      </w:r>
      <w:r>
        <w:rPr>
          <w:rFonts w:hint="eastAsia" w:cs="Times New Roman"/>
          <w:color w:val="auto"/>
          <w:kern w:val="2"/>
          <w:sz w:val="21"/>
          <w:szCs w:val="21"/>
          <w:highlight w:val="none"/>
          <w:u w:val="none"/>
          <w:lang w:val="en-US" w:eastAsia="zh-CN" w:bidi="ar-SA"/>
        </w:rPr>
        <w:t>6</w:t>
      </w:r>
      <w:r>
        <w:rPr>
          <w:rFonts w:hint="default" w:ascii="Times New Roman" w:hAnsi="Times New Roman" w:eastAsia="宋体" w:cs="Times New Roman"/>
          <w:color w:val="auto"/>
          <w:kern w:val="2"/>
          <w:sz w:val="21"/>
          <w:szCs w:val="21"/>
          <w:highlight w:val="none"/>
          <w:u w:val="none"/>
          <w:lang w:val="en-US" w:eastAsia="zh-CN" w:bidi="ar-SA"/>
        </w:rPr>
        <w:t>月</w:t>
      </w:r>
      <w:r>
        <w:rPr>
          <w:rFonts w:hint="eastAsia" w:cs="Times New Roman"/>
          <w:color w:val="auto"/>
          <w:kern w:val="2"/>
          <w:sz w:val="21"/>
          <w:szCs w:val="21"/>
          <w:highlight w:val="none"/>
          <w:u w:val="none"/>
          <w:lang w:val="en-US" w:eastAsia="zh-CN" w:bidi="ar-SA"/>
        </w:rPr>
        <w:t>24</w:t>
      </w:r>
      <w:r>
        <w:rPr>
          <w:rFonts w:hint="default" w:ascii="Times New Roman" w:hAnsi="Times New Roman" w:eastAsia="宋体" w:cs="Times New Roman"/>
          <w:color w:val="auto"/>
          <w:kern w:val="2"/>
          <w:sz w:val="21"/>
          <w:szCs w:val="21"/>
          <w:highlight w:val="none"/>
          <w:u w:val="none"/>
          <w:lang w:val="en-US" w:eastAsia="zh-CN" w:bidi="ar-SA"/>
        </w:rPr>
        <w:t>日</w:t>
      </w:r>
    </w:p>
    <w:p w14:paraId="2337B528">
      <w:pPr>
        <w:spacing w:line="228" w:lineRule="auto"/>
        <w:rPr>
          <w:rFonts w:hint="eastAsia" w:ascii="宋体" w:hAnsi="宋体" w:eastAsia="宋体" w:cs="宋体"/>
          <w:color w:val="auto"/>
          <w:sz w:val="20"/>
          <w:szCs w:val="20"/>
          <w:highlight w:val="none"/>
          <w:u w:val="none" w:color="auto"/>
        </w:rPr>
        <w:sectPr>
          <w:footerReference r:id="rId4" w:type="default"/>
          <w:pgSz w:w="11906" w:h="16839"/>
          <w:pgMar w:top="1431" w:right="1305" w:bottom="880" w:left="1785" w:header="0" w:footer="720" w:gutter="0"/>
          <w:pgNumType w:fmt="decimal" w:start="1"/>
          <w:cols w:space="720" w:num="1"/>
        </w:sectPr>
      </w:pPr>
    </w:p>
    <w:p w14:paraId="3CAF5B57">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39" w:name="_Toc74323512"/>
      <w:r>
        <w:rPr>
          <w:rFonts w:hint="eastAsia" w:ascii="宋体" w:hAnsi="宋体" w:eastAsia="宋体" w:cs="宋体"/>
          <w:color w:val="auto"/>
          <w:highlight w:val="none"/>
        </w:rPr>
        <w:t>第二章  采购需求</w:t>
      </w:r>
      <w:bookmarkEnd w:id="39"/>
    </w:p>
    <w:p w14:paraId="4DB4B781">
      <w:pPr>
        <w:spacing w:line="360" w:lineRule="auto"/>
        <w:jc w:val="left"/>
        <w:rPr>
          <w:rFonts w:hint="eastAsia" w:ascii="宋体" w:hAnsi="宋体" w:eastAsia="宋体" w:cs="宋体"/>
          <w:color w:val="auto"/>
          <w:szCs w:val="21"/>
          <w:highlight w:val="none"/>
        </w:rPr>
      </w:pPr>
      <w:bookmarkStart w:id="40" w:name="_Toc254970490"/>
      <w:bookmarkStart w:id="41" w:name="_Toc254970631"/>
    </w:p>
    <w:p w14:paraId="052627D4">
      <w:pPr>
        <w:spacing w:line="360" w:lineRule="auto"/>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说明：</w:t>
      </w:r>
    </w:p>
    <w:p w14:paraId="3ADB9AD5">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1.本项目征集人（采购人）为</w:t>
      </w:r>
      <w:r>
        <w:rPr>
          <w:rFonts w:hint="eastAsia" w:ascii="Times New Roman" w:hAnsi="Times New Roman" w:eastAsia="宋体" w:cs="Times New Roman"/>
          <w:b w:val="0"/>
          <w:bCs w:val="0"/>
          <w:color w:val="auto"/>
          <w:highlight w:val="none"/>
          <w:lang w:val="en-US" w:eastAsia="zh-CN"/>
        </w:rPr>
        <w:t>田东县</w:t>
      </w:r>
      <w:r>
        <w:rPr>
          <w:rFonts w:hint="default" w:ascii="Times New Roman" w:hAnsi="Times New Roman" w:eastAsia="宋体" w:cs="Times New Roman"/>
          <w:b w:val="0"/>
          <w:bCs w:val="0"/>
          <w:color w:val="auto"/>
          <w:highlight w:val="none"/>
        </w:rPr>
        <w:t>财政局，负责组织征集第一阶段入围供应商，第二阶段：开展</w:t>
      </w:r>
      <w:r>
        <w:rPr>
          <w:rFonts w:hint="default" w:ascii="Times New Roman" w:hAnsi="Times New Roman" w:eastAsia="宋体" w:cs="Times New Roman"/>
          <w:b w:val="0"/>
          <w:bCs w:val="0"/>
          <w:color w:val="auto"/>
          <w:highlight w:val="none"/>
          <w:lang w:val="en-US" w:eastAsia="zh-CN"/>
        </w:rPr>
        <w:t>田东县</w:t>
      </w:r>
      <w:r>
        <w:rPr>
          <w:rFonts w:hint="default" w:ascii="Times New Roman" w:hAnsi="Times New Roman" w:eastAsia="宋体" w:cs="Times New Roman"/>
          <w:b w:val="0"/>
          <w:bCs w:val="0"/>
          <w:color w:val="auto"/>
          <w:highlight w:val="none"/>
        </w:rPr>
        <w:t>财政局工程结算服务的单位，可依据各项目实际情况、供应商服务质量、价格及服务便利性、用户评价等因素，从第一阶段入围供应商中直接选定成交供应商，并与成交供应商签订采购合同，委托其开展相关服务工作。</w:t>
      </w:r>
    </w:p>
    <w:p w14:paraId="22527146">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2.本项目服务质量应达到符合国家规定的服务标准和现行技术规范、规程要求。</w:t>
      </w:r>
    </w:p>
    <w:p w14:paraId="556A1542">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3.如供应商响应产品存在侵犯他人的知识产权或者专利成果行为的，应承担相应法律责任。</w:t>
      </w:r>
    </w:p>
    <w:p w14:paraId="61D85E83">
      <w:pPr>
        <w:spacing w:line="360" w:lineRule="auto"/>
        <w:ind w:firstLine="424" w:firstLineChars="202"/>
        <w:jc w:val="left"/>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4.本项目所属行业：属于其他未列明行业。</w:t>
      </w:r>
    </w:p>
    <w:p w14:paraId="46AD390D">
      <w:pPr>
        <w:spacing w:line="360" w:lineRule="auto"/>
        <w:ind w:firstLine="424" w:firstLineChars="202"/>
        <w:jc w:val="left"/>
        <w:rPr>
          <w:rFonts w:hint="eastAsia" w:ascii="宋体" w:hAnsi="宋体" w:eastAsia="宋体" w:cs="宋体"/>
          <w:b/>
          <w:color w:val="auto"/>
          <w:szCs w:val="21"/>
          <w:highlight w:val="none"/>
        </w:rPr>
      </w:pPr>
      <w:r>
        <w:rPr>
          <w:rFonts w:hint="default" w:ascii="Times New Roman" w:hAnsi="Times New Roman" w:eastAsia="宋体" w:cs="Times New Roman"/>
          <w:b w:val="0"/>
          <w:bCs w:val="0"/>
          <w:color w:val="auto"/>
          <w:highlight w:val="none"/>
        </w:rPr>
        <w:t>5.采购需求必须满足，如存在负偏离，供应商的响应文件将做无效投标处理。</w:t>
      </w:r>
      <w:r>
        <w:rPr>
          <w:rFonts w:hint="eastAsia" w:ascii="宋体" w:hAnsi="宋体" w:eastAsia="宋体" w:cs="宋体"/>
          <w:b/>
          <w:color w:val="auto"/>
          <w:szCs w:val="21"/>
          <w:highlight w:val="none"/>
        </w:rPr>
        <w:t xml:space="preserve"> </w:t>
      </w:r>
    </w:p>
    <w:tbl>
      <w:tblPr>
        <w:tblStyle w:val="4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392"/>
        <w:gridCol w:w="21"/>
        <w:gridCol w:w="1680"/>
        <w:gridCol w:w="5870"/>
      </w:tblGrid>
      <w:tr w14:paraId="38CB2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11" w:type="dxa"/>
            <w:gridSpan w:val="5"/>
            <w:noWrap w:val="0"/>
            <w:vAlign w:val="center"/>
          </w:tcPr>
          <w:p w14:paraId="5D2EB1A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w:t>
            </w:r>
            <w:r>
              <w:rPr>
                <w:b/>
                <w:bCs/>
                <w:color w:val="auto"/>
                <w:spacing w:val="6"/>
                <w:highlight w:val="none"/>
              </w:rPr>
              <w:t>采购内容及技术</w:t>
            </w:r>
            <w:r>
              <w:rPr>
                <w:rFonts w:hint="eastAsia"/>
                <w:b/>
                <w:bCs/>
                <w:color w:val="auto"/>
                <w:spacing w:val="6"/>
                <w:highlight w:val="none"/>
                <w:lang w:val="en-US" w:eastAsia="zh-CN"/>
              </w:rPr>
              <w:t>要求</w:t>
            </w:r>
            <w:r>
              <w:rPr>
                <w:b/>
                <w:bCs/>
                <w:color w:val="auto"/>
                <w:spacing w:val="6"/>
                <w:highlight w:val="none"/>
              </w:rPr>
              <w:t>/服务需求</w:t>
            </w:r>
          </w:p>
        </w:tc>
      </w:tr>
      <w:tr w14:paraId="67035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noWrap w:val="0"/>
            <w:vAlign w:val="center"/>
          </w:tcPr>
          <w:p w14:paraId="0890615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1413" w:type="dxa"/>
            <w:gridSpan w:val="2"/>
            <w:noWrap w:val="0"/>
            <w:vAlign w:val="center"/>
          </w:tcPr>
          <w:p w14:paraId="5095359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标的的名称</w:t>
            </w:r>
          </w:p>
        </w:tc>
        <w:tc>
          <w:tcPr>
            <w:tcW w:w="1680" w:type="dxa"/>
            <w:noWrap w:val="0"/>
            <w:vAlign w:val="center"/>
          </w:tcPr>
          <w:p w14:paraId="410F1ED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一阶段供应商入围数量上限</w:t>
            </w:r>
          </w:p>
        </w:tc>
        <w:tc>
          <w:tcPr>
            <w:tcW w:w="5870" w:type="dxa"/>
            <w:noWrap w:val="0"/>
            <w:vAlign w:val="center"/>
          </w:tcPr>
          <w:p w14:paraId="0D8FC63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23" w:firstLineChars="100"/>
              <w:jc w:val="center"/>
              <w:textAlignment w:val="auto"/>
              <w:rPr>
                <w:rFonts w:hint="eastAsia" w:ascii="Times New Roman" w:hAnsi="Times New Roman" w:eastAsia="宋体" w:cs="Times New Roman"/>
                <w:color w:val="auto"/>
                <w:kern w:val="2"/>
                <w:sz w:val="21"/>
                <w:szCs w:val="21"/>
                <w:highlight w:val="none"/>
                <w:lang w:val="en-US" w:eastAsia="zh-CN" w:bidi="ar-SA"/>
              </w:rPr>
            </w:pPr>
            <w:r>
              <w:rPr>
                <w:b/>
                <w:bCs/>
                <w:color w:val="auto"/>
                <w:spacing w:val="6"/>
                <w:highlight w:val="none"/>
              </w:rPr>
              <w:t>技术</w:t>
            </w:r>
            <w:r>
              <w:rPr>
                <w:rFonts w:hint="eastAsia"/>
                <w:b/>
                <w:bCs/>
                <w:color w:val="auto"/>
                <w:spacing w:val="6"/>
                <w:highlight w:val="none"/>
                <w:lang w:val="en-US" w:eastAsia="zh-CN"/>
              </w:rPr>
              <w:t>要求/</w:t>
            </w:r>
            <w:r>
              <w:rPr>
                <w:b/>
                <w:bCs/>
                <w:color w:val="auto"/>
                <w:spacing w:val="6"/>
                <w:highlight w:val="none"/>
              </w:rPr>
              <w:t>服务需求</w:t>
            </w:r>
          </w:p>
        </w:tc>
      </w:tr>
      <w:tr w14:paraId="1F887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648" w:type="dxa"/>
            <w:noWrap w:val="0"/>
            <w:vAlign w:val="center"/>
          </w:tcPr>
          <w:p w14:paraId="2999294D">
            <w:pPr>
              <w:tabs>
                <w:tab w:val="left" w:pos="180"/>
                <w:tab w:val="left" w:pos="1620"/>
              </w:tabs>
              <w:spacing w:line="36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413" w:type="dxa"/>
            <w:gridSpan w:val="2"/>
            <w:noWrap w:val="0"/>
            <w:vAlign w:val="center"/>
          </w:tcPr>
          <w:p w14:paraId="49030064">
            <w:pPr>
              <w:tabs>
                <w:tab w:val="left" w:pos="180"/>
                <w:tab w:val="left" w:pos="1620"/>
              </w:tabs>
              <w:spacing w:line="36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2025—2027年度田东县政府投资项目竣工结算评审服务</w:t>
            </w:r>
          </w:p>
        </w:tc>
        <w:tc>
          <w:tcPr>
            <w:tcW w:w="1680" w:type="dxa"/>
            <w:noWrap w:val="0"/>
            <w:vAlign w:val="center"/>
          </w:tcPr>
          <w:p w14:paraId="03FF762D">
            <w:pPr>
              <w:tabs>
                <w:tab w:val="left" w:pos="180"/>
                <w:tab w:val="left" w:pos="1620"/>
              </w:tabs>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按评审综合得分排名，</w:t>
            </w:r>
            <w:bookmarkStart w:id="42" w:name="OLE_LINK3"/>
            <w:r>
              <w:rPr>
                <w:rFonts w:hint="eastAsia" w:ascii="Times New Roman" w:hAnsi="Times New Roman" w:eastAsia="宋体" w:cs="Times New Roman"/>
                <w:color w:val="auto"/>
                <w:sz w:val="21"/>
                <w:szCs w:val="21"/>
                <w:highlight w:val="none"/>
                <w:lang w:val="en-US" w:eastAsia="zh-CN"/>
              </w:rPr>
              <w:t>确定入围供应商数量上限为12家</w:t>
            </w:r>
            <w:bookmarkEnd w:id="42"/>
            <w:r>
              <w:rPr>
                <w:rFonts w:hint="eastAsia" w:ascii="Times New Roman" w:hAnsi="Times New Roman" w:eastAsia="宋体" w:cs="Times New Roman"/>
                <w:color w:val="auto"/>
                <w:sz w:val="21"/>
                <w:szCs w:val="21"/>
                <w:highlight w:val="none"/>
                <w:lang w:val="en-US" w:eastAsia="zh-CN"/>
              </w:rPr>
              <w:t>，且提交响应文件和符合资格条件、实质性要求的供应商淘汰比例＞20%，且至少淘汰一家供应商。</w:t>
            </w:r>
          </w:p>
        </w:tc>
        <w:tc>
          <w:tcPr>
            <w:tcW w:w="5870" w:type="dxa"/>
            <w:noWrap w:val="0"/>
            <w:vAlign w:val="top"/>
          </w:tcPr>
          <w:p w14:paraId="4AFA77E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sz w:val="21"/>
                <w:szCs w:val="21"/>
                <w:highlight w:val="none"/>
                <w:lang w:val="en-US" w:eastAsia="zh-CN"/>
              </w:rPr>
              <w:t>2025—2027年度田东县政府投资项目竣工结算评审服务，</w:t>
            </w:r>
            <w:r>
              <w:rPr>
                <w:rFonts w:hint="eastAsia" w:ascii="Times New Roman" w:hAnsi="Times New Roman" w:eastAsia="宋体" w:cs="Times New Roman"/>
                <w:color w:val="auto"/>
                <w:sz w:val="21"/>
                <w:szCs w:val="21"/>
                <w:highlight w:val="none"/>
                <w:lang w:val="en-US" w:eastAsia="zh-CN"/>
              </w:rPr>
              <w:t>涉及建筑工程、装饰工程、安装工程、市政工程、园林绿化工程、水利水电工程、公路工程、土地复垦整治工程、环保工程、电信通信工程、政府货物采购项目</w:t>
            </w:r>
            <w:r>
              <w:rPr>
                <w:rFonts w:hint="eastAsia" w:ascii="Times New Roman" w:hAnsi="Times New Roman" w:eastAsia="宋体" w:cs="Times New Roman"/>
                <w:color w:val="auto"/>
                <w:sz w:val="21"/>
                <w:szCs w:val="21"/>
                <w:highlight w:val="none"/>
                <w:lang w:val="en-US" w:eastAsia="zh-CN"/>
              </w:rPr>
              <w:t>等；</w:t>
            </w:r>
          </w:p>
          <w:p w14:paraId="04C6796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本标段服务范围：征集人采用封闭式框架协议采购方式采购，通过公开征集程序，确定第一阶段入围供应商并订立框架协议，采购人按照框架协议约定规则，在入围供应商范围内选定第二阶段成交供应商并按项目签订采购合同，委托其负责田东县政府投资的各类工程项目的</w:t>
            </w:r>
            <w:r>
              <w:rPr>
                <w:rFonts w:hint="eastAsia" w:ascii="Times New Roman" w:hAnsi="Times New Roman" w:eastAsia="宋体" w:cs="Times New Roman"/>
                <w:color w:val="auto"/>
                <w:sz w:val="21"/>
                <w:szCs w:val="21"/>
                <w:highlight w:val="none"/>
                <w:lang w:val="en-US" w:eastAsia="zh-CN"/>
              </w:rPr>
              <w:t>结算协审工作</w:t>
            </w:r>
            <w:r>
              <w:rPr>
                <w:rFonts w:hint="eastAsia" w:ascii="Times New Roman" w:hAnsi="Times New Roman" w:eastAsia="宋体" w:cs="Times New Roman"/>
                <w:color w:val="auto"/>
                <w:kern w:val="2"/>
                <w:sz w:val="21"/>
                <w:szCs w:val="21"/>
                <w:highlight w:val="none"/>
                <w:lang w:val="en-US" w:eastAsia="zh-CN" w:bidi="ar-SA"/>
              </w:rPr>
              <w:t>。</w:t>
            </w:r>
          </w:p>
          <w:p w14:paraId="62326E9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3、服务要求：</w:t>
            </w:r>
          </w:p>
          <w:p w14:paraId="4B1319C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（1）入围供应商应遵守国家的法律法规和有关规章 制度，遵守《工程造价咨询企业管理办法》、《工程造价咨询单位行为准则》和《造价工程师职业道德行为准则》，按征集人（采购人）提出的规定作出实质性承诺。</w:t>
            </w:r>
          </w:p>
          <w:p w14:paraId="620E963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 （2）入围供应商是征集人（采购人）的合作单位，应站在采购人的立场上对采购人安排的项目进行认真、细 致、公正地审核。</w:t>
            </w:r>
          </w:p>
          <w:p w14:paraId="669EF49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（3）如结算项目中途作调整，征集人（采购人）应立即通知入围供应商；入围供应商在服务过程中发现异常情况或问题时，应立即通知征集人（采购人）。</w:t>
            </w:r>
          </w:p>
          <w:p w14:paraId="106B0DB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征集人（采购人）认为入围供应商实际投入的结算审核服务人员不足以满足任务需要或认为结算审核服务人员不称职时，可向入围供应商发出要求增加或更换人员的通知，入围供应商在收到通知后的3天内应增加或更换相应的结算审核服务人员，由此产生的费用由入围供应商自行承担。</w:t>
            </w:r>
          </w:p>
          <w:p w14:paraId="51E6980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入围供应商应按照征集文件的约定，真实地提供其机构的相关能力、资质证明和专业人员的资格证书。若提供虚假信息资料，则采购人将其列入财政审核项目协作单位黑名单，并报相关行政监督管理部门依法处理。</w:t>
            </w:r>
          </w:p>
          <w:p w14:paraId="458472E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（6）入围供应商应按征集人（采购人）规定报送结算项目的有关统计报表。</w:t>
            </w:r>
          </w:p>
          <w:p w14:paraId="7F04687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4、管理要求</w:t>
            </w:r>
            <w:r>
              <w:rPr>
                <w:rFonts w:hint="eastAsia" w:cs="Times New Roman"/>
                <w:color w:val="auto"/>
                <w:kern w:val="2"/>
                <w:sz w:val="21"/>
                <w:szCs w:val="21"/>
                <w:highlight w:val="none"/>
                <w:lang w:val="en-US" w:eastAsia="zh-CN" w:bidi="ar-SA"/>
              </w:rPr>
              <w:t>：</w:t>
            </w:r>
          </w:p>
          <w:p w14:paraId="06A1C67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（一）中标供应商需遵循具体的执业要求。</w:t>
            </w:r>
          </w:p>
          <w:p w14:paraId="7AA18B2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（二）中标供应商需接受结算评审工作专班办公室的监督管理，包括对中标供应商的考评、约谈等。</w:t>
            </w:r>
          </w:p>
          <w:p w14:paraId="08648EE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三）中标供应商接受委托服务后，需签订履职承诺书，内容包含遵守《田东县人民政府关于印发田东县政府投资建设项目中介机构结算审核的监督管理办法（试行）的通知（东政规〔2023〕1号）》文件规定及结算评审工作专班办公室制定的各项工作制度。</w:t>
            </w:r>
          </w:p>
          <w:p w14:paraId="62A8F6E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（四）供应商拒绝接受结算评审工作专班办公室安排评审任务超过两次的，自动丧失中标供应商资格。</w:t>
            </w:r>
          </w:p>
          <w:p w14:paraId="22D951D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1"/>
                <w:szCs w:val="21"/>
                <w:highlight w:val="none"/>
                <w:lang w:eastAsia="zh-CN"/>
              </w:rPr>
            </w:pPr>
            <w:r>
              <w:rPr>
                <w:rFonts w:hint="eastAsia" w:cs="Times New Roman"/>
                <w:color w:val="auto"/>
                <w:kern w:val="2"/>
                <w:sz w:val="21"/>
                <w:szCs w:val="21"/>
                <w:highlight w:val="none"/>
                <w:lang w:val="en-US" w:eastAsia="zh-CN" w:bidi="ar-SA"/>
              </w:rPr>
              <w:t>（五）</w:t>
            </w:r>
            <w:r>
              <w:rPr>
                <w:rFonts w:hint="eastAsia"/>
                <w:color w:val="auto"/>
                <w:sz w:val="21"/>
                <w:szCs w:val="21"/>
                <w:highlight w:val="none"/>
                <w:lang w:eastAsia="en-US"/>
              </w:rPr>
              <w:t>在项目服务过程中，</w:t>
            </w:r>
            <w:r>
              <w:rPr>
                <w:rFonts w:hint="eastAsia"/>
                <w:color w:val="auto"/>
                <w:sz w:val="21"/>
                <w:szCs w:val="21"/>
                <w:highlight w:val="none"/>
                <w:lang w:eastAsia="zh-CN"/>
              </w:rPr>
              <w:t>入围供应商</w:t>
            </w:r>
            <w:r>
              <w:rPr>
                <w:rFonts w:hint="eastAsia"/>
                <w:color w:val="auto"/>
                <w:sz w:val="21"/>
                <w:szCs w:val="21"/>
                <w:highlight w:val="none"/>
                <w:lang w:eastAsia="en-US"/>
              </w:rPr>
              <w:t>如果发生人员变动情况，</w:t>
            </w:r>
            <w:r>
              <w:rPr>
                <w:rFonts w:hint="eastAsia"/>
                <w:color w:val="auto"/>
                <w:sz w:val="21"/>
                <w:szCs w:val="21"/>
                <w:highlight w:val="none"/>
                <w:lang w:eastAsia="zh-CN"/>
              </w:rPr>
              <w:t>要</w:t>
            </w:r>
            <w:r>
              <w:rPr>
                <w:rFonts w:hint="eastAsia"/>
                <w:color w:val="auto"/>
                <w:sz w:val="21"/>
                <w:szCs w:val="21"/>
                <w:highlight w:val="none"/>
                <w:lang w:eastAsia="en-US"/>
              </w:rPr>
              <w:t>向委托单位提出书面申请并得到批准后方可更换，且造价审核人员变更率不得超过40%</w:t>
            </w:r>
            <w:r>
              <w:rPr>
                <w:rFonts w:hint="eastAsia"/>
                <w:color w:val="auto"/>
                <w:sz w:val="21"/>
                <w:szCs w:val="21"/>
                <w:highlight w:val="none"/>
                <w:lang w:eastAsia="zh-CN"/>
              </w:rPr>
              <w:t>。</w:t>
            </w:r>
          </w:p>
          <w:p w14:paraId="7EDA54A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5、其他要求：</w:t>
            </w:r>
          </w:p>
          <w:p w14:paraId="762FE40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一）供应商参与政府投资建设项目竣工结算审计，因其出具的结算报告失实导致超付工程款问题发生，进而产生诉讼情况的（诉讼发生时间为2021年1月1日至今的），该供应商不得参与本次政府采购活动。招标前未发现，而在招标后发现的，自动丧失中标供应商资格。</w:t>
            </w:r>
          </w:p>
        </w:tc>
      </w:tr>
      <w:tr w14:paraId="3AD0E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049A5EC2">
            <w:pPr>
              <w:pStyle w:val="15"/>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8"/>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服务费计费方式及最高限制价</w:t>
            </w:r>
          </w:p>
        </w:tc>
      </w:tr>
      <w:tr w14:paraId="2358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566AE4E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（一）评审服务费计费方式</w:t>
            </w:r>
          </w:p>
          <w:p w14:paraId="56536E9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评审服务费计算式=1.基本系数（基本计费与绩效计费二选一计费）×2.调整系数×3.审查性质系数×</w:t>
            </w:r>
            <w:r>
              <w:rPr>
                <w:rFonts w:hint="eastAsia" w:cs="Times New Roman"/>
                <w:b w:val="0"/>
                <w:bCs w:val="0"/>
                <w:color w:val="auto"/>
                <w:kern w:val="2"/>
                <w:sz w:val="21"/>
                <w:szCs w:val="21"/>
                <w:highlight w:val="none"/>
                <w:lang w:val="en-US" w:eastAsia="zh-CN" w:bidi="ar-SA"/>
              </w:rPr>
              <w:t>4.</w:t>
            </w:r>
            <w:r>
              <w:rPr>
                <w:rFonts w:hint="default" w:ascii="Times New Roman" w:hAnsi="Times New Roman" w:eastAsia="宋体" w:cs="Times New Roman"/>
                <w:b w:val="0"/>
                <w:bCs w:val="0"/>
                <w:color w:val="auto"/>
                <w:kern w:val="2"/>
                <w:sz w:val="21"/>
                <w:szCs w:val="21"/>
                <w:highlight w:val="none"/>
                <w:lang w:val="en-US" w:eastAsia="zh-CN" w:bidi="ar-SA"/>
              </w:rPr>
              <w:t>（1-偏差费率）</w:t>
            </w:r>
          </w:p>
          <w:p w14:paraId="29BBA4A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计费完成后，最终结算的评审服务费不高于中标基本费率的两倍，若超过，评审服务费按中标基本费率的两倍付费结算。</w:t>
            </w:r>
          </w:p>
          <w:p w14:paraId="4604FDC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评审服务费执行上限封顶：单个合同的评审服务费最高不超过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w:t>
            </w:r>
            <w:r>
              <w:rPr>
                <w:rFonts w:hint="default" w:ascii="Times New Roman" w:hAnsi="Times New Roman" w:eastAsia="宋体" w:cs="Times New Roman"/>
                <w:b w:val="0"/>
                <w:bCs w:val="0"/>
                <w:color w:val="auto"/>
                <w:kern w:val="2"/>
                <w:sz w:val="21"/>
                <w:szCs w:val="21"/>
                <w:highlight w:val="none"/>
                <w:lang w:val="en-US" w:eastAsia="zh-CN" w:bidi="ar-SA"/>
              </w:rPr>
              <w:t>元。一个委托合同包含多个项目的，每个项目单独计算评审服务费，所有项目服务费之和超过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w:t>
            </w:r>
            <w:r>
              <w:rPr>
                <w:rFonts w:hint="default" w:ascii="Times New Roman" w:hAnsi="Times New Roman" w:eastAsia="宋体" w:cs="Times New Roman"/>
                <w:b w:val="0"/>
                <w:bCs w:val="0"/>
                <w:color w:val="auto"/>
                <w:kern w:val="2"/>
                <w:sz w:val="21"/>
                <w:szCs w:val="21"/>
                <w:highlight w:val="none"/>
                <w:lang w:val="en-US" w:eastAsia="zh-CN" w:bidi="ar-SA"/>
              </w:rPr>
              <w:t>元的，按</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w:t>
            </w:r>
            <w:r>
              <w:rPr>
                <w:rFonts w:hint="default" w:ascii="Times New Roman" w:hAnsi="Times New Roman" w:eastAsia="宋体" w:cs="Times New Roman"/>
                <w:b w:val="0"/>
                <w:bCs w:val="0"/>
                <w:color w:val="auto"/>
                <w:kern w:val="2"/>
                <w:sz w:val="21"/>
                <w:szCs w:val="21"/>
                <w:highlight w:val="none"/>
                <w:lang w:val="en-US" w:eastAsia="zh-CN" w:bidi="ar-SA"/>
              </w:rPr>
              <w:t>结算。</w:t>
            </w:r>
          </w:p>
          <w:p w14:paraId="265840C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评审服务费最低金额：单个合同评审服务费少于</w:t>
            </w:r>
            <w:r>
              <w:rPr>
                <w:rFonts w:hint="eastAsia" w:cs="Times New Roman"/>
                <w:b w:val="0"/>
                <w:bCs w:val="0"/>
                <w:color w:val="auto"/>
                <w:kern w:val="2"/>
                <w:sz w:val="21"/>
                <w:szCs w:val="21"/>
                <w:highlight w:val="none"/>
                <w:lang w:val="en-US" w:eastAsia="zh-CN" w:bidi="ar-SA"/>
              </w:rPr>
              <w:t>10</w:t>
            </w:r>
            <w:r>
              <w:rPr>
                <w:rFonts w:hint="default" w:ascii="Times New Roman" w:hAnsi="Times New Roman" w:eastAsia="宋体" w:cs="Times New Roman"/>
                <w:b w:val="0"/>
                <w:bCs w:val="0"/>
                <w:color w:val="auto"/>
                <w:kern w:val="2"/>
                <w:sz w:val="21"/>
                <w:szCs w:val="21"/>
                <w:highlight w:val="none"/>
                <w:lang w:val="en-US" w:eastAsia="zh-CN" w:bidi="ar-SA"/>
              </w:rPr>
              <w:t>00元的，按</w:t>
            </w:r>
            <w:r>
              <w:rPr>
                <w:rFonts w:hint="eastAsia" w:cs="Times New Roman"/>
                <w:b w:val="0"/>
                <w:bCs w:val="0"/>
                <w:color w:val="auto"/>
                <w:kern w:val="2"/>
                <w:sz w:val="21"/>
                <w:szCs w:val="21"/>
                <w:highlight w:val="none"/>
                <w:lang w:val="en-US" w:eastAsia="zh-CN" w:bidi="ar-SA"/>
              </w:rPr>
              <w:t>10</w:t>
            </w:r>
            <w:r>
              <w:rPr>
                <w:rFonts w:hint="default" w:ascii="Times New Roman" w:hAnsi="Times New Roman" w:eastAsia="宋体" w:cs="Times New Roman"/>
                <w:b w:val="0"/>
                <w:bCs w:val="0"/>
                <w:color w:val="auto"/>
                <w:kern w:val="2"/>
                <w:sz w:val="21"/>
                <w:szCs w:val="21"/>
                <w:highlight w:val="none"/>
                <w:lang w:val="en-US" w:eastAsia="zh-CN" w:bidi="ar-SA"/>
              </w:rPr>
              <w:t>00元计。</w:t>
            </w:r>
          </w:p>
          <w:p w14:paraId="2B263D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按照计算式计算出评审服务费，需与上限封顶费及最低金额对比后，才能进行结算付费。以下是计算式的乘数及被乘数的具体解析：</w:t>
            </w:r>
          </w:p>
          <w:p w14:paraId="5168255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（1）</w:t>
            </w:r>
            <w:r>
              <w:rPr>
                <w:rFonts w:hint="default" w:ascii="Times New Roman" w:hAnsi="Times New Roman" w:eastAsia="宋体" w:cs="Times New Roman"/>
                <w:b/>
                <w:bCs/>
                <w:color w:val="auto"/>
                <w:kern w:val="2"/>
                <w:sz w:val="21"/>
                <w:szCs w:val="21"/>
                <w:highlight w:val="none"/>
                <w:lang w:val="en-US" w:eastAsia="zh-CN" w:bidi="ar-SA"/>
              </w:rPr>
              <w:t>基本系数：</w:t>
            </w:r>
          </w:p>
          <w:p w14:paraId="6CA71AE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采购人将项目安排供应商评审时，按以下方式计算评审服务费：</w:t>
            </w:r>
          </w:p>
          <w:p w14:paraId="2462708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基本计费：项目送审造价x基本费率1.50‰；</w:t>
            </w:r>
          </w:p>
          <w:p w14:paraId="3E994C0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绩效计费：评审净核减值x绩效费率3.00%；</w:t>
            </w:r>
          </w:p>
          <w:p w14:paraId="14062FC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按基本计费与绩效计费两种计费方式计算的评审服务费，计费时只能选择一种计费标准，可以按较高者计取。</w:t>
            </w:r>
          </w:p>
          <w:p w14:paraId="1C5C960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调整系数</w:t>
            </w:r>
            <w:r>
              <w:rPr>
                <w:rFonts w:hint="default" w:ascii="Times New Roman" w:hAnsi="Times New Roman" w:cs="Times New Roman"/>
                <w:b/>
                <w:bCs/>
                <w:color w:val="auto"/>
                <w:kern w:val="2"/>
                <w:sz w:val="21"/>
                <w:szCs w:val="21"/>
                <w:highlight w:val="none"/>
                <w:lang w:val="en-US" w:eastAsia="zh-CN" w:bidi="ar-SA"/>
              </w:rPr>
              <w:t>：</w:t>
            </w:r>
          </w:p>
          <w:p w14:paraId="671EA76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按单个合同不同送审造价的调整系数：</w:t>
            </w:r>
          </w:p>
          <w:p w14:paraId="0DE8B73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送审造价500万元以下：1.00;</w:t>
            </w:r>
          </w:p>
          <w:p w14:paraId="29DFA9F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送审造价500万元（含）以上、1000万元以下：0.85；</w:t>
            </w:r>
          </w:p>
          <w:p w14:paraId="33A275A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送审造价1000万元（含）以上，5000万元以下：0.75；</w:t>
            </w:r>
          </w:p>
          <w:p w14:paraId="768B85D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④</w:t>
            </w:r>
            <w:r>
              <w:rPr>
                <w:rFonts w:hint="default" w:ascii="Times New Roman" w:hAnsi="Times New Roman" w:eastAsia="宋体" w:cs="Times New Roman"/>
                <w:b w:val="0"/>
                <w:bCs w:val="0"/>
                <w:color w:val="auto"/>
                <w:kern w:val="2"/>
                <w:sz w:val="21"/>
                <w:szCs w:val="21"/>
                <w:highlight w:val="none"/>
                <w:lang w:val="en-US" w:eastAsia="zh-CN" w:bidi="ar-SA"/>
              </w:rPr>
              <w:t>送审造价5000万元（含）以上，1亿元以下：0.60；</w:t>
            </w:r>
          </w:p>
          <w:p w14:paraId="0D2A439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⑤</w:t>
            </w:r>
            <w:r>
              <w:rPr>
                <w:rFonts w:hint="default" w:ascii="Times New Roman" w:hAnsi="Times New Roman" w:eastAsia="宋体" w:cs="Times New Roman"/>
                <w:b w:val="0"/>
                <w:bCs w:val="0"/>
                <w:color w:val="auto"/>
                <w:kern w:val="2"/>
                <w:sz w:val="21"/>
                <w:szCs w:val="21"/>
                <w:highlight w:val="none"/>
                <w:lang w:val="en-US" w:eastAsia="zh-CN" w:bidi="ar-SA"/>
              </w:rPr>
              <w:t>送审造价1亿元（含）以上，1.5亿元以下：0.50</w:t>
            </w:r>
            <w:r>
              <w:rPr>
                <w:rFonts w:hint="default" w:ascii="Times New Roman" w:hAnsi="Times New Roman" w:cs="Times New Roman"/>
                <w:b w:val="0"/>
                <w:bCs w:val="0"/>
                <w:color w:val="auto"/>
                <w:kern w:val="2"/>
                <w:sz w:val="21"/>
                <w:szCs w:val="21"/>
                <w:highlight w:val="none"/>
                <w:lang w:val="en-US" w:eastAsia="zh-CN" w:bidi="ar-SA"/>
              </w:rPr>
              <w:t>；</w:t>
            </w:r>
          </w:p>
          <w:p w14:paraId="529D22B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⑥</w:t>
            </w:r>
            <w:r>
              <w:rPr>
                <w:rFonts w:hint="default" w:ascii="Times New Roman" w:hAnsi="Times New Roman" w:eastAsia="宋体" w:cs="Times New Roman"/>
                <w:b w:val="0"/>
                <w:bCs w:val="0"/>
                <w:color w:val="auto"/>
                <w:kern w:val="2"/>
                <w:sz w:val="21"/>
                <w:szCs w:val="21"/>
                <w:highlight w:val="none"/>
                <w:lang w:val="en-US" w:eastAsia="zh-CN" w:bidi="ar-SA"/>
              </w:rPr>
              <w:t>送审造价1.5亿元（含）以上，2亿元以下：0.45</w:t>
            </w:r>
            <w:r>
              <w:rPr>
                <w:rFonts w:hint="default" w:ascii="Times New Roman" w:hAnsi="Times New Roman" w:cs="Times New Roman"/>
                <w:b w:val="0"/>
                <w:bCs w:val="0"/>
                <w:color w:val="auto"/>
                <w:kern w:val="2"/>
                <w:sz w:val="21"/>
                <w:szCs w:val="21"/>
                <w:highlight w:val="none"/>
                <w:lang w:val="en-US" w:eastAsia="zh-CN" w:bidi="ar-SA"/>
              </w:rPr>
              <w:t>；</w:t>
            </w:r>
          </w:p>
          <w:p w14:paraId="52AEA6B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⑦</w:t>
            </w:r>
            <w:r>
              <w:rPr>
                <w:rFonts w:hint="default" w:ascii="Times New Roman" w:hAnsi="Times New Roman" w:eastAsia="宋体" w:cs="Times New Roman"/>
                <w:b w:val="0"/>
                <w:bCs w:val="0"/>
                <w:color w:val="auto"/>
                <w:kern w:val="2"/>
                <w:sz w:val="21"/>
                <w:szCs w:val="21"/>
                <w:highlight w:val="none"/>
                <w:lang w:val="en-US" w:eastAsia="zh-CN" w:bidi="ar-SA"/>
              </w:rPr>
              <w:t>送审造价2亿元（含）以上：0.40</w:t>
            </w:r>
            <w:r>
              <w:rPr>
                <w:rFonts w:hint="default" w:ascii="Times New Roman" w:hAnsi="Times New Roman" w:cs="Times New Roman"/>
                <w:b w:val="0"/>
                <w:bCs w:val="0"/>
                <w:color w:val="auto"/>
                <w:kern w:val="2"/>
                <w:sz w:val="21"/>
                <w:szCs w:val="21"/>
                <w:highlight w:val="none"/>
                <w:lang w:val="en-US" w:eastAsia="zh-CN" w:bidi="ar-SA"/>
              </w:rPr>
              <w:t>；</w:t>
            </w:r>
          </w:p>
          <w:p w14:paraId="17BC7794">
            <w:pPr>
              <w:pStyle w:val="11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bCs/>
                <w:color w:val="auto"/>
                <w:spacing w:val="8"/>
                <w:highlight w:val="none"/>
                <w:lang w:val="en-US" w:eastAsia="zh-CN"/>
              </w:rPr>
            </w:pP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3</w:t>
            </w: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审查性质系数：</w:t>
            </w:r>
          </w:p>
          <w:p w14:paraId="56A1B294">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left"/>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根据各类工程现场勘察的难易程度、工程量计算的难易程度等，测算项目结算评审难易程度，得出以下工程的审查性质系数：</w:t>
            </w:r>
          </w:p>
          <w:p w14:paraId="29D88F1C">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①</w:t>
            </w:r>
            <w:r>
              <w:rPr>
                <w:rFonts w:hint="default" w:ascii="Times New Roman" w:hAnsi="Times New Roman" w:cs="Times New Roman"/>
                <w:color w:val="auto"/>
                <w:spacing w:val="8"/>
                <w:highlight w:val="none"/>
                <w:lang w:val="en-US" w:eastAsia="zh-CN"/>
              </w:rPr>
              <w:t>房屋建筑工程：1.1</w:t>
            </w:r>
          </w:p>
          <w:p w14:paraId="7D1E36F3">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②</w:t>
            </w:r>
            <w:r>
              <w:rPr>
                <w:rFonts w:hint="default" w:ascii="Times New Roman" w:hAnsi="Times New Roman" w:cs="Times New Roman"/>
                <w:color w:val="auto"/>
                <w:spacing w:val="8"/>
                <w:highlight w:val="none"/>
                <w:lang w:val="en-US" w:eastAsia="zh-CN"/>
              </w:rPr>
              <w:t>大型水库建筑工程、园林绿化工程：1.2</w:t>
            </w:r>
          </w:p>
          <w:p w14:paraId="5528A2AC">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③</w:t>
            </w:r>
            <w:r>
              <w:rPr>
                <w:rFonts w:hint="default" w:ascii="Times New Roman" w:hAnsi="Times New Roman" w:cs="Times New Roman"/>
                <w:color w:val="auto"/>
                <w:spacing w:val="8"/>
                <w:highlight w:val="none"/>
                <w:lang w:val="en-US" w:eastAsia="zh-CN"/>
              </w:rPr>
              <w:t>公路工程：0.8</w:t>
            </w:r>
          </w:p>
          <w:p w14:paraId="452ED41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eastAsia" w:cs="Times New Roman"/>
                <w:color w:val="auto"/>
                <w:spacing w:val="8"/>
                <w:highlight w:val="none"/>
                <w:lang w:val="en-US" w:eastAsia="zh-CN"/>
              </w:rPr>
              <w:t>④</w:t>
            </w:r>
            <w:r>
              <w:rPr>
                <w:rFonts w:hint="default" w:ascii="Times New Roman" w:hAnsi="Times New Roman" w:cs="Times New Roman"/>
                <w:color w:val="auto"/>
                <w:spacing w:val="8"/>
                <w:highlight w:val="none"/>
                <w:lang w:val="en-US" w:eastAsia="zh-CN"/>
              </w:rPr>
              <w:t>其他工程：1.0</w:t>
            </w:r>
          </w:p>
          <w:p w14:paraId="09234151">
            <w:pPr>
              <w:pStyle w:val="114"/>
              <w:numPr>
                <w:ilvl w:val="0"/>
                <w:numId w:val="0"/>
              </w:numPr>
              <w:spacing w:beforeLines="0" w:afterLines="0" w:line="360" w:lineRule="auto"/>
              <w:rPr>
                <w:rFonts w:hint="eastAsia"/>
                <w:b/>
                <w:color w:val="auto"/>
                <w:spacing w:val="9"/>
                <w:sz w:val="20"/>
                <w:szCs w:val="20"/>
                <w:highlight w:val="none"/>
                <w:lang w:eastAsia="zh-CN"/>
              </w:rPr>
            </w:pPr>
            <w:r>
              <w:rPr>
                <w:rFonts w:hint="eastAsia"/>
                <w:b/>
                <w:color w:val="auto"/>
                <w:spacing w:val="9"/>
                <w:sz w:val="20"/>
                <w:szCs w:val="20"/>
                <w:highlight w:val="none"/>
                <w:lang w:eastAsia="zh-CN"/>
              </w:rPr>
              <w:t>（4）偏差费率：</w:t>
            </w:r>
          </w:p>
          <w:p w14:paraId="76F929E0">
            <w:pPr>
              <w:pStyle w:val="114"/>
              <w:numPr>
                <w:ilvl w:val="0"/>
                <w:numId w:val="0"/>
              </w:numPr>
              <w:spacing w:beforeLines="0" w:afterLines="0" w:line="360" w:lineRule="auto"/>
              <w:rPr>
                <w:rFonts w:hint="eastAsia"/>
                <w:color w:val="auto"/>
                <w:spacing w:val="9"/>
                <w:sz w:val="20"/>
                <w:szCs w:val="20"/>
                <w:highlight w:val="none"/>
                <w:lang w:eastAsia="zh-CN"/>
              </w:rPr>
            </w:pPr>
            <w:r>
              <w:rPr>
                <w:rFonts w:hint="eastAsia"/>
                <w:color w:val="auto"/>
                <w:spacing w:val="9"/>
                <w:sz w:val="20"/>
                <w:szCs w:val="20"/>
                <w:highlight w:val="none"/>
                <w:lang w:eastAsia="zh-CN"/>
              </w:rPr>
              <w:t>评审过程中，供应商结算评审初审结果与主审、组长复核有偏差的，根据以下表格的情况核减结算评审服务费：</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3818"/>
              <w:gridCol w:w="2850"/>
            </w:tblGrid>
            <w:tr w14:paraId="5DB3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14:paraId="705256A9">
                  <w:pPr>
                    <w:pStyle w:val="114"/>
                    <w:numPr>
                      <w:ilvl w:val="0"/>
                      <w:numId w:val="0"/>
                    </w:numPr>
                    <w:spacing w:beforeLines="0" w:afterLines="0" w:line="360" w:lineRule="auto"/>
                    <w:rPr>
                      <w:rFonts w:hint="eastAsia"/>
                      <w:color w:val="auto"/>
                      <w:spacing w:val="9"/>
                      <w:sz w:val="20"/>
                      <w:szCs w:val="20"/>
                      <w:highlight w:val="none"/>
                      <w:vertAlign w:val="baseline"/>
                      <w:lang w:eastAsia="zh-CN"/>
                    </w:rPr>
                  </w:pPr>
                  <w:r>
                    <w:rPr>
                      <w:rFonts w:hint="eastAsia"/>
                      <w:color w:val="auto"/>
                      <w:sz w:val="18"/>
                      <w:szCs w:val="18"/>
                      <w:highlight w:val="none"/>
                    </w:rPr>
                    <w:t>项目名称</w:t>
                  </w:r>
                </w:p>
              </w:tc>
              <w:tc>
                <w:tcPr>
                  <w:tcW w:w="3818" w:type="dxa"/>
                </w:tcPr>
                <w:p w14:paraId="588C6A94">
                  <w:pPr>
                    <w:pStyle w:val="114"/>
                    <w:numPr>
                      <w:ilvl w:val="0"/>
                      <w:numId w:val="0"/>
                    </w:numPr>
                    <w:spacing w:beforeLines="0" w:afterLines="0" w:line="360" w:lineRule="auto"/>
                    <w:rPr>
                      <w:rFonts w:hint="eastAsia"/>
                      <w:color w:val="auto"/>
                      <w:spacing w:val="9"/>
                      <w:sz w:val="20"/>
                      <w:szCs w:val="20"/>
                      <w:highlight w:val="none"/>
                      <w:vertAlign w:val="baseline"/>
                      <w:lang w:eastAsia="zh-CN"/>
                    </w:rPr>
                  </w:pPr>
                  <w:r>
                    <w:rPr>
                      <w:rFonts w:hint="eastAsia"/>
                      <w:color w:val="auto"/>
                      <w:sz w:val="18"/>
                      <w:szCs w:val="18"/>
                      <w:highlight w:val="none"/>
                    </w:rPr>
                    <w:t>供应商初审结果与定案结果的偏差</w:t>
                  </w:r>
                </w:p>
              </w:tc>
              <w:tc>
                <w:tcPr>
                  <w:tcW w:w="2850" w:type="dxa"/>
                </w:tcPr>
                <w:p w14:paraId="29F784F4">
                  <w:pPr>
                    <w:pStyle w:val="114"/>
                    <w:numPr>
                      <w:ilvl w:val="0"/>
                      <w:numId w:val="0"/>
                    </w:numPr>
                    <w:spacing w:beforeLines="0" w:afterLines="0" w:line="360" w:lineRule="auto"/>
                    <w:rPr>
                      <w:rFonts w:hint="eastAsia"/>
                      <w:color w:val="auto"/>
                      <w:spacing w:val="9"/>
                      <w:sz w:val="20"/>
                      <w:szCs w:val="20"/>
                      <w:highlight w:val="none"/>
                      <w:vertAlign w:val="baseline"/>
                      <w:lang w:eastAsia="zh-CN"/>
                    </w:rPr>
                  </w:pPr>
                  <w:r>
                    <w:rPr>
                      <w:rFonts w:hint="eastAsia"/>
                      <w:color w:val="auto"/>
                      <w:sz w:val="18"/>
                      <w:szCs w:val="18"/>
                      <w:highlight w:val="none"/>
                    </w:rPr>
                    <w:t>按下表偏差费率核减评审服务费</w:t>
                  </w:r>
                </w:p>
              </w:tc>
            </w:tr>
            <w:tr w14:paraId="1A2D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02F70128">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rPr>
                    <w:t>送审造价</w:t>
                  </w:r>
                  <w:r>
                    <w:rPr>
                      <w:rFonts w:hint="default"/>
                      <w:color w:val="auto"/>
                      <w:sz w:val="18"/>
                      <w:szCs w:val="18"/>
                      <w:highlight w:val="none"/>
                    </w:rPr>
                    <w:t>≤400</w:t>
                  </w:r>
                  <w:r>
                    <w:rPr>
                      <w:rFonts w:hint="eastAsia"/>
                      <w:color w:val="auto"/>
                      <w:sz w:val="18"/>
                      <w:szCs w:val="18"/>
                      <w:highlight w:val="none"/>
                    </w:rPr>
                    <w:t>万元的项目</w:t>
                  </w:r>
                </w:p>
              </w:tc>
              <w:tc>
                <w:tcPr>
                  <w:tcW w:w="3818" w:type="dxa"/>
                  <w:vAlign w:val="center"/>
                </w:tcPr>
                <w:p w14:paraId="119DF533">
                  <w:pPr>
                    <w:numPr>
                      <w:ilvl w:val="0"/>
                      <w:numId w:val="0"/>
                    </w:numPr>
                    <w:spacing w:beforeLines="0" w:afterLines="0" w:line="360" w:lineRule="auto"/>
                    <w:ind w:left="0" w:leftChars="0" w:firstLine="0" w:firstLineChars="0"/>
                    <w:jc w:val="center"/>
                    <w:rPr>
                      <w:rFonts w:hint="eastAsia" w:eastAsia="宋体"/>
                      <w:color w:val="auto"/>
                      <w:spacing w:val="9"/>
                      <w:sz w:val="20"/>
                      <w:szCs w:val="20"/>
                      <w:highlight w:val="none"/>
                      <w:vertAlign w:val="baseline"/>
                      <w:lang w:eastAsia="zh-CN"/>
                    </w:rPr>
                  </w:pPr>
                  <w:r>
                    <w:rPr>
                      <w:rFonts w:hint="eastAsia"/>
                      <w:color w:val="auto"/>
                      <w:sz w:val="18"/>
                      <w:szCs w:val="18"/>
                      <w:highlight w:val="none"/>
                      <w:lang w:val="en-US" w:eastAsia="zh-CN"/>
                    </w:rPr>
                    <w:t>4</w:t>
                  </w:r>
                  <w:r>
                    <w:rPr>
                      <w:rFonts w:hint="default"/>
                      <w:color w:val="auto"/>
                      <w:sz w:val="18"/>
                      <w:szCs w:val="18"/>
                      <w:highlight w:val="none"/>
                    </w:rPr>
                    <w:t>%</w:t>
                  </w:r>
                  <w:r>
                    <w:rPr>
                      <w:rFonts w:hint="eastAsia"/>
                      <w:color w:val="auto"/>
                      <w:sz w:val="18"/>
                      <w:szCs w:val="18"/>
                      <w:highlight w:val="none"/>
                      <w:lang w:eastAsia="zh-CN"/>
                    </w:rPr>
                    <w:t>（含本数）至</w:t>
                  </w:r>
                  <w:r>
                    <w:rPr>
                      <w:rFonts w:hint="eastAsia"/>
                      <w:color w:val="auto"/>
                      <w:sz w:val="18"/>
                      <w:szCs w:val="18"/>
                      <w:highlight w:val="none"/>
                      <w:lang w:val="en-US" w:eastAsia="zh-CN"/>
                    </w:rPr>
                    <w:t>6</w:t>
                  </w:r>
                  <w:r>
                    <w:rPr>
                      <w:rFonts w:hint="default"/>
                      <w:color w:val="auto"/>
                      <w:sz w:val="18"/>
                      <w:szCs w:val="18"/>
                      <w:highlight w:val="none"/>
                    </w:rPr>
                    <w:t>%</w:t>
                  </w:r>
                  <w:r>
                    <w:rPr>
                      <w:rFonts w:hint="eastAsia"/>
                      <w:color w:val="auto"/>
                      <w:sz w:val="18"/>
                      <w:szCs w:val="18"/>
                      <w:highlight w:val="none"/>
                      <w:lang w:eastAsia="zh-CN"/>
                    </w:rPr>
                    <w:t>（含本数）</w:t>
                  </w:r>
                  <w:r>
                    <w:rPr>
                      <w:rFonts w:hint="eastAsia"/>
                      <w:color w:val="auto"/>
                      <w:sz w:val="18"/>
                      <w:szCs w:val="18"/>
                      <w:highlight w:val="none"/>
                    </w:rPr>
                    <w:t>以</w:t>
                  </w:r>
                  <w:r>
                    <w:rPr>
                      <w:rFonts w:hint="eastAsia"/>
                      <w:color w:val="auto"/>
                      <w:sz w:val="18"/>
                      <w:szCs w:val="18"/>
                      <w:highlight w:val="none"/>
                      <w:lang w:eastAsia="zh-CN"/>
                    </w:rPr>
                    <w:t>内的</w:t>
                  </w:r>
                </w:p>
              </w:tc>
              <w:tc>
                <w:tcPr>
                  <w:tcW w:w="2850" w:type="dxa"/>
                  <w:vAlign w:val="center"/>
                </w:tcPr>
                <w:p w14:paraId="03E9AD7E">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10%</w:t>
                  </w:r>
                </w:p>
              </w:tc>
            </w:tr>
            <w:tr w14:paraId="63AF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32111808">
                  <w:pPr>
                    <w:numPr>
                      <w:ilvl w:val="0"/>
                      <w:numId w:val="0"/>
                    </w:numPr>
                    <w:spacing w:beforeLines="0" w:afterLines="0" w:line="360" w:lineRule="auto"/>
                    <w:ind w:left="0" w:leftChars="0" w:firstLine="0" w:firstLineChars="0"/>
                    <w:jc w:val="center"/>
                    <w:rPr>
                      <w:rFonts w:hint="eastAsia"/>
                      <w:color w:val="auto"/>
                      <w:sz w:val="18"/>
                      <w:szCs w:val="18"/>
                      <w:highlight w:val="none"/>
                    </w:rPr>
                  </w:pPr>
                </w:p>
              </w:tc>
              <w:tc>
                <w:tcPr>
                  <w:tcW w:w="3818" w:type="dxa"/>
                  <w:vAlign w:val="center"/>
                </w:tcPr>
                <w:p w14:paraId="3D17C7A3">
                  <w:pPr>
                    <w:numPr>
                      <w:ilvl w:val="0"/>
                      <w:numId w:val="0"/>
                    </w:numPr>
                    <w:spacing w:beforeLines="0" w:afterLines="0" w:line="360" w:lineRule="auto"/>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6%以上的</w:t>
                  </w:r>
                </w:p>
              </w:tc>
              <w:tc>
                <w:tcPr>
                  <w:tcW w:w="2850" w:type="dxa"/>
                  <w:vAlign w:val="center"/>
                </w:tcPr>
                <w:p w14:paraId="31D47CB4">
                  <w:pPr>
                    <w:numPr>
                      <w:ilvl w:val="0"/>
                      <w:numId w:val="0"/>
                    </w:numPr>
                    <w:spacing w:beforeLines="0" w:afterLines="0" w:line="360" w:lineRule="auto"/>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100%</w:t>
                  </w:r>
                </w:p>
              </w:tc>
            </w:tr>
            <w:tr w14:paraId="1370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13A88DB0">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400</w:t>
                  </w:r>
                  <w:r>
                    <w:rPr>
                      <w:rFonts w:hint="eastAsia"/>
                      <w:color w:val="auto"/>
                      <w:sz w:val="18"/>
                      <w:szCs w:val="18"/>
                      <w:highlight w:val="none"/>
                    </w:rPr>
                    <w:t>万元以上≤送审造价≤</w:t>
                  </w:r>
                  <w:r>
                    <w:rPr>
                      <w:rFonts w:hint="default"/>
                      <w:color w:val="auto"/>
                      <w:sz w:val="18"/>
                      <w:szCs w:val="18"/>
                      <w:highlight w:val="none"/>
                    </w:rPr>
                    <w:t>5000</w:t>
                  </w:r>
                  <w:r>
                    <w:rPr>
                      <w:rFonts w:hint="eastAsia"/>
                      <w:color w:val="auto"/>
                      <w:sz w:val="18"/>
                      <w:szCs w:val="18"/>
                      <w:highlight w:val="none"/>
                    </w:rPr>
                    <w:t>万元的项目</w:t>
                  </w:r>
                </w:p>
              </w:tc>
              <w:tc>
                <w:tcPr>
                  <w:tcW w:w="3818" w:type="dxa"/>
                  <w:vAlign w:val="center"/>
                </w:tcPr>
                <w:p w14:paraId="708133AE">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lang w:val="en-US" w:eastAsia="zh-CN"/>
                    </w:rPr>
                    <w:t>3%</w:t>
                  </w:r>
                  <w:r>
                    <w:rPr>
                      <w:rFonts w:hint="eastAsia"/>
                      <w:color w:val="auto"/>
                      <w:sz w:val="18"/>
                      <w:szCs w:val="18"/>
                      <w:highlight w:val="none"/>
                      <w:lang w:eastAsia="zh-CN"/>
                    </w:rPr>
                    <w:t>（含本数）</w:t>
                  </w:r>
                  <w:r>
                    <w:rPr>
                      <w:rFonts w:hint="eastAsia"/>
                      <w:color w:val="auto"/>
                      <w:sz w:val="18"/>
                      <w:szCs w:val="18"/>
                      <w:highlight w:val="none"/>
                      <w:lang w:val="en-US" w:eastAsia="zh-CN"/>
                    </w:rPr>
                    <w:t>至5</w:t>
                  </w:r>
                  <w:r>
                    <w:rPr>
                      <w:rFonts w:hint="default"/>
                      <w:color w:val="auto"/>
                      <w:sz w:val="18"/>
                      <w:szCs w:val="18"/>
                      <w:highlight w:val="none"/>
                    </w:rPr>
                    <w:t>%</w:t>
                  </w:r>
                  <w:r>
                    <w:rPr>
                      <w:rFonts w:hint="eastAsia"/>
                      <w:color w:val="auto"/>
                      <w:sz w:val="18"/>
                      <w:szCs w:val="18"/>
                      <w:highlight w:val="none"/>
                      <w:lang w:eastAsia="zh-CN"/>
                    </w:rPr>
                    <w:t>（含本数）</w:t>
                  </w:r>
                  <w:r>
                    <w:rPr>
                      <w:rFonts w:hint="eastAsia"/>
                      <w:color w:val="auto"/>
                      <w:sz w:val="18"/>
                      <w:szCs w:val="18"/>
                      <w:highlight w:val="none"/>
                    </w:rPr>
                    <w:t>以上的</w:t>
                  </w:r>
                </w:p>
              </w:tc>
              <w:tc>
                <w:tcPr>
                  <w:tcW w:w="2850" w:type="dxa"/>
                  <w:vAlign w:val="center"/>
                </w:tcPr>
                <w:p w14:paraId="3C745519">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10%</w:t>
                  </w:r>
                </w:p>
              </w:tc>
            </w:tr>
            <w:tr w14:paraId="0D73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58835A49">
                  <w:pPr>
                    <w:numPr>
                      <w:ilvl w:val="0"/>
                      <w:numId w:val="0"/>
                    </w:numPr>
                    <w:spacing w:beforeLines="0" w:afterLines="0" w:line="360" w:lineRule="auto"/>
                    <w:ind w:left="0" w:leftChars="0" w:firstLine="0" w:firstLineChars="0"/>
                    <w:jc w:val="center"/>
                    <w:rPr>
                      <w:rFonts w:hint="default"/>
                      <w:color w:val="auto"/>
                      <w:sz w:val="18"/>
                      <w:szCs w:val="18"/>
                      <w:highlight w:val="none"/>
                    </w:rPr>
                  </w:pPr>
                </w:p>
              </w:tc>
              <w:tc>
                <w:tcPr>
                  <w:tcW w:w="3818" w:type="dxa"/>
                  <w:vAlign w:val="center"/>
                </w:tcPr>
                <w:p w14:paraId="5EF53E9A">
                  <w:pPr>
                    <w:numPr>
                      <w:ilvl w:val="0"/>
                      <w:numId w:val="0"/>
                    </w:numPr>
                    <w:spacing w:beforeLines="0" w:afterLines="0" w:line="360" w:lineRule="auto"/>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5%以上的</w:t>
                  </w:r>
                </w:p>
              </w:tc>
              <w:tc>
                <w:tcPr>
                  <w:tcW w:w="2850" w:type="dxa"/>
                  <w:vAlign w:val="center"/>
                </w:tcPr>
                <w:p w14:paraId="27C020EB">
                  <w:pPr>
                    <w:numPr>
                      <w:ilvl w:val="0"/>
                      <w:numId w:val="0"/>
                    </w:numPr>
                    <w:spacing w:beforeLines="0" w:afterLines="0" w:line="360" w:lineRule="auto"/>
                    <w:ind w:left="0" w:leftChars="0" w:firstLine="0" w:firstLineChars="0"/>
                    <w:jc w:val="center"/>
                    <w:rPr>
                      <w:rFonts w:hint="default"/>
                      <w:color w:val="auto"/>
                      <w:sz w:val="18"/>
                      <w:szCs w:val="18"/>
                      <w:highlight w:val="none"/>
                    </w:rPr>
                  </w:pPr>
                  <w:r>
                    <w:rPr>
                      <w:rFonts w:hint="eastAsia"/>
                      <w:color w:val="auto"/>
                      <w:sz w:val="18"/>
                      <w:szCs w:val="18"/>
                      <w:highlight w:val="none"/>
                      <w:lang w:val="en-US" w:eastAsia="zh-CN"/>
                    </w:rPr>
                    <w:t>100%</w:t>
                  </w:r>
                </w:p>
              </w:tc>
            </w:tr>
            <w:tr w14:paraId="68BD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020C6F08">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5000</w:t>
                  </w:r>
                  <w:r>
                    <w:rPr>
                      <w:rFonts w:hint="eastAsia"/>
                      <w:color w:val="auto"/>
                      <w:sz w:val="18"/>
                      <w:szCs w:val="18"/>
                      <w:highlight w:val="none"/>
                    </w:rPr>
                    <w:t>万以上≤送审造价≤</w:t>
                  </w:r>
                  <w:r>
                    <w:rPr>
                      <w:rFonts w:hint="default"/>
                      <w:color w:val="auto"/>
                      <w:sz w:val="18"/>
                      <w:szCs w:val="18"/>
                      <w:highlight w:val="none"/>
                    </w:rPr>
                    <w:t>10000</w:t>
                  </w:r>
                  <w:r>
                    <w:rPr>
                      <w:rFonts w:hint="eastAsia"/>
                      <w:color w:val="auto"/>
                      <w:sz w:val="18"/>
                      <w:szCs w:val="18"/>
                      <w:highlight w:val="none"/>
                    </w:rPr>
                    <w:t>万元的项目</w:t>
                  </w:r>
                </w:p>
              </w:tc>
              <w:tc>
                <w:tcPr>
                  <w:tcW w:w="3818" w:type="dxa"/>
                  <w:vAlign w:val="center"/>
                </w:tcPr>
                <w:p w14:paraId="4AF78C56">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lang w:val="en-US" w:eastAsia="zh-CN"/>
                    </w:rPr>
                    <w:t>2%</w:t>
                  </w:r>
                  <w:r>
                    <w:rPr>
                      <w:rFonts w:hint="eastAsia"/>
                      <w:color w:val="auto"/>
                      <w:sz w:val="18"/>
                      <w:szCs w:val="18"/>
                      <w:highlight w:val="none"/>
                      <w:lang w:eastAsia="zh-CN"/>
                    </w:rPr>
                    <w:t>（含本数）</w:t>
                  </w:r>
                  <w:r>
                    <w:rPr>
                      <w:rFonts w:hint="eastAsia"/>
                      <w:color w:val="auto"/>
                      <w:sz w:val="18"/>
                      <w:szCs w:val="18"/>
                      <w:highlight w:val="none"/>
                      <w:lang w:val="en-US" w:eastAsia="zh-CN"/>
                    </w:rPr>
                    <w:t>至4</w:t>
                  </w:r>
                  <w:r>
                    <w:rPr>
                      <w:rFonts w:hint="default"/>
                      <w:color w:val="auto"/>
                      <w:sz w:val="18"/>
                      <w:szCs w:val="18"/>
                      <w:highlight w:val="none"/>
                    </w:rPr>
                    <w:t>%</w:t>
                  </w:r>
                  <w:r>
                    <w:rPr>
                      <w:rFonts w:hint="eastAsia"/>
                      <w:color w:val="auto"/>
                      <w:sz w:val="18"/>
                      <w:szCs w:val="18"/>
                      <w:highlight w:val="none"/>
                      <w:lang w:eastAsia="zh-CN"/>
                    </w:rPr>
                    <w:t>（含本数）</w:t>
                  </w:r>
                  <w:r>
                    <w:rPr>
                      <w:rFonts w:hint="eastAsia"/>
                      <w:color w:val="auto"/>
                      <w:sz w:val="18"/>
                      <w:szCs w:val="18"/>
                      <w:highlight w:val="none"/>
                    </w:rPr>
                    <w:t>以</w:t>
                  </w:r>
                  <w:r>
                    <w:rPr>
                      <w:rFonts w:hint="eastAsia"/>
                      <w:color w:val="auto"/>
                      <w:sz w:val="18"/>
                      <w:szCs w:val="18"/>
                      <w:highlight w:val="none"/>
                      <w:lang w:eastAsia="zh-CN"/>
                    </w:rPr>
                    <w:t>内</w:t>
                  </w:r>
                  <w:r>
                    <w:rPr>
                      <w:rFonts w:hint="eastAsia"/>
                      <w:color w:val="auto"/>
                      <w:sz w:val="18"/>
                      <w:szCs w:val="18"/>
                      <w:highlight w:val="none"/>
                    </w:rPr>
                    <w:t>的</w:t>
                  </w:r>
                </w:p>
              </w:tc>
              <w:tc>
                <w:tcPr>
                  <w:tcW w:w="2850" w:type="dxa"/>
                  <w:vAlign w:val="center"/>
                </w:tcPr>
                <w:p w14:paraId="0CA40915">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10%</w:t>
                  </w:r>
                </w:p>
              </w:tc>
            </w:tr>
            <w:tr w14:paraId="6A27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2CE4D148">
                  <w:pPr>
                    <w:numPr>
                      <w:ilvl w:val="0"/>
                      <w:numId w:val="0"/>
                    </w:numPr>
                    <w:spacing w:beforeLines="0" w:afterLines="0" w:line="360" w:lineRule="auto"/>
                    <w:ind w:left="0" w:leftChars="0" w:firstLine="0" w:firstLineChars="0"/>
                    <w:jc w:val="center"/>
                    <w:rPr>
                      <w:rFonts w:hint="default"/>
                      <w:color w:val="auto"/>
                      <w:sz w:val="18"/>
                      <w:szCs w:val="18"/>
                      <w:highlight w:val="none"/>
                    </w:rPr>
                  </w:pPr>
                </w:p>
              </w:tc>
              <w:tc>
                <w:tcPr>
                  <w:tcW w:w="3818" w:type="dxa"/>
                  <w:vAlign w:val="center"/>
                </w:tcPr>
                <w:p w14:paraId="1F630DB6">
                  <w:pPr>
                    <w:numPr>
                      <w:ilvl w:val="0"/>
                      <w:numId w:val="0"/>
                    </w:numPr>
                    <w:spacing w:beforeLines="0" w:afterLines="0" w:line="360" w:lineRule="auto"/>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4%</w:t>
                  </w:r>
                  <w:r>
                    <w:rPr>
                      <w:rFonts w:hint="eastAsia"/>
                      <w:color w:val="auto"/>
                      <w:sz w:val="18"/>
                      <w:szCs w:val="18"/>
                      <w:highlight w:val="none"/>
                      <w:lang w:eastAsia="zh-CN"/>
                    </w:rPr>
                    <w:t>（含本数）</w:t>
                  </w:r>
                  <w:r>
                    <w:rPr>
                      <w:rFonts w:hint="eastAsia"/>
                      <w:color w:val="auto"/>
                      <w:sz w:val="18"/>
                      <w:szCs w:val="18"/>
                      <w:highlight w:val="none"/>
                      <w:lang w:val="en-US" w:eastAsia="zh-CN"/>
                    </w:rPr>
                    <w:t>以上的</w:t>
                  </w:r>
                </w:p>
              </w:tc>
              <w:tc>
                <w:tcPr>
                  <w:tcW w:w="2850" w:type="dxa"/>
                  <w:vAlign w:val="center"/>
                </w:tcPr>
                <w:p w14:paraId="34D36E52">
                  <w:pPr>
                    <w:numPr>
                      <w:ilvl w:val="0"/>
                      <w:numId w:val="0"/>
                    </w:numPr>
                    <w:spacing w:beforeLines="0" w:afterLines="0" w:line="360" w:lineRule="auto"/>
                    <w:ind w:left="0" w:leftChars="0" w:firstLine="0" w:firstLineChars="0"/>
                    <w:jc w:val="center"/>
                    <w:rPr>
                      <w:rFonts w:hint="default"/>
                      <w:color w:val="auto"/>
                      <w:sz w:val="18"/>
                      <w:szCs w:val="18"/>
                      <w:highlight w:val="none"/>
                    </w:rPr>
                  </w:pPr>
                  <w:r>
                    <w:rPr>
                      <w:rFonts w:hint="eastAsia"/>
                      <w:color w:val="auto"/>
                      <w:sz w:val="18"/>
                      <w:szCs w:val="18"/>
                      <w:highlight w:val="none"/>
                      <w:lang w:val="en-US" w:eastAsia="zh-CN"/>
                    </w:rPr>
                    <w:t>100%</w:t>
                  </w:r>
                </w:p>
              </w:tc>
            </w:tr>
            <w:tr w14:paraId="2817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restart"/>
                  <w:vAlign w:val="center"/>
                </w:tcPr>
                <w:p w14:paraId="63D37568">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rPr>
                    <w:t>送审造价</w:t>
                  </w:r>
                  <w:r>
                    <w:rPr>
                      <w:rFonts w:hint="default"/>
                      <w:color w:val="auto"/>
                      <w:sz w:val="18"/>
                      <w:szCs w:val="18"/>
                      <w:highlight w:val="none"/>
                    </w:rPr>
                    <w:t>10000</w:t>
                  </w:r>
                  <w:r>
                    <w:rPr>
                      <w:rFonts w:hint="eastAsia"/>
                      <w:color w:val="auto"/>
                      <w:sz w:val="18"/>
                      <w:szCs w:val="18"/>
                      <w:highlight w:val="none"/>
                    </w:rPr>
                    <w:t>万元以上的项目</w:t>
                  </w:r>
                </w:p>
              </w:tc>
              <w:tc>
                <w:tcPr>
                  <w:tcW w:w="3818" w:type="dxa"/>
                  <w:vAlign w:val="center"/>
                </w:tcPr>
                <w:p w14:paraId="3483D7B7">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eastAsia"/>
                      <w:color w:val="auto"/>
                      <w:sz w:val="18"/>
                      <w:szCs w:val="18"/>
                      <w:highlight w:val="none"/>
                      <w:lang w:val="en-US" w:eastAsia="zh-CN"/>
                    </w:rPr>
                    <w:t>1%</w:t>
                  </w:r>
                  <w:r>
                    <w:rPr>
                      <w:rFonts w:hint="eastAsia"/>
                      <w:color w:val="auto"/>
                      <w:sz w:val="18"/>
                      <w:szCs w:val="18"/>
                      <w:highlight w:val="none"/>
                      <w:lang w:eastAsia="zh-CN"/>
                    </w:rPr>
                    <w:t>（含本数）</w:t>
                  </w:r>
                  <w:r>
                    <w:rPr>
                      <w:rFonts w:hint="eastAsia"/>
                      <w:color w:val="auto"/>
                      <w:sz w:val="18"/>
                      <w:szCs w:val="18"/>
                      <w:highlight w:val="none"/>
                      <w:lang w:val="en-US" w:eastAsia="zh-CN"/>
                    </w:rPr>
                    <w:t>至3</w:t>
                  </w:r>
                  <w:r>
                    <w:rPr>
                      <w:rFonts w:hint="default"/>
                      <w:color w:val="auto"/>
                      <w:sz w:val="18"/>
                      <w:szCs w:val="18"/>
                      <w:highlight w:val="none"/>
                    </w:rPr>
                    <w:t>%</w:t>
                  </w:r>
                  <w:r>
                    <w:rPr>
                      <w:rFonts w:hint="eastAsia"/>
                      <w:color w:val="auto"/>
                      <w:sz w:val="18"/>
                      <w:szCs w:val="18"/>
                      <w:highlight w:val="none"/>
                      <w:lang w:eastAsia="zh-CN"/>
                    </w:rPr>
                    <w:t>（含本数）</w:t>
                  </w:r>
                  <w:r>
                    <w:rPr>
                      <w:rFonts w:hint="eastAsia"/>
                      <w:color w:val="auto"/>
                      <w:sz w:val="18"/>
                      <w:szCs w:val="18"/>
                      <w:highlight w:val="none"/>
                    </w:rPr>
                    <w:t>以</w:t>
                  </w:r>
                  <w:r>
                    <w:rPr>
                      <w:rFonts w:hint="eastAsia"/>
                      <w:color w:val="auto"/>
                      <w:sz w:val="18"/>
                      <w:szCs w:val="18"/>
                      <w:highlight w:val="none"/>
                      <w:lang w:eastAsia="zh-CN"/>
                    </w:rPr>
                    <w:t>内</w:t>
                  </w:r>
                  <w:r>
                    <w:rPr>
                      <w:rFonts w:hint="eastAsia"/>
                      <w:color w:val="auto"/>
                      <w:sz w:val="18"/>
                      <w:szCs w:val="18"/>
                      <w:highlight w:val="none"/>
                    </w:rPr>
                    <w:t>的</w:t>
                  </w:r>
                </w:p>
              </w:tc>
              <w:tc>
                <w:tcPr>
                  <w:tcW w:w="2850" w:type="dxa"/>
                  <w:vAlign w:val="center"/>
                </w:tcPr>
                <w:p w14:paraId="195E9DD7">
                  <w:pPr>
                    <w:numPr>
                      <w:ilvl w:val="0"/>
                      <w:numId w:val="0"/>
                    </w:numPr>
                    <w:spacing w:beforeLines="0" w:afterLines="0" w:line="360" w:lineRule="auto"/>
                    <w:ind w:left="0" w:leftChars="0" w:firstLine="0" w:firstLineChars="0"/>
                    <w:jc w:val="center"/>
                    <w:rPr>
                      <w:rFonts w:hint="eastAsia"/>
                      <w:color w:val="auto"/>
                      <w:spacing w:val="9"/>
                      <w:sz w:val="20"/>
                      <w:szCs w:val="20"/>
                      <w:highlight w:val="none"/>
                      <w:vertAlign w:val="baseline"/>
                      <w:lang w:eastAsia="zh-CN"/>
                    </w:rPr>
                  </w:pPr>
                  <w:r>
                    <w:rPr>
                      <w:rFonts w:hint="default"/>
                      <w:color w:val="auto"/>
                      <w:sz w:val="18"/>
                      <w:szCs w:val="18"/>
                      <w:highlight w:val="none"/>
                    </w:rPr>
                    <w:t>10%</w:t>
                  </w:r>
                </w:p>
              </w:tc>
            </w:tr>
            <w:tr w14:paraId="4C59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Merge w:val="continue"/>
                  <w:vAlign w:val="center"/>
                </w:tcPr>
                <w:p w14:paraId="5B16CF60">
                  <w:pPr>
                    <w:numPr>
                      <w:ilvl w:val="0"/>
                      <w:numId w:val="0"/>
                    </w:numPr>
                    <w:spacing w:beforeLines="0" w:afterLines="0" w:line="360" w:lineRule="auto"/>
                    <w:ind w:left="0" w:leftChars="0" w:firstLine="0" w:firstLineChars="0"/>
                    <w:jc w:val="center"/>
                    <w:rPr>
                      <w:rFonts w:hint="eastAsia"/>
                      <w:color w:val="auto"/>
                      <w:sz w:val="18"/>
                      <w:szCs w:val="18"/>
                      <w:highlight w:val="none"/>
                    </w:rPr>
                  </w:pPr>
                </w:p>
              </w:tc>
              <w:tc>
                <w:tcPr>
                  <w:tcW w:w="3818" w:type="dxa"/>
                  <w:vAlign w:val="center"/>
                </w:tcPr>
                <w:p w14:paraId="0C47543E">
                  <w:pPr>
                    <w:numPr>
                      <w:ilvl w:val="0"/>
                      <w:numId w:val="0"/>
                    </w:numPr>
                    <w:spacing w:beforeLines="0" w:afterLines="0" w:line="360" w:lineRule="auto"/>
                    <w:ind w:left="0" w:leftChars="0" w:firstLine="0" w:firstLineChars="0"/>
                    <w:jc w:val="center"/>
                    <w:rPr>
                      <w:rFonts w:hint="default"/>
                      <w:color w:val="auto"/>
                      <w:sz w:val="18"/>
                      <w:szCs w:val="18"/>
                      <w:highlight w:val="none"/>
                      <w:lang w:val="en-US" w:eastAsia="zh-CN"/>
                    </w:rPr>
                  </w:pPr>
                  <w:bookmarkStart w:id="43" w:name="OLE_LINK2"/>
                  <w:r>
                    <w:rPr>
                      <w:rFonts w:hint="eastAsia"/>
                      <w:color w:val="auto"/>
                      <w:sz w:val="18"/>
                      <w:szCs w:val="18"/>
                      <w:highlight w:val="none"/>
                      <w:lang w:val="en-US" w:eastAsia="zh-CN"/>
                    </w:rPr>
                    <w:t>3%以上的</w:t>
                  </w:r>
                  <w:bookmarkEnd w:id="43"/>
                </w:p>
              </w:tc>
              <w:tc>
                <w:tcPr>
                  <w:tcW w:w="2850" w:type="dxa"/>
                  <w:vAlign w:val="center"/>
                </w:tcPr>
                <w:p w14:paraId="78DAB659">
                  <w:pPr>
                    <w:numPr>
                      <w:ilvl w:val="0"/>
                      <w:numId w:val="0"/>
                    </w:numPr>
                    <w:spacing w:beforeLines="0" w:afterLines="0" w:line="360" w:lineRule="auto"/>
                    <w:ind w:left="0" w:leftChars="0" w:firstLine="0" w:firstLineChars="0"/>
                    <w:jc w:val="center"/>
                    <w:rPr>
                      <w:rFonts w:hint="default"/>
                      <w:color w:val="auto"/>
                      <w:sz w:val="18"/>
                      <w:szCs w:val="18"/>
                      <w:highlight w:val="none"/>
                    </w:rPr>
                  </w:pPr>
                  <w:r>
                    <w:rPr>
                      <w:rFonts w:hint="eastAsia"/>
                      <w:color w:val="auto"/>
                      <w:sz w:val="18"/>
                      <w:szCs w:val="18"/>
                      <w:highlight w:val="none"/>
                      <w:lang w:val="en-US" w:eastAsia="zh-CN"/>
                    </w:rPr>
                    <w:t>100%</w:t>
                  </w:r>
                </w:p>
              </w:tc>
            </w:tr>
          </w:tbl>
          <w:p w14:paraId="601DE34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p>
        </w:tc>
      </w:tr>
      <w:tr w14:paraId="7AA47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2"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5C31FB9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（二）不涉及定案和核减金额项目的评审服务费结算方式</w:t>
            </w:r>
          </w:p>
          <w:p w14:paraId="6473A9D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对不涉及定案（出具结算评审报告）和核减金额的项目，按合同金额区别付费：合同金额100万元（含100万元）以下按0.3万元付费，合同金额100万元-500万元（含500万元）按1.2万元付费，合同金额500万元-1000万元（含1000万元）的按1.5万元付费，合同金额1000万元-5000万元的按2.5万元付费，合同金额大于5000万元（不含5000万）的按3.5万元付费。</w:t>
            </w:r>
          </w:p>
        </w:tc>
      </w:tr>
      <w:tr w14:paraId="5908A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7"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6AF5EDA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（三）预算费用高于上限封顶费用的项目评审服务费结算方式</w:t>
            </w:r>
          </w:p>
          <w:p w14:paraId="5000D2B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未开展结算评审工作前，可以根据项目送审造价，按公式：基本计费×调整系数，测算出该项目评审服务费的预算费用。</w:t>
            </w:r>
          </w:p>
          <w:p w14:paraId="67963838">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 xml:space="preserve">对于预算费用高于上限封顶费用的项目，经协商，供应商同意按最高上限金额计费结算的，则按照原有程序进行安排和采购。若没有供应商响应，则采用一事一议的原则进行安排和采购。 </w:t>
            </w:r>
          </w:p>
        </w:tc>
      </w:tr>
      <w:tr w14:paraId="2283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2773A6ED">
            <w:p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商务要求</w:t>
            </w:r>
          </w:p>
        </w:tc>
      </w:tr>
      <w:tr w14:paraId="3F0EF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26BD518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1、涉及项目的其他要求</w:t>
            </w:r>
          </w:p>
        </w:tc>
      </w:tr>
      <w:tr w14:paraId="0E286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14:paraId="7D4E6CC9">
            <w:pPr>
              <w:pStyle w:val="114"/>
              <w:spacing w:before="143" w:line="228" w:lineRule="auto"/>
              <w:jc w:val="center"/>
              <w:rPr>
                <w:rFonts w:hint="eastAsia" w:ascii="宋体" w:hAnsi="宋体" w:eastAsia="宋体" w:cs="宋体"/>
                <w:b/>
                <w:color w:val="auto"/>
                <w:szCs w:val="21"/>
                <w:highlight w:val="none"/>
              </w:rPr>
            </w:pPr>
            <w:r>
              <w:rPr>
                <w:color w:val="auto"/>
                <w:spacing w:val="7"/>
                <w:highlight w:val="none"/>
              </w:rPr>
              <w:t>规范标准</w:t>
            </w:r>
          </w:p>
        </w:tc>
        <w:tc>
          <w:tcPr>
            <w:tcW w:w="7571" w:type="dxa"/>
            <w:gridSpan w:val="3"/>
            <w:tcBorders>
              <w:top w:val="single" w:color="auto" w:sz="4" w:space="0"/>
              <w:left w:val="single" w:color="auto" w:sz="4" w:space="0"/>
              <w:bottom w:val="single" w:color="auto" w:sz="4" w:space="0"/>
              <w:right w:val="single" w:color="auto" w:sz="4" w:space="0"/>
            </w:tcBorders>
            <w:noWrap w:val="0"/>
            <w:vAlign w:val="center"/>
          </w:tcPr>
          <w:p w14:paraId="373BFB21">
            <w:pPr>
              <w:pStyle w:val="114"/>
              <w:spacing w:before="142" w:line="228" w:lineRule="auto"/>
              <w:jc w:val="left"/>
              <w:rPr>
                <w:rFonts w:hint="eastAsia" w:ascii="宋体" w:hAnsi="宋体" w:eastAsia="宋体" w:cs="宋体"/>
                <w:b/>
                <w:color w:val="auto"/>
                <w:szCs w:val="21"/>
                <w:highlight w:val="none"/>
              </w:rPr>
            </w:pPr>
            <w:r>
              <w:rPr>
                <w:color w:val="auto"/>
                <w:spacing w:val="9"/>
                <w:highlight w:val="none"/>
              </w:rPr>
              <w:t>需执行的国家标准、行业标准、地方标准或者其他标准</w:t>
            </w:r>
            <w:r>
              <w:rPr>
                <w:color w:val="auto"/>
                <w:spacing w:val="8"/>
                <w:highlight w:val="none"/>
              </w:rPr>
              <w:t>、规范。</w:t>
            </w:r>
          </w:p>
        </w:tc>
      </w:tr>
      <w:tr w14:paraId="1A0CD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14:paraId="0F983F34">
            <w:pPr>
              <w:pStyle w:val="114"/>
              <w:spacing w:before="85" w:line="227" w:lineRule="auto"/>
              <w:jc w:val="center"/>
              <w:rPr>
                <w:color w:val="auto"/>
                <w:spacing w:val="7"/>
                <w:highlight w:val="none"/>
              </w:rPr>
            </w:pPr>
            <w:r>
              <w:rPr>
                <w:color w:val="auto"/>
                <w:spacing w:val="7"/>
                <w:highlight w:val="none"/>
              </w:rPr>
              <w:t>采购标的验收标准</w:t>
            </w:r>
          </w:p>
        </w:tc>
        <w:tc>
          <w:tcPr>
            <w:tcW w:w="7571" w:type="dxa"/>
            <w:gridSpan w:val="3"/>
            <w:tcBorders>
              <w:top w:val="single" w:color="auto" w:sz="4" w:space="0"/>
              <w:left w:val="single" w:color="auto" w:sz="4" w:space="0"/>
              <w:bottom w:val="single" w:color="auto" w:sz="4" w:space="0"/>
              <w:right w:val="single" w:color="auto" w:sz="4" w:space="0"/>
            </w:tcBorders>
            <w:noWrap w:val="0"/>
            <w:vAlign w:val="center"/>
          </w:tcPr>
          <w:p w14:paraId="59DF3F23">
            <w:pPr>
              <w:pStyle w:val="114"/>
              <w:spacing w:before="267" w:line="228" w:lineRule="auto"/>
              <w:jc w:val="left"/>
              <w:rPr>
                <w:color w:val="auto"/>
                <w:spacing w:val="9"/>
                <w:highlight w:val="none"/>
              </w:rPr>
            </w:pPr>
            <w:r>
              <w:rPr>
                <w:color w:val="auto"/>
                <w:spacing w:val="9"/>
                <w:highlight w:val="none"/>
              </w:rPr>
              <w:t>需执行的国家标准、行业标准、地方标准或者其他标准</w:t>
            </w:r>
            <w:r>
              <w:rPr>
                <w:color w:val="auto"/>
                <w:spacing w:val="8"/>
                <w:highlight w:val="none"/>
              </w:rPr>
              <w:t>、规范。</w:t>
            </w:r>
          </w:p>
        </w:tc>
      </w:tr>
      <w:tr w14:paraId="1AF85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top"/>
          </w:tcPr>
          <w:p w14:paraId="44BCE23A">
            <w:pPr>
              <w:spacing w:line="276" w:lineRule="auto"/>
              <w:rPr>
                <w:rFonts w:ascii="Arial"/>
                <w:color w:val="auto"/>
                <w:sz w:val="21"/>
                <w:highlight w:val="none"/>
              </w:rPr>
            </w:pPr>
          </w:p>
          <w:p w14:paraId="483DC311">
            <w:pPr>
              <w:spacing w:line="276" w:lineRule="auto"/>
              <w:rPr>
                <w:rFonts w:ascii="Arial"/>
                <w:color w:val="auto"/>
                <w:sz w:val="21"/>
                <w:highlight w:val="none"/>
              </w:rPr>
            </w:pPr>
          </w:p>
          <w:p w14:paraId="49AF8485">
            <w:pPr>
              <w:spacing w:line="276" w:lineRule="auto"/>
              <w:rPr>
                <w:rFonts w:ascii="Arial"/>
                <w:color w:val="auto"/>
                <w:sz w:val="21"/>
                <w:highlight w:val="none"/>
              </w:rPr>
            </w:pPr>
          </w:p>
          <w:p w14:paraId="6951A0A9">
            <w:pPr>
              <w:spacing w:line="277" w:lineRule="auto"/>
              <w:rPr>
                <w:rFonts w:ascii="Arial"/>
                <w:color w:val="auto"/>
                <w:sz w:val="21"/>
                <w:highlight w:val="none"/>
              </w:rPr>
            </w:pPr>
          </w:p>
          <w:p w14:paraId="4FC1AAF0">
            <w:pPr>
              <w:spacing w:line="277" w:lineRule="auto"/>
              <w:rPr>
                <w:rFonts w:ascii="Arial"/>
                <w:color w:val="auto"/>
                <w:sz w:val="21"/>
                <w:highlight w:val="none"/>
              </w:rPr>
            </w:pPr>
          </w:p>
          <w:p w14:paraId="280BF968">
            <w:pPr>
              <w:spacing w:line="277" w:lineRule="auto"/>
              <w:rPr>
                <w:rFonts w:ascii="Arial"/>
                <w:color w:val="auto"/>
                <w:sz w:val="21"/>
                <w:highlight w:val="none"/>
              </w:rPr>
            </w:pPr>
          </w:p>
          <w:p w14:paraId="071C88DF">
            <w:pPr>
              <w:pStyle w:val="114"/>
              <w:spacing w:before="65" w:line="226" w:lineRule="auto"/>
              <w:ind w:left="432" w:leftChars="0"/>
              <w:rPr>
                <w:color w:val="auto"/>
                <w:spacing w:val="7"/>
                <w:highlight w:val="none"/>
              </w:rPr>
            </w:pPr>
            <w:r>
              <w:rPr>
                <w:color w:val="auto"/>
                <w:spacing w:val="7"/>
                <w:highlight w:val="none"/>
              </w:rPr>
              <w:t>报价要求</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64003C13">
            <w:pPr>
              <w:pStyle w:val="114"/>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448" w:firstLineChars="200"/>
              <w:textAlignment w:val="auto"/>
              <w:rPr>
                <w:color w:val="auto"/>
                <w:spacing w:val="9"/>
                <w:highlight w:val="none"/>
              </w:rPr>
            </w:pPr>
            <w:r>
              <w:rPr>
                <w:rFonts w:hint="eastAsia"/>
                <w:color w:val="auto"/>
                <w:spacing w:val="12"/>
                <w:highlight w:val="none"/>
                <w:lang w:val="en-US" w:eastAsia="zh-CN"/>
              </w:rPr>
              <w:t>1、</w:t>
            </w:r>
            <w:r>
              <w:rPr>
                <w:color w:val="auto"/>
                <w:spacing w:val="12"/>
                <w:highlight w:val="none"/>
              </w:rPr>
              <w:t>供应商在响应报价时，必须承诺按上表中的计</w:t>
            </w:r>
            <w:r>
              <w:rPr>
                <w:color w:val="auto"/>
                <w:spacing w:val="11"/>
                <w:highlight w:val="none"/>
              </w:rPr>
              <w:t>费方式和费率计算服务费，超过</w:t>
            </w:r>
            <w:r>
              <w:rPr>
                <w:color w:val="auto"/>
                <w:spacing w:val="9"/>
                <w:highlight w:val="none"/>
              </w:rPr>
              <w:t>最高限制价的响应报价为无效响应报价，评标委员会将按无效响应处理。</w:t>
            </w:r>
          </w:p>
          <w:p w14:paraId="1CB63909">
            <w:pPr>
              <w:pStyle w:val="1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firstLine="448" w:firstLineChars="200"/>
              <w:textAlignment w:val="auto"/>
              <w:rPr>
                <w:color w:val="auto"/>
                <w:spacing w:val="4"/>
                <w:highlight w:val="none"/>
              </w:rPr>
            </w:pPr>
            <w:r>
              <w:rPr>
                <w:rFonts w:hint="eastAsia"/>
                <w:color w:val="auto"/>
                <w:spacing w:val="12"/>
                <w:highlight w:val="none"/>
                <w:lang w:val="en-US" w:eastAsia="zh-CN"/>
              </w:rPr>
              <w:t>2、</w:t>
            </w:r>
            <w:r>
              <w:rPr>
                <w:color w:val="auto"/>
                <w:spacing w:val="12"/>
                <w:highlight w:val="none"/>
              </w:rPr>
              <w:t>供应商的响应报价已包括了实施和完成审核工作所需的劳务费、技术服务费、</w:t>
            </w:r>
            <w:r>
              <w:rPr>
                <w:color w:val="auto"/>
                <w:spacing w:val="9"/>
                <w:highlight w:val="none"/>
              </w:rPr>
              <w:t>交通、通讯、办公场地、管理费、税费和利润等费用和政策性文件规定及合同包含的所有风险、责任等各项应有的费用，除非上述费用在合同中另有说明，合同期内，费率不</w:t>
            </w:r>
            <w:r>
              <w:rPr>
                <w:color w:val="auto"/>
                <w:spacing w:val="4"/>
                <w:highlight w:val="none"/>
              </w:rPr>
              <w:t>再调整。</w:t>
            </w:r>
          </w:p>
          <w:p w14:paraId="4D391C55">
            <w:pPr>
              <w:pStyle w:val="114"/>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right="0" w:rightChars="0" w:firstLine="444" w:firstLineChars="200"/>
              <w:textAlignment w:val="auto"/>
              <w:rPr>
                <w:color w:val="auto"/>
                <w:spacing w:val="9"/>
                <w:highlight w:val="none"/>
              </w:rPr>
            </w:pPr>
            <w:r>
              <w:rPr>
                <w:color w:val="auto"/>
                <w:spacing w:val="11"/>
                <w:highlight w:val="none"/>
              </w:rPr>
              <w:t>3、个别特别重大或特别复杂项目的审核服务费最高金额</w:t>
            </w:r>
            <w:r>
              <w:rPr>
                <w:color w:val="auto"/>
                <w:spacing w:val="10"/>
                <w:highlight w:val="none"/>
              </w:rPr>
              <w:t>，</w:t>
            </w:r>
            <w:r>
              <w:rPr>
                <w:color w:val="auto"/>
                <w:spacing w:val="-56"/>
                <w:highlight w:val="none"/>
              </w:rPr>
              <w:t xml:space="preserve"> </w:t>
            </w:r>
            <w:r>
              <w:rPr>
                <w:color w:val="auto"/>
                <w:spacing w:val="10"/>
                <w:highlight w:val="none"/>
              </w:rPr>
              <w:t>由征集人（采购人）在</w:t>
            </w:r>
            <w:r>
              <w:rPr>
                <w:color w:val="auto"/>
                <w:spacing w:val="9"/>
                <w:highlight w:val="none"/>
              </w:rPr>
              <w:t>入围供应商范围内进行二次采购，结合入围供应商的服务费报价与服务质量等因素另行</w:t>
            </w:r>
            <w:r>
              <w:rPr>
                <w:color w:val="auto"/>
                <w:spacing w:val="3"/>
                <w:highlight w:val="none"/>
              </w:rPr>
              <w:t>约定。</w:t>
            </w:r>
          </w:p>
        </w:tc>
      </w:tr>
      <w:tr w14:paraId="12AE7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9611" w:type="dxa"/>
            <w:gridSpan w:val="5"/>
            <w:tcBorders>
              <w:top w:val="single" w:color="auto" w:sz="4" w:space="0"/>
              <w:left w:val="single" w:color="auto" w:sz="4" w:space="0"/>
              <w:bottom w:val="single" w:color="auto" w:sz="4" w:space="0"/>
              <w:right w:val="single" w:color="auto" w:sz="4" w:space="0"/>
            </w:tcBorders>
            <w:noWrap w:val="0"/>
            <w:vAlign w:val="top"/>
          </w:tcPr>
          <w:p w14:paraId="683B4489">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b/>
                <w:bCs/>
                <w:color w:val="auto"/>
                <w:spacing w:val="6"/>
                <w:highlight w:val="none"/>
              </w:rPr>
            </w:pPr>
            <w:r>
              <w:rPr>
                <w:rFonts w:hint="eastAsia"/>
                <w:b/>
                <w:bCs/>
                <w:color w:val="auto"/>
                <w:spacing w:val="5"/>
                <w:highlight w:val="none"/>
                <w:lang w:val="en-US" w:eastAsia="zh-CN"/>
              </w:rPr>
              <w:t>2</w:t>
            </w:r>
            <w:r>
              <w:rPr>
                <w:rFonts w:ascii="Times New Roman" w:hAnsi="Times New Roman" w:eastAsia="宋体" w:cs="Times New Roman"/>
                <w:b/>
                <w:bCs/>
                <w:color w:val="auto"/>
                <w:spacing w:val="6"/>
                <w:highlight w:val="none"/>
              </w:rPr>
              <w:t>、其他要求</w:t>
            </w:r>
          </w:p>
        </w:tc>
      </w:tr>
      <w:tr w14:paraId="56AF4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6" w:hRule="atLeast"/>
          <w:jc w:val="center"/>
        </w:trPr>
        <w:tc>
          <w:tcPr>
            <w:tcW w:w="2040" w:type="dxa"/>
            <w:gridSpan w:val="2"/>
            <w:vMerge w:val="restart"/>
            <w:tcBorders>
              <w:top w:val="single" w:color="auto" w:sz="4" w:space="0"/>
              <w:left w:val="single" w:color="auto" w:sz="4" w:space="0"/>
              <w:right w:val="single" w:color="auto" w:sz="4" w:space="0"/>
            </w:tcBorders>
            <w:noWrap w:val="0"/>
            <w:vAlign w:val="center"/>
          </w:tcPr>
          <w:p w14:paraId="01B8F7CC">
            <w:pPr>
              <w:spacing w:before="65" w:line="226" w:lineRule="auto"/>
              <w:jc w:val="center"/>
              <w:rPr>
                <w:b/>
                <w:bCs/>
                <w:color w:val="auto"/>
                <w:spacing w:val="6"/>
                <w:sz w:val="20"/>
                <w:szCs w:val="20"/>
                <w:highlight w:val="none"/>
              </w:rPr>
            </w:pPr>
            <w:r>
              <w:rPr>
                <w:b w:val="0"/>
                <w:bCs w:val="0"/>
                <w:color w:val="auto"/>
                <w:spacing w:val="6"/>
                <w:sz w:val="20"/>
                <w:szCs w:val="20"/>
                <w:highlight w:val="none"/>
              </w:rPr>
              <w:t>服务成果交付时间及地点</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426FC47D">
            <w:pPr>
              <w:keepNext w:val="0"/>
              <w:keepLines w:val="0"/>
              <w:pageBreakBefore w:val="0"/>
              <w:widowControl w:val="0"/>
              <w:numPr>
                <w:ilvl w:val="0"/>
                <w:numId w:val="4"/>
              </w:numPr>
              <w:kinsoku/>
              <w:wordWrap/>
              <w:overflowPunct/>
              <w:topLinePunct w:val="0"/>
              <w:autoSpaceDE/>
              <w:autoSpaceDN/>
              <w:bidi w:val="0"/>
              <w:adjustRightInd/>
              <w:snapToGrid/>
              <w:spacing w:line="300" w:lineRule="auto"/>
              <w:ind w:right="0" w:rightChars="0"/>
              <w:textAlignment w:val="auto"/>
              <w:rPr>
                <w:b w:val="0"/>
                <w:bCs w:val="0"/>
                <w:color w:val="auto"/>
                <w:spacing w:val="6"/>
                <w:sz w:val="20"/>
                <w:szCs w:val="20"/>
                <w:highlight w:val="none"/>
              </w:rPr>
            </w:pPr>
            <w:r>
              <w:rPr>
                <w:b w:val="0"/>
                <w:bCs w:val="0"/>
                <w:color w:val="auto"/>
                <w:spacing w:val="6"/>
                <w:sz w:val="20"/>
                <w:szCs w:val="20"/>
                <w:highlight w:val="none"/>
              </w:rPr>
              <w:t>服务成果交付时间：</w:t>
            </w:r>
          </w:p>
          <w:tbl>
            <w:tblPr>
              <w:tblStyle w:val="46"/>
              <w:tblW w:w="7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078"/>
              <w:gridCol w:w="1061"/>
              <w:gridCol w:w="1226"/>
              <w:gridCol w:w="1226"/>
              <w:gridCol w:w="1226"/>
            </w:tblGrid>
            <w:tr w14:paraId="08BD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center"/>
                </w:tcPr>
                <w:p w14:paraId="03D5AADC">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送审造价</w:t>
                  </w:r>
                </w:p>
              </w:tc>
              <w:tc>
                <w:tcPr>
                  <w:tcW w:w="1078" w:type="dxa"/>
                  <w:noWrap w:val="0"/>
                  <w:vAlign w:val="center"/>
                </w:tcPr>
                <w:p w14:paraId="477CAD48">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出具初审报告工作时限</w:t>
                  </w:r>
                </w:p>
              </w:tc>
              <w:tc>
                <w:tcPr>
                  <w:tcW w:w="1061" w:type="dxa"/>
                  <w:noWrap w:val="0"/>
                  <w:vAlign w:val="center"/>
                </w:tcPr>
                <w:p w14:paraId="308E9885">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对数工作</w:t>
                  </w:r>
                </w:p>
                <w:p w14:paraId="3F56097B">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时限</w:t>
                  </w:r>
                </w:p>
              </w:tc>
              <w:tc>
                <w:tcPr>
                  <w:tcW w:w="1226" w:type="dxa"/>
                  <w:noWrap w:val="0"/>
                  <w:vAlign w:val="center"/>
                </w:tcPr>
                <w:p w14:paraId="53283436">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二次复核</w:t>
                  </w:r>
                </w:p>
                <w:p w14:paraId="3EE14CFB">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工作时限</w:t>
                  </w:r>
                </w:p>
              </w:tc>
              <w:tc>
                <w:tcPr>
                  <w:tcW w:w="1226" w:type="dxa"/>
                  <w:noWrap w:val="0"/>
                  <w:vAlign w:val="center"/>
                </w:tcPr>
                <w:p w14:paraId="671119A3">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出具审核报</w:t>
                  </w:r>
                </w:p>
                <w:p w14:paraId="6F25DDB8">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告工作时限</w:t>
                  </w:r>
                </w:p>
              </w:tc>
              <w:tc>
                <w:tcPr>
                  <w:tcW w:w="1226" w:type="dxa"/>
                  <w:noWrap w:val="0"/>
                  <w:vAlign w:val="center"/>
                </w:tcPr>
                <w:p w14:paraId="10335F9E">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总审核工作</w:t>
                  </w:r>
                </w:p>
                <w:p w14:paraId="007DD90D">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时限</w:t>
                  </w:r>
                </w:p>
              </w:tc>
            </w:tr>
            <w:tr w14:paraId="333F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5B128D7A">
                  <w:pPr>
                    <w:pStyle w:val="114"/>
                    <w:spacing w:before="32" w:line="216"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2"/>
                      <w:sz w:val="20"/>
                      <w:szCs w:val="20"/>
                      <w:highlight w:val="none"/>
                    </w:rPr>
                    <w:t>100</w:t>
                  </w:r>
                  <w:r>
                    <w:rPr>
                      <w:rFonts w:hint="default" w:ascii="Times New Roman" w:hAnsi="Times New Roman" w:cs="Times New Roman"/>
                      <w:b w:val="0"/>
                      <w:bCs w:val="0"/>
                      <w:color w:val="auto"/>
                      <w:spacing w:val="2"/>
                      <w:sz w:val="20"/>
                      <w:szCs w:val="20"/>
                      <w:highlight w:val="none"/>
                    </w:rPr>
                    <w:t>万元以下</w:t>
                  </w:r>
                </w:p>
              </w:tc>
              <w:tc>
                <w:tcPr>
                  <w:tcW w:w="1078" w:type="dxa"/>
                  <w:noWrap w:val="0"/>
                  <w:vAlign w:val="top"/>
                </w:tcPr>
                <w:p w14:paraId="7BDBD7A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7 天</w:t>
                  </w:r>
                </w:p>
              </w:tc>
              <w:tc>
                <w:tcPr>
                  <w:tcW w:w="1061" w:type="dxa"/>
                  <w:noWrap w:val="0"/>
                  <w:vAlign w:val="top"/>
                </w:tcPr>
                <w:p w14:paraId="1839FB3D">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3833F4D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2451C4D8">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3F0858A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15 天</w:t>
                  </w:r>
                </w:p>
              </w:tc>
            </w:tr>
            <w:tr w14:paraId="424A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1903C6E7">
                  <w:pPr>
                    <w:pStyle w:val="114"/>
                    <w:spacing w:before="31" w:line="218"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1"/>
                      <w:sz w:val="20"/>
                      <w:szCs w:val="20"/>
                      <w:highlight w:val="none"/>
                    </w:rPr>
                    <w:t>100-200</w:t>
                  </w:r>
                  <w:r>
                    <w:rPr>
                      <w:rFonts w:hint="default" w:ascii="Times New Roman" w:hAnsi="Times New Roman" w:cs="Times New Roman"/>
                      <w:b w:val="0"/>
                      <w:bCs w:val="0"/>
                      <w:color w:val="auto"/>
                      <w:spacing w:val="1"/>
                      <w:sz w:val="20"/>
                      <w:szCs w:val="20"/>
                      <w:highlight w:val="none"/>
                    </w:rPr>
                    <w:t>万元</w:t>
                  </w:r>
                </w:p>
              </w:tc>
              <w:tc>
                <w:tcPr>
                  <w:tcW w:w="1078" w:type="dxa"/>
                  <w:noWrap w:val="0"/>
                  <w:vAlign w:val="top"/>
                </w:tcPr>
                <w:p w14:paraId="1B4813B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10 天</w:t>
                  </w:r>
                </w:p>
              </w:tc>
              <w:tc>
                <w:tcPr>
                  <w:tcW w:w="1061" w:type="dxa"/>
                  <w:noWrap w:val="0"/>
                  <w:vAlign w:val="top"/>
                </w:tcPr>
                <w:p w14:paraId="2C0F1E3B">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 天</w:t>
                  </w:r>
                </w:p>
              </w:tc>
              <w:tc>
                <w:tcPr>
                  <w:tcW w:w="1226" w:type="dxa"/>
                  <w:noWrap w:val="0"/>
                  <w:vAlign w:val="top"/>
                </w:tcPr>
                <w:p w14:paraId="6DF14D5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 天</w:t>
                  </w:r>
                </w:p>
              </w:tc>
              <w:tc>
                <w:tcPr>
                  <w:tcW w:w="1226" w:type="dxa"/>
                  <w:noWrap w:val="0"/>
                  <w:vAlign w:val="top"/>
                </w:tcPr>
                <w:p w14:paraId="77AF9771">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73906E9D">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20 天</w:t>
                  </w:r>
                </w:p>
              </w:tc>
            </w:tr>
            <w:tr w14:paraId="4A36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687CCD45">
                  <w:pPr>
                    <w:pStyle w:val="114"/>
                    <w:spacing w:before="32" w:line="216"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3"/>
                      <w:sz w:val="20"/>
                      <w:szCs w:val="20"/>
                      <w:highlight w:val="none"/>
                    </w:rPr>
                    <w:t>200-500</w:t>
                  </w:r>
                  <w:r>
                    <w:rPr>
                      <w:rFonts w:hint="default" w:ascii="Times New Roman" w:hAnsi="Times New Roman" w:cs="Times New Roman"/>
                      <w:b w:val="0"/>
                      <w:bCs w:val="0"/>
                      <w:color w:val="auto"/>
                      <w:spacing w:val="3"/>
                      <w:sz w:val="20"/>
                      <w:szCs w:val="20"/>
                      <w:highlight w:val="none"/>
                    </w:rPr>
                    <w:t>万元</w:t>
                  </w:r>
                </w:p>
              </w:tc>
              <w:tc>
                <w:tcPr>
                  <w:tcW w:w="1078" w:type="dxa"/>
                  <w:noWrap w:val="0"/>
                  <w:vAlign w:val="top"/>
                </w:tcPr>
                <w:p w14:paraId="6B3BF68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12 天</w:t>
                  </w:r>
                </w:p>
              </w:tc>
              <w:tc>
                <w:tcPr>
                  <w:tcW w:w="1061" w:type="dxa"/>
                  <w:noWrap w:val="0"/>
                  <w:vAlign w:val="top"/>
                </w:tcPr>
                <w:p w14:paraId="156B350A">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6 天</w:t>
                  </w:r>
                </w:p>
              </w:tc>
              <w:tc>
                <w:tcPr>
                  <w:tcW w:w="1226" w:type="dxa"/>
                  <w:noWrap w:val="0"/>
                  <w:vAlign w:val="top"/>
                </w:tcPr>
                <w:p w14:paraId="3BA0C44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5CD5EA1B">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31B2A2C0">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25 天</w:t>
                  </w:r>
                </w:p>
              </w:tc>
            </w:tr>
            <w:tr w14:paraId="2988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49E2FD0F">
                  <w:pPr>
                    <w:pStyle w:val="114"/>
                    <w:spacing w:before="30" w:line="218"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3"/>
                      <w:sz w:val="20"/>
                      <w:szCs w:val="20"/>
                      <w:highlight w:val="none"/>
                    </w:rPr>
                    <w:t>500-1000</w:t>
                  </w:r>
                  <w:r>
                    <w:rPr>
                      <w:rFonts w:hint="default" w:ascii="Times New Roman" w:hAnsi="Times New Roman" w:cs="Times New Roman"/>
                      <w:b w:val="0"/>
                      <w:bCs w:val="0"/>
                      <w:color w:val="auto"/>
                      <w:spacing w:val="3"/>
                      <w:sz w:val="20"/>
                      <w:szCs w:val="20"/>
                      <w:highlight w:val="none"/>
                    </w:rPr>
                    <w:t>万元</w:t>
                  </w:r>
                </w:p>
              </w:tc>
              <w:tc>
                <w:tcPr>
                  <w:tcW w:w="1078" w:type="dxa"/>
                  <w:noWrap w:val="0"/>
                  <w:vAlign w:val="top"/>
                </w:tcPr>
                <w:p w14:paraId="374474A8">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16 天</w:t>
                  </w:r>
                </w:p>
              </w:tc>
              <w:tc>
                <w:tcPr>
                  <w:tcW w:w="1061" w:type="dxa"/>
                  <w:noWrap w:val="0"/>
                  <w:vAlign w:val="top"/>
                </w:tcPr>
                <w:p w14:paraId="603BA63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7 天</w:t>
                  </w:r>
                </w:p>
              </w:tc>
              <w:tc>
                <w:tcPr>
                  <w:tcW w:w="1226" w:type="dxa"/>
                  <w:noWrap w:val="0"/>
                  <w:vAlign w:val="top"/>
                </w:tcPr>
                <w:p w14:paraId="4334DCB9">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7172AF7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375A21F2">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30 天</w:t>
                  </w:r>
                </w:p>
              </w:tc>
            </w:tr>
            <w:tr w14:paraId="3745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7E095573">
                  <w:pPr>
                    <w:pStyle w:val="114"/>
                    <w:spacing w:before="32" w:line="217"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2"/>
                      <w:sz w:val="20"/>
                      <w:szCs w:val="20"/>
                      <w:highlight w:val="none"/>
                    </w:rPr>
                    <w:t>1000-200</w:t>
                  </w:r>
                  <w:r>
                    <w:rPr>
                      <w:rFonts w:hint="default" w:ascii="Times New Roman" w:hAnsi="Times New Roman" w:cs="Times New Roman"/>
                      <w:b w:val="0"/>
                      <w:bCs w:val="0"/>
                      <w:color w:val="auto"/>
                      <w:spacing w:val="2"/>
                      <w:sz w:val="20"/>
                      <w:szCs w:val="20"/>
                      <w:highlight w:val="none"/>
                    </w:rPr>
                    <w:t>万元</w:t>
                  </w:r>
                </w:p>
              </w:tc>
              <w:tc>
                <w:tcPr>
                  <w:tcW w:w="1078" w:type="dxa"/>
                  <w:noWrap w:val="0"/>
                  <w:vAlign w:val="top"/>
                </w:tcPr>
                <w:p w14:paraId="238A690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18 天</w:t>
                  </w:r>
                </w:p>
              </w:tc>
              <w:tc>
                <w:tcPr>
                  <w:tcW w:w="1061" w:type="dxa"/>
                  <w:noWrap w:val="0"/>
                  <w:vAlign w:val="top"/>
                </w:tcPr>
                <w:p w14:paraId="072850F6">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9 天</w:t>
                  </w:r>
                </w:p>
              </w:tc>
              <w:tc>
                <w:tcPr>
                  <w:tcW w:w="1226" w:type="dxa"/>
                  <w:noWrap w:val="0"/>
                  <w:vAlign w:val="top"/>
                </w:tcPr>
                <w:p w14:paraId="26D167D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4B07542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4BE4278E">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35 天</w:t>
                  </w:r>
                </w:p>
              </w:tc>
            </w:tr>
            <w:tr w14:paraId="33ED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26B95A14">
                  <w:pPr>
                    <w:pStyle w:val="114"/>
                    <w:spacing w:before="29" w:line="219"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4"/>
                      <w:sz w:val="20"/>
                      <w:szCs w:val="20"/>
                      <w:highlight w:val="none"/>
                    </w:rPr>
                    <w:t>2000-500</w:t>
                  </w:r>
                  <w:r>
                    <w:rPr>
                      <w:rFonts w:hint="default" w:ascii="Times New Roman" w:hAnsi="Times New Roman" w:cs="Times New Roman"/>
                      <w:b w:val="0"/>
                      <w:bCs w:val="0"/>
                      <w:color w:val="auto"/>
                      <w:spacing w:val="4"/>
                      <w:sz w:val="20"/>
                      <w:szCs w:val="20"/>
                      <w:highlight w:val="none"/>
                    </w:rPr>
                    <w:t>万元</w:t>
                  </w:r>
                </w:p>
              </w:tc>
              <w:tc>
                <w:tcPr>
                  <w:tcW w:w="1078" w:type="dxa"/>
                  <w:noWrap w:val="0"/>
                  <w:vAlign w:val="top"/>
                </w:tcPr>
                <w:p w14:paraId="3C2036B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22 天</w:t>
                  </w:r>
                </w:p>
              </w:tc>
              <w:tc>
                <w:tcPr>
                  <w:tcW w:w="1061" w:type="dxa"/>
                  <w:noWrap w:val="0"/>
                  <w:vAlign w:val="top"/>
                </w:tcPr>
                <w:p w14:paraId="3CE85E5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12 天</w:t>
                  </w:r>
                </w:p>
              </w:tc>
              <w:tc>
                <w:tcPr>
                  <w:tcW w:w="1226" w:type="dxa"/>
                  <w:noWrap w:val="0"/>
                  <w:vAlign w:val="top"/>
                </w:tcPr>
                <w:p w14:paraId="386D509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8 天</w:t>
                  </w:r>
                </w:p>
              </w:tc>
              <w:tc>
                <w:tcPr>
                  <w:tcW w:w="1226" w:type="dxa"/>
                  <w:noWrap w:val="0"/>
                  <w:vAlign w:val="top"/>
                </w:tcPr>
                <w:p w14:paraId="1B89647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6EB375B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45 天</w:t>
                  </w:r>
                </w:p>
              </w:tc>
            </w:tr>
            <w:tr w14:paraId="3B53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top"/>
                </w:tcPr>
                <w:p w14:paraId="50DC38AF">
                  <w:pPr>
                    <w:pStyle w:val="114"/>
                    <w:spacing w:before="31" w:line="217"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4"/>
                      <w:sz w:val="20"/>
                      <w:szCs w:val="20"/>
                      <w:highlight w:val="none"/>
                    </w:rPr>
                    <w:t>500</w:t>
                  </w:r>
                  <w:r>
                    <w:rPr>
                      <w:rFonts w:hint="default" w:ascii="Times New Roman" w:hAnsi="Times New Roman" w:eastAsia="宋体" w:cs="Times New Roman"/>
                      <w:b w:val="0"/>
                      <w:bCs w:val="0"/>
                      <w:color w:val="auto"/>
                      <w:spacing w:val="4"/>
                      <w:sz w:val="20"/>
                      <w:szCs w:val="20"/>
                      <w:highlight w:val="none"/>
                      <w:lang w:val="en-US" w:eastAsia="zh-CN"/>
                    </w:rPr>
                    <w:t>0</w:t>
                  </w:r>
                  <w:r>
                    <w:rPr>
                      <w:rFonts w:hint="default" w:ascii="Times New Roman" w:hAnsi="Times New Roman" w:cs="Times New Roman"/>
                      <w:b w:val="0"/>
                      <w:bCs w:val="0"/>
                      <w:color w:val="auto"/>
                      <w:spacing w:val="4"/>
                      <w:sz w:val="20"/>
                      <w:szCs w:val="20"/>
                      <w:highlight w:val="none"/>
                    </w:rPr>
                    <w:t>万元以上</w:t>
                  </w:r>
                </w:p>
              </w:tc>
              <w:tc>
                <w:tcPr>
                  <w:tcW w:w="1078" w:type="dxa"/>
                  <w:noWrap w:val="0"/>
                  <w:vAlign w:val="top"/>
                </w:tcPr>
                <w:p w14:paraId="4A3F1F3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30 天</w:t>
                  </w:r>
                </w:p>
              </w:tc>
              <w:tc>
                <w:tcPr>
                  <w:tcW w:w="1061" w:type="dxa"/>
                  <w:noWrap w:val="0"/>
                  <w:vAlign w:val="top"/>
                </w:tcPr>
                <w:p w14:paraId="307B546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15 天</w:t>
                  </w:r>
                </w:p>
              </w:tc>
              <w:tc>
                <w:tcPr>
                  <w:tcW w:w="1226" w:type="dxa"/>
                  <w:noWrap w:val="0"/>
                  <w:vAlign w:val="top"/>
                </w:tcPr>
                <w:p w14:paraId="7A5FD752">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10 天</w:t>
                  </w:r>
                </w:p>
              </w:tc>
              <w:tc>
                <w:tcPr>
                  <w:tcW w:w="1226" w:type="dxa"/>
                  <w:noWrap w:val="0"/>
                  <w:vAlign w:val="top"/>
                </w:tcPr>
                <w:p w14:paraId="19E44A40">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24E6A60E">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60 天</w:t>
                  </w:r>
                </w:p>
              </w:tc>
            </w:tr>
          </w:tbl>
          <w:p w14:paraId="652EED2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eastAsia="宋体"/>
                <w:b w:val="0"/>
                <w:bCs w:val="0"/>
                <w:color w:val="auto"/>
                <w:spacing w:val="6"/>
                <w:sz w:val="20"/>
                <w:szCs w:val="20"/>
                <w:highlight w:val="none"/>
                <w:lang w:val="en-US" w:eastAsia="zh-CN"/>
              </w:rPr>
            </w:pPr>
          </w:p>
        </w:tc>
      </w:tr>
      <w:tr w14:paraId="0B3F0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2040" w:type="dxa"/>
            <w:gridSpan w:val="2"/>
            <w:vMerge w:val="continue"/>
            <w:tcBorders>
              <w:left w:val="single" w:color="auto" w:sz="4" w:space="0"/>
              <w:right w:val="single" w:color="auto" w:sz="4" w:space="0"/>
            </w:tcBorders>
            <w:noWrap w:val="0"/>
            <w:vAlign w:val="center"/>
          </w:tcPr>
          <w:p w14:paraId="796733C1">
            <w:pPr>
              <w:spacing w:before="65" w:line="226" w:lineRule="auto"/>
              <w:jc w:val="center"/>
              <w:rPr>
                <w:b w:val="0"/>
                <w:bCs w:val="0"/>
                <w:color w:val="auto"/>
                <w:spacing w:val="6"/>
                <w:sz w:val="20"/>
                <w:szCs w:val="20"/>
                <w:highlight w:val="none"/>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5E19E0D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rFonts w:hint="eastAsia"/>
                <w:b w:val="0"/>
                <w:bCs w:val="0"/>
                <w:color w:val="auto"/>
                <w:spacing w:val="6"/>
                <w:sz w:val="20"/>
                <w:szCs w:val="20"/>
                <w:highlight w:val="none"/>
                <w:lang w:val="en-US" w:eastAsia="zh-CN"/>
              </w:rPr>
            </w:pPr>
            <w:r>
              <w:rPr>
                <w:rFonts w:hint="eastAsia"/>
                <w:b w:val="0"/>
                <w:bCs w:val="0"/>
                <w:color w:val="auto"/>
                <w:spacing w:val="6"/>
                <w:sz w:val="20"/>
                <w:szCs w:val="20"/>
                <w:highlight w:val="none"/>
                <w:lang w:val="en-US" w:eastAsia="zh-CN"/>
              </w:rPr>
              <w:t>2、入围供应商在审核过程中因争议问题不能形成审核结论的，应做好书面记录报项目委托单位组组长，经组长批准可延长审核时间。</w:t>
            </w:r>
          </w:p>
        </w:tc>
      </w:tr>
      <w:tr w14:paraId="09D1B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2040" w:type="dxa"/>
            <w:gridSpan w:val="2"/>
            <w:vMerge w:val="continue"/>
            <w:tcBorders>
              <w:left w:val="single" w:color="auto" w:sz="4" w:space="0"/>
              <w:right w:val="single" w:color="auto" w:sz="4" w:space="0"/>
            </w:tcBorders>
            <w:noWrap w:val="0"/>
            <w:vAlign w:val="center"/>
          </w:tcPr>
          <w:p w14:paraId="0E697C47">
            <w:pPr>
              <w:spacing w:before="65" w:line="226" w:lineRule="auto"/>
              <w:jc w:val="center"/>
              <w:rPr>
                <w:b w:val="0"/>
                <w:bCs w:val="0"/>
                <w:color w:val="auto"/>
                <w:spacing w:val="6"/>
                <w:sz w:val="20"/>
                <w:szCs w:val="20"/>
                <w:highlight w:val="none"/>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1D8DBBE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color w:val="auto"/>
                <w:spacing w:val="12"/>
                <w:sz w:val="20"/>
                <w:szCs w:val="20"/>
                <w:highlight w:val="none"/>
              </w:rPr>
            </w:pPr>
            <w:r>
              <w:rPr>
                <w:color w:val="auto"/>
                <w:spacing w:val="12"/>
                <w:sz w:val="20"/>
                <w:szCs w:val="20"/>
                <w:highlight w:val="none"/>
              </w:rPr>
              <w:t>3、入围供应商无故延长审核时间，委托方除扣减委托审核费（按每逾</w:t>
            </w:r>
            <w:r>
              <w:rPr>
                <w:color w:val="auto"/>
                <w:spacing w:val="11"/>
                <w:sz w:val="20"/>
                <w:szCs w:val="20"/>
                <w:highlight w:val="none"/>
              </w:rPr>
              <w:t>期一天扣减该项</w:t>
            </w:r>
            <w:r>
              <w:rPr>
                <w:color w:val="auto"/>
                <w:spacing w:val="7"/>
                <w:sz w:val="20"/>
                <w:szCs w:val="20"/>
                <w:highlight w:val="none"/>
              </w:rPr>
              <w:t>目委托审核费的</w:t>
            </w:r>
            <w:r>
              <w:rPr>
                <w:color w:val="auto"/>
                <w:spacing w:val="-25"/>
                <w:sz w:val="20"/>
                <w:szCs w:val="20"/>
                <w:highlight w:val="none"/>
              </w:rPr>
              <w:t xml:space="preserve"> </w:t>
            </w:r>
            <w:r>
              <w:rPr>
                <w:color w:val="auto"/>
                <w:spacing w:val="7"/>
                <w:sz w:val="20"/>
                <w:szCs w:val="20"/>
                <w:highlight w:val="none"/>
              </w:rPr>
              <w:t>3%计算）外，并将暂停委托项目审核；审核时间延迟一个月以上的视为</w:t>
            </w:r>
            <w:r>
              <w:rPr>
                <w:color w:val="auto"/>
                <w:spacing w:val="9"/>
                <w:sz w:val="20"/>
                <w:szCs w:val="20"/>
                <w:highlight w:val="none"/>
              </w:rPr>
              <w:t>受托方无法完成该项目工程结算审核工作，委托方有权收回工程结算审核资料并扣除该项目的委托审核业务费，当年累计有两项无法完成的审核项目，委托方有权取消受托方</w:t>
            </w:r>
            <w:r>
              <w:rPr>
                <w:color w:val="auto"/>
                <w:spacing w:val="6"/>
                <w:sz w:val="20"/>
                <w:szCs w:val="20"/>
                <w:highlight w:val="none"/>
              </w:rPr>
              <w:t>的受托审核资格。</w:t>
            </w:r>
          </w:p>
        </w:tc>
      </w:tr>
      <w:tr w14:paraId="0EFCD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2040" w:type="dxa"/>
            <w:gridSpan w:val="2"/>
            <w:vMerge w:val="continue"/>
            <w:tcBorders>
              <w:left w:val="single" w:color="auto" w:sz="4" w:space="0"/>
              <w:right w:val="single" w:color="auto" w:sz="4" w:space="0"/>
            </w:tcBorders>
            <w:noWrap w:val="0"/>
            <w:vAlign w:val="center"/>
          </w:tcPr>
          <w:p w14:paraId="36AF8BA7">
            <w:pPr>
              <w:spacing w:before="65" w:line="226" w:lineRule="auto"/>
              <w:jc w:val="center"/>
              <w:rPr>
                <w:b w:val="0"/>
                <w:bCs w:val="0"/>
                <w:color w:val="auto"/>
                <w:spacing w:val="6"/>
                <w:sz w:val="20"/>
                <w:szCs w:val="20"/>
                <w:highlight w:val="none"/>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4CE8DDA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textAlignment w:val="auto"/>
              <w:rPr>
                <w:color w:val="auto"/>
                <w:spacing w:val="12"/>
                <w:sz w:val="20"/>
                <w:szCs w:val="20"/>
                <w:highlight w:val="none"/>
              </w:rPr>
            </w:pPr>
            <w:r>
              <w:rPr>
                <w:color w:val="auto"/>
                <w:spacing w:val="12"/>
                <w:sz w:val="20"/>
                <w:szCs w:val="20"/>
                <w:highlight w:val="none"/>
              </w:rPr>
              <w:t>4、征集人（采购人）不承诺入围供应商在入围有效期内实际承担的工程结算审核服务项目数量。征集人（采购人）委托入围供应商进行工程结算审核服务时，入围供应商不应拒绝。</w:t>
            </w:r>
          </w:p>
        </w:tc>
      </w:tr>
      <w:tr w14:paraId="2AEF1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vMerge w:val="continue"/>
            <w:tcBorders>
              <w:left w:val="single" w:color="auto" w:sz="4" w:space="0"/>
              <w:bottom w:val="single" w:color="auto" w:sz="4" w:space="0"/>
              <w:right w:val="single" w:color="auto" w:sz="4" w:space="0"/>
            </w:tcBorders>
            <w:noWrap w:val="0"/>
            <w:vAlign w:val="center"/>
          </w:tcPr>
          <w:p w14:paraId="28433A3A">
            <w:pPr>
              <w:spacing w:before="65" w:line="226" w:lineRule="auto"/>
              <w:jc w:val="center"/>
              <w:rPr>
                <w:b w:val="0"/>
                <w:bCs w:val="0"/>
                <w:color w:val="auto"/>
                <w:spacing w:val="6"/>
                <w:sz w:val="20"/>
                <w:szCs w:val="20"/>
                <w:highlight w:val="none"/>
              </w:rPr>
            </w:pP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75881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color w:val="auto"/>
                <w:spacing w:val="12"/>
                <w:sz w:val="20"/>
                <w:szCs w:val="20"/>
                <w:highlight w:val="none"/>
              </w:rPr>
            </w:pPr>
            <w:r>
              <w:rPr>
                <w:color w:val="auto"/>
                <w:spacing w:val="8"/>
                <w:highlight w:val="none"/>
              </w:rPr>
              <w:t>5、交付地点：征集人（采购人）指定地点。</w:t>
            </w:r>
          </w:p>
        </w:tc>
      </w:tr>
      <w:tr w14:paraId="75237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top"/>
          </w:tcPr>
          <w:p w14:paraId="2426AA9B">
            <w:pPr>
              <w:spacing w:line="268" w:lineRule="auto"/>
              <w:rPr>
                <w:rFonts w:ascii="Arial"/>
                <w:color w:val="auto"/>
                <w:sz w:val="21"/>
                <w:highlight w:val="none"/>
              </w:rPr>
            </w:pPr>
          </w:p>
          <w:p w14:paraId="3651DF59">
            <w:pPr>
              <w:spacing w:line="268" w:lineRule="auto"/>
              <w:rPr>
                <w:rFonts w:ascii="Arial"/>
                <w:color w:val="auto"/>
                <w:sz w:val="21"/>
                <w:highlight w:val="none"/>
              </w:rPr>
            </w:pPr>
          </w:p>
          <w:p w14:paraId="6D436D1F">
            <w:pPr>
              <w:spacing w:line="268" w:lineRule="auto"/>
              <w:rPr>
                <w:rFonts w:ascii="Arial"/>
                <w:color w:val="auto"/>
                <w:sz w:val="21"/>
                <w:highlight w:val="none"/>
              </w:rPr>
            </w:pPr>
          </w:p>
          <w:p w14:paraId="61638D42">
            <w:pPr>
              <w:spacing w:line="268" w:lineRule="auto"/>
              <w:rPr>
                <w:rFonts w:ascii="Arial"/>
                <w:color w:val="auto"/>
                <w:sz w:val="21"/>
                <w:highlight w:val="none"/>
              </w:rPr>
            </w:pPr>
          </w:p>
          <w:p w14:paraId="59C99DCF">
            <w:pPr>
              <w:pStyle w:val="114"/>
              <w:spacing w:before="65" w:line="228" w:lineRule="auto"/>
              <w:ind w:left="434" w:leftChars="0"/>
              <w:rPr>
                <w:b w:val="0"/>
                <w:bCs w:val="0"/>
                <w:color w:val="auto"/>
                <w:spacing w:val="6"/>
                <w:sz w:val="20"/>
                <w:szCs w:val="20"/>
                <w:highlight w:val="none"/>
              </w:rPr>
            </w:pPr>
            <w:r>
              <w:rPr>
                <w:color w:val="auto"/>
                <w:spacing w:val="7"/>
                <w:highlight w:val="none"/>
              </w:rPr>
              <w:t>付款条件</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3F06466F">
            <w:pPr>
              <w:pStyle w:val="114"/>
              <w:keepNext w:val="0"/>
              <w:keepLines w:val="0"/>
              <w:pageBreakBefore w:val="0"/>
              <w:widowControl w:val="0"/>
              <w:kinsoku/>
              <w:wordWrap/>
              <w:overflowPunct/>
              <w:topLinePunct w:val="0"/>
              <w:autoSpaceDE/>
              <w:autoSpaceDN/>
              <w:bidi w:val="0"/>
              <w:adjustRightInd/>
              <w:snapToGrid/>
              <w:spacing w:line="227" w:lineRule="auto"/>
              <w:ind w:left="0" w:right="0"/>
              <w:textAlignment w:val="auto"/>
              <w:rPr>
                <w:rFonts w:ascii="Times New Roman" w:hAnsi="Times New Roman" w:eastAsia="宋体" w:cs="Times New Roman"/>
                <w:color w:val="auto"/>
                <w:spacing w:val="12"/>
                <w:kern w:val="2"/>
                <w:sz w:val="20"/>
                <w:szCs w:val="20"/>
                <w:highlight w:val="none"/>
                <w:lang w:val="en-US" w:eastAsia="zh-CN" w:bidi="ar-SA"/>
              </w:rPr>
            </w:pPr>
            <w:r>
              <w:rPr>
                <w:rFonts w:ascii="Times New Roman" w:hAnsi="Times New Roman" w:eastAsia="宋体" w:cs="Times New Roman"/>
                <w:color w:val="auto"/>
                <w:spacing w:val="12"/>
                <w:kern w:val="2"/>
                <w:sz w:val="20"/>
                <w:szCs w:val="20"/>
                <w:highlight w:val="none"/>
                <w:lang w:val="en-US" w:eastAsia="zh-CN" w:bidi="ar-SA"/>
              </w:rPr>
              <w:t>1、本项目无预付款。</w:t>
            </w:r>
          </w:p>
          <w:p w14:paraId="1B8122B1">
            <w:pPr>
              <w:pStyle w:val="114"/>
              <w:keepNext w:val="0"/>
              <w:keepLines w:val="0"/>
              <w:pageBreakBefore w:val="0"/>
              <w:widowControl w:val="0"/>
              <w:kinsoku/>
              <w:wordWrap/>
              <w:overflowPunct/>
              <w:topLinePunct w:val="0"/>
              <w:autoSpaceDE/>
              <w:autoSpaceDN/>
              <w:bidi w:val="0"/>
              <w:adjustRightInd/>
              <w:snapToGrid/>
              <w:spacing w:line="299" w:lineRule="auto"/>
              <w:ind w:left="0" w:right="0"/>
              <w:textAlignment w:val="auto"/>
              <w:rPr>
                <w:rFonts w:ascii="Times New Roman" w:hAnsi="Times New Roman" w:eastAsia="宋体" w:cs="Times New Roman"/>
                <w:color w:val="auto"/>
                <w:spacing w:val="12"/>
                <w:kern w:val="2"/>
                <w:sz w:val="20"/>
                <w:szCs w:val="20"/>
                <w:highlight w:val="none"/>
                <w:lang w:val="en-US" w:eastAsia="zh-CN" w:bidi="ar-SA"/>
              </w:rPr>
            </w:pPr>
            <w:r>
              <w:rPr>
                <w:rFonts w:ascii="Times New Roman" w:hAnsi="Times New Roman" w:eastAsia="宋体" w:cs="Times New Roman"/>
                <w:color w:val="auto"/>
                <w:spacing w:val="12"/>
                <w:kern w:val="2"/>
                <w:sz w:val="20"/>
                <w:szCs w:val="20"/>
                <w:highlight w:val="none"/>
                <w:lang w:val="en-US" w:eastAsia="zh-CN" w:bidi="ar-SA"/>
              </w:rPr>
              <w:t>2、服务费由入围供应商根据结算审核完成情况按半年据实申报，征集人（采购人）审 核无误后统一支付。</w:t>
            </w:r>
          </w:p>
          <w:p w14:paraId="0AADE61E">
            <w:pPr>
              <w:pStyle w:val="114"/>
              <w:keepNext w:val="0"/>
              <w:keepLines w:val="0"/>
              <w:pageBreakBefore w:val="0"/>
              <w:widowControl w:val="0"/>
              <w:kinsoku/>
              <w:wordWrap/>
              <w:overflowPunct/>
              <w:topLinePunct w:val="0"/>
              <w:autoSpaceDE/>
              <w:autoSpaceDN/>
              <w:bidi w:val="0"/>
              <w:adjustRightInd/>
              <w:snapToGrid/>
              <w:spacing w:line="227" w:lineRule="auto"/>
              <w:ind w:left="0" w:right="0"/>
              <w:textAlignment w:val="auto"/>
              <w:outlineLvl w:val="2"/>
              <w:rPr>
                <w:color w:val="auto"/>
                <w:spacing w:val="8"/>
                <w:highlight w:val="none"/>
              </w:rPr>
            </w:pPr>
            <w:r>
              <w:rPr>
                <w:rFonts w:ascii="Times New Roman" w:hAnsi="Times New Roman" w:eastAsia="宋体" w:cs="Times New Roman"/>
                <w:color w:val="auto"/>
                <w:spacing w:val="12"/>
                <w:kern w:val="2"/>
                <w:sz w:val="20"/>
                <w:szCs w:val="20"/>
                <w:highlight w:val="none"/>
                <w:lang w:val="en-US" w:eastAsia="zh-CN" w:bidi="ar-SA"/>
              </w:rPr>
              <w:t>3、合同履行期间，如入围供应商存在违法行为，在政府采购监督管理部门调查期间、被行政处罚期间，征集人（采购人）可视情况依法终止合同。涉及到所承接项目的结算审核服务费，征集人（采购人）可延期或拒绝支付服务费。</w:t>
            </w:r>
          </w:p>
        </w:tc>
      </w:tr>
      <w:tr w14:paraId="1B87D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center"/>
          </w:tcPr>
          <w:p w14:paraId="54D5DB03">
            <w:pPr>
              <w:pStyle w:val="114"/>
              <w:keepNext w:val="0"/>
              <w:keepLines w:val="0"/>
              <w:pageBreakBefore w:val="0"/>
              <w:widowControl w:val="0"/>
              <w:kinsoku/>
              <w:wordWrap/>
              <w:overflowPunct/>
              <w:topLinePunct w:val="0"/>
              <w:autoSpaceDE/>
              <w:autoSpaceDN/>
              <w:bidi w:val="0"/>
              <w:adjustRightInd/>
              <w:snapToGrid/>
              <w:spacing w:line="227" w:lineRule="auto"/>
              <w:ind w:left="0" w:right="0"/>
              <w:jc w:val="center"/>
              <w:textAlignment w:val="auto"/>
              <w:outlineLvl w:val="2"/>
              <w:rPr>
                <w:rFonts w:ascii="Times New Roman" w:hAnsi="Times New Roman" w:eastAsia="宋体" w:cs="Times New Roman"/>
                <w:color w:val="auto"/>
                <w:spacing w:val="12"/>
                <w:kern w:val="2"/>
                <w:sz w:val="20"/>
                <w:szCs w:val="20"/>
                <w:highlight w:val="none"/>
                <w:lang w:val="en-US" w:eastAsia="zh-CN" w:bidi="ar-SA"/>
              </w:rPr>
            </w:pPr>
            <w:r>
              <w:rPr>
                <w:rFonts w:ascii="Times New Roman" w:hAnsi="Times New Roman" w:eastAsia="宋体" w:cs="Times New Roman"/>
                <w:color w:val="auto"/>
                <w:spacing w:val="12"/>
                <w:kern w:val="2"/>
                <w:sz w:val="20"/>
                <w:szCs w:val="20"/>
                <w:highlight w:val="none"/>
                <w:lang w:val="en-US" w:eastAsia="zh-CN" w:bidi="ar-SA"/>
              </w:rPr>
              <w:t>框架协议期限</w:t>
            </w:r>
          </w:p>
        </w:tc>
        <w:tc>
          <w:tcPr>
            <w:tcW w:w="7571" w:type="dxa"/>
            <w:gridSpan w:val="3"/>
            <w:tcBorders>
              <w:top w:val="single" w:color="auto" w:sz="4" w:space="0"/>
              <w:left w:val="single" w:color="auto" w:sz="4" w:space="0"/>
              <w:bottom w:val="single" w:color="auto" w:sz="4" w:space="0"/>
              <w:right w:val="single" w:color="auto" w:sz="4" w:space="0"/>
            </w:tcBorders>
            <w:noWrap w:val="0"/>
            <w:vAlign w:val="center"/>
          </w:tcPr>
          <w:p w14:paraId="04DB3A66">
            <w:pPr>
              <w:pStyle w:val="114"/>
              <w:keepNext w:val="0"/>
              <w:keepLines w:val="0"/>
              <w:pageBreakBefore w:val="0"/>
              <w:widowControl w:val="0"/>
              <w:kinsoku/>
              <w:wordWrap/>
              <w:overflowPunct/>
              <w:topLinePunct w:val="0"/>
              <w:autoSpaceDE/>
              <w:autoSpaceDN/>
              <w:bidi w:val="0"/>
              <w:adjustRightInd/>
              <w:snapToGrid/>
              <w:spacing w:line="227" w:lineRule="auto"/>
              <w:ind w:left="0" w:right="0"/>
              <w:jc w:val="both"/>
              <w:textAlignment w:val="auto"/>
              <w:outlineLvl w:val="2"/>
              <w:rPr>
                <w:rFonts w:ascii="Times New Roman" w:hAnsi="Times New Roman" w:eastAsia="宋体" w:cs="Times New Roman"/>
                <w:color w:val="auto"/>
                <w:spacing w:val="12"/>
                <w:kern w:val="2"/>
                <w:sz w:val="20"/>
                <w:szCs w:val="20"/>
                <w:highlight w:val="none"/>
                <w:lang w:val="en-US" w:eastAsia="zh-CN" w:bidi="ar-SA"/>
              </w:rPr>
            </w:pPr>
            <w:r>
              <w:rPr>
                <w:rFonts w:hint="eastAsia" w:ascii="Times New Roman" w:hAnsi="Times New Roman" w:eastAsia="宋体" w:cs="Times New Roman"/>
                <w:color w:val="auto"/>
                <w:szCs w:val="21"/>
                <w:highlight w:val="none"/>
                <w:lang w:eastAsia="zh-CN"/>
              </w:rPr>
              <w:t>自签订框架协议之日起</w:t>
            </w:r>
            <w:r>
              <w:rPr>
                <w:rFonts w:hint="eastAsia" w:ascii="Times New Roman" w:hAnsi="Times New Roman" w:eastAsia="宋体" w:cs="Times New Roman"/>
                <w:color w:val="auto"/>
                <w:szCs w:val="21"/>
                <w:highlight w:val="none"/>
                <w:lang w:val="en-US" w:eastAsia="zh-CN"/>
              </w:rPr>
              <w:t>2年</w:t>
            </w:r>
            <w:r>
              <w:rPr>
                <w:rFonts w:ascii="Times New Roman" w:hAnsi="Times New Roman" w:eastAsia="宋体" w:cs="Times New Roman"/>
                <w:color w:val="auto"/>
                <w:spacing w:val="12"/>
                <w:kern w:val="2"/>
                <w:sz w:val="20"/>
                <w:szCs w:val="20"/>
                <w:highlight w:val="none"/>
                <w:lang w:val="en-US" w:eastAsia="zh-CN" w:bidi="ar-SA"/>
              </w:rPr>
              <w:t>。</w:t>
            </w:r>
          </w:p>
        </w:tc>
      </w:tr>
      <w:tr w14:paraId="23C41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040" w:type="dxa"/>
            <w:gridSpan w:val="2"/>
            <w:tcBorders>
              <w:top w:val="single" w:color="auto" w:sz="4" w:space="0"/>
              <w:left w:val="single" w:color="auto" w:sz="4" w:space="0"/>
              <w:bottom w:val="single" w:color="auto" w:sz="4" w:space="0"/>
              <w:right w:val="single" w:color="auto" w:sz="4" w:space="0"/>
            </w:tcBorders>
            <w:noWrap w:val="0"/>
            <w:vAlign w:val="top"/>
          </w:tcPr>
          <w:p w14:paraId="2FF73174">
            <w:pPr>
              <w:spacing w:line="337" w:lineRule="auto"/>
              <w:rPr>
                <w:rFonts w:ascii="Times New Roman" w:hAnsi="Times New Roman" w:eastAsia="宋体" w:cs="Times New Roman"/>
                <w:color w:val="auto"/>
                <w:spacing w:val="12"/>
                <w:kern w:val="2"/>
                <w:sz w:val="20"/>
                <w:szCs w:val="20"/>
                <w:highlight w:val="none"/>
                <w:lang w:val="en-US" w:eastAsia="zh-CN" w:bidi="ar-SA"/>
              </w:rPr>
            </w:pPr>
          </w:p>
          <w:p w14:paraId="68F8ECC3">
            <w:pPr>
              <w:pStyle w:val="114"/>
              <w:spacing w:before="65" w:line="228" w:lineRule="auto"/>
              <w:jc w:val="center"/>
              <w:outlineLvl w:val="2"/>
              <w:rPr>
                <w:color w:val="auto"/>
                <w:spacing w:val="8"/>
                <w:highlight w:val="none"/>
              </w:rPr>
            </w:pPr>
            <w:r>
              <w:rPr>
                <w:rFonts w:ascii="Times New Roman" w:hAnsi="Times New Roman" w:eastAsia="宋体" w:cs="Times New Roman"/>
                <w:color w:val="auto"/>
                <w:spacing w:val="12"/>
                <w:kern w:val="2"/>
                <w:sz w:val="20"/>
                <w:szCs w:val="20"/>
                <w:highlight w:val="none"/>
                <w:lang w:val="en-US" w:eastAsia="zh-CN" w:bidi="ar-SA"/>
              </w:rPr>
              <w:t>其他要求</w:t>
            </w:r>
          </w:p>
        </w:tc>
        <w:tc>
          <w:tcPr>
            <w:tcW w:w="7571" w:type="dxa"/>
            <w:gridSpan w:val="3"/>
            <w:tcBorders>
              <w:top w:val="single" w:color="auto" w:sz="4" w:space="0"/>
              <w:left w:val="single" w:color="auto" w:sz="4" w:space="0"/>
              <w:bottom w:val="single" w:color="auto" w:sz="4" w:space="0"/>
              <w:right w:val="single" w:color="auto" w:sz="4" w:space="0"/>
            </w:tcBorders>
            <w:noWrap w:val="0"/>
            <w:vAlign w:val="top"/>
          </w:tcPr>
          <w:p w14:paraId="20628167">
            <w:pPr>
              <w:pStyle w:val="114"/>
              <w:keepNext w:val="0"/>
              <w:keepLines w:val="0"/>
              <w:pageBreakBefore w:val="0"/>
              <w:widowControl w:val="0"/>
              <w:kinsoku/>
              <w:wordWrap/>
              <w:overflowPunct/>
              <w:topLinePunct w:val="0"/>
              <w:autoSpaceDE/>
              <w:autoSpaceDN/>
              <w:bidi w:val="0"/>
              <w:adjustRightInd/>
              <w:snapToGrid/>
              <w:spacing w:line="227" w:lineRule="auto"/>
              <w:ind w:left="0" w:right="0"/>
              <w:textAlignment w:val="auto"/>
              <w:outlineLvl w:val="2"/>
              <w:rPr>
                <w:color w:val="auto"/>
                <w:spacing w:val="3"/>
                <w:highlight w:val="none"/>
              </w:rPr>
            </w:pPr>
            <w:r>
              <w:rPr>
                <w:rFonts w:ascii="Times New Roman" w:hAnsi="Times New Roman" w:eastAsia="宋体" w:cs="Times New Roman"/>
                <w:color w:val="auto"/>
                <w:spacing w:val="12"/>
                <w:kern w:val="2"/>
                <w:sz w:val="20"/>
                <w:szCs w:val="20"/>
                <w:highlight w:val="none"/>
                <w:lang w:val="en-US" w:eastAsia="zh-CN" w:bidi="ar-SA"/>
              </w:rPr>
              <w:t>供应商提供的材料应真实有效，项目实施时征集人（采购人）有权要求所有入围供应商提供本项目相关复印件扫描件的原件核查，入围供应商必须在2 天内无条件配合；经核查，入围供应商提供虚假材料或在规定时间不能提供的，报监督管理机构，作虚假应标处理，取消其入围资格。</w:t>
            </w:r>
          </w:p>
        </w:tc>
      </w:tr>
    </w:tbl>
    <w:p w14:paraId="3C2CE1AA">
      <w:pPr>
        <w:spacing w:line="360" w:lineRule="auto"/>
        <w:jc w:val="left"/>
        <w:rPr>
          <w:rFonts w:hint="eastAsia" w:ascii="宋体" w:hAnsi="宋体" w:eastAsia="宋体" w:cs="宋体"/>
          <w:b/>
          <w:color w:val="auto"/>
          <w:szCs w:val="21"/>
          <w:highlight w:val="none"/>
        </w:rPr>
      </w:pPr>
    </w:p>
    <w:bookmarkEnd w:id="40"/>
    <w:bookmarkEnd w:id="41"/>
    <w:p w14:paraId="348A0F07">
      <w:pPr>
        <w:snapToGrid w:val="0"/>
        <w:jc w:val="center"/>
        <w:rPr>
          <w:rFonts w:hint="eastAsia" w:ascii="宋体" w:hAnsi="宋体" w:eastAsia="宋体" w:cs="宋体"/>
          <w:color w:val="auto"/>
          <w:sz w:val="30"/>
          <w:szCs w:val="30"/>
          <w:highlight w:val="none"/>
        </w:rPr>
      </w:pPr>
    </w:p>
    <w:p w14:paraId="79BF0443">
      <w:pPr>
        <w:rPr>
          <w:rFonts w:hint="eastAsia" w:ascii="宋体" w:hAnsi="宋体" w:eastAsia="宋体" w:cs="宋体"/>
          <w:color w:val="auto"/>
          <w:sz w:val="20"/>
          <w:szCs w:val="20"/>
          <w:highlight w:val="none"/>
        </w:rPr>
      </w:pPr>
    </w:p>
    <w:p w14:paraId="21C83939">
      <w:pPr>
        <w:rPr>
          <w:rFonts w:hint="eastAsia" w:ascii="宋体" w:hAnsi="宋体" w:eastAsia="宋体" w:cs="宋体"/>
          <w:color w:val="auto"/>
          <w:sz w:val="20"/>
          <w:szCs w:val="20"/>
          <w:highlight w:val="none"/>
        </w:rPr>
      </w:pPr>
    </w:p>
    <w:p w14:paraId="0A900182">
      <w:pPr>
        <w:rPr>
          <w:rFonts w:hint="eastAsia" w:ascii="宋体" w:hAnsi="宋体" w:eastAsia="宋体" w:cs="宋体"/>
          <w:color w:val="auto"/>
          <w:sz w:val="20"/>
          <w:szCs w:val="20"/>
          <w:highlight w:val="none"/>
        </w:rPr>
      </w:pPr>
    </w:p>
    <w:p w14:paraId="479A61BC">
      <w:pPr>
        <w:spacing w:before="3"/>
        <w:rPr>
          <w:rFonts w:hint="eastAsia" w:ascii="宋体" w:hAnsi="宋体" w:eastAsia="宋体" w:cs="宋体"/>
          <w:color w:val="auto"/>
          <w:sz w:val="15"/>
          <w:szCs w:val="15"/>
          <w:highlight w:val="none"/>
        </w:rPr>
      </w:pPr>
    </w:p>
    <w:p w14:paraId="5D0662D6">
      <w:pPr>
        <w:widowControl/>
        <w:rPr>
          <w:rFonts w:hint="eastAsia" w:ascii="宋体" w:hAnsi="宋体" w:eastAsia="宋体" w:cs="宋体"/>
          <w:color w:val="auto"/>
          <w:sz w:val="20"/>
          <w:szCs w:val="20"/>
          <w:highlight w:val="none"/>
        </w:rPr>
        <w:sectPr>
          <w:headerReference r:id="rId5" w:type="first"/>
          <w:footerReference r:id="rId7" w:type="first"/>
          <w:footerReference r:id="rId6" w:type="default"/>
          <w:pgSz w:w="11910" w:h="16840"/>
          <w:pgMar w:top="1520" w:right="1500" w:bottom="280" w:left="1680" w:header="720" w:footer="720" w:gutter="0"/>
          <w:pgNumType w:fmt="decimal"/>
          <w:cols w:space="720" w:num="1"/>
          <w:titlePg/>
          <w:docGrid w:linePitch="286" w:charSpace="0"/>
        </w:sectPr>
      </w:pPr>
    </w:p>
    <w:p w14:paraId="66D74122">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44" w:name="_Toc74323513"/>
      <w:r>
        <w:rPr>
          <w:rFonts w:hint="eastAsia" w:ascii="宋体" w:hAnsi="宋体" w:eastAsia="宋体" w:cs="宋体"/>
          <w:color w:val="auto"/>
          <w:highlight w:val="none"/>
        </w:rPr>
        <w:t xml:space="preserve">第三章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bookmarkEnd w:id="44"/>
    </w:p>
    <w:p w14:paraId="5F6B1422">
      <w:pPr>
        <w:jc w:val="center"/>
        <w:rPr>
          <w:rFonts w:hint="eastAsia" w:ascii="宋体" w:hAnsi="宋体" w:eastAsia="宋体" w:cs="宋体"/>
          <w:color w:val="auto"/>
          <w:sz w:val="36"/>
          <w:szCs w:val="36"/>
          <w:highlight w:val="none"/>
        </w:rPr>
      </w:pPr>
      <w:bookmarkStart w:id="45" w:name="_Toc254970526"/>
      <w:bookmarkStart w:id="46" w:name="_Toc254970667"/>
      <w:r>
        <w:rPr>
          <w:rFonts w:hint="eastAsia" w:ascii="宋体" w:hAnsi="宋体" w:eastAsia="宋体" w:cs="宋体"/>
          <w:color w:val="auto"/>
          <w:sz w:val="36"/>
          <w:szCs w:val="36"/>
          <w:highlight w:val="none"/>
          <w:lang w:eastAsia="zh-CN"/>
        </w:rPr>
        <w:t>供应商</w:t>
      </w:r>
      <w:r>
        <w:rPr>
          <w:rFonts w:hint="eastAsia" w:ascii="宋体" w:hAnsi="宋体" w:eastAsia="宋体" w:cs="宋体"/>
          <w:color w:val="auto"/>
          <w:sz w:val="36"/>
          <w:szCs w:val="36"/>
          <w:highlight w:val="none"/>
        </w:rPr>
        <w:t>须知前附表</w:t>
      </w:r>
      <w:bookmarkEnd w:id="45"/>
      <w:bookmarkEnd w:id="46"/>
    </w:p>
    <w:tbl>
      <w:tblPr>
        <w:tblStyle w:val="45"/>
        <w:tblW w:w="9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1FBE4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ACA91D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5B7EAE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518A4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6913D6D">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C193C6B">
            <w:pPr>
              <w:snapToGrid w:val="0"/>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供应商的资格要求：详见征集公告。</w:t>
            </w:r>
          </w:p>
        </w:tc>
      </w:tr>
      <w:tr w14:paraId="5FFF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0E2E658">
            <w:pPr>
              <w:spacing w:line="360" w:lineRule="auto"/>
              <w:jc w:val="center"/>
              <w:rPr>
                <w:rFonts w:hint="default" w:ascii="Times New Roman" w:hAnsi="Times New Roman" w:eastAsia="宋体" w:cs="Times New Roman"/>
                <w:color w:val="auto"/>
                <w:szCs w:val="21"/>
                <w:highlight w:val="none"/>
              </w:rPr>
            </w:pPr>
            <w:bookmarkStart w:id="47" w:name="_8.1"/>
            <w:bookmarkEnd w:id="47"/>
            <w:bookmarkStart w:id="48" w:name="_9.2"/>
            <w:bookmarkEnd w:id="48"/>
            <w:bookmarkStart w:id="49" w:name="_5"/>
            <w:bookmarkEnd w:id="49"/>
            <w:r>
              <w:rPr>
                <w:rFonts w:hint="default" w:ascii="Times New Roman" w:hAnsi="Times New Roman" w:eastAsia="宋体" w:cs="Times New Roman"/>
                <w:color w:val="auto"/>
                <w:szCs w:val="21"/>
                <w:highlight w:val="none"/>
              </w:rPr>
              <w:t>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DEA8006">
            <w:pPr>
              <w:pStyle w:val="15"/>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本项目是否接受联合体投标：</w:t>
            </w:r>
            <w:r>
              <w:rPr>
                <w:rFonts w:hint="eastAsia" w:cs="Times New Roman"/>
                <w:color w:val="auto"/>
                <w:kern w:val="2"/>
                <w:sz w:val="21"/>
                <w:szCs w:val="21"/>
                <w:highlight w:val="none"/>
                <w:lang w:val="en-US" w:eastAsia="zh-CN" w:bidi="ar-SA"/>
              </w:rPr>
              <w:t>不接受</w:t>
            </w:r>
            <w:r>
              <w:rPr>
                <w:rFonts w:hint="eastAsia" w:ascii="Times New Roman" w:hAnsi="Times New Roman" w:eastAsia="宋体" w:cs="Times New Roman"/>
                <w:color w:val="auto"/>
                <w:kern w:val="2"/>
                <w:sz w:val="21"/>
                <w:szCs w:val="21"/>
                <w:highlight w:val="none"/>
                <w:lang w:val="en-US" w:eastAsia="zh-CN" w:bidi="ar-SA"/>
              </w:rPr>
              <w:t>。</w:t>
            </w:r>
          </w:p>
        </w:tc>
      </w:tr>
      <w:tr w14:paraId="3F384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CBD7728">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81AE082">
            <w:pPr>
              <w:pStyle w:val="15"/>
              <w:spacing w:line="360" w:lineRule="auto"/>
              <w:rPr>
                <w:rFonts w:hint="eastAsia" w:ascii="Times New Roman" w:hAnsi="Times New Roman" w:eastAsia="宋体" w:cs="Times New Roman"/>
                <w:color w:val="auto"/>
                <w:kern w:val="2"/>
                <w:sz w:val="21"/>
                <w:szCs w:val="21"/>
                <w:highlight w:val="none"/>
                <w:lang w:val="en-US" w:eastAsia="zh-CN" w:bidi="ar-SA"/>
              </w:rPr>
            </w:pPr>
            <w:bookmarkStart w:id="50" w:name="_Hlk54105293"/>
            <w:r>
              <w:rPr>
                <w:rFonts w:hint="eastAsia" w:ascii="Times New Roman" w:hAnsi="Times New Roman" w:eastAsia="宋体" w:cs="Times New Roman"/>
                <w:color w:val="auto"/>
                <w:kern w:val="2"/>
                <w:sz w:val="21"/>
                <w:szCs w:val="21"/>
                <w:highlight w:val="none"/>
                <w:lang w:val="en-US" w:eastAsia="zh-CN" w:bidi="ar-SA"/>
              </w:rPr>
              <w:t>如接受联合体投标，</w:t>
            </w:r>
            <w:bookmarkEnd w:id="50"/>
            <w:r>
              <w:rPr>
                <w:rFonts w:hint="eastAsia" w:ascii="Times New Roman" w:hAnsi="Times New Roman" w:eastAsia="宋体" w:cs="Times New Roman"/>
                <w:color w:val="auto"/>
                <w:kern w:val="2"/>
                <w:sz w:val="21"/>
                <w:szCs w:val="21"/>
                <w:highlight w:val="none"/>
                <w:lang w:val="en-US" w:eastAsia="zh-CN" w:bidi="ar-SA"/>
              </w:rPr>
              <w:t>联合体投标要求如下：</w:t>
            </w:r>
          </w:p>
        </w:tc>
      </w:tr>
      <w:tr w14:paraId="1CCA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F14246A">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55AB503">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11CC9B2C">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22AD339">
            <w:pPr>
              <w:pStyle w:val="15"/>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p w14:paraId="6F7CC1AE">
            <w:pPr>
              <w:pStyle w:val="15"/>
              <w:spacing w:line="360" w:lineRule="auto"/>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w:t>
            </w:r>
          </w:p>
        </w:tc>
      </w:tr>
      <w:tr w14:paraId="27D02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978" w:type="dxa"/>
            <w:vMerge w:val="restart"/>
            <w:tcBorders>
              <w:top w:val="single" w:color="auto" w:sz="4" w:space="0"/>
              <w:left w:val="single" w:color="auto" w:sz="4" w:space="0"/>
              <w:right w:val="single" w:color="auto" w:sz="4" w:space="0"/>
            </w:tcBorders>
            <w:noWrap w:val="0"/>
            <w:vAlign w:val="center"/>
          </w:tcPr>
          <w:p w14:paraId="6B3664DC">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75FE4D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不组织现场考察</w:t>
            </w:r>
          </w:p>
          <w:p w14:paraId="545EE88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□组织现场考察：</w:t>
            </w:r>
          </w:p>
          <w:p w14:paraId="64989F3A">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集中时间：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rPr>
              <w:t>，逾期后果自负。集中地点：</w:t>
            </w:r>
            <w:r>
              <w:rPr>
                <w:rFonts w:hint="eastAsia" w:ascii="宋体" w:hAnsi="宋体" w:eastAsia="宋体" w:cs="宋体"/>
                <w:color w:val="auto"/>
                <w:szCs w:val="21"/>
                <w:highlight w:val="none"/>
                <w:u w:val="single"/>
              </w:rPr>
              <w:t xml:space="preserve">              </w:t>
            </w:r>
          </w:p>
          <w:p w14:paraId="4DEC68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tc>
      </w:tr>
      <w:tr w14:paraId="3372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978" w:type="dxa"/>
            <w:vMerge w:val="continue"/>
            <w:tcBorders>
              <w:left w:val="single" w:color="auto" w:sz="4" w:space="0"/>
              <w:bottom w:val="single" w:color="auto" w:sz="4" w:space="0"/>
              <w:right w:val="single" w:color="auto" w:sz="4" w:space="0"/>
            </w:tcBorders>
            <w:noWrap w:val="0"/>
            <w:vAlign w:val="center"/>
          </w:tcPr>
          <w:p w14:paraId="462E43F0">
            <w:pPr>
              <w:spacing w:line="360" w:lineRule="auto"/>
              <w:jc w:val="center"/>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F0A050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不组织召开开标前答疑会</w:t>
            </w:r>
          </w:p>
          <w:p w14:paraId="36FD832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57E7B61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tc>
      </w:tr>
      <w:tr w14:paraId="009ED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restart"/>
            <w:tcBorders>
              <w:top w:val="single" w:color="auto" w:sz="4" w:space="0"/>
              <w:left w:val="single" w:color="auto" w:sz="4" w:space="0"/>
              <w:right w:val="single" w:color="auto" w:sz="4" w:space="0"/>
            </w:tcBorders>
            <w:noWrap w:val="0"/>
            <w:vAlign w:val="center"/>
          </w:tcPr>
          <w:p w14:paraId="1C7736A9">
            <w:pPr>
              <w:spacing w:line="360" w:lineRule="auto"/>
              <w:jc w:val="center"/>
              <w:rPr>
                <w:rFonts w:hint="eastAsia" w:ascii="宋体" w:hAnsi="宋体" w:eastAsia="宋体" w:cs="宋体"/>
                <w:color w:val="auto"/>
                <w:szCs w:val="21"/>
                <w:highlight w:val="none"/>
              </w:rPr>
            </w:pPr>
            <w:bookmarkStart w:id="51" w:name="_13.1"/>
            <w:bookmarkEnd w:id="51"/>
            <w:r>
              <w:rPr>
                <w:rFonts w:hint="default" w:ascii="Times New Roman" w:hAnsi="Times New Roman" w:eastAsia="宋体" w:cs="Times New Roman"/>
                <w:color w:val="auto"/>
                <w:szCs w:val="21"/>
                <w:highlight w:val="none"/>
              </w:rPr>
              <w:t>13.</w:t>
            </w:r>
            <w:bookmarkStart w:id="52" w:name="_Hlt19632543"/>
            <w:r>
              <w:rPr>
                <w:rFonts w:hint="default" w:ascii="Times New Roman" w:hAnsi="Times New Roman" w:eastAsia="宋体" w:cs="Times New Roman"/>
                <w:color w:val="auto"/>
                <w:szCs w:val="21"/>
                <w:highlight w:val="none"/>
              </w:rPr>
              <w:t>1</w:t>
            </w:r>
            <w:bookmarkEnd w:id="52"/>
          </w:p>
        </w:tc>
        <w:tc>
          <w:tcPr>
            <w:tcW w:w="8175" w:type="dxa"/>
            <w:tcBorders>
              <w:top w:val="single" w:color="auto" w:sz="4" w:space="0"/>
              <w:left w:val="single" w:color="auto" w:sz="4" w:space="0"/>
              <w:bottom w:val="single" w:color="auto" w:sz="4" w:space="0"/>
              <w:right w:val="single" w:color="auto" w:sz="4" w:space="0"/>
            </w:tcBorders>
            <w:noWrap w:val="0"/>
            <w:vAlign w:val="center"/>
          </w:tcPr>
          <w:p w14:paraId="6BB98EB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14:paraId="05EE3F31">
            <w:pPr>
              <w:numPr>
                <w:ilvl w:val="0"/>
                <w:numId w:val="5"/>
              </w:numPr>
              <w:tabs>
                <w:tab w:val="left" w:pos="459"/>
              </w:tabs>
              <w:snapToGrid w:val="0"/>
              <w:spacing w:line="360" w:lineRule="auto"/>
              <w:ind w:left="459" w:hanging="39"/>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投标函（格式后附）；</w:t>
            </w:r>
            <w:r>
              <w:rPr>
                <w:rFonts w:hint="default" w:ascii="Times New Roman" w:hAnsi="Times New Roman" w:eastAsia="宋体" w:cs="Times New Roman"/>
                <w:b/>
                <w:color w:val="auto"/>
                <w:szCs w:val="21"/>
                <w:highlight w:val="none"/>
              </w:rPr>
              <w:t>（必须提供，否则按无效投标处理）</w:t>
            </w:r>
          </w:p>
          <w:p w14:paraId="3A13B260">
            <w:pPr>
              <w:numPr>
                <w:ilvl w:val="0"/>
                <w:numId w:val="5"/>
              </w:numPr>
              <w:tabs>
                <w:tab w:val="left" w:pos="459"/>
              </w:tabs>
              <w:snapToGrid w:val="0"/>
              <w:spacing w:line="360" w:lineRule="auto"/>
              <w:ind w:left="459" w:hanging="39"/>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开标一览表（格式后附）； （</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702CAE45">
            <w:pPr>
              <w:numPr>
                <w:ilvl w:val="0"/>
                <w:numId w:val="5"/>
              </w:numPr>
              <w:tabs>
                <w:tab w:val="left" w:pos="459"/>
              </w:tabs>
              <w:snapToGrid w:val="0"/>
              <w:spacing w:line="360" w:lineRule="auto"/>
              <w:ind w:left="459" w:hanging="39"/>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针对报价需要说明的其他文件和说明（格式自拟）。</w:t>
            </w:r>
          </w:p>
          <w:p w14:paraId="4C18D84C">
            <w:pPr>
              <w:snapToGrid w:val="0"/>
              <w:spacing w:line="360" w:lineRule="auto"/>
              <w:ind w:firstLine="420"/>
              <w:jc w:val="left"/>
              <w:rPr>
                <w:rFonts w:hint="eastAsia" w:ascii="宋体" w:hAnsi="宋体" w:eastAsia="宋体" w:cs="宋体"/>
                <w:color w:val="auto"/>
                <w:szCs w:val="21"/>
                <w:highlight w:val="none"/>
              </w:rPr>
            </w:pPr>
            <w:r>
              <w:rPr>
                <w:rFonts w:hint="default" w:ascii="Times New Roman" w:hAnsi="Times New Roman" w:eastAsia="宋体" w:cs="Times New Roman"/>
                <w:b/>
                <w:bCs/>
                <w:color w:val="auto"/>
                <w:szCs w:val="21"/>
                <w:highlight w:val="none"/>
              </w:rPr>
              <w:t>注：投标函、开标一览表必须由法定代表人或者委托代理人在规定签章处逐一签字并加盖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r>
              <w:rPr>
                <w:rFonts w:hint="default" w:ascii="Times New Roman" w:hAnsi="Times New Roman" w:eastAsia="宋体" w:cs="Times New Roman"/>
                <w:b/>
                <w:bCs/>
                <w:color w:val="auto"/>
                <w:szCs w:val="21"/>
                <w:highlight w:val="none"/>
              </w:rPr>
              <w:t>。</w:t>
            </w:r>
          </w:p>
        </w:tc>
      </w:tr>
      <w:tr w14:paraId="5AC49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vMerge w:val="continue"/>
            <w:tcBorders>
              <w:left w:val="single" w:color="auto" w:sz="4" w:space="0"/>
              <w:bottom w:val="single" w:color="auto" w:sz="4" w:space="0"/>
              <w:right w:val="single" w:color="auto" w:sz="4" w:space="0"/>
            </w:tcBorders>
            <w:noWrap w:val="0"/>
            <w:vAlign w:val="center"/>
          </w:tcPr>
          <w:p w14:paraId="300F46D4">
            <w:pPr>
              <w:spacing w:line="360" w:lineRule="auto"/>
              <w:rPr>
                <w:rFonts w:hint="eastAsia" w:ascii="宋体" w:hAnsi="宋体" w:eastAsia="宋体" w:cs="宋体"/>
                <w:color w:val="auto"/>
                <w:szCs w:val="21"/>
                <w:highlight w:val="none"/>
              </w:rPr>
            </w:pPr>
            <w:bookmarkStart w:id="53" w:name="_13.2"/>
            <w:bookmarkEnd w:id="53"/>
          </w:p>
        </w:tc>
        <w:tc>
          <w:tcPr>
            <w:tcW w:w="8175" w:type="dxa"/>
            <w:tcBorders>
              <w:top w:val="single" w:color="auto" w:sz="4" w:space="0"/>
              <w:left w:val="single" w:color="auto" w:sz="4" w:space="0"/>
              <w:bottom w:val="single" w:color="auto" w:sz="4" w:space="0"/>
              <w:right w:val="single" w:color="auto" w:sz="4" w:space="0"/>
            </w:tcBorders>
            <w:noWrap w:val="0"/>
            <w:vAlign w:val="center"/>
          </w:tcPr>
          <w:p w14:paraId="76E89A9C">
            <w:pPr>
              <w:snapToGrid w:val="0"/>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资格证明文件：</w:t>
            </w:r>
          </w:p>
          <w:p w14:paraId="52708DF7">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为法人或者其他组织的，证明文件为其营业执照复印件（如营业执照或者事业单位法人证书或者执业许可证等）；（</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210759D9">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依法缴纳税收的相关材料（</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202</w:t>
            </w:r>
            <w:r>
              <w:rPr>
                <w:rFonts w:hint="eastAsia" w:ascii="Times New Roman" w:hAnsi="Times New Roman" w:eastAsia="宋体" w:cs="Times New Roman"/>
                <w:color w:val="auto"/>
                <w:szCs w:val="21"/>
                <w:highlight w:val="none"/>
                <w:u w:val="single"/>
                <w:lang w:val="en-US" w:eastAsia="zh-CN"/>
              </w:rPr>
              <w:t>4</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11</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月至</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202</w:t>
            </w:r>
            <w:r>
              <w:rPr>
                <w:rFonts w:hint="eastAsia" w:ascii="Times New Roman" w:hAnsi="Times New Roman" w:eastAsia="宋体"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月内连续</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个月</w:t>
            </w:r>
            <w:r>
              <w:rPr>
                <w:rFonts w:hint="default" w:ascii="Times New Roman" w:hAnsi="Times New Roman" w:eastAsia="宋体" w:cs="Times New Roman"/>
                <w:color w:val="auto"/>
                <w:szCs w:val="21"/>
                <w:highlight w:val="none"/>
              </w:rPr>
              <w:t>的依法缴纳税收的凭据复印件；依法免税的</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，必须提供相应文件证明其依法免税。从</w:t>
            </w:r>
            <w:r>
              <w:rPr>
                <w:rFonts w:hint="default" w:ascii="Times New Roman" w:hAnsi="Times New Roman" w:eastAsia="宋体" w:cs="Times New Roman"/>
                <w:color w:val="auto"/>
                <w:highlight w:val="none"/>
              </w:rPr>
              <w:t>成立之日</w:t>
            </w:r>
            <w:r>
              <w:rPr>
                <w:rFonts w:hint="default" w:ascii="Times New Roman" w:hAnsi="Times New Roman" w:eastAsia="宋体" w:cs="Times New Roman"/>
                <w:color w:val="auto"/>
                <w:szCs w:val="21"/>
                <w:highlight w:val="none"/>
              </w:rPr>
              <w:t>起到</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提交截止时间止不足要求月数的，只需提供从</w:t>
            </w:r>
            <w:r>
              <w:rPr>
                <w:rFonts w:hint="default" w:ascii="Times New Roman" w:hAnsi="Times New Roman" w:eastAsia="宋体" w:cs="Times New Roman"/>
                <w:color w:val="auto"/>
                <w:highlight w:val="none"/>
              </w:rPr>
              <w:t>成立之日起</w:t>
            </w:r>
            <w:r>
              <w:rPr>
                <w:rFonts w:hint="default" w:ascii="Times New Roman" w:hAnsi="Times New Roman" w:eastAsia="宋体" w:cs="Times New Roman"/>
                <w:color w:val="auto"/>
                <w:szCs w:val="21"/>
                <w:highlight w:val="none"/>
              </w:rPr>
              <w:t>的依法缴纳税收相应证明文件）；（</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2538E33B">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依法缴纳社会保障资金的相关材料[</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202</w:t>
            </w:r>
            <w:r>
              <w:rPr>
                <w:rFonts w:hint="eastAsia" w:ascii="Times New Roman" w:hAnsi="Times New Roman" w:eastAsia="宋体" w:cs="Times New Roman"/>
                <w:color w:val="auto"/>
                <w:szCs w:val="21"/>
                <w:highlight w:val="none"/>
                <w:u w:val="single"/>
                <w:lang w:val="en-US" w:eastAsia="zh-CN"/>
              </w:rPr>
              <w:t>4</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11</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月至</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202</w:t>
            </w:r>
            <w:r>
              <w:rPr>
                <w:rFonts w:hint="eastAsia" w:ascii="Times New Roman" w:hAnsi="Times New Roman" w:eastAsia="宋体"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5</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月内连续</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3</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个月</w:t>
            </w:r>
            <w:r>
              <w:rPr>
                <w:rFonts w:hint="default" w:ascii="Times New Roman" w:hAnsi="Times New Roman" w:eastAsia="宋体" w:cs="Times New Roman"/>
                <w:color w:val="auto"/>
                <w:szCs w:val="21"/>
                <w:highlight w:val="none"/>
              </w:rPr>
              <w:t>的依法缴纳社会保障资金的缴费凭证（专用收据或者社会保险缴纳清单）复印件；依法不需要缴纳社会保障资金的</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，必须提供相应文件证明不需要缴纳社会保障资金。从</w:t>
            </w:r>
            <w:r>
              <w:rPr>
                <w:rFonts w:hint="default" w:ascii="Times New Roman" w:hAnsi="Times New Roman" w:eastAsia="宋体" w:cs="Times New Roman"/>
                <w:color w:val="auto"/>
                <w:highlight w:val="none"/>
              </w:rPr>
              <w:t>成立之日起</w:t>
            </w:r>
            <w:r>
              <w:rPr>
                <w:rFonts w:hint="default" w:ascii="Times New Roman" w:hAnsi="Times New Roman" w:eastAsia="宋体" w:cs="Times New Roman"/>
                <w:color w:val="auto"/>
                <w:szCs w:val="21"/>
                <w:highlight w:val="none"/>
              </w:rPr>
              <w:t>到</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提交截止时间止不足要求月数的只需提供从</w:t>
            </w:r>
            <w:r>
              <w:rPr>
                <w:rFonts w:hint="default" w:ascii="Times New Roman" w:hAnsi="Times New Roman" w:eastAsia="宋体" w:cs="Times New Roman"/>
                <w:color w:val="auto"/>
                <w:highlight w:val="none"/>
              </w:rPr>
              <w:t>成立之日起</w:t>
            </w:r>
            <w:r>
              <w:rPr>
                <w:rFonts w:hint="default" w:ascii="Times New Roman" w:hAnsi="Times New Roman" w:eastAsia="宋体" w:cs="Times New Roman"/>
                <w:color w:val="auto"/>
                <w:szCs w:val="21"/>
                <w:highlight w:val="none"/>
              </w:rPr>
              <w:t>的依法缴纳社会保障资金的相应证明文件]；（</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0E831465">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、供应商</w:t>
            </w:r>
            <w:r>
              <w:rPr>
                <w:rFonts w:hint="default" w:ascii="Times New Roman" w:hAnsi="Times New Roman" w:eastAsia="宋体" w:cs="Times New Roman"/>
                <w:color w:val="auto"/>
                <w:szCs w:val="21"/>
                <w:highlight w:val="none"/>
              </w:rPr>
              <w:t>财务状况报告（</w:t>
            </w:r>
            <w:r>
              <w:rPr>
                <w:rFonts w:hint="default"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2024</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rPr>
              <w:t>度财务</w:t>
            </w:r>
            <w:r>
              <w:rPr>
                <w:rFonts w:hint="default" w:ascii="Times New Roman" w:hAnsi="Times New Roman" w:eastAsia="宋体" w:cs="Times New Roman"/>
                <w:color w:val="auto"/>
                <w:szCs w:val="21"/>
                <w:highlight w:val="none"/>
                <w:lang w:val="en-US" w:eastAsia="zh-CN"/>
              </w:rPr>
              <w:t>报表</w:t>
            </w:r>
            <w:r>
              <w:rPr>
                <w:rFonts w:hint="default" w:ascii="Times New Roman" w:hAnsi="Times New Roman" w:eastAsia="宋体" w:cs="Times New Roman"/>
                <w:color w:val="auto"/>
                <w:szCs w:val="21"/>
                <w:highlight w:val="none"/>
              </w:rPr>
              <w:t>复印件或者银行出具的资信证明</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lang w:val="en-US" w:eastAsia="zh-CN"/>
              </w:rPr>
              <w:t>属于</w:t>
            </w:r>
            <w:r>
              <w:rPr>
                <w:rFonts w:hint="default" w:ascii="Times New Roman" w:hAnsi="Times New Roman" w:eastAsia="宋体" w:cs="Times New Roman"/>
                <w:color w:val="auto"/>
                <w:highlight w:val="none"/>
              </w:rPr>
              <w:t>成立时间</w:t>
            </w:r>
            <w:r>
              <w:rPr>
                <w:rFonts w:hint="default" w:ascii="Times New Roman" w:hAnsi="Times New Roman" w:eastAsia="宋体" w:cs="Times New Roman"/>
                <w:color w:val="auto"/>
                <w:kern w:val="0"/>
                <w:highlight w:val="none"/>
              </w:rPr>
              <w:t>在规定年度之后</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szCs w:val="21"/>
                <w:highlight w:val="none"/>
                <w:lang w:val="en-US" w:eastAsia="zh-CN"/>
              </w:rPr>
              <w:t>法人或其他组织</w:t>
            </w:r>
            <w:r>
              <w:rPr>
                <w:rFonts w:hint="default" w:ascii="Times New Roman" w:hAnsi="Times New Roman" w:eastAsia="宋体" w:cs="Times New Roman"/>
                <w:color w:val="auto"/>
                <w:highlight w:val="none"/>
              </w:rPr>
              <w:t>，需提供成立之日起至投标截止时间前的月报表</w:t>
            </w:r>
            <w:r>
              <w:rPr>
                <w:rFonts w:hint="default" w:ascii="Times New Roman" w:hAnsi="Times New Roman" w:eastAsia="宋体" w:cs="Times New Roman"/>
                <w:color w:val="auto"/>
                <w:szCs w:val="21"/>
                <w:highlight w:val="none"/>
              </w:rPr>
              <w:t>或银行出具的资信证明</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资信证明</w:t>
            </w:r>
            <w:r>
              <w:rPr>
                <w:rFonts w:hint="default" w:ascii="Times New Roman" w:hAnsi="Times New Roman" w:eastAsia="宋体" w:cs="Times New Roman"/>
                <w:color w:val="auto"/>
                <w:szCs w:val="21"/>
                <w:highlight w:val="none"/>
              </w:rPr>
              <w:t>应在有效期内，未注明有效期的，</w:t>
            </w:r>
            <w:r>
              <w:rPr>
                <w:rFonts w:hint="default" w:ascii="Times New Roman" w:hAnsi="Times New Roman" w:eastAsia="宋体" w:cs="Times New Roman"/>
                <w:color w:val="auto"/>
                <w:szCs w:val="21"/>
                <w:highlight w:val="none"/>
                <w:lang w:val="en-US" w:eastAsia="zh-CN"/>
              </w:rPr>
              <w:t>银行</w:t>
            </w:r>
            <w:r>
              <w:rPr>
                <w:rFonts w:hint="default" w:ascii="Times New Roman" w:hAnsi="Times New Roman" w:eastAsia="宋体" w:cs="Times New Roman"/>
                <w:color w:val="auto"/>
                <w:szCs w:val="21"/>
                <w:highlight w:val="none"/>
              </w:rPr>
              <w:t>出具时间至投标截止时间不超过一年）；（</w:t>
            </w:r>
            <w:r>
              <w:rPr>
                <w:rFonts w:hint="default" w:ascii="Times New Roman" w:hAnsi="Times New Roman" w:eastAsia="宋体" w:cs="Times New Roman"/>
                <w:b/>
                <w:color w:val="auto"/>
                <w:szCs w:val="21"/>
                <w:highlight w:val="none"/>
                <w:lang w:val="en-US" w:eastAsia="zh-CN"/>
              </w:rPr>
              <w:t>除自然人外</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5C728B02">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直接控股、管理关系信息表（格式后附）；（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4168EFCC">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投标声明（格式后附）；（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3719E59D">
            <w:pPr>
              <w:numPr>
                <w:ilvl w:val="0"/>
                <w:numId w:val="0"/>
              </w:numPr>
              <w:snapToGrid w:val="0"/>
              <w:spacing w:line="360" w:lineRule="auto"/>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7、本项目特定要求；</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2D9FF735">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8</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除文件规定必须提供以外，</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认为需要提供的其他证明材料。</w:t>
            </w:r>
          </w:p>
          <w:p w14:paraId="6C2AA027">
            <w:pPr>
              <w:snapToGrid w:val="0"/>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bCs/>
                <w:color w:val="auto"/>
                <w:szCs w:val="21"/>
                <w:highlight w:val="none"/>
              </w:rPr>
              <w:t>注：1.</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b/>
                <w:bCs/>
                <w:color w:val="auto"/>
                <w:szCs w:val="21"/>
                <w:highlight w:val="none"/>
              </w:rPr>
              <w:t>以上标明“必须提供”的材料属于复印件的，必须加盖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p>
          <w:p w14:paraId="3181EA97">
            <w:pPr>
              <w:snapToGrid w:val="0"/>
              <w:spacing w:line="360" w:lineRule="auto"/>
              <w:ind w:firstLine="422"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color w:val="auto"/>
                <w:szCs w:val="21"/>
                <w:highlight w:val="none"/>
              </w:rPr>
              <w:t>2.</w:t>
            </w:r>
            <w:r>
              <w:rPr>
                <w:rFonts w:hint="default" w:ascii="Times New Roman" w:hAnsi="Times New Roman" w:eastAsia="宋体" w:cs="Times New Roman"/>
                <w:b/>
                <w:bCs/>
                <w:color w:val="auto"/>
                <w:szCs w:val="21"/>
                <w:highlight w:val="none"/>
              </w:rPr>
              <w:t>投标声明必须由法定代表人在规定签章处签字并加盖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公章，否则按无效投标处理。</w:t>
            </w:r>
          </w:p>
          <w:p w14:paraId="147C9604">
            <w:pPr>
              <w:snapToGrid w:val="0"/>
              <w:spacing w:line="360" w:lineRule="auto"/>
              <w:ind w:firstLine="422" w:firstLineChars="200"/>
              <w:jc w:val="left"/>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3.</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直接控股、管理关系信息表必须由法定代表人或者委托代理人在规定签章处签字并加盖</w:t>
            </w:r>
            <w:r>
              <w:rPr>
                <w:rFonts w:hint="eastAsia"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r>
              <w:rPr>
                <w:rFonts w:hint="default" w:ascii="Times New Roman" w:hAnsi="Times New Roman" w:eastAsia="宋体" w:cs="Times New Roman"/>
                <w:b/>
                <w:bCs/>
                <w:color w:val="auto"/>
                <w:szCs w:val="21"/>
                <w:highlight w:val="none"/>
              </w:rPr>
              <w:t>。</w:t>
            </w:r>
          </w:p>
          <w:p w14:paraId="60D89D8E">
            <w:pPr>
              <w:snapToGrid w:val="0"/>
              <w:spacing w:line="360" w:lineRule="auto"/>
              <w:ind w:firstLine="422" w:firstLineChars="200"/>
              <w:jc w:val="left"/>
              <w:rPr>
                <w:rFonts w:hint="eastAsia" w:ascii="宋体" w:hAnsi="宋体" w:eastAsia="宋体" w:cs="宋体"/>
                <w:b/>
                <w:bCs/>
                <w:color w:val="auto"/>
                <w:szCs w:val="21"/>
                <w:highlight w:val="none"/>
              </w:rPr>
            </w:pPr>
            <w:r>
              <w:rPr>
                <w:rFonts w:hint="default" w:ascii="Times New Roman" w:hAnsi="Times New Roman" w:eastAsia="宋体" w:cs="Times New Roman"/>
                <w:b/>
                <w:bCs/>
                <w:color w:val="auto"/>
                <w:szCs w:val="21"/>
                <w:highlight w:val="none"/>
                <w:lang w:val="en-US" w:eastAsia="zh-CN"/>
              </w:rPr>
              <w:t>4.分公司参加投标的，应当取得总公司授权；</w:t>
            </w:r>
          </w:p>
        </w:tc>
      </w:tr>
      <w:tr w14:paraId="1C352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3B9C693">
            <w:pPr>
              <w:spacing w:line="360" w:lineRule="auto"/>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A5F1426">
            <w:pPr>
              <w:snapToGrid w:val="0"/>
              <w:spacing w:line="360" w:lineRule="auto"/>
              <w:jc w:val="left"/>
              <w:rPr>
                <w:rFonts w:hint="eastAsia" w:ascii="宋体" w:hAnsi="宋体" w:eastAsia="宋体" w:cs="宋体"/>
                <w:b/>
                <w:i/>
                <w:color w:val="auto"/>
                <w:szCs w:val="21"/>
                <w:highlight w:val="none"/>
              </w:rPr>
            </w:pPr>
            <w:r>
              <w:rPr>
                <w:rFonts w:hint="eastAsia" w:ascii="宋体" w:hAnsi="宋体" w:eastAsia="宋体" w:cs="宋体"/>
                <w:b/>
                <w:color w:val="auto"/>
                <w:szCs w:val="21"/>
                <w:highlight w:val="none"/>
              </w:rPr>
              <w:t>商务文件：</w:t>
            </w:r>
          </w:p>
          <w:p w14:paraId="3601295A">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1.无串通投标行为的承诺函（格式后附）；（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7489FF30">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.法定代表人身份证明及法定代表人有效身份证正反面复印件（格式后附）；（</w:t>
            </w:r>
            <w:r>
              <w:rPr>
                <w:rFonts w:hint="default" w:ascii="Times New Roman" w:hAnsi="Times New Roman" w:eastAsia="宋体" w:cs="Times New Roman"/>
                <w:b/>
                <w:bCs/>
                <w:color w:val="auto"/>
                <w:szCs w:val="21"/>
                <w:highlight w:val="none"/>
              </w:rPr>
              <w:t>除自然人投标外</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0888673B">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.授权委托书及委托代理人有效身份证正反面复印件（格式后附）；（</w:t>
            </w:r>
            <w:r>
              <w:rPr>
                <w:rFonts w:hint="default" w:ascii="Times New Roman" w:hAnsi="Times New Roman" w:eastAsia="宋体" w:cs="Times New Roman"/>
                <w:b/>
                <w:color w:val="auto"/>
                <w:szCs w:val="21"/>
                <w:highlight w:val="none"/>
              </w:rPr>
              <w:t>委托时必须提供，否则按无效投标处理</w:t>
            </w:r>
            <w:r>
              <w:rPr>
                <w:rFonts w:hint="default" w:ascii="Times New Roman" w:hAnsi="Times New Roman" w:eastAsia="宋体" w:cs="Times New Roman"/>
                <w:color w:val="auto"/>
                <w:szCs w:val="21"/>
                <w:highlight w:val="none"/>
              </w:rPr>
              <w:t>）</w:t>
            </w:r>
          </w:p>
          <w:p w14:paraId="10239CAF">
            <w:pPr>
              <w:snapToGrid w:val="0"/>
              <w:spacing w:line="360" w:lineRule="auto"/>
              <w:ind w:left="413"/>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.商务要求偏离表（格式后附）；（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1C304277">
            <w:pPr>
              <w:snapToGrid w:val="0"/>
              <w:spacing w:line="360" w:lineRule="auto"/>
              <w:ind w:left="413"/>
              <w:jc w:val="left"/>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情况介绍（格式自拟）；</w:t>
            </w:r>
          </w:p>
          <w:p w14:paraId="068DDF0F">
            <w:pPr>
              <w:snapToGrid w:val="0"/>
              <w:spacing w:line="360" w:lineRule="auto"/>
              <w:ind w:left="413"/>
              <w:jc w:val="left"/>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规定必须提供</w:t>
            </w:r>
            <w:r>
              <w:rPr>
                <w:rFonts w:hint="eastAsia" w:ascii="Times New Roman" w:hAnsi="Times New Roman" w:eastAsia="宋体" w:cs="Times New Roman"/>
                <w:color w:val="auto"/>
                <w:szCs w:val="21"/>
                <w:highlight w:val="none"/>
                <w:lang w:val="en-US" w:eastAsia="zh-CN"/>
              </w:rPr>
              <w:t>的采购需求和</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认为需要提供的其他证明材料（格式自拟）。（</w:t>
            </w:r>
            <w:r>
              <w:rPr>
                <w:rFonts w:hint="eastAsia" w:ascii="Times New Roman" w:hAnsi="Times New Roman" w:eastAsia="宋体" w:cs="Times New Roman"/>
                <w:bCs/>
                <w:color w:val="auto"/>
                <w:kern w:val="0"/>
                <w:szCs w:val="21"/>
                <w:highlight w:val="none"/>
                <w:lang w:eastAsia="zh-CN"/>
              </w:rPr>
              <w:t>供应商</w:t>
            </w:r>
            <w:r>
              <w:rPr>
                <w:rFonts w:hint="default" w:ascii="Times New Roman" w:hAnsi="Times New Roman" w:eastAsia="宋体" w:cs="Times New Roman"/>
                <w:color w:val="auto"/>
                <w:szCs w:val="21"/>
                <w:highlight w:val="none"/>
              </w:rPr>
              <w:t xml:space="preserve">根据“第二章 采购需求”及“第四章 </w:t>
            </w:r>
            <w:r>
              <w:rPr>
                <w:rFonts w:hint="default" w:ascii="Times New Roman" w:hAnsi="Times New Roman" w:eastAsia="宋体" w:cs="Times New Roman"/>
                <w:color w:val="auto"/>
                <w:szCs w:val="21"/>
                <w:highlight w:val="none"/>
                <w:lang w:eastAsia="zh-CN"/>
              </w:rPr>
              <w:t>评审方法及评审标准</w:t>
            </w:r>
            <w:r>
              <w:rPr>
                <w:rFonts w:hint="default" w:ascii="Times New Roman" w:hAnsi="Times New Roman" w:eastAsia="宋体" w:cs="Times New Roman"/>
                <w:color w:val="auto"/>
                <w:szCs w:val="21"/>
                <w:highlight w:val="none"/>
              </w:rPr>
              <w:t>”提供有关证明材料）</w:t>
            </w:r>
            <w:r>
              <w:rPr>
                <w:rFonts w:hint="eastAsia" w:ascii="Times New Roman" w:hAnsi="Times New Roman" w:eastAsia="宋体" w:cs="Times New Roman"/>
                <w:color w:val="auto"/>
                <w:szCs w:val="21"/>
                <w:highlight w:val="none"/>
                <w:lang w:eastAsia="zh-CN"/>
              </w:rPr>
              <w:t>。</w:t>
            </w:r>
          </w:p>
          <w:p w14:paraId="362B6AC5">
            <w:pPr>
              <w:snapToGrid w:val="0"/>
              <w:spacing w:line="360" w:lineRule="auto"/>
              <w:ind w:firstLine="422" w:firstLineChars="200"/>
              <w:jc w:val="left"/>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kern w:val="2"/>
                <w:sz w:val="21"/>
                <w:szCs w:val="21"/>
                <w:highlight w:val="none"/>
                <w:lang w:val="en-US" w:eastAsia="zh-CN" w:bidi="ar-SA"/>
              </w:rPr>
              <w:t>注：以上标明“必须提供”的材料属于复印件的，必须加盖供应商公章，否则按无效投标处理。</w:t>
            </w:r>
          </w:p>
        </w:tc>
      </w:tr>
      <w:tr w14:paraId="44DA5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1B85488">
            <w:pPr>
              <w:spacing w:line="360" w:lineRule="auto"/>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405972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技术文件：</w:t>
            </w:r>
          </w:p>
          <w:p w14:paraId="358B51C4">
            <w:pPr>
              <w:snapToGrid w:val="0"/>
              <w:spacing w:line="360" w:lineRule="auto"/>
              <w:ind w:left="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1.技术要求偏离表（格式后附）；（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4088DDC6">
            <w:pPr>
              <w:snapToGrid w:val="0"/>
              <w:spacing w:line="360" w:lineRule="auto"/>
              <w:ind w:left="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2.服务方案（格式自拟）【</w:t>
            </w:r>
            <w:r>
              <w:rPr>
                <w:rFonts w:hint="eastAsia" w:ascii="Times New Roman" w:hAnsi="Times New Roman" w:eastAsia="宋体" w:cs="Times New Roman"/>
                <w:color w:val="auto"/>
                <w:szCs w:val="21"/>
                <w:highlight w:val="none"/>
                <w:lang w:eastAsia="zh-CN"/>
              </w:rPr>
              <w:t>包含不仅限于</w:t>
            </w:r>
            <w:r>
              <w:rPr>
                <w:rFonts w:hint="default" w:ascii="Times New Roman" w:hAnsi="Times New Roman" w:eastAsia="宋体" w:cs="Times New Roman"/>
                <w:color w:val="auto"/>
                <w:szCs w:val="21"/>
                <w:highlight w:val="none"/>
              </w:rPr>
              <w:t>工作的程序与方法、质量管控措施、项目实施计划、廉洁措施、评审报告质量、服务承诺等</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14:paraId="19B28341">
            <w:pPr>
              <w:snapToGrid w:val="0"/>
              <w:spacing w:line="360" w:lineRule="auto"/>
              <w:ind w:left="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3.项目实施人员一览表（格式后附）；（</w:t>
            </w:r>
            <w:r>
              <w:rPr>
                <w:rFonts w:hint="default" w:ascii="Times New Roman" w:hAnsi="Times New Roman" w:eastAsia="宋体" w:cs="Times New Roman"/>
                <w:b/>
                <w:color w:val="auto"/>
                <w:szCs w:val="21"/>
                <w:highlight w:val="none"/>
              </w:rPr>
              <w:t>必须提供，否则按无效投标处理</w:t>
            </w:r>
            <w:r>
              <w:rPr>
                <w:rFonts w:hint="default" w:ascii="Times New Roman" w:hAnsi="Times New Roman" w:eastAsia="宋体" w:cs="Times New Roman"/>
                <w:color w:val="auto"/>
                <w:szCs w:val="21"/>
                <w:highlight w:val="none"/>
              </w:rPr>
              <w:t>）</w:t>
            </w:r>
          </w:p>
          <w:p w14:paraId="42259638">
            <w:pPr>
              <w:snapToGrid w:val="0"/>
              <w:spacing w:line="360" w:lineRule="auto"/>
              <w:ind w:left="420"/>
              <w:jc w:val="left"/>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lang w:eastAsia="zh-CN"/>
              </w:rPr>
              <w:t>认为</w:t>
            </w:r>
            <w:r>
              <w:rPr>
                <w:rFonts w:hint="default" w:ascii="Times New Roman" w:hAnsi="Times New Roman" w:eastAsia="宋体" w:cs="Times New Roman"/>
                <w:color w:val="auto"/>
                <w:szCs w:val="21"/>
                <w:highlight w:val="none"/>
              </w:rPr>
              <w:t>需要说明的其他文件（格式自拟）。</w:t>
            </w:r>
          </w:p>
          <w:p w14:paraId="05543DD7">
            <w:pPr>
              <w:snapToGrid w:val="0"/>
              <w:spacing w:line="360" w:lineRule="auto"/>
              <w:ind w:firstLine="422" w:firstLineChars="200"/>
              <w:jc w:val="left"/>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Cs w:val="21"/>
                <w:highlight w:val="none"/>
              </w:rPr>
              <w:t>注：以上标明“必须提供”的材料属于复印件的，必须加盖</w:t>
            </w:r>
            <w:r>
              <w:rPr>
                <w:rFonts w:hint="default" w:ascii="Times New Roman" w:hAnsi="Times New Roman" w:eastAsia="宋体" w:cs="Times New Roman"/>
                <w:b/>
                <w:bCs/>
                <w:color w:val="auto"/>
                <w:szCs w:val="21"/>
                <w:highlight w:val="none"/>
                <w:lang w:eastAsia="zh-CN"/>
              </w:rPr>
              <w:t>供应商</w:t>
            </w:r>
            <w:r>
              <w:rPr>
                <w:rFonts w:hint="default" w:ascii="Times New Roman" w:hAnsi="Times New Roman" w:eastAsia="宋体" w:cs="Times New Roman"/>
                <w:b/>
                <w:bCs/>
                <w:color w:val="auto"/>
                <w:szCs w:val="21"/>
                <w:highlight w:val="none"/>
              </w:rPr>
              <w:t>公章，否则按无效投标</w:t>
            </w:r>
            <w:r>
              <w:rPr>
                <w:rFonts w:hint="default" w:ascii="Times New Roman" w:hAnsi="Times New Roman" w:eastAsia="宋体" w:cs="Times New Roman"/>
                <w:b/>
                <w:color w:val="auto"/>
                <w:szCs w:val="21"/>
                <w:highlight w:val="none"/>
              </w:rPr>
              <w:t>处理</w:t>
            </w:r>
            <w:r>
              <w:rPr>
                <w:rFonts w:hint="default" w:ascii="Times New Roman" w:hAnsi="Times New Roman" w:eastAsia="宋体" w:cs="Times New Roman"/>
                <w:b/>
                <w:bCs/>
                <w:color w:val="auto"/>
                <w:szCs w:val="21"/>
                <w:highlight w:val="none"/>
              </w:rPr>
              <w:t>。</w:t>
            </w:r>
          </w:p>
        </w:tc>
      </w:tr>
      <w:tr w14:paraId="70DF2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5D51BE9">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13.2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F317F21">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本项目须提供</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版，具体规定如下：</w:t>
            </w:r>
          </w:p>
          <w:p w14:paraId="589BE9F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入围第一阶段框架协议后，打印响应文件送达（邮寄）至代理</w:t>
            </w:r>
            <w:r>
              <w:rPr>
                <w:rFonts w:hint="eastAsia" w:ascii="宋体" w:hAnsi="宋体" w:eastAsia="宋体" w:cs="宋体"/>
                <w:color w:val="auto"/>
                <w:szCs w:val="21"/>
                <w:highlight w:val="none"/>
              </w:rPr>
              <w:t>。</w:t>
            </w:r>
          </w:p>
          <w:p w14:paraId="6FB16FE1">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响应</w:t>
            </w:r>
            <w:r>
              <w:rPr>
                <w:rFonts w:hint="default" w:ascii="Times New Roman" w:hAnsi="Times New Roman" w:eastAsia="宋体" w:cs="Times New Roman"/>
                <w:color w:val="auto"/>
                <w:szCs w:val="21"/>
                <w:highlight w:val="none"/>
                <w:lang w:eastAsia="zh-CN"/>
              </w:rPr>
              <w:t>文件</w:t>
            </w:r>
            <w:r>
              <w:rPr>
                <w:rFonts w:hint="eastAsia" w:ascii="Times New Roman" w:hAnsi="Times New Roman" w:eastAsia="宋体" w:cs="Times New Roman"/>
                <w:color w:val="auto"/>
                <w:szCs w:val="21"/>
                <w:highlight w:val="none"/>
                <w:lang w:val="en-US" w:eastAsia="zh-CN"/>
              </w:rPr>
              <w:t>纸质版</w:t>
            </w:r>
            <w:r>
              <w:rPr>
                <w:rFonts w:hint="default" w:ascii="Times New Roman" w:hAnsi="Times New Roman" w:eastAsia="宋体" w:cs="Times New Roman"/>
                <w:color w:val="auto"/>
                <w:szCs w:val="21"/>
                <w:highlight w:val="none"/>
              </w:rPr>
              <w:t>内容：与</w:t>
            </w:r>
            <w:r>
              <w:rPr>
                <w:rFonts w:hint="eastAsia" w:ascii="Times New Roman" w:hAnsi="Times New Roman" w:eastAsia="宋体" w:cs="Times New Roman"/>
                <w:color w:val="auto"/>
                <w:szCs w:val="21"/>
                <w:highlight w:val="none"/>
                <w:lang w:val="en-US" w:eastAsia="zh-CN"/>
              </w:rPr>
              <w:t>上传电子</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内容一致</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封面及目录自行编制</w:t>
            </w:r>
            <w:r>
              <w:rPr>
                <w:rFonts w:hint="default" w:ascii="Times New Roman" w:hAnsi="Times New Roman" w:eastAsia="宋体" w:cs="Times New Roman"/>
                <w:color w:val="auto"/>
                <w:szCs w:val="21"/>
                <w:highlight w:val="none"/>
              </w:rPr>
              <w:t>。</w:t>
            </w:r>
          </w:p>
          <w:p w14:paraId="64E44CB1">
            <w:pPr>
              <w:numPr>
                <w:ilvl w:val="0"/>
                <w:numId w:val="0"/>
              </w:numPr>
              <w:snapToGrid w:val="0"/>
              <w:spacing w:line="360" w:lineRule="auto"/>
              <w:jc w:val="left"/>
              <w:rPr>
                <w:rFonts w:hint="default" w:ascii="Times New Roman" w:hAnsi="Times New Roman" w:eastAsia="宋体" w:cs="Times New Roman"/>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响应</w:t>
            </w:r>
            <w:r>
              <w:rPr>
                <w:rFonts w:hint="default" w:ascii="Times New Roman" w:hAnsi="Times New Roman" w:eastAsia="宋体" w:cs="Times New Roman"/>
                <w:color w:val="auto"/>
                <w:szCs w:val="21"/>
                <w:highlight w:val="none"/>
                <w:lang w:eastAsia="zh-CN"/>
              </w:rPr>
              <w:t>文件</w:t>
            </w:r>
            <w:r>
              <w:rPr>
                <w:rFonts w:hint="eastAsia" w:ascii="Times New Roman" w:hAnsi="Times New Roman" w:eastAsia="宋体" w:cs="Times New Roman"/>
                <w:color w:val="auto"/>
                <w:szCs w:val="21"/>
                <w:highlight w:val="none"/>
                <w:lang w:val="en-US" w:eastAsia="zh-CN"/>
              </w:rPr>
              <w:t>纸质版份数</w:t>
            </w: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三份</w:t>
            </w:r>
            <w:r>
              <w:rPr>
                <w:rFonts w:hint="default" w:ascii="Times New Roman" w:hAnsi="Times New Roman" w:eastAsia="宋体" w:cs="Times New Roman"/>
                <w:color w:val="auto"/>
                <w:szCs w:val="21"/>
                <w:highlight w:val="none"/>
              </w:rPr>
              <w:t>。</w:t>
            </w:r>
          </w:p>
          <w:p w14:paraId="6E94829C">
            <w:pPr>
              <w:snapToGrid w:val="0"/>
              <w:spacing w:line="360" w:lineRule="auto"/>
              <w:jc w:val="left"/>
              <w:rPr>
                <w:rFonts w:hint="default" w:ascii="宋体" w:hAnsi="宋体" w:eastAsia="宋体" w:cs="宋体"/>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3、邮寄地址：与公告代理地址一致（不接受到付邮件）</w:t>
            </w:r>
            <w:r>
              <w:rPr>
                <w:rFonts w:hint="default" w:ascii="Times New Roman" w:hAnsi="Times New Roman" w:eastAsia="宋体" w:cs="Times New Roman"/>
                <w:color w:val="auto"/>
                <w:szCs w:val="21"/>
                <w:highlight w:val="none"/>
              </w:rPr>
              <w:t>。</w:t>
            </w:r>
          </w:p>
        </w:tc>
      </w:tr>
      <w:tr w14:paraId="60987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09768FA">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16.2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9494943">
            <w:pPr>
              <w:autoSpaceDE w:val="0"/>
              <w:autoSpaceDN w:val="0"/>
              <w:snapToGrid w:val="0"/>
              <w:spacing w:line="360" w:lineRule="auto"/>
              <w:textAlignment w:val="bottom"/>
              <w:rPr>
                <w:rFonts w:hint="default" w:ascii="宋体" w:hAnsi="宋体" w:eastAsia="宋体" w:cs="宋体"/>
                <w:b/>
                <w:i/>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计费费率</w:t>
            </w:r>
            <w:r>
              <w:rPr>
                <w:rFonts w:hint="default" w:ascii="宋体" w:hAnsi="宋体" w:eastAsia="宋体" w:cs="宋体"/>
                <w:color w:val="auto"/>
                <w:szCs w:val="21"/>
                <w:highlight w:val="none"/>
                <w:lang w:val="en-US" w:eastAsia="zh-CN"/>
              </w:rPr>
              <w:t>按固定费率（详见附件）执行，供应商在响应报价时，必须承诺按</w:t>
            </w:r>
            <w:r>
              <w:rPr>
                <w:rFonts w:hint="eastAsia" w:ascii="宋体" w:hAnsi="宋体" w:eastAsia="宋体" w:cs="宋体"/>
                <w:color w:val="auto"/>
                <w:szCs w:val="21"/>
                <w:highlight w:val="none"/>
                <w:lang w:val="en-US" w:eastAsia="zh-CN"/>
              </w:rPr>
              <w:t>计费费率</w:t>
            </w:r>
            <w:r>
              <w:rPr>
                <w:rFonts w:hint="default" w:ascii="宋体" w:hAnsi="宋体" w:eastAsia="宋体" w:cs="宋体"/>
                <w:color w:val="auto"/>
                <w:szCs w:val="21"/>
                <w:highlight w:val="none"/>
                <w:lang w:val="en-US" w:eastAsia="zh-CN"/>
              </w:rPr>
              <w:t>的计费方式和费率计算审核服务费，超过</w:t>
            </w:r>
            <w:r>
              <w:rPr>
                <w:rFonts w:hint="eastAsia" w:ascii="宋体" w:hAnsi="宋体" w:eastAsia="宋体" w:cs="宋体"/>
                <w:color w:val="auto"/>
                <w:szCs w:val="21"/>
                <w:highlight w:val="none"/>
                <w:lang w:val="en-US" w:eastAsia="zh-CN"/>
              </w:rPr>
              <w:t>计费费率</w:t>
            </w:r>
            <w:r>
              <w:rPr>
                <w:rFonts w:hint="default" w:ascii="宋体" w:hAnsi="宋体" w:eastAsia="宋体" w:cs="宋体"/>
                <w:color w:val="auto"/>
                <w:szCs w:val="21"/>
                <w:highlight w:val="none"/>
                <w:lang w:val="en-US" w:eastAsia="zh-CN"/>
              </w:rPr>
              <w:t>的响应报价为无效响应报价，评标委员会将按无效响应处理。供应商的响应报价已包括了实施和完成审核工作所需的劳务费、技术服务费、交通、通讯、办公场地、管理费、税费和利润等费用和政策性文件规定及合同包含的所有风险、责任等各项应有的费用，除非上述费用在合同中另有说明，合同期内，费率不再调整。</w:t>
            </w:r>
          </w:p>
        </w:tc>
      </w:tr>
      <w:tr w14:paraId="44861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5D9A0F5">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13DDC35">
            <w:pPr>
              <w:snapToGrid w:val="0"/>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投标有效期：</w:t>
            </w:r>
            <w:r>
              <w:rPr>
                <w:rFonts w:hint="default" w:ascii="Times New Roman" w:hAnsi="Times New Roman" w:eastAsia="宋体" w:cs="Times New Roman"/>
                <w:color w:val="auto"/>
                <w:spacing w:val="1"/>
                <w:highlight w:val="none"/>
              </w:rPr>
              <w:t>60 日</w:t>
            </w:r>
          </w:p>
        </w:tc>
      </w:tr>
      <w:tr w14:paraId="247F6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62E4B322">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18.1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E7B51C5">
            <w:pPr>
              <w:autoSpaceDE w:val="0"/>
              <w:autoSpaceDN w:val="0"/>
              <w:snapToGrid w:val="0"/>
              <w:spacing w:line="360" w:lineRule="auto"/>
              <w:textAlignment w:val="bottom"/>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w:t>
            </w:r>
            <w:r>
              <w:rPr>
                <w:rFonts w:hint="eastAsia" w:ascii="宋体" w:hAnsi="宋体" w:eastAsia="宋体" w:cs="宋体"/>
                <w:color w:val="auto"/>
                <w:szCs w:val="21"/>
                <w:highlight w:val="none"/>
                <w:lang w:eastAsia="zh-CN"/>
              </w:rPr>
              <w:t>投标保证金</w:t>
            </w:r>
            <w:r>
              <w:rPr>
                <w:rFonts w:hint="eastAsia" w:ascii="宋体" w:hAnsi="宋体" w:eastAsia="宋体" w:cs="宋体"/>
                <w:color w:val="auto"/>
                <w:szCs w:val="21"/>
                <w:highlight w:val="none"/>
              </w:rPr>
              <w:t>。</w:t>
            </w:r>
          </w:p>
        </w:tc>
      </w:tr>
      <w:tr w14:paraId="64639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0181D3D">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19.2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46ABCFD">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 xml:space="preserve">文件应按报价文件、资格证明文件、商务文件、技术文件分别编制，报价文件、资格证明文件分别生成电子文件，商务文件和技术文件按顺序合并生成电子文件。  </w:t>
            </w:r>
          </w:p>
          <w:p w14:paraId="62189A29">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供应商应准备电子响应文件和电子备份响应文件二类：</w:t>
            </w:r>
          </w:p>
          <w:p w14:paraId="292EBF10">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1.电子响应文件按广西政府采购云平台要求及本征集文件要求制作、加密和递交；</w:t>
            </w:r>
          </w:p>
          <w:p w14:paraId="72D3868A">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2.电子备份响应文件，按广西政府采购云平台项目采购-电子招投标操作指南中上传的电子 响应文件格式。</w:t>
            </w:r>
          </w:p>
          <w:p w14:paraId="3543961E">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3.通过“广西政府采购云平台 ”上传递交的“ 电子加密响应文件 ”无法按时解密的，代理 机构向采购监督部门备案后，供应商可以在接到通知后30分钟内以电子邮件或者其他方式 提交电子备份响应文件。供应商按时递交了电子备份响应文件的， 以电子备份响应文件为 依据，否则视为撤回响应文件。</w:t>
            </w:r>
          </w:p>
        </w:tc>
      </w:tr>
      <w:tr w14:paraId="112AE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F2D080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21.1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9D2671E">
            <w:pPr>
              <w:snapToGrid w:val="0"/>
              <w:spacing w:line="360" w:lineRule="auto"/>
              <w:rPr>
                <w:rFonts w:hint="default" w:ascii="Times New Roman" w:hAnsi="Times New Roman" w:eastAsia="宋体" w:cs="Times New Roman"/>
                <w:color w:val="auto"/>
                <w:szCs w:val="21"/>
                <w:highlight w:val="none"/>
                <w:u w:val="single"/>
                <w:lang w:eastAsia="zh-CN"/>
              </w:rPr>
            </w:pPr>
            <w:r>
              <w:rPr>
                <w:rFonts w:hint="default" w:ascii="Times New Roman" w:hAnsi="Times New Roman" w:eastAsia="宋体" w:cs="Times New Roman"/>
                <w:color w:val="auto"/>
                <w:szCs w:val="21"/>
                <w:highlight w:val="none"/>
              </w:rPr>
              <w:t>1.投标截止时间：</w:t>
            </w:r>
            <w:r>
              <w:rPr>
                <w:rFonts w:hint="default" w:ascii="Times New Roman" w:hAnsi="Times New Roman" w:eastAsia="宋体" w:cs="Times New Roman"/>
                <w:color w:val="auto"/>
                <w:szCs w:val="21"/>
                <w:highlight w:val="none"/>
                <w:lang w:eastAsia="zh-CN"/>
              </w:rPr>
              <w:t>详见征集公告</w:t>
            </w:r>
          </w:p>
          <w:p w14:paraId="57C3460B">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eastAsia" w:ascii="宋体" w:hAnsi="宋体" w:eastAsia="宋体" w:cs="宋体"/>
                <w:color w:val="auto"/>
                <w:szCs w:val="21"/>
                <w:highlight w:val="none"/>
                <w:lang w:eastAsia="zh-CN"/>
              </w:rPr>
              <w:t>投标</w:t>
            </w:r>
            <w:r>
              <w:rPr>
                <w:rFonts w:hint="default" w:ascii="Times New Roman" w:hAnsi="Times New Roman" w:eastAsia="宋体" w:cs="Times New Roman"/>
                <w:color w:val="auto"/>
                <w:szCs w:val="21"/>
                <w:highlight w:val="none"/>
                <w:lang w:eastAsia="zh-CN"/>
              </w:rPr>
              <w:t>文件</w:t>
            </w:r>
            <w:r>
              <w:rPr>
                <w:rFonts w:hint="default" w:ascii="Times New Roman" w:hAnsi="Times New Roman" w:eastAsia="宋体" w:cs="Times New Roman"/>
                <w:color w:val="auto"/>
                <w:szCs w:val="21"/>
                <w:highlight w:val="none"/>
              </w:rPr>
              <w:t>提交起止时间：</w:t>
            </w:r>
            <w:r>
              <w:rPr>
                <w:rFonts w:hint="default" w:ascii="Times New Roman" w:hAnsi="Times New Roman" w:eastAsia="宋体" w:cs="Times New Roman"/>
                <w:color w:val="auto"/>
                <w:spacing w:val="7"/>
                <w:highlight w:val="none"/>
              </w:rPr>
              <w:t>详见征集公告</w:t>
            </w:r>
          </w:p>
          <w:p w14:paraId="16A0F64A">
            <w:pPr>
              <w:snapToGrid w:val="0"/>
              <w:spacing w:line="360" w:lineRule="auto"/>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3.投标地点：</w:t>
            </w:r>
            <w:r>
              <w:rPr>
                <w:rFonts w:hint="default" w:ascii="Times New Roman" w:hAnsi="Times New Roman" w:eastAsia="宋体" w:cs="Times New Roman"/>
                <w:color w:val="auto"/>
                <w:spacing w:val="7"/>
                <w:highlight w:val="none"/>
              </w:rPr>
              <w:t>详见征集公告</w:t>
            </w:r>
          </w:p>
        </w:tc>
      </w:tr>
      <w:tr w14:paraId="07549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728E83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3C76823">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1.开标时间：</w:t>
            </w:r>
            <w:r>
              <w:rPr>
                <w:rFonts w:hint="default" w:ascii="Times New Roman" w:hAnsi="Times New Roman" w:eastAsia="宋体" w:cs="Times New Roman"/>
                <w:color w:val="auto"/>
                <w:szCs w:val="21"/>
                <w:highlight w:val="none"/>
                <w:lang w:eastAsia="zh-CN"/>
              </w:rPr>
              <w:t>详见征集公告</w:t>
            </w:r>
          </w:p>
          <w:p w14:paraId="717D2E7B">
            <w:pPr>
              <w:snapToGrid w:val="0"/>
              <w:spacing w:line="360" w:lineRule="auto"/>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2.开标地点：</w:t>
            </w:r>
            <w:r>
              <w:rPr>
                <w:rFonts w:hint="default" w:ascii="Times New Roman" w:hAnsi="Times New Roman" w:eastAsia="宋体" w:cs="Times New Roman"/>
                <w:color w:val="auto"/>
                <w:szCs w:val="21"/>
                <w:highlight w:val="none"/>
                <w:lang w:eastAsia="zh-CN"/>
              </w:rPr>
              <w:t>详见征集公告</w:t>
            </w:r>
          </w:p>
        </w:tc>
      </w:tr>
      <w:tr w14:paraId="72C4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2538D90A">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25.3（3）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2F3FBA0">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或者采购代理机构在资格审查结束前，对</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szCs w:val="21"/>
                <w:highlight w:val="none"/>
              </w:rPr>
              <w:t>进行信用查询。</w:t>
            </w:r>
          </w:p>
          <w:p w14:paraId="72936D7C">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查询渠道：“信用中国 ”网站(www.creditchina.gov.cn) 、中国政府采购网(www.ccgp.gov.cn)。</w:t>
            </w:r>
          </w:p>
          <w:p w14:paraId="56AE7293">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信用查询截止时点：</w:t>
            </w:r>
            <w:r>
              <w:rPr>
                <w:rFonts w:hint="default" w:ascii="Times New Roman" w:hAnsi="Times New Roman" w:eastAsia="宋体" w:cs="Times New Roman"/>
                <w:color w:val="auto"/>
                <w:spacing w:val="7"/>
                <w:highlight w:val="none"/>
              </w:rPr>
              <w:t>资格审查结束前</w:t>
            </w:r>
            <w:r>
              <w:rPr>
                <w:rFonts w:hint="default" w:ascii="Times New Roman" w:hAnsi="Times New Roman" w:eastAsia="宋体" w:cs="Times New Roman"/>
                <w:color w:val="auto"/>
                <w:szCs w:val="21"/>
                <w:highlight w:val="none"/>
              </w:rPr>
              <w:t>。</w:t>
            </w:r>
          </w:p>
          <w:p w14:paraId="11C5ADC0">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查询记录和证据留存方式：截图作为在“政采云 ”平台作为附件上传保存。</w:t>
            </w:r>
          </w:p>
          <w:p w14:paraId="19703730">
            <w:pPr>
              <w:snapToGrid w:val="0"/>
              <w:spacing w:line="360" w:lineRule="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信用信息使用规则： 对 在 “ 信 用 中 国 ” 网 站 (www.creditchina.gov.cn) 、 中 国 政 府 采 购 网 (www.ccgp.gov.cn)被列入失信被执行人、重大税收违法案件当事人名单、政府采购严重违法失信行为记录名单的</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szCs w:val="21"/>
                <w:highlight w:val="none"/>
              </w:rPr>
              <w:t>，征集人或者采购代理机构应当拒绝其参与政府采购活动。</w:t>
            </w:r>
          </w:p>
        </w:tc>
      </w:tr>
      <w:tr w14:paraId="51543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764483A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26</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3C000BC">
            <w:pPr>
              <w:snapToGrid w:val="0"/>
              <w:spacing w:line="360" w:lineRule="auto"/>
              <w:rPr>
                <w:rFonts w:hint="eastAsia"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评标委员会的人数：</w:t>
            </w: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人</w:t>
            </w:r>
            <w:r>
              <w:rPr>
                <w:rFonts w:hint="default" w:ascii="Times New Roman" w:hAnsi="Times New Roman" w:eastAsia="宋体" w:cs="Times New Roman"/>
                <w:color w:val="auto"/>
                <w:szCs w:val="21"/>
                <w:highlight w:val="none"/>
              </w:rPr>
              <w:t>，其中征集人代表</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名、技术专家</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名</w:t>
            </w:r>
            <w:r>
              <w:rPr>
                <w:rFonts w:hint="eastAsia" w:ascii="Times New Roman" w:hAnsi="Times New Roman" w:eastAsia="宋体" w:cs="Times New Roman"/>
                <w:color w:val="auto"/>
                <w:szCs w:val="21"/>
                <w:highlight w:val="none"/>
                <w:lang w:eastAsia="zh-CN"/>
              </w:rPr>
              <w:t>。</w:t>
            </w:r>
          </w:p>
        </w:tc>
      </w:tr>
      <w:tr w14:paraId="65FA3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1765040F">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F5B26EC">
            <w:pPr>
              <w:autoSpaceDE w:val="0"/>
              <w:autoSpaceDN w:val="0"/>
              <w:snapToGrid w:val="0"/>
              <w:spacing w:line="360" w:lineRule="auto"/>
              <w:textAlignment w:val="bottom"/>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评标方法：质量优先法</w:t>
            </w:r>
          </w:p>
        </w:tc>
      </w:tr>
      <w:tr w14:paraId="613A0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14A50AE">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29.2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A4A3FBD">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商务要求评审中允许负偏离的条款数为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0</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项。</w:t>
            </w:r>
          </w:p>
          <w:p w14:paraId="6FA4D4C9">
            <w:pPr>
              <w:snapToGrid w:val="0"/>
              <w:spacing w:line="360" w:lineRule="auto"/>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技术要求评审中允许负偏离的条款数为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0</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项。</w:t>
            </w:r>
          </w:p>
        </w:tc>
      </w:tr>
      <w:tr w14:paraId="6B881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5E3D3161">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43B4E17">
            <w:pPr>
              <w:autoSpaceDE w:val="0"/>
              <w:autoSpaceDN w:val="0"/>
              <w:snapToGrid w:val="0"/>
              <w:spacing w:line="360" w:lineRule="auto"/>
              <w:textAlignment w:val="bottom"/>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color w:val="auto"/>
                <w:spacing w:val="8"/>
                <w:highlight w:val="none"/>
              </w:rPr>
              <w:t>确定供应商时，出现入围候选人分数并列的情形，确定供应商方式</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8"/>
                <w:highlight w:val="none"/>
              </w:rPr>
              <w:t>详见“入围候选人推荐原则</w:t>
            </w:r>
            <w:r>
              <w:rPr>
                <w:rFonts w:hint="eastAsia" w:ascii="宋体" w:hAnsi="宋体" w:eastAsia="宋体" w:cs="宋体"/>
                <w:color w:val="auto"/>
                <w:spacing w:val="-67"/>
                <w:highlight w:val="none"/>
              </w:rPr>
              <w:t xml:space="preserve"> </w:t>
            </w:r>
            <w:r>
              <w:rPr>
                <w:rFonts w:hint="eastAsia" w:ascii="宋体" w:hAnsi="宋体" w:eastAsia="宋体" w:cs="宋体"/>
                <w:color w:val="auto"/>
                <w:spacing w:val="8"/>
                <w:highlight w:val="none"/>
              </w:rPr>
              <w:t>”。</w:t>
            </w:r>
          </w:p>
        </w:tc>
      </w:tr>
      <w:tr w14:paraId="43B2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722B209">
            <w:pPr>
              <w:spacing w:line="360" w:lineRule="auto"/>
              <w:jc w:val="center"/>
              <w:rPr>
                <w:rFonts w:hint="default" w:ascii="宋体" w:hAnsi="宋体" w:eastAsia="宋体" w:cs="宋体"/>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35.1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03B9313">
            <w:pPr>
              <w:autoSpaceDE w:val="0"/>
              <w:autoSpaceDN w:val="0"/>
              <w:snapToGrid w:val="0"/>
              <w:spacing w:line="360" w:lineRule="auto"/>
              <w:textAlignment w:val="bottom"/>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本项目不收取履约保证金。</w:t>
            </w:r>
          </w:p>
        </w:tc>
      </w:tr>
      <w:tr w14:paraId="7E6C5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1F18D61">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61BC2AF">
            <w:pPr>
              <w:autoSpaceDE w:val="0"/>
              <w:autoSpaceDN w:val="0"/>
              <w:snapToGrid w:val="0"/>
              <w:spacing w:line="360" w:lineRule="auto"/>
              <w:textAlignment w:val="bottom"/>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电子采购合同需要供应商通过有效CA证书进行电子签名与签章</w:t>
            </w:r>
            <w:r>
              <w:rPr>
                <w:rFonts w:hint="eastAsia" w:ascii="Times New Roman" w:hAnsi="Times New Roman" w:eastAsia="宋体" w:cs="Times New Roman"/>
                <w:color w:val="auto"/>
                <w:szCs w:val="21"/>
                <w:highlight w:val="none"/>
                <w:lang w:eastAsia="zh-CN"/>
              </w:rPr>
              <w:t>。</w:t>
            </w:r>
          </w:p>
        </w:tc>
      </w:tr>
      <w:tr w14:paraId="4C1A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0E30C39">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38.2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C6E7F56">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接收质疑函方式：以书面形式</w:t>
            </w:r>
          </w:p>
          <w:p w14:paraId="4187B8CC">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质疑联系部门及联系方式：</w:t>
            </w:r>
            <w:r>
              <w:rPr>
                <w:rFonts w:hint="eastAsia" w:ascii="Times New Roman" w:hAnsi="Times New Roman" w:eastAsia="宋体" w:cs="Times New Roman"/>
                <w:color w:val="auto"/>
                <w:szCs w:val="21"/>
                <w:highlight w:val="none"/>
                <w:lang w:val="en-US" w:eastAsia="zh-CN"/>
              </w:rPr>
              <w:t>广西中吉银工程项目管理有限公司</w:t>
            </w:r>
            <w:r>
              <w:rPr>
                <w:rFonts w:hint="default" w:ascii="Times New Roman" w:hAnsi="Times New Roman" w:eastAsia="宋体" w:cs="Times New Roman"/>
                <w:color w:val="auto"/>
                <w:szCs w:val="21"/>
                <w:highlight w:val="none"/>
              </w:rPr>
              <w:t>，联系电话：</w:t>
            </w:r>
            <w:r>
              <w:rPr>
                <w:rFonts w:hint="eastAsia" w:ascii="Times New Roman" w:hAnsi="Times New Roman" w:eastAsia="宋体" w:cs="Times New Roman"/>
                <w:color w:val="auto"/>
                <w:szCs w:val="21"/>
                <w:highlight w:val="none"/>
                <w:lang w:val="en-US" w:eastAsia="zh-CN"/>
              </w:rPr>
              <w:t>0776-3070776</w:t>
            </w:r>
            <w:r>
              <w:rPr>
                <w:rFonts w:hint="default" w:ascii="Times New Roman" w:hAnsi="Times New Roman" w:eastAsia="宋体" w:cs="Times New Roman"/>
                <w:color w:val="auto"/>
                <w:szCs w:val="21"/>
                <w:highlight w:val="none"/>
              </w:rPr>
              <w:t>，通讯地址：</w:t>
            </w:r>
            <w:r>
              <w:rPr>
                <w:rFonts w:hint="eastAsia" w:ascii="Times New Roman" w:hAnsi="Times New Roman" w:eastAsia="宋体" w:cs="Times New Roman"/>
                <w:color w:val="auto"/>
                <w:szCs w:val="21"/>
                <w:highlight w:val="none"/>
                <w:lang w:val="en-US" w:eastAsia="zh-CN"/>
              </w:rPr>
              <w:t>广西壮族自治区百色市右江区城北二路18-1号鑫鑫大酒店2号楼副楼五楼</w:t>
            </w:r>
          </w:p>
          <w:p w14:paraId="0D8CB06B">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现场提交质疑办理业务时间：工作日9时00分到12时00分，15时00分到</w:t>
            </w:r>
            <w:r>
              <w:rPr>
                <w:rFonts w:hint="default" w:ascii="Times New Roman" w:hAnsi="Times New Roman" w:eastAsia="宋体" w:cs="Times New Roman"/>
                <w:color w:val="auto"/>
                <w:szCs w:val="21"/>
                <w:highlight w:val="none"/>
                <w:lang w:val="en-US" w:eastAsia="zh-CN"/>
              </w:rPr>
              <w:t>18</w:t>
            </w:r>
            <w:r>
              <w:rPr>
                <w:rFonts w:hint="default" w:ascii="Times New Roman" w:hAnsi="Times New Roman" w:eastAsia="宋体" w:cs="Times New Roman"/>
                <w:color w:val="auto"/>
                <w:szCs w:val="21"/>
                <w:highlight w:val="none"/>
              </w:rPr>
              <w:t>时</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0分</w:t>
            </w:r>
            <w:r>
              <w:rPr>
                <w:rFonts w:hint="default" w:ascii="Times New Roman" w:hAnsi="Times New Roman" w:eastAsia="宋体" w:cs="Times New Roman"/>
                <w:color w:val="auto"/>
                <w:szCs w:val="21"/>
                <w:highlight w:val="none"/>
                <w:lang w:eastAsia="zh-CN"/>
              </w:rPr>
              <w:t>。</w:t>
            </w:r>
          </w:p>
          <w:p w14:paraId="7ABF8204">
            <w:pPr>
              <w:snapToGrid w:val="0"/>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投诉受理方式</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纸质方式受理，投诉书正、副本（经过质疑的事项才可投诉）</w:t>
            </w:r>
          </w:p>
          <w:p w14:paraId="0E16BB00">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2、根据政府采购质疑和投诉办法（财政部第 94 号令）的规定，同一投诉事项已经财政部门投诉处理的不予受理。</w:t>
            </w:r>
          </w:p>
          <w:p w14:paraId="4CB3CAB5">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3、邮寄地址：</w:t>
            </w:r>
          </w:p>
          <w:p w14:paraId="2BFE667A">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名称：田东县财政局</w:t>
            </w:r>
          </w:p>
          <w:p w14:paraId="26ACAA84">
            <w:pPr>
              <w:snapToGrid w:val="0"/>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地址：百色市田东县油城路13号</w:t>
            </w:r>
          </w:p>
          <w:p w14:paraId="32D7EE62">
            <w:pPr>
              <w:snapToGrid w:val="0"/>
              <w:spacing w:line="360" w:lineRule="auto"/>
              <w:rPr>
                <w:rFonts w:hint="default" w:ascii="宋体" w:hAnsi="宋体" w:eastAsia="宋体" w:cs="宋体"/>
                <w:color w:val="auto"/>
                <w:spacing w:val="6"/>
                <w:kern w:val="2"/>
                <w:sz w:val="21"/>
                <w:szCs w:val="24"/>
                <w:highlight w:val="none"/>
                <w:lang w:val="en-US" w:eastAsia="zh-CN" w:bidi="ar-SA"/>
              </w:rPr>
            </w:pPr>
            <w:r>
              <w:rPr>
                <w:rFonts w:hint="default" w:ascii="Times New Roman" w:hAnsi="Times New Roman" w:eastAsia="宋体" w:cs="Times New Roman"/>
                <w:color w:val="auto"/>
                <w:szCs w:val="21"/>
                <w:highlight w:val="none"/>
                <w:lang w:eastAsia="zh-CN"/>
              </w:rPr>
              <w:t>电 话：0776-</w:t>
            </w:r>
            <w:r>
              <w:rPr>
                <w:rFonts w:hint="default" w:ascii="Times New Roman" w:hAnsi="Times New Roman" w:eastAsia="宋体" w:cs="Times New Roman"/>
                <w:color w:val="auto"/>
                <w:szCs w:val="21"/>
                <w:highlight w:val="none"/>
                <w:lang w:val="en-US" w:eastAsia="zh-CN"/>
              </w:rPr>
              <w:t xml:space="preserve"> </w:t>
            </w:r>
            <w:r>
              <w:rPr>
                <w:rFonts w:hint="eastAsia" w:ascii="Times New Roman" w:hAnsi="Times New Roman" w:eastAsia="宋体" w:cs="Times New Roman"/>
                <w:color w:val="auto"/>
                <w:szCs w:val="21"/>
                <w:highlight w:val="none"/>
                <w:lang w:val="en-US" w:eastAsia="zh-CN"/>
              </w:rPr>
              <w:t>5227597</w:t>
            </w:r>
          </w:p>
        </w:tc>
      </w:tr>
      <w:tr w14:paraId="3D202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4700B0A8">
            <w:pPr>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40</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AD26C01">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1.采购代理费支付方式：</w:t>
            </w:r>
          </w:p>
          <w:p w14:paraId="6F357D83">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供应商</w:t>
            </w:r>
            <w:r>
              <w:rPr>
                <w:rFonts w:hint="eastAsia" w:ascii="宋体" w:hAnsi="宋体" w:eastAsia="宋体" w:cs="宋体"/>
                <w:color w:val="auto"/>
                <w:sz w:val="21"/>
                <w:highlight w:val="none"/>
                <w:lang w:val="en-US" w:eastAsia="zh-CN"/>
              </w:rPr>
              <w:t>在发布入围公告后，一次性向采购代理机构支付。</w:t>
            </w:r>
          </w:p>
          <w:p w14:paraId="782BF9B0">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□征集人支付。</w:t>
            </w:r>
          </w:p>
          <w:p w14:paraId="6031C39A">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□不收取采购代理费。</w:t>
            </w:r>
          </w:p>
          <w:p w14:paraId="1E5C04A3">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2.采购代理费收取标准：</w:t>
            </w:r>
          </w:p>
          <w:p w14:paraId="1D0ACB01">
            <w:pPr>
              <w:pStyle w:val="2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□以分标（□中标金额/□采购预算/□暂定中标金额/□其他</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lang w:val="en-US" w:eastAsia="zh-CN"/>
              </w:rPr>
              <w:t>）为计费额，按本须知正文第</w:t>
            </w:r>
            <w:r>
              <w:rPr>
                <w:rFonts w:hint="default" w:ascii="Times New Roman" w:hAnsi="Times New Roman" w:eastAsia="宋体" w:cs="Times New Roman"/>
                <w:color w:val="auto"/>
                <w:sz w:val="21"/>
                <w:highlight w:val="none"/>
                <w:lang w:val="en-US" w:eastAsia="zh-CN"/>
              </w:rPr>
              <w:t>40.2条</w:t>
            </w:r>
            <w:r>
              <w:rPr>
                <w:rFonts w:hint="eastAsia" w:ascii="宋体" w:hAnsi="宋体" w:eastAsia="宋体" w:cs="宋体"/>
                <w:color w:val="auto"/>
                <w:sz w:val="21"/>
                <w:highlight w:val="none"/>
                <w:lang w:val="en-US" w:eastAsia="zh-CN"/>
              </w:rPr>
              <w:t>规定的收费计算标准（□货物招标/□服务招标/□工程招标）采用差额定率累进法计算出收费基准价格，采购代理收费以（□收费基准价格/□收费基准价格下</w:t>
            </w:r>
            <w:r>
              <w:rPr>
                <w:rFonts w:hint="default" w:ascii="Times New Roman" w:hAnsi="Times New Roman" w:eastAsia="宋体" w:cs="Times New Roman"/>
                <w:color w:val="auto"/>
                <w:sz w:val="21"/>
                <w:highlight w:val="none"/>
                <w:lang w:val="en-US" w:eastAsia="zh-CN"/>
              </w:rPr>
              <w:t>浮</w:t>
            </w:r>
            <w:r>
              <w:rPr>
                <w:rFonts w:hint="default" w:ascii="Times New Roman" w:hAnsi="Times New Roman" w:eastAsia="宋体" w:cs="Times New Roman"/>
                <w:color w:val="auto"/>
                <w:sz w:val="21"/>
                <w:highlight w:val="none"/>
                <w:u w:val="single"/>
                <w:lang w:val="en-US" w:eastAsia="zh-CN"/>
              </w:rPr>
              <w:t xml:space="preserve">  %</w:t>
            </w:r>
            <w:r>
              <w:rPr>
                <w:rFonts w:hint="default" w:ascii="Times New Roman" w:hAnsi="Times New Roman" w:eastAsia="宋体" w:cs="Times New Roman"/>
                <w:color w:val="auto"/>
                <w:sz w:val="21"/>
                <w:highlight w:val="none"/>
                <w:lang w:val="en-US" w:eastAsia="zh-CN"/>
              </w:rPr>
              <w:t>/□收费基准价格上浮</w:t>
            </w:r>
            <w:r>
              <w:rPr>
                <w:rFonts w:hint="default" w:ascii="Times New Roman" w:hAnsi="Times New Roman" w:eastAsia="宋体" w:cs="Times New Roman"/>
                <w:color w:val="auto"/>
                <w:sz w:val="21"/>
                <w:highlight w:val="none"/>
                <w:u w:val="single"/>
                <w:lang w:val="en-US" w:eastAsia="zh-CN"/>
              </w:rPr>
              <w:t xml:space="preserve">   %</w:t>
            </w:r>
            <w:r>
              <w:rPr>
                <w:rFonts w:hint="default" w:ascii="Times New Roman" w:hAnsi="Times New Roman" w:eastAsia="宋体" w:cs="Times New Roman"/>
                <w:color w:val="auto"/>
                <w:sz w:val="21"/>
                <w:highlight w:val="none"/>
                <w:lang w:val="en-US" w:eastAsia="zh-CN"/>
              </w:rPr>
              <w:t>）收</w:t>
            </w:r>
            <w:r>
              <w:rPr>
                <w:rFonts w:hint="eastAsia" w:ascii="宋体" w:hAnsi="宋体" w:eastAsia="宋体" w:cs="宋体"/>
                <w:color w:val="auto"/>
                <w:sz w:val="21"/>
                <w:highlight w:val="none"/>
                <w:lang w:val="en-US" w:eastAsia="zh-CN"/>
              </w:rPr>
              <w:t>取。</w:t>
            </w:r>
          </w:p>
          <w:p w14:paraId="4485627A">
            <w:pPr>
              <w:pStyle w:val="23"/>
              <w:snapToGrid w:val="0"/>
              <w:spacing w:line="360" w:lineRule="auto"/>
              <w:rPr>
                <w:rFonts w:hint="default" w:ascii="Times New Roman" w:hAnsi="Times New Roman" w:eastAsia="宋体" w:cs="Times New Roman"/>
                <w:color w:val="auto"/>
                <w:sz w:val="21"/>
                <w:highlight w:val="none"/>
                <w:u w:val="single"/>
                <w:lang w:val="en-US" w:eastAsia="zh-CN"/>
              </w:rPr>
            </w:pPr>
            <w:r>
              <w:rPr>
                <w:rFonts w:hint="eastAsia" w:ascii="宋体" w:hAnsi="宋体" w:eastAsia="宋体" w:cs="宋体"/>
                <w:color w:val="auto"/>
                <w:sz w:val="21"/>
                <w:highlight w:val="none"/>
                <w:lang w:val="en-US" w:eastAsia="zh-CN"/>
              </w:rPr>
              <w:t>☑固定采购代理收费</w:t>
            </w:r>
            <w:r>
              <w:rPr>
                <w:rFonts w:hint="eastAsia" w:ascii="Times New Roman" w:hAnsi="Times New Roman" w:eastAsia="宋体" w:cs="Times New Roman"/>
                <w:color w:val="auto"/>
                <w:sz w:val="21"/>
                <w:highlight w:val="none"/>
                <w:u w:val="none"/>
                <w:lang w:val="en-US" w:eastAsia="zh-CN"/>
              </w:rPr>
              <w:t>：</w:t>
            </w:r>
            <w:r>
              <w:rPr>
                <w:rFonts w:hint="eastAsia" w:ascii="Times New Roman" w:hAnsi="Times New Roman" w:eastAsia="宋体" w:cs="Times New Roman"/>
                <w:color w:val="auto"/>
                <w:sz w:val="21"/>
                <w:highlight w:val="none"/>
                <w:u w:val="single"/>
                <w:lang w:val="en-US" w:eastAsia="zh-CN"/>
              </w:rPr>
              <w:t>每个入围供应商分别缴纳</w:t>
            </w:r>
            <w:r>
              <w:rPr>
                <w:rFonts w:hint="default" w:ascii="Times New Roman" w:hAnsi="Times New Roman" w:eastAsia="宋体" w:cs="Times New Roman"/>
                <w:color w:val="auto"/>
                <w:sz w:val="21"/>
                <w:highlight w:val="none"/>
                <w:u w:val="single"/>
                <w:lang w:val="en-US" w:eastAsia="zh-CN"/>
              </w:rPr>
              <w:t>人民币捌仟元整(¥</w:t>
            </w:r>
            <w:r>
              <w:rPr>
                <w:rFonts w:hint="eastAsia" w:ascii="Times New Roman" w:hAnsi="Times New Roman" w:eastAsia="宋体" w:cs="Times New Roman"/>
                <w:color w:val="auto"/>
                <w:sz w:val="21"/>
                <w:highlight w:val="none"/>
                <w:u w:val="single"/>
                <w:lang w:val="en-US" w:eastAsia="zh-CN"/>
              </w:rPr>
              <w:t>8000.</w:t>
            </w:r>
            <w:r>
              <w:rPr>
                <w:rFonts w:hint="default" w:ascii="Times New Roman" w:hAnsi="Times New Roman" w:eastAsia="宋体" w:cs="Times New Roman"/>
                <w:color w:val="auto"/>
                <w:sz w:val="21"/>
                <w:highlight w:val="none"/>
                <w:u w:val="single"/>
                <w:lang w:val="en-US" w:eastAsia="zh-CN"/>
              </w:rPr>
              <w:t>00）</w:t>
            </w:r>
            <w:r>
              <w:rPr>
                <w:rFonts w:hint="default" w:ascii="Times New Roman" w:hAnsi="Times New Roman" w:eastAsia="宋体" w:cs="Times New Roman"/>
                <w:color w:val="auto"/>
                <w:sz w:val="21"/>
                <w:highlight w:val="none"/>
                <w:u w:val="none"/>
                <w:lang w:val="en-US" w:eastAsia="zh-CN"/>
              </w:rPr>
              <w:t>。</w:t>
            </w:r>
          </w:p>
          <w:p w14:paraId="69584283">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3.采购代理费收取银行账户</w:t>
            </w:r>
          </w:p>
          <w:p w14:paraId="56E659E8">
            <w:pPr>
              <w:pStyle w:val="23"/>
              <w:snapToGrid w:val="0"/>
              <w:spacing w:line="360" w:lineRule="auto"/>
              <w:rPr>
                <w:rFonts w:hint="eastAsia" w:hAnsi="宋体" w:cs="宋体"/>
                <w:color w:val="auto"/>
                <w:sz w:val="21"/>
                <w:highlight w:val="none"/>
                <w:u w:val="none"/>
                <w:lang w:val="en-US" w:eastAsia="zh-CN"/>
              </w:rPr>
            </w:pPr>
            <w:r>
              <w:rPr>
                <w:rFonts w:hint="eastAsia" w:hAnsi="宋体" w:cs="宋体"/>
                <w:color w:val="auto"/>
                <w:sz w:val="21"/>
                <w:highlight w:val="none"/>
                <w:u w:val="none"/>
                <w:lang w:val="en-US" w:eastAsia="zh-CN"/>
              </w:rPr>
              <w:t>开户名称：广西中吉银工程项目管理有限公司百色分公司</w:t>
            </w:r>
          </w:p>
          <w:p w14:paraId="6153FAC2">
            <w:pPr>
              <w:pStyle w:val="23"/>
              <w:snapToGrid w:val="0"/>
              <w:spacing w:line="360" w:lineRule="auto"/>
              <w:rPr>
                <w:rFonts w:hint="eastAsia" w:hAnsi="宋体" w:cs="宋体"/>
                <w:color w:val="auto"/>
                <w:sz w:val="21"/>
                <w:highlight w:val="none"/>
                <w:u w:val="none"/>
                <w:lang w:val="en-US" w:eastAsia="zh-CN"/>
              </w:rPr>
            </w:pPr>
            <w:r>
              <w:rPr>
                <w:rFonts w:hint="eastAsia" w:hAnsi="宋体" w:cs="宋体"/>
                <w:color w:val="auto"/>
                <w:sz w:val="21"/>
                <w:highlight w:val="none"/>
                <w:u w:val="none"/>
                <w:lang w:val="en-US" w:eastAsia="zh-CN"/>
              </w:rPr>
              <w:t>开户银行：广西北部湾银行股份有限公司百色市中山支行</w:t>
            </w:r>
          </w:p>
          <w:p w14:paraId="62C6EDF0">
            <w:pPr>
              <w:pStyle w:val="23"/>
              <w:snapToGrid w:val="0"/>
              <w:spacing w:line="360" w:lineRule="auto"/>
              <w:rPr>
                <w:rFonts w:hint="default" w:ascii="宋体" w:hAnsi="宋体" w:eastAsia="宋体" w:cs="宋体"/>
                <w:color w:val="auto"/>
                <w:kern w:val="0"/>
                <w:sz w:val="21"/>
                <w:szCs w:val="21"/>
                <w:highlight w:val="none"/>
                <w:lang w:val="en-US" w:eastAsia="zh-CN" w:bidi="ar-SA"/>
              </w:rPr>
            </w:pPr>
            <w:r>
              <w:rPr>
                <w:rFonts w:hint="eastAsia" w:hAnsi="宋体" w:cs="宋体"/>
                <w:color w:val="auto"/>
                <w:sz w:val="21"/>
                <w:highlight w:val="none"/>
                <w:u w:val="none"/>
                <w:lang w:val="en-US" w:eastAsia="zh-CN"/>
              </w:rPr>
              <w:t xml:space="preserve">银行账号：8050 7550 0200 002 </w:t>
            </w:r>
          </w:p>
        </w:tc>
      </w:tr>
      <w:tr w14:paraId="56948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noWrap w:val="0"/>
            <w:vAlign w:val="center"/>
          </w:tcPr>
          <w:p w14:paraId="07ED6063">
            <w:pPr>
              <w:pStyle w:val="17"/>
              <w:rPr>
                <w:rFonts w:hint="default"/>
                <w:color w:val="auto"/>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F53614A">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解释权：构成本征集文件的各个组成文件应互为解释，互为说明；除征集文件中有特别规定外，仅适用于征集响应阶段的规定，按更正公告（澄清公告）、 征集公告、采购需求、供应商须知、评审方法及评审标准、拟签订的框架协议文本和采购合同文本、 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由征集人和采购代理机构负责解释。</w:t>
            </w:r>
          </w:p>
          <w:p w14:paraId="54E6838C">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法律责任：本征集文件根据《中华人民共和国政府采购法》、《中华人民共和国民法典》；《中华人民共和国政府采购法实施条例》、《政府采购框架协议 采购方式管理暂行办法》等有关法律法规编制，参与本项目的各政府采购当事人依法享有上述法律法规所赋予的权利与义务。</w:t>
            </w:r>
          </w:p>
        </w:tc>
      </w:tr>
      <w:tr w14:paraId="07D80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right w:val="single" w:color="auto" w:sz="4" w:space="0"/>
            </w:tcBorders>
            <w:noWrap w:val="0"/>
            <w:vAlign w:val="center"/>
          </w:tcPr>
          <w:p w14:paraId="2A22FA88">
            <w:pPr>
              <w:pStyle w:val="17"/>
              <w:rPr>
                <w:rFonts w:hint="default"/>
                <w:color w:val="auto"/>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A12EB4F">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1.本征集文件中描述供应商的“公章 ”是指根据我国对公章的管理规定，用供应商法定主 体行为名称制作的印章，除本征集文件有特殊规定外，供应商的财务章、部门章、分公司章、工会章、合同章、投标专用章、业务专用章及银行的转账章、现金收讫章、现金付讫 章等其他形式印章均不能代替公章。</w:t>
            </w:r>
          </w:p>
          <w:p w14:paraId="6E59D8A9">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2.电子响应文件中须加盖供应商公章部分均采用CA 签章，并根据 “政府采购项目电子交 易管理操作指南-供应商 ”及征集文件规定的格式和顺序编制电子响应文件并进行关联定 位，以便评标委员会在评审时，点击评分项可直接定位到该评分项内容。如对征集文件的 某项要求，供应商的电子响应文件未能关联定位提供相应的内容与其对应，则评标委员会 在评审时如做出对供应商不利的评审由供应商自行承担。 电子响应文件如内容不完整、编 排混乱导致响应文件被误读、漏读，或者在按征集文件规定的部位查找不到相关内容的</w:t>
            </w:r>
            <w:r>
              <w:rPr>
                <w:rFonts w:hint="eastAsia" w:ascii="Times New Roman" w:hAnsi="Times New Roman" w:eastAsia="宋体" w:cs="Times New Roman"/>
                <w:color w:val="auto"/>
                <w:sz w:val="21"/>
                <w:highlight w:val="none"/>
                <w:lang w:val="en-US" w:eastAsia="zh-CN"/>
              </w:rPr>
              <w:t>，由供应商自行承担。</w:t>
            </w:r>
          </w:p>
          <w:p w14:paraId="50F672E5">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3.供应商为其他组织或者自然人时，本征集文件规定的法定代表人指负责人或者自然人。 本征集文件所称负责人是指参加投标的其他组织营业执照上的负责人，本征集文件所称自 然人指参与投标的自然人本人。</w:t>
            </w:r>
          </w:p>
          <w:p w14:paraId="68C80603">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4.CA 签章上关于法人（负责人）或授权代表签字信息，供应商在响应文件中涉及到签字的 位置线下【签好字然后扫描或者拍照做成 PDF 的格式】或【通过广西政府采购云平台电子交易客户端使用CA法人（负责人）或授权代表签章】亦可。响应文件中涉及到签字的位置 未按要求签字的，提供的材料视为无效）。</w:t>
            </w:r>
          </w:p>
          <w:p w14:paraId="12667108">
            <w:pPr>
              <w:pStyle w:val="23"/>
              <w:snapToGrid w:val="0"/>
              <w:spacing w:line="360" w:lineRule="auto"/>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5. 自然人投标的，征集文件规定盖公章处由自然人摁手指指印。</w:t>
            </w:r>
          </w:p>
          <w:p w14:paraId="55E7A835">
            <w:pPr>
              <w:pStyle w:val="23"/>
              <w:snapToGrid w:val="0"/>
              <w:spacing w:line="360" w:lineRule="auto"/>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6.本征集文件所称的“以上”“以下”“以内”“届满 ”，包括本数；所称的“不满”“超过”“以外”，不包括本数</w:t>
            </w:r>
            <w:r>
              <w:rPr>
                <w:rFonts w:hint="default" w:ascii="Times New Roman" w:hAnsi="Times New Roman" w:eastAsia="宋体" w:cs="Times New Roman"/>
                <w:color w:val="auto"/>
                <w:sz w:val="21"/>
                <w:highlight w:val="none"/>
                <w:lang w:val="en-US" w:eastAsia="zh-CN"/>
              </w:rPr>
              <w:t>。</w:t>
            </w:r>
          </w:p>
        </w:tc>
      </w:tr>
    </w:tbl>
    <w:p w14:paraId="0328E80B">
      <w:pPr>
        <w:spacing w:line="360" w:lineRule="auto"/>
        <w:rPr>
          <w:rFonts w:hint="eastAsia" w:ascii="宋体" w:hAnsi="宋体" w:eastAsia="宋体" w:cs="宋体"/>
          <w:color w:val="auto"/>
          <w:szCs w:val="21"/>
          <w:highlight w:val="none"/>
        </w:rPr>
      </w:pPr>
      <w:bookmarkStart w:id="54" w:name="_13.3"/>
      <w:bookmarkEnd w:id="54"/>
    </w:p>
    <w:p w14:paraId="0300E3C2">
      <w:pPr>
        <w:pStyle w:val="4"/>
        <w:keepNext w:val="0"/>
        <w:keepLines w:val="0"/>
        <w:jc w:val="both"/>
        <w:rPr>
          <w:rFonts w:hint="eastAsia" w:ascii="宋体" w:hAnsi="宋体" w:eastAsia="宋体" w:cs="宋体"/>
          <w:color w:val="auto"/>
          <w:highlight w:val="none"/>
          <w:lang w:eastAsia="zh-CN"/>
        </w:rPr>
        <w:sectPr>
          <w:footerReference r:id="rId8" w:type="default"/>
          <w:pgSz w:w="11906" w:h="16839"/>
          <w:pgMar w:top="1404" w:right="1233" w:bottom="1091" w:left="1310" w:header="0" w:footer="929" w:gutter="0"/>
          <w:pgNumType w:fmt="decimal"/>
          <w:cols w:space="720" w:num="1"/>
        </w:sectPr>
      </w:pPr>
      <w:bookmarkStart w:id="55" w:name="_39.1"/>
      <w:bookmarkEnd w:id="55"/>
      <w:bookmarkStart w:id="56" w:name="_40.1"/>
      <w:bookmarkEnd w:id="56"/>
      <w:bookmarkStart w:id="57" w:name="_16.2"/>
      <w:bookmarkEnd w:id="57"/>
      <w:bookmarkStart w:id="58" w:name="_41"/>
      <w:bookmarkEnd w:id="58"/>
      <w:bookmarkStart w:id="59" w:name="_42"/>
      <w:bookmarkEnd w:id="59"/>
      <w:bookmarkStart w:id="60" w:name="_17.1"/>
      <w:bookmarkEnd w:id="60"/>
      <w:bookmarkStart w:id="61" w:name="_13.5"/>
      <w:bookmarkEnd w:id="61"/>
    </w:p>
    <w:p w14:paraId="25EC99ED">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须知正文</w:t>
      </w:r>
    </w:p>
    <w:p w14:paraId="755E7B05">
      <w:pPr>
        <w:pStyle w:val="4"/>
        <w:keepNext w:val="0"/>
        <w:keepLines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一、总  则</w:t>
      </w:r>
    </w:p>
    <w:p w14:paraId="5D134758">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62" w:name="_Toc254970668"/>
      <w:bookmarkStart w:id="63" w:name="_Toc254970527"/>
      <w:r>
        <w:rPr>
          <w:rFonts w:hint="default" w:ascii="Times New Roman" w:hAnsi="Times New Roman" w:eastAsia="宋体" w:cs="Times New Roman"/>
          <w:color w:val="auto"/>
          <w:sz w:val="24"/>
          <w:highlight w:val="none"/>
        </w:rPr>
        <w:t>1.适用范围</w:t>
      </w:r>
      <w:bookmarkEnd w:id="62"/>
      <w:bookmarkEnd w:id="63"/>
    </w:p>
    <w:p w14:paraId="106DE452">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1.1适用法律：本项目</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、采购代理机构、</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评标委员会的相关行为均受《中华人民共和国政府采购法》、《中华人民共和国政府采购法实施条例》、《政府采购货物和服务招标投标管理办法》及本项目本级和上级财政部门政府采购有关规定的约束和保护。</w:t>
      </w:r>
    </w:p>
    <w:p w14:paraId="5812C0B4">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1.2本</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pacing w:val="-6"/>
          <w:szCs w:val="21"/>
          <w:highlight w:val="none"/>
        </w:rPr>
        <w:t>适用于本项目的所有采购程序和环节（法律、法规另有规定的，从其规定）。</w:t>
      </w:r>
    </w:p>
    <w:p w14:paraId="6C0D4E54">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64" w:name="_Toc254970528"/>
      <w:bookmarkStart w:id="65" w:name="_Toc254970669"/>
      <w:r>
        <w:rPr>
          <w:rFonts w:hint="default" w:ascii="Times New Roman" w:hAnsi="Times New Roman" w:eastAsia="宋体" w:cs="Times New Roman"/>
          <w:color w:val="auto"/>
          <w:sz w:val="24"/>
          <w:highlight w:val="none"/>
        </w:rPr>
        <w:t>2.定义</w:t>
      </w:r>
      <w:bookmarkEnd w:id="64"/>
      <w:bookmarkEnd w:id="65"/>
    </w:p>
    <w:p w14:paraId="00AB7192">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2.1“征集人（采购人） ”是指依法进行政府采购的国家机关、事业单位、团体组织。</w:t>
      </w:r>
    </w:p>
    <w:p w14:paraId="2A9B4673">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2.2“采购代理机构 ”是指政府采购代理机构（以下简称采购代理机构）是指集中采购机构以外、</w:t>
      </w:r>
    </w:p>
    <w:p w14:paraId="787519B9">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受采购人委托从事政府采购代理业务的社会中介机构。</w:t>
      </w:r>
    </w:p>
    <w:p w14:paraId="334B652F">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2.3“供应商 ”是指响应征集、参加投标竞争的法人、非法人组织或者自然人。</w:t>
      </w:r>
    </w:p>
    <w:p w14:paraId="61CB6C2F">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2.4“服务 ”是指除货物和工程以外的其他政府采购对象。</w:t>
      </w:r>
    </w:p>
    <w:p w14:paraId="1B1B6D7D">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2.5“书面形式 ”是指合同书、信件和数据电文（包括电报、电传、传真、电子数据交换和电子邮</w:t>
      </w:r>
    </w:p>
    <w:p w14:paraId="42A5308B">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件）等可以有形地表现所载内容的形式。</w:t>
      </w:r>
    </w:p>
    <w:p w14:paraId="46F41678">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2.6“实质性要求 ”是指征集文件中已经指明不满足则响应无效的条款，或者不能负偏离的条款，</w:t>
      </w:r>
    </w:p>
    <w:p w14:paraId="0BEDDC65">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或者采购需求中带“▲ ”的条款。</w:t>
      </w:r>
    </w:p>
    <w:p w14:paraId="578B49ED">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2.7“正偏离 ”，是指响应文件对征集文件“采购需求 ”中有关条款作出的响应优于条款要求并有 利于采购人的情形。</w:t>
      </w:r>
    </w:p>
    <w:p w14:paraId="4B4FCB47">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2.8“负偏离 ”，是指响应文件对征集文件“采购需求 ”中有关条款作出的响应不满足条款要求， 导致采购人要求不能得到满足的情形。</w:t>
      </w:r>
    </w:p>
    <w:p w14:paraId="136BA6E3">
      <w:pPr>
        <w:snapToGrid w:val="0"/>
        <w:spacing w:line="360" w:lineRule="auto"/>
        <w:ind w:firstLine="420" w:firstLineChars="200"/>
        <w:jc w:val="left"/>
        <w:rPr>
          <w:rFonts w:hint="default"/>
          <w:color w:val="auto"/>
          <w:highlight w:val="none"/>
        </w:rPr>
      </w:pPr>
      <w:r>
        <w:rPr>
          <w:rFonts w:hint="eastAsia" w:ascii="宋体" w:hAnsi="宋体" w:eastAsia="宋体" w:cs="宋体"/>
          <w:color w:val="auto"/>
          <w:szCs w:val="21"/>
          <w:highlight w:val="none"/>
          <w:lang w:val="en-US" w:eastAsia="zh-CN"/>
        </w:rPr>
        <w:t>2.9“允许负偏离的条款 ”是指采购需求中的不属于“实质性要求 ”的条款</w:t>
      </w:r>
      <w:r>
        <w:rPr>
          <w:rFonts w:hint="default" w:ascii="宋体" w:hAnsi="宋体" w:eastAsia="宋体" w:cs="宋体"/>
          <w:color w:val="auto"/>
          <w:szCs w:val="21"/>
          <w:highlight w:val="none"/>
          <w:lang w:eastAsia="zh-CN"/>
        </w:rPr>
        <w:t>。</w:t>
      </w:r>
      <w:bookmarkStart w:id="66" w:name="_Toc254970670"/>
      <w:bookmarkStart w:id="67" w:name="_Toc254970529"/>
    </w:p>
    <w:p w14:paraId="29E7DA4C">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bookmarkEnd w:id="66"/>
      <w:bookmarkEnd w:id="67"/>
      <w:r>
        <w:rPr>
          <w:rFonts w:hint="eastAsia"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的资格要求</w:t>
      </w:r>
    </w:p>
    <w:p w14:paraId="414A379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的资格要求详见“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6CBA5E4A">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68" w:name="_Toc254970530"/>
      <w:bookmarkStart w:id="69" w:name="_Toc254970671"/>
      <w:r>
        <w:rPr>
          <w:rFonts w:hint="default" w:ascii="Times New Roman" w:hAnsi="Times New Roman" w:eastAsia="宋体" w:cs="Times New Roman"/>
          <w:color w:val="auto"/>
          <w:sz w:val="24"/>
          <w:highlight w:val="none"/>
        </w:rPr>
        <w:t>4.</w:t>
      </w:r>
      <w:r>
        <w:rPr>
          <w:rFonts w:hint="eastAsia" w:ascii="Times New Roman" w:hAnsi="Times New Roman" w:eastAsia="宋体" w:cs="Times New Roman"/>
          <w:color w:val="auto"/>
          <w:spacing w:val="-2"/>
          <w:sz w:val="24"/>
          <w:szCs w:val="24"/>
          <w:highlight w:val="none"/>
          <w:lang w:eastAsia="zh-CN"/>
        </w:rPr>
        <w:t>投标</w:t>
      </w:r>
      <w:r>
        <w:rPr>
          <w:rFonts w:hint="default" w:ascii="Times New Roman" w:hAnsi="Times New Roman" w:eastAsia="宋体" w:cs="Times New Roman"/>
          <w:color w:val="auto"/>
          <w:sz w:val="24"/>
          <w:highlight w:val="none"/>
        </w:rPr>
        <w:t>委托</w:t>
      </w:r>
      <w:bookmarkEnd w:id="68"/>
      <w:bookmarkEnd w:id="69"/>
    </w:p>
    <w:p w14:paraId="6C92007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文件中必须提供个人有效身份证件。如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代表不是法定代表人，须持有授权委托书（正本用原件，副本用复印件）。</w:t>
      </w:r>
    </w:p>
    <w:p w14:paraId="025E5DE9">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70" w:name="_5.投标费用"/>
      <w:bookmarkEnd w:id="70"/>
      <w:bookmarkStart w:id="71" w:name="_Toc254970531"/>
      <w:bookmarkStart w:id="72" w:name="_Toc254970672"/>
      <w:r>
        <w:rPr>
          <w:rFonts w:hint="default" w:ascii="Times New Roman" w:hAnsi="Times New Roman" w:eastAsia="宋体" w:cs="Times New Roman"/>
          <w:color w:val="auto"/>
          <w:sz w:val="24"/>
          <w:highlight w:val="none"/>
        </w:rPr>
        <w:t>5.</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费用</w:t>
      </w:r>
      <w:bookmarkEnd w:id="71"/>
      <w:bookmarkEnd w:id="72"/>
    </w:p>
    <w:p w14:paraId="60A2171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费用：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应承担参与本次采购活动有关的所有费用，包括但不限于获取</w:t>
      </w:r>
      <w:r>
        <w:rPr>
          <w:rFonts w:hint="eastAsia" w:ascii="宋体" w:hAnsi="宋体" w:eastAsia="宋体" w:cs="宋体"/>
          <w:color w:val="auto"/>
          <w:szCs w:val="21"/>
          <w:highlight w:val="none"/>
          <w:lang w:val="en-US" w:eastAsia="zh-CN"/>
        </w:rPr>
        <w:t>征集</w:t>
      </w:r>
      <w:r>
        <w:rPr>
          <w:rFonts w:hint="eastAsia" w:ascii="宋体" w:hAnsi="宋体" w:eastAsia="宋体" w:cs="宋体"/>
          <w:color w:val="auto"/>
          <w:szCs w:val="21"/>
          <w:highlight w:val="none"/>
        </w:rPr>
        <w:t>文件、编制和提交</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文件、参加澄清说明、签订合同等，不论投标结果如何，均应自行承担。</w:t>
      </w:r>
    </w:p>
    <w:p w14:paraId="5F6D7D7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6.联合体投标</w:t>
      </w:r>
    </w:p>
    <w:p w14:paraId="023DB8F7">
      <w:pPr>
        <w:snapToGrid w:val="0"/>
        <w:spacing w:line="360" w:lineRule="auto"/>
        <w:ind w:firstLine="420" w:firstLineChars="200"/>
        <w:jc w:val="left"/>
        <w:rPr>
          <w:rFonts w:hint="default" w:ascii="Times New Roman" w:hAnsi="Times New Roman" w:eastAsia="宋体" w:cs="Times New Roman"/>
          <w:color w:val="auto"/>
          <w:szCs w:val="21"/>
          <w:highlight w:val="none"/>
        </w:rPr>
        <w:sectPr>
          <w:footerReference r:id="rId9" w:type="default"/>
          <w:pgSz w:w="11906" w:h="16839"/>
          <w:pgMar w:top="1404" w:right="1233" w:bottom="1091" w:left="1310" w:header="0" w:footer="929" w:gutter="0"/>
          <w:pgNumType w:fmt="decimal"/>
          <w:cols w:space="720" w:num="1"/>
        </w:sectPr>
      </w:pPr>
    </w:p>
    <w:p w14:paraId="0448368B">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6.1本项目是否接受联合体投标，详见“</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须知前附表”。</w:t>
      </w:r>
    </w:p>
    <w:p w14:paraId="705B30BF">
      <w:pPr>
        <w:snapToGrid w:val="0"/>
        <w:spacing w:line="360" w:lineRule="auto"/>
        <w:ind w:firstLine="420" w:firstLineChars="200"/>
        <w:jc w:val="lef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6.2如接受联合体投标，联合体投标要求详见“</w:t>
      </w:r>
      <w:r>
        <w:rPr>
          <w:rFonts w:hint="default" w:ascii="Times New Roman" w:hAnsi="Times New Roman" w:eastAsia="宋体" w:cs="Times New Roman"/>
          <w:bCs/>
          <w:color w:val="auto"/>
          <w:szCs w:val="21"/>
          <w:highlight w:val="none"/>
          <w:lang w:eastAsia="zh-CN"/>
        </w:rPr>
        <w:t>供应商</w:t>
      </w:r>
      <w:r>
        <w:rPr>
          <w:rFonts w:hint="default" w:ascii="Times New Roman" w:hAnsi="Times New Roman" w:eastAsia="宋体" w:cs="Times New Roman"/>
          <w:bCs/>
          <w:color w:val="auto"/>
          <w:szCs w:val="21"/>
          <w:highlight w:val="none"/>
        </w:rPr>
        <w:t>须知前附表”。</w:t>
      </w:r>
    </w:p>
    <w:p w14:paraId="7B7FA483">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6.3</w:t>
      </w:r>
      <w:r>
        <w:rPr>
          <w:rFonts w:hint="default" w:ascii="Times New Roman" w:hAnsi="Times New Roman" w:eastAsia="宋体" w:cs="Times New Roman"/>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、采购代理机构应当对联合体或者大中型企业的报价给予2%-3%的扣除，用扣除后的价格参加评审。</w:t>
      </w:r>
    </w:p>
    <w:p w14:paraId="38D0C933">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7.转包与分包             </w:t>
      </w:r>
    </w:p>
    <w:p w14:paraId="3FE3C4C3">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bookmarkStart w:id="73" w:name="_Toc254970673"/>
      <w:bookmarkStart w:id="74" w:name="_Toc254970532"/>
      <w:r>
        <w:rPr>
          <w:rFonts w:hint="default" w:ascii="Times New Roman" w:hAnsi="Times New Roman" w:eastAsia="宋体" w:cs="Times New Roman"/>
          <w:b w:val="0"/>
          <w:color w:val="auto"/>
          <w:sz w:val="21"/>
          <w:szCs w:val="21"/>
          <w:highlight w:val="none"/>
        </w:rPr>
        <w:t>7.1本项目不允许转包。</w:t>
      </w:r>
    </w:p>
    <w:p w14:paraId="29A6F377">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7.2本项目是否允许分包详见</w:t>
      </w:r>
      <w:r>
        <w:rPr>
          <w:rFonts w:hint="eastAsia" w:ascii="宋体" w:hAnsi="宋体" w:eastAsia="宋体" w:cs="宋体"/>
          <w:b w:val="0"/>
          <w:color w:val="auto"/>
          <w:sz w:val="21"/>
          <w:szCs w:val="21"/>
          <w:highlight w:val="none"/>
        </w:rPr>
        <w:t>“</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r>
        <w:rPr>
          <w:rFonts w:hint="default" w:ascii="Times New Roman" w:hAnsi="Times New Roman" w:eastAsia="宋体" w:cs="Times New Roman"/>
          <w:b w:val="0"/>
          <w:color w:val="auto"/>
          <w:sz w:val="21"/>
          <w:szCs w:val="21"/>
          <w:highlight w:val="none"/>
        </w:rPr>
        <w:t>本项目不允许违法分包。允许分包的非主体、非关键性工作，根据法律法规规定承担该工作需要行政许可的，如该工作由</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自行承担，</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应具备相应的行政许可，如</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不具备相应的行政许可必须采用分包的方式，但分包</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应具备相应行政许可。</w:t>
      </w:r>
    </w:p>
    <w:p w14:paraId="00E52606">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7.3</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根据</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的规定和采购项目的实际情况，拟在中标后将中标项目的非主体、非关键性工作分包的，应当在</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中载明分包承担主体，分包承担主体应当具备相应资质条件且不得再次分包。</w:t>
      </w:r>
    </w:p>
    <w:p w14:paraId="75BF083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8.特别说明</w:t>
      </w:r>
      <w:bookmarkEnd w:id="73"/>
      <w:bookmarkEnd w:id="74"/>
    </w:p>
    <w:p w14:paraId="6B393414">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8.1如果本</w:t>
      </w:r>
      <w:r>
        <w:rPr>
          <w:rFonts w:hint="default" w:ascii="Times New Roman" w:hAnsi="Times New Roman" w:eastAsia="宋体" w:cs="Times New Roman"/>
          <w:b w:val="0"/>
          <w:color w:val="auto"/>
          <w:sz w:val="21"/>
          <w:szCs w:val="21"/>
          <w:highlight w:val="none"/>
          <w:lang w:val="en-US" w:eastAsia="zh-CN"/>
        </w:rPr>
        <w:t>征集文件</w:t>
      </w:r>
      <w:r>
        <w:rPr>
          <w:rFonts w:hint="default" w:ascii="Times New Roman" w:hAnsi="Times New Roman" w:eastAsia="宋体" w:cs="Times New Roman"/>
          <w:b w:val="0"/>
          <w:color w:val="auto"/>
          <w:sz w:val="21"/>
          <w:szCs w:val="21"/>
          <w:highlight w:val="none"/>
        </w:rPr>
        <w:t>要求提供</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的资格、信誉、荣誉、业绩与企业认证等材料的，资格、信誉、荣誉、业绩与企业认证等必须为</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所拥有或自身获得</w:t>
      </w:r>
      <w:r>
        <w:rPr>
          <w:rFonts w:hint="eastAsia" w:ascii="Times New Roman" w:hAnsi="Times New Roman" w:eastAsia="宋体" w:cs="Times New Roman"/>
          <w:b w:val="0"/>
          <w:color w:val="auto"/>
          <w:sz w:val="21"/>
          <w:szCs w:val="21"/>
          <w:highlight w:val="none"/>
          <w:lang w:eastAsia="zh-CN"/>
        </w:rPr>
        <w:t>。</w:t>
      </w:r>
    </w:p>
    <w:p w14:paraId="2819E772">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8.2</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应仔细阅读</w:t>
      </w:r>
      <w:r>
        <w:rPr>
          <w:rFonts w:hint="default" w:ascii="Times New Roman" w:hAnsi="Times New Roman" w:eastAsia="宋体" w:cs="Times New Roman"/>
          <w:b w:val="0"/>
          <w:color w:val="auto"/>
          <w:sz w:val="21"/>
          <w:szCs w:val="21"/>
          <w:highlight w:val="none"/>
          <w:lang w:val="en-US" w:eastAsia="zh-CN"/>
        </w:rPr>
        <w:t>征集</w:t>
      </w:r>
      <w:r>
        <w:rPr>
          <w:rFonts w:hint="default" w:ascii="Times New Roman" w:hAnsi="Times New Roman" w:eastAsia="宋体" w:cs="Times New Roman"/>
          <w:b w:val="0"/>
          <w:color w:val="auto"/>
          <w:sz w:val="21"/>
          <w:szCs w:val="21"/>
          <w:highlight w:val="none"/>
        </w:rPr>
        <w:t>文件的所有内容，按照</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的要求提交</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，并对所提供的全部资料的真实性承担法律责任。</w:t>
      </w:r>
    </w:p>
    <w:p w14:paraId="527ABE4C">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8.3</w:t>
      </w:r>
      <w:r>
        <w:rPr>
          <w:rFonts w:hint="eastAsia"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b w:val="0"/>
          <w:color w:val="auto"/>
          <w:sz w:val="21"/>
          <w:szCs w:val="21"/>
          <w:highlight w:val="none"/>
        </w:rPr>
        <w:t>在投标活动中提供任何虚假材料，将报监管部门查处；入围后发现的，供应商须依照《中华人民共和国政府采购法》等法规规定赔偿征集人，且民事赔偿并不免除违法供应商的行政与刑事责任。</w:t>
      </w:r>
    </w:p>
    <w:p w14:paraId="1DDBBB1E">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9.回避与串通投标</w:t>
      </w:r>
    </w:p>
    <w:p w14:paraId="7CFE81F3">
      <w:pPr>
        <w:pStyle w:val="5"/>
        <w:keepNext w:val="0"/>
        <w:keepLines w:val="0"/>
        <w:spacing w:before="0" w:after="0" w:line="360" w:lineRule="auto"/>
        <w:ind w:firstLine="367" w:firstLineChars="175"/>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9.1在政府采购活动中，</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员及相关人员与</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有下列利害关系之一的，应当回避：</w:t>
      </w:r>
    </w:p>
    <w:p w14:paraId="14BAE0CC">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（1）参加采购活动前3年内与</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kern w:val="2"/>
          <w:sz w:val="21"/>
          <w:highlight w:val="none"/>
        </w:rPr>
        <w:t>存在劳动关系；</w:t>
      </w:r>
    </w:p>
    <w:p w14:paraId="5A2668A3">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（2）参加采购活动前3年内担任</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的董事、监事；</w:t>
      </w:r>
    </w:p>
    <w:p w14:paraId="4433C730">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（3）参加采购活动前3年内是</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的控股股东或者实际控制人；</w:t>
      </w:r>
    </w:p>
    <w:p w14:paraId="6618E5FA">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（4）与</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kern w:val="2"/>
          <w:sz w:val="21"/>
          <w:highlight w:val="none"/>
        </w:rPr>
        <w:t>的法定代表人或者负责人有夫妻、直系血亲、三代以内旁系血亲或者近姻亲关系；</w:t>
      </w:r>
    </w:p>
    <w:p w14:paraId="78E501C6">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（5）与</w:t>
      </w:r>
      <w:r>
        <w:rPr>
          <w:rFonts w:hint="eastAsia" w:ascii="宋体" w:hAnsi="宋体" w:eastAsia="宋体" w:cs="宋体"/>
          <w:color w:val="auto"/>
          <w:szCs w:val="21"/>
          <w:highlight w:val="none"/>
          <w:lang w:eastAsia="zh-CN"/>
        </w:rPr>
        <w:t>供应商</w:t>
      </w:r>
      <w:r>
        <w:rPr>
          <w:rFonts w:hint="default" w:ascii="Times New Roman" w:hAnsi="Times New Roman" w:eastAsia="宋体" w:cs="Times New Roman"/>
          <w:color w:val="auto"/>
          <w:kern w:val="2"/>
          <w:sz w:val="21"/>
          <w:highlight w:val="none"/>
        </w:rPr>
        <w:t>有其他可能影响政府采购活动公平、公正进行的关系。</w:t>
      </w:r>
    </w:p>
    <w:p w14:paraId="5DBBB651">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认为</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员及相关人员与其他</w:t>
      </w:r>
      <w:r>
        <w:rPr>
          <w:rFonts w:hint="eastAsia" w:ascii="Times New Roman" w:hAnsi="Times New Roman" w:eastAsia="宋体" w:cs="Times New Roman"/>
          <w:color w:val="auto"/>
          <w:kern w:val="2"/>
          <w:sz w:val="21"/>
          <w:highlight w:val="none"/>
          <w:lang w:val="en-US" w:eastAsia="zh-CN"/>
        </w:rPr>
        <w:t>供应商</w:t>
      </w:r>
      <w:r>
        <w:rPr>
          <w:rFonts w:hint="default" w:ascii="Times New Roman" w:hAnsi="Times New Roman" w:eastAsia="宋体" w:cs="Times New Roman"/>
          <w:color w:val="auto"/>
          <w:kern w:val="2"/>
          <w:sz w:val="21"/>
          <w:highlight w:val="none"/>
        </w:rPr>
        <w:t>有利害关系的，可以向</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或者采购代理机构书面提出回避申请，并说明理由。</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或者采购代理机构应当及时询问被申请回避人员，有利害关系的被申请回避人员应当回避。</w:t>
      </w:r>
    </w:p>
    <w:p w14:paraId="1E52E84A">
      <w:pPr>
        <w:pStyle w:val="5"/>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相互串通投标，</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将被视为无效：</w:t>
      </w:r>
    </w:p>
    <w:p w14:paraId="111E47B3">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（1）</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rPr>
        <w:t>文件由同一单位或者个人编制</w:t>
      </w:r>
      <w:r>
        <w:rPr>
          <w:rFonts w:hint="eastAsia" w:ascii="Times New Roman" w:hAnsi="Times New Roman" w:eastAsia="宋体" w:cs="Times New Roman"/>
          <w:color w:val="auto"/>
          <w:kern w:val="2"/>
          <w:sz w:val="21"/>
          <w:highlight w:val="none"/>
          <w:lang w:eastAsia="zh-CN"/>
        </w:rPr>
        <w:t>，</w:t>
      </w:r>
      <w:r>
        <w:rPr>
          <w:rFonts w:hint="default" w:ascii="Times New Roman" w:hAnsi="Times New Roman" w:eastAsia="宋体" w:cs="Times New Roman"/>
          <w:color w:val="auto"/>
          <w:kern w:val="2"/>
          <w:sz w:val="21"/>
          <w:highlight w:val="none"/>
        </w:rPr>
        <w:t>或者不同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报名的IP地址一致的；</w:t>
      </w:r>
      <w:r>
        <w:rPr>
          <w:rFonts w:hint="default" w:ascii="Times New Roman" w:hAnsi="Times New Roman" w:eastAsia="宋体" w:cs="Times New Roman"/>
          <w:b w:val="0"/>
          <w:bCs/>
          <w:color w:val="auto"/>
          <w:kern w:val="2"/>
          <w:sz w:val="21"/>
          <w:highlight w:val="none"/>
        </w:rPr>
        <w:t xml:space="preserve"> </w:t>
      </w:r>
    </w:p>
    <w:p w14:paraId="6E30C800">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（2）</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委托同一单位或者个人办理投标事宜；</w:t>
      </w:r>
    </w:p>
    <w:p w14:paraId="58366241">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（3）</w:t>
      </w:r>
      <w:r>
        <w:rPr>
          <w:rFonts w:hint="default" w:ascii="Times New Roman" w:hAnsi="Times New Roman" w:eastAsia="宋体" w:cs="Times New Roman"/>
          <w:color w:val="auto"/>
          <w:kern w:val="2"/>
          <w:sz w:val="21"/>
          <w:highlight w:val="none"/>
        </w:rPr>
        <w:t>不同的</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文件</w:t>
      </w:r>
      <w:r>
        <w:rPr>
          <w:rFonts w:hint="default" w:ascii="Times New Roman" w:hAnsi="Times New Roman" w:eastAsia="宋体" w:cs="Times New Roman"/>
          <w:color w:val="auto"/>
          <w:kern w:val="2"/>
          <w:sz w:val="21"/>
          <w:highlight w:val="none"/>
        </w:rPr>
        <w:t>载明的项目管理员为同一个人；</w:t>
      </w:r>
    </w:p>
    <w:p w14:paraId="6C213502">
      <w:pPr>
        <w:pStyle w:val="23"/>
        <w:snapToGrid w:val="0"/>
        <w:spacing w:line="360" w:lineRule="auto"/>
        <w:ind w:left="2" w:leftChars="1" w:firstLine="420" w:firstLineChars="200"/>
        <w:rPr>
          <w:rFonts w:hint="default" w:ascii="Times New Roman" w:hAnsi="Times New Roman" w:eastAsia="宋体" w:cs="Times New Roman"/>
          <w:b w:val="0"/>
          <w:bCs/>
          <w:color w:val="auto"/>
          <w:kern w:val="2"/>
          <w:sz w:val="21"/>
          <w:highlight w:val="none"/>
        </w:rPr>
      </w:pPr>
      <w:r>
        <w:rPr>
          <w:rFonts w:hint="default" w:ascii="Times New Roman" w:hAnsi="Times New Roman" w:eastAsia="宋体" w:cs="Times New Roman"/>
          <w:b w:val="0"/>
          <w:bCs/>
          <w:color w:val="auto"/>
          <w:kern w:val="2"/>
          <w:sz w:val="21"/>
          <w:highlight w:val="none"/>
        </w:rPr>
        <w:t>（4）</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的电子</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文件</w:t>
      </w:r>
      <w:r>
        <w:rPr>
          <w:rFonts w:hint="default" w:ascii="Times New Roman" w:hAnsi="Times New Roman" w:eastAsia="宋体" w:cs="Times New Roman"/>
          <w:color w:val="auto"/>
          <w:kern w:val="2"/>
          <w:sz w:val="21"/>
          <w:highlight w:val="none"/>
        </w:rPr>
        <w:t>异常一致或者报价呈规律性差异；</w:t>
      </w:r>
    </w:p>
    <w:p w14:paraId="2393037E">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b w:val="0"/>
          <w:bCs/>
          <w:color w:val="auto"/>
          <w:kern w:val="2"/>
          <w:sz w:val="21"/>
          <w:highlight w:val="none"/>
        </w:rPr>
        <w:t>（</w:t>
      </w:r>
      <w:r>
        <w:rPr>
          <w:rFonts w:hint="default" w:ascii="Times New Roman" w:hAnsi="Times New Roman" w:eastAsia="宋体" w:cs="Times New Roman"/>
          <w:b w:val="0"/>
          <w:bCs/>
          <w:color w:val="auto"/>
          <w:kern w:val="2"/>
          <w:sz w:val="21"/>
          <w:highlight w:val="none"/>
          <w:lang w:val="en-US" w:eastAsia="zh-CN"/>
        </w:rPr>
        <w:t>5</w:t>
      </w:r>
      <w:r>
        <w:rPr>
          <w:rFonts w:hint="default" w:ascii="Times New Roman" w:hAnsi="Times New Roman" w:eastAsia="宋体" w:cs="Times New Roman"/>
          <w:b w:val="0"/>
          <w:bCs/>
          <w:color w:val="auto"/>
          <w:kern w:val="2"/>
          <w:sz w:val="21"/>
          <w:highlight w:val="none"/>
        </w:rPr>
        <w:t>）</w:t>
      </w:r>
      <w:r>
        <w:rPr>
          <w:rFonts w:hint="default" w:ascii="Times New Roman" w:hAnsi="Times New Roman" w:eastAsia="宋体" w:cs="Times New Roman"/>
          <w:color w:val="auto"/>
          <w:kern w:val="2"/>
          <w:sz w:val="21"/>
          <w:highlight w:val="none"/>
        </w:rPr>
        <w:t>不同</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的</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保证金</w:t>
      </w:r>
      <w:r>
        <w:rPr>
          <w:rFonts w:hint="default" w:ascii="Times New Roman" w:hAnsi="Times New Roman" w:eastAsia="宋体" w:cs="Times New Roman"/>
          <w:color w:val="auto"/>
          <w:kern w:val="2"/>
          <w:sz w:val="21"/>
          <w:highlight w:val="none"/>
        </w:rPr>
        <w:t>从同一单位或者个人账户转出。</w:t>
      </w:r>
    </w:p>
    <w:p w14:paraId="252901C5">
      <w:pPr>
        <w:pStyle w:val="5"/>
        <w:keepNext w:val="0"/>
        <w:keepLines w:val="0"/>
        <w:spacing w:before="0" w:after="0" w:line="360" w:lineRule="auto"/>
        <w:ind w:left="420" w:left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9.3</w:t>
      </w:r>
      <w:r>
        <w:rPr>
          <w:rFonts w:hint="eastAsia" w:ascii="Times New Roman" w:hAnsi="Times New Roman" w:eastAsia="宋体" w:cs="Times New Roman"/>
          <w:b/>
          <w:bCs/>
          <w:color w:val="auto"/>
          <w:sz w:val="21"/>
          <w:szCs w:val="21"/>
          <w:highlight w:val="none"/>
          <w:lang w:eastAsia="zh-CN"/>
        </w:rPr>
        <w:t>供应商</w:t>
      </w:r>
      <w:r>
        <w:rPr>
          <w:rFonts w:hint="default" w:ascii="Times New Roman" w:hAnsi="Times New Roman" w:eastAsia="宋体" w:cs="Times New Roman"/>
          <w:b/>
          <w:bCs/>
          <w:color w:val="auto"/>
          <w:sz w:val="21"/>
          <w:szCs w:val="21"/>
          <w:highlight w:val="none"/>
        </w:rPr>
        <w:t>有下列情形之一的，属于恶意串通行为，将报同级监督管理部门：</w:t>
      </w:r>
    </w:p>
    <w:p w14:paraId="4DA0123E">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（1）</w:t>
      </w:r>
      <w:r>
        <w:rPr>
          <w:rFonts w:hint="eastAsia" w:ascii="Times New Roman" w:hAnsi="Times New Roman" w:eastAsia="宋体" w:cs="Times New Roman"/>
          <w:color w:val="auto"/>
          <w:kern w:val="2"/>
          <w:sz w:val="21"/>
          <w:highlight w:val="none"/>
          <w:lang w:eastAsia="zh-CN"/>
        </w:rPr>
        <w:t>供应商</w:t>
      </w:r>
      <w:r>
        <w:rPr>
          <w:rFonts w:hint="eastAsia" w:ascii="Times New Roman" w:hAnsi="Times New Roman" w:eastAsia="宋体" w:cs="Times New Roman"/>
          <w:color w:val="auto"/>
          <w:kern w:val="2"/>
          <w:sz w:val="21"/>
          <w:highlight w:val="none"/>
        </w:rPr>
        <w:t>直接或者间接从采购人或者采购代理机构处获得其他</w:t>
      </w:r>
      <w:r>
        <w:rPr>
          <w:rFonts w:hint="eastAsia" w:ascii="Times New Roman" w:hAnsi="Times New Roman" w:eastAsia="宋体" w:cs="Times New Roman"/>
          <w:color w:val="auto"/>
          <w:kern w:val="2"/>
          <w:sz w:val="21"/>
          <w:highlight w:val="none"/>
          <w:lang w:eastAsia="zh-CN"/>
        </w:rPr>
        <w:t>供应商</w:t>
      </w:r>
      <w:r>
        <w:rPr>
          <w:rFonts w:hint="eastAsia" w:ascii="Times New Roman" w:hAnsi="Times New Roman" w:eastAsia="宋体" w:cs="Times New Roman"/>
          <w:color w:val="auto"/>
          <w:kern w:val="2"/>
          <w:sz w:val="21"/>
          <w:highlight w:val="none"/>
        </w:rPr>
        <w:t>的相关信息并修改其投标文件或者响应文件</w:t>
      </w:r>
      <w:r>
        <w:rPr>
          <w:rFonts w:hint="default" w:ascii="Times New Roman" w:hAnsi="Times New Roman" w:eastAsia="宋体" w:cs="Times New Roman"/>
          <w:color w:val="auto"/>
          <w:kern w:val="2"/>
          <w:sz w:val="21"/>
          <w:highlight w:val="none"/>
        </w:rPr>
        <w:t>；</w:t>
      </w:r>
    </w:p>
    <w:p w14:paraId="0AB530AF">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（2）</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按照征集人或者采购代理机构的授意撤换、修改</w:t>
      </w:r>
      <w:r>
        <w:rPr>
          <w:rFonts w:hint="eastAsia" w:ascii="Times New Roman" w:hAnsi="Times New Roman" w:eastAsia="宋体" w:cs="Times New Roman"/>
          <w:color w:val="auto"/>
          <w:kern w:val="2"/>
          <w:sz w:val="21"/>
          <w:highlight w:val="none"/>
          <w:lang w:eastAsia="zh-CN"/>
        </w:rPr>
        <w:t>投标</w:t>
      </w:r>
      <w:r>
        <w:rPr>
          <w:rFonts w:hint="default" w:ascii="Times New Roman" w:hAnsi="Times New Roman" w:eastAsia="宋体" w:cs="Times New Roman"/>
          <w:color w:val="auto"/>
          <w:kern w:val="2"/>
          <w:sz w:val="21"/>
          <w:highlight w:val="none"/>
          <w:lang w:eastAsia="zh-CN"/>
        </w:rPr>
        <w:t>文件或者响应文件；</w:t>
      </w:r>
    </w:p>
    <w:p w14:paraId="5DA4011D">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（3）</w:t>
      </w:r>
      <w:r>
        <w:rPr>
          <w:rFonts w:hint="eastAsia" w:ascii="Times New Roman" w:hAnsi="Times New Roman" w:eastAsia="宋体" w:cs="Times New Roman"/>
          <w:color w:val="auto"/>
          <w:kern w:val="2"/>
          <w:sz w:val="21"/>
          <w:highlight w:val="none"/>
          <w:lang w:eastAsia="zh-CN"/>
        </w:rPr>
        <w:t>供应商之间协商报价、技术方案等投标文件或者投标文件的实质性内容</w:t>
      </w:r>
      <w:r>
        <w:rPr>
          <w:rFonts w:hint="default" w:ascii="Times New Roman" w:hAnsi="Times New Roman" w:eastAsia="宋体" w:cs="Times New Roman"/>
          <w:color w:val="auto"/>
          <w:kern w:val="2"/>
          <w:sz w:val="21"/>
          <w:highlight w:val="none"/>
          <w:lang w:eastAsia="zh-CN"/>
        </w:rPr>
        <w:t>；</w:t>
      </w:r>
    </w:p>
    <w:p w14:paraId="1E36B99E">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（4）</w:t>
      </w:r>
      <w:r>
        <w:rPr>
          <w:rFonts w:hint="default" w:ascii="Times New Roman" w:hAnsi="Times New Roman" w:eastAsia="宋体" w:cs="Times New Roman"/>
          <w:color w:val="auto"/>
          <w:kern w:val="2"/>
          <w:sz w:val="21"/>
          <w:highlight w:val="none"/>
          <w:lang w:eastAsia="zh-CN"/>
        </w:rPr>
        <w:t>属于同一集团、协会、商会等组织成员的</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按照该组织要求协同参加政府采购活动；</w:t>
      </w:r>
    </w:p>
    <w:p w14:paraId="1BB0F036">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lang w:eastAsia="zh-CN"/>
        </w:rPr>
      </w:pPr>
      <w:r>
        <w:rPr>
          <w:rFonts w:hint="default" w:ascii="Times New Roman" w:hAnsi="Times New Roman" w:eastAsia="宋体" w:cs="Times New Roman"/>
          <w:color w:val="auto"/>
          <w:kern w:val="2"/>
          <w:sz w:val="21"/>
          <w:highlight w:val="none"/>
        </w:rPr>
        <w:t>（5）</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之间事先约定一致抬高或者压低投标报价，或者在</w:t>
      </w:r>
      <w:r>
        <w:rPr>
          <w:rFonts w:hint="eastAsia" w:ascii="Times New Roman" w:hAnsi="Times New Roman" w:eastAsia="宋体" w:cs="Times New Roman"/>
          <w:color w:val="auto"/>
          <w:kern w:val="2"/>
          <w:sz w:val="21"/>
          <w:highlight w:val="none"/>
          <w:lang w:eastAsia="zh-CN"/>
        </w:rPr>
        <w:t>采购项目</w:t>
      </w:r>
      <w:r>
        <w:rPr>
          <w:rFonts w:hint="default" w:ascii="Times New Roman" w:hAnsi="Times New Roman" w:eastAsia="宋体" w:cs="Times New Roman"/>
          <w:color w:val="auto"/>
          <w:kern w:val="2"/>
          <w:sz w:val="21"/>
          <w:highlight w:val="none"/>
          <w:lang w:eastAsia="zh-CN"/>
        </w:rPr>
        <w:t>中事先约定轮流以高价位或者低价位中标，或者事先约定由某一特定</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中标，然后再参加投标；</w:t>
      </w:r>
    </w:p>
    <w:p w14:paraId="3B9197BF">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（6）</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之间商定部分</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lang w:eastAsia="zh-CN"/>
        </w:rPr>
        <w:t>放弃参加政府采购活动或者放弃中标；</w:t>
      </w:r>
    </w:p>
    <w:p w14:paraId="0143365B">
      <w:pPr>
        <w:pStyle w:val="23"/>
        <w:snapToGrid w:val="0"/>
        <w:spacing w:line="360" w:lineRule="auto"/>
        <w:ind w:left="2" w:leftChars="1" w:firstLine="420" w:firstLineChars="200"/>
        <w:rPr>
          <w:rFonts w:hint="default" w:ascii="Times New Roman" w:hAnsi="Times New Roman" w:eastAsia="宋体" w:cs="Times New Roman"/>
          <w:color w:val="auto"/>
          <w:kern w:val="2"/>
          <w:sz w:val="21"/>
          <w:highlight w:val="none"/>
        </w:rPr>
      </w:pPr>
      <w:r>
        <w:rPr>
          <w:rFonts w:hint="default" w:ascii="Times New Roman" w:hAnsi="Times New Roman" w:eastAsia="宋体" w:cs="Times New Roman"/>
          <w:color w:val="auto"/>
          <w:kern w:val="2"/>
          <w:sz w:val="21"/>
          <w:highlight w:val="none"/>
        </w:rPr>
        <w:t>（7）</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与</w:t>
      </w:r>
      <w:r>
        <w:rPr>
          <w:rFonts w:hint="default" w:ascii="Times New Roman" w:hAnsi="Times New Roman" w:eastAsia="宋体" w:cs="Times New Roman"/>
          <w:color w:val="auto"/>
          <w:kern w:val="2"/>
          <w:sz w:val="21"/>
          <w:highlight w:val="none"/>
          <w:lang w:eastAsia="zh-CN"/>
        </w:rPr>
        <w:t>征集人</w:t>
      </w:r>
      <w:r>
        <w:rPr>
          <w:rFonts w:hint="default" w:ascii="Times New Roman" w:hAnsi="Times New Roman" w:eastAsia="宋体" w:cs="Times New Roman"/>
          <w:color w:val="auto"/>
          <w:kern w:val="2"/>
          <w:sz w:val="21"/>
          <w:highlight w:val="none"/>
        </w:rPr>
        <w:t>或者采购代理机构之间、</w:t>
      </w:r>
      <w:r>
        <w:rPr>
          <w:rFonts w:hint="eastAsia" w:ascii="Times New Roman" w:hAnsi="Times New Roman" w:eastAsia="宋体" w:cs="Times New Roman"/>
          <w:color w:val="auto"/>
          <w:kern w:val="2"/>
          <w:sz w:val="21"/>
          <w:highlight w:val="none"/>
          <w:lang w:eastAsia="zh-CN"/>
        </w:rPr>
        <w:t>供应商</w:t>
      </w:r>
      <w:r>
        <w:rPr>
          <w:rFonts w:hint="default" w:ascii="Times New Roman" w:hAnsi="Times New Roman" w:eastAsia="宋体" w:cs="Times New Roman"/>
          <w:color w:val="auto"/>
          <w:kern w:val="2"/>
          <w:sz w:val="21"/>
          <w:highlight w:val="none"/>
        </w:rPr>
        <w:t>相互之间，为谋求特定供应商中标</w:t>
      </w:r>
      <w:r>
        <w:rPr>
          <w:rFonts w:hint="default" w:ascii="Times New Roman" w:hAnsi="Times New Roman" w:eastAsia="宋体" w:cs="Times New Roman"/>
          <w:color w:val="auto"/>
          <w:kern w:val="2"/>
          <w:sz w:val="21"/>
          <w:highlight w:val="none"/>
          <w:lang w:eastAsia="zh-CN"/>
        </w:rPr>
        <w:t>（</w:t>
      </w:r>
      <w:r>
        <w:rPr>
          <w:rFonts w:hint="default" w:ascii="Times New Roman" w:hAnsi="Times New Roman" w:eastAsia="宋体" w:cs="Times New Roman"/>
          <w:color w:val="auto"/>
          <w:kern w:val="2"/>
          <w:sz w:val="21"/>
          <w:highlight w:val="none"/>
          <w:lang w:val="en-US" w:eastAsia="zh-CN"/>
        </w:rPr>
        <w:t>入围</w:t>
      </w:r>
      <w:r>
        <w:rPr>
          <w:rFonts w:hint="default" w:ascii="Times New Roman" w:hAnsi="Times New Roman" w:eastAsia="宋体" w:cs="Times New Roman"/>
          <w:color w:val="auto"/>
          <w:kern w:val="2"/>
          <w:sz w:val="21"/>
          <w:highlight w:val="none"/>
          <w:lang w:eastAsia="zh-CN"/>
        </w:rPr>
        <w:t>）</w:t>
      </w:r>
      <w:r>
        <w:rPr>
          <w:rFonts w:hint="default" w:ascii="Times New Roman" w:hAnsi="Times New Roman" w:eastAsia="宋体" w:cs="Times New Roman"/>
          <w:color w:val="auto"/>
          <w:kern w:val="2"/>
          <w:sz w:val="21"/>
          <w:highlight w:val="none"/>
        </w:rPr>
        <w:t>或者排斥其他供应商的其他串通行为。</w:t>
      </w:r>
    </w:p>
    <w:p w14:paraId="728CE971">
      <w:pPr>
        <w:pStyle w:val="23"/>
        <w:snapToGrid w:val="0"/>
        <w:spacing w:line="360" w:lineRule="auto"/>
        <w:ind w:left="2" w:leftChars="1" w:firstLine="422" w:firstLineChars="200"/>
        <w:rPr>
          <w:rFonts w:hint="eastAsia" w:ascii="宋体" w:hAnsi="宋体" w:eastAsia="宋体" w:cs="宋体"/>
          <w:b/>
          <w:color w:val="auto"/>
          <w:kern w:val="2"/>
          <w:sz w:val="21"/>
          <w:highlight w:val="none"/>
        </w:rPr>
      </w:pPr>
    </w:p>
    <w:p w14:paraId="3E7FFC78">
      <w:pPr>
        <w:pStyle w:val="4"/>
        <w:keepNext w:val="0"/>
        <w:keepLines w:val="0"/>
        <w:jc w:val="center"/>
        <w:rPr>
          <w:rFonts w:hint="default" w:ascii="Times New Roman" w:hAnsi="Times New Roman" w:cs="Times New Roman"/>
          <w:color w:val="auto"/>
          <w:spacing w:val="8"/>
          <w:sz w:val="31"/>
          <w:szCs w:val="31"/>
          <w:highlight w:val="none"/>
        </w:rPr>
      </w:pPr>
      <w:bookmarkStart w:id="75" w:name="_Toc254970675"/>
      <w:bookmarkStart w:id="76" w:name="_Toc254970534"/>
      <w:r>
        <w:rPr>
          <w:rFonts w:hint="default" w:ascii="Times New Roman" w:hAnsi="Times New Roman" w:eastAsia="宋体" w:cs="Times New Roman"/>
          <w:color w:val="auto"/>
          <w:highlight w:val="none"/>
        </w:rPr>
        <w:t>二、</w:t>
      </w:r>
      <w:bookmarkEnd w:id="75"/>
      <w:bookmarkEnd w:id="76"/>
      <w:r>
        <w:rPr>
          <w:rFonts w:hint="default" w:ascii="Times New Roman" w:hAnsi="Times New Roman" w:cs="Times New Roman"/>
          <w:color w:val="auto"/>
          <w:spacing w:val="8"/>
          <w:sz w:val="31"/>
          <w:szCs w:val="31"/>
          <w:highlight w:val="none"/>
        </w:rPr>
        <w:t>第一阶段（入围阶段）</w:t>
      </w:r>
    </w:p>
    <w:p w14:paraId="5EA81FE9">
      <w:pPr>
        <w:pStyle w:val="4"/>
        <w:keepNext w:val="0"/>
        <w:keepLines w:val="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一</w:t>
      </w:r>
      <w:r>
        <w:rPr>
          <w:rFonts w:hint="default" w:ascii="Times New Roman" w:hAnsi="Times New Roman" w:eastAsia="宋体" w:cs="Times New Roman"/>
          <w:color w:val="auto"/>
          <w:highlight w:val="none"/>
          <w:lang w:eastAsia="zh-CN"/>
        </w:rPr>
        <w:t>）征集文件</w:t>
      </w:r>
    </w:p>
    <w:p w14:paraId="1032FA38">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w:t>
      </w:r>
      <w:r>
        <w:rPr>
          <w:rFonts w:hint="default" w:ascii="Times New Roman" w:hAnsi="Times New Roman" w:eastAsia="宋体" w:cs="Times New Roman"/>
          <w:color w:val="auto"/>
          <w:sz w:val="24"/>
          <w:highlight w:val="none"/>
          <w:lang w:eastAsia="zh-CN"/>
        </w:rPr>
        <w:t>征集文件</w:t>
      </w:r>
      <w:r>
        <w:rPr>
          <w:rFonts w:hint="default" w:ascii="Times New Roman" w:hAnsi="Times New Roman" w:eastAsia="宋体" w:cs="Times New Roman"/>
          <w:color w:val="auto"/>
          <w:sz w:val="24"/>
          <w:highlight w:val="none"/>
        </w:rPr>
        <w:t>的组成</w:t>
      </w:r>
    </w:p>
    <w:p w14:paraId="612D3B98">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征集公告</w:t>
      </w:r>
      <w:r>
        <w:rPr>
          <w:rFonts w:hint="default" w:ascii="Times New Roman" w:hAnsi="Times New Roman" w:eastAsia="宋体" w:cs="Times New Roman"/>
          <w:color w:val="auto"/>
          <w:szCs w:val="21"/>
          <w:highlight w:val="none"/>
        </w:rPr>
        <w:t>；</w:t>
      </w:r>
    </w:p>
    <w:p w14:paraId="08BF1124">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（2）采购需求； </w:t>
      </w:r>
    </w:p>
    <w:p w14:paraId="023F5B42">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须知；</w:t>
      </w:r>
    </w:p>
    <w:p w14:paraId="2CF962A1">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eastAsia="zh-CN"/>
        </w:rPr>
        <w:t>评审方法及评审标准</w:t>
      </w:r>
      <w:r>
        <w:rPr>
          <w:rFonts w:hint="default" w:ascii="Times New Roman" w:hAnsi="Times New Roman" w:eastAsia="宋体" w:cs="Times New Roman"/>
          <w:color w:val="auto"/>
          <w:szCs w:val="21"/>
          <w:highlight w:val="none"/>
        </w:rPr>
        <w:t>；</w:t>
      </w:r>
    </w:p>
    <w:p w14:paraId="4C5B1490">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r>
        <w:rPr>
          <w:rFonts w:hint="default" w:ascii="Times New Roman" w:hAnsi="Times New Roman" w:eastAsia="宋体" w:cs="Times New Roman"/>
          <w:color w:val="auto"/>
          <w:szCs w:val="21"/>
          <w:highlight w:val="none"/>
          <w:lang w:eastAsia="zh-CN"/>
        </w:rPr>
        <w:t>拟签订的框架协议文本和采购合同文本</w:t>
      </w:r>
      <w:r>
        <w:rPr>
          <w:rFonts w:hint="default" w:ascii="Times New Roman" w:hAnsi="Times New Roman" w:eastAsia="宋体" w:cs="Times New Roman"/>
          <w:color w:val="auto"/>
          <w:szCs w:val="21"/>
          <w:highlight w:val="none"/>
        </w:rPr>
        <w:t>；</w:t>
      </w:r>
    </w:p>
    <w:p w14:paraId="35D4502E">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格式。</w:t>
      </w:r>
    </w:p>
    <w:p w14:paraId="1BC3BDC9">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eastAsia="zh-CN"/>
        </w:rPr>
        <w:t>征集文件</w:t>
      </w:r>
      <w:r>
        <w:rPr>
          <w:rFonts w:hint="default" w:ascii="Times New Roman" w:hAnsi="Times New Roman" w:eastAsia="宋体" w:cs="Times New Roman"/>
          <w:color w:val="auto"/>
          <w:sz w:val="24"/>
          <w:highlight w:val="none"/>
        </w:rPr>
        <w:t>的澄清、修改 、现场考察和答疑会</w:t>
      </w:r>
    </w:p>
    <w:p w14:paraId="603F5BB1">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11.1</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或者采购代理机构可以对已发出的</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进行必要的澄清或者修改，但不得改变采购标的和资格条件。澄清或者修改应当在原公告发布媒体上发布澄清公告。澄清或者修改的内容为</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的组成部分。</w:t>
      </w:r>
    </w:p>
    <w:p w14:paraId="0E0FEC55">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11.2</w:t>
      </w:r>
      <w:r>
        <w:rPr>
          <w:rFonts w:hint="default" w:ascii="Times New Roman" w:hAnsi="Times New Roman" w:eastAsia="宋体" w:cs="Times New Roman"/>
          <w:color w:val="auto"/>
          <w:sz w:val="21"/>
          <w:highlight w:val="none"/>
        </w:rPr>
        <w:t>澄清或者修改的内容可能影响</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编制的，</w:t>
      </w:r>
      <w:r>
        <w:rPr>
          <w:rFonts w:hint="default" w:ascii="Times New Roman" w:hAnsi="Times New Roman" w:eastAsia="宋体" w:cs="Times New Roman"/>
          <w:color w:val="auto"/>
          <w:sz w:val="21"/>
          <w:highlight w:val="none"/>
          <w:lang w:eastAsia="zh-CN"/>
        </w:rPr>
        <w:t>征集人</w:t>
      </w:r>
      <w:r>
        <w:rPr>
          <w:rFonts w:hint="default" w:ascii="Times New Roman" w:hAnsi="Times New Roman" w:eastAsia="宋体" w:cs="Times New Roman"/>
          <w:color w:val="auto"/>
          <w:sz w:val="21"/>
          <w:highlight w:val="none"/>
        </w:rPr>
        <w:t>或者采购代理机构应当在投标截止时间至少15日前，以书面形式通知所有获取</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的潜在</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；不足15日的，</w:t>
      </w:r>
      <w:r>
        <w:rPr>
          <w:rFonts w:hint="default" w:ascii="Times New Roman" w:hAnsi="Times New Roman" w:eastAsia="宋体" w:cs="Times New Roman"/>
          <w:color w:val="auto"/>
          <w:sz w:val="21"/>
          <w:highlight w:val="none"/>
          <w:lang w:eastAsia="zh-CN"/>
        </w:rPr>
        <w:t>征集人</w:t>
      </w:r>
      <w:r>
        <w:rPr>
          <w:rFonts w:hint="default" w:ascii="Times New Roman" w:hAnsi="Times New Roman" w:eastAsia="宋体" w:cs="Times New Roman"/>
          <w:color w:val="auto"/>
          <w:sz w:val="21"/>
          <w:highlight w:val="none"/>
        </w:rPr>
        <w:t>或者采购代理机构应当顺延提交</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的截止时间。</w:t>
      </w:r>
    </w:p>
    <w:p w14:paraId="297B5836">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11.</w:t>
      </w:r>
      <w:bookmarkStart w:id="77" w:name="_Hlk53134511"/>
      <w:r>
        <w:rPr>
          <w:rFonts w:hint="eastAsia" w:ascii="Times New Roman" w:hAnsi="Times New Roman" w:eastAsia="宋体" w:cs="Times New Roman"/>
          <w:color w:val="auto"/>
          <w:sz w:val="21"/>
          <w:highlight w:val="none"/>
          <w:lang w:val="en-US" w:eastAsia="zh-CN"/>
        </w:rPr>
        <w:t>3</w:t>
      </w:r>
      <w:r>
        <w:rPr>
          <w:rFonts w:hint="default" w:ascii="Times New Roman" w:hAnsi="Times New Roman" w:eastAsia="宋体" w:cs="Times New Roman"/>
          <w:color w:val="auto"/>
          <w:sz w:val="21"/>
          <w:highlight w:val="none"/>
          <w:lang w:eastAsia="zh-CN"/>
        </w:rPr>
        <w:t>征集人</w:t>
      </w:r>
      <w:r>
        <w:rPr>
          <w:rFonts w:hint="default" w:ascii="Times New Roman" w:hAnsi="Times New Roman" w:eastAsia="宋体" w:cs="Times New Roman"/>
          <w:color w:val="auto"/>
          <w:sz w:val="21"/>
          <w:highlight w:val="none"/>
        </w:rPr>
        <w:t>或者采购代理机构可以在</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提供期限截止后，组织已获取</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的潜在</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现场考察或者召开开标前答疑会，具体详见“</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须知前附表”。</w:t>
      </w:r>
    </w:p>
    <w:bookmarkEnd w:id="77"/>
    <w:p w14:paraId="383626EF">
      <w:pPr>
        <w:pStyle w:val="4"/>
        <w:keepNext w:val="0"/>
        <w:keepLines w:val="0"/>
        <w:jc w:val="center"/>
        <w:rPr>
          <w:rFonts w:hint="eastAsia" w:ascii="宋体" w:hAnsi="宋体" w:eastAsia="宋体" w:cs="宋体"/>
          <w:color w:val="auto"/>
          <w:highlight w:val="none"/>
        </w:rPr>
      </w:pPr>
      <w:bookmarkStart w:id="78" w:name="_Toc254970676"/>
      <w:bookmarkStart w:id="79" w:name="_Toc254970535"/>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的编制</w:t>
      </w:r>
      <w:bookmarkEnd w:id="78"/>
      <w:bookmarkEnd w:id="79"/>
    </w:p>
    <w:p w14:paraId="20A0BC35">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80" w:name="_Toc254970677"/>
      <w:bookmarkStart w:id="81" w:name="_Toc254970536"/>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的编制原则</w:t>
      </w:r>
    </w:p>
    <w:p w14:paraId="5D3493D8">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12.1</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必须按照</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的要求编制</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必须对</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提出的要求和条件作出明确响应。</w:t>
      </w:r>
    </w:p>
    <w:p w14:paraId="22C600F2">
      <w:pPr>
        <w:snapToGrid w:val="0"/>
        <w:spacing w:line="360" w:lineRule="auto"/>
        <w:ind w:firstLine="42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12.2 </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应根据自身实际情况如实响应征集文件，不得仅将征集文件内容简单复制粘贴作为响 应，还应当提供相关证明材料，否则将作无效响应处理（定制采购项目不适用本条款） 。对于重要技术条款或技术参数应当在响应文件中提供技术支持资料，技术支持资料以征集文件中规定的形式为准，否则将视为无效技术支持资料。</w:t>
      </w:r>
    </w:p>
    <w:p w14:paraId="3A705641">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的组成</w:t>
      </w:r>
      <w:bookmarkEnd w:id="80"/>
      <w:bookmarkEnd w:id="81"/>
    </w:p>
    <w:p w14:paraId="2537DD6A">
      <w:pPr>
        <w:snapToGrid w:val="0"/>
        <w:spacing w:line="360" w:lineRule="auto"/>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13.1</w:t>
      </w:r>
      <w:r>
        <w:rPr>
          <w:rFonts w:hint="default" w:ascii="Times New Roman" w:hAnsi="Times New Roman" w:eastAsia="宋体" w:cs="Times New Roman"/>
          <w:color w:val="auto"/>
          <w:szCs w:val="21"/>
          <w:highlight w:val="none"/>
          <w:lang w:eastAsia="zh-CN"/>
        </w:rPr>
        <w:t>响应文件</w:t>
      </w:r>
      <w:r>
        <w:rPr>
          <w:rFonts w:hint="default" w:ascii="Times New Roman" w:hAnsi="Times New Roman" w:eastAsia="宋体" w:cs="Times New Roman"/>
          <w:color w:val="auto"/>
          <w:szCs w:val="21"/>
          <w:highlight w:val="none"/>
        </w:rPr>
        <w:t>由报价文件、资格证明文件、商务文件、技术文件四部分组成。</w:t>
      </w:r>
    </w:p>
    <w:p w14:paraId="2CBF52A7">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2" w:name="_13.1报价文件:_具体材料见“投标人须知前附表”。"/>
      <w:bookmarkEnd w:id="82"/>
      <w:r>
        <w:rPr>
          <w:rFonts w:hint="default" w:ascii="Times New Roman" w:hAnsi="Times New Roman" w:eastAsia="宋体" w:cs="Times New Roman"/>
          <w:b w:val="0"/>
          <w:color w:val="auto"/>
          <w:sz w:val="21"/>
          <w:szCs w:val="21"/>
          <w:highlight w:val="none"/>
        </w:rPr>
        <w:t>（1）</w:t>
      </w:r>
      <w:r>
        <w:rPr>
          <w:rFonts w:hint="default" w:ascii="Times New Roman" w:hAnsi="Times New Roman" w:eastAsia="宋体" w:cs="Times New Roman"/>
          <w:b w:val="0"/>
          <w:color w:val="auto"/>
          <w:kern w:val="2"/>
          <w:sz w:val="21"/>
          <w:szCs w:val="21"/>
          <w:highlight w:val="none"/>
          <w:lang w:val="en-US" w:eastAsia="zh-CN" w:bidi="ar-SA"/>
        </w:rPr>
        <w:t>报价文件： 具体材料见“供应商须知前附表”。</w:t>
      </w:r>
    </w:p>
    <w:p w14:paraId="23B0FA02">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3" w:name="_13.2资格证明文件：具体材料见“投标人须知前附表”。"/>
      <w:bookmarkEnd w:id="83"/>
      <w:r>
        <w:rPr>
          <w:rFonts w:hint="default" w:ascii="Times New Roman" w:hAnsi="Times New Roman" w:eastAsia="宋体" w:cs="Times New Roman"/>
          <w:b w:val="0"/>
          <w:color w:val="auto"/>
          <w:sz w:val="21"/>
          <w:szCs w:val="21"/>
          <w:highlight w:val="none"/>
        </w:rPr>
        <w:t>（2）资</w:t>
      </w:r>
      <w:r>
        <w:rPr>
          <w:rFonts w:hint="default" w:ascii="Times New Roman" w:hAnsi="Times New Roman" w:eastAsia="宋体" w:cs="Times New Roman"/>
          <w:b w:val="0"/>
          <w:color w:val="auto"/>
          <w:kern w:val="2"/>
          <w:sz w:val="21"/>
          <w:szCs w:val="21"/>
          <w:highlight w:val="none"/>
          <w:lang w:val="en-US" w:eastAsia="zh-CN" w:bidi="ar-SA"/>
        </w:rPr>
        <w:t>格证明文件：具体材料见“供应商须知前附表”。</w:t>
      </w:r>
    </w:p>
    <w:p w14:paraId="671061E6">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4" w:name="_13.3商务文件:_具体材料见“投标人须知前附表”。"/>
      <w:bookmarkEnd w:id="84"/>
      <w:r>
        <w:rPr>
          <w:rFonts w:hint="default" w:ascii="Times New Roman" w:hAnsi="Times New Roman" w:eastAsia="宋体" w:cs="Times New Roman"/>
          <w:b w:val="0"/>
          <w:color w:val="auto"/>
          <w:sz w:val="21"/>
          <w:szCs w:val="21"/>
          <w:highlight w:val="none"/>
        </w:rPr>
        <w:t>（3）</w:t>
      </w:r>
      <w:r>
        <w:rPr>
          <w:rFonts w:hint="default" w:ascii="Times New Roman" w:hAnsi="Times New Roman" w:eastAsia="宋体" w:cs="Times New Roman"/>
          <w:b w:val="0"/>
          <w:color w:val="auto"/>
          <w:kern w:val="2"/>
          <w:sz w:val="21"/>
          <w:szCs w:val="21"/>
          <w:highlight w:val="none"/>
          <w:lang w:val="en-US" w:eastAsia="zh-CN" w:bidi="ar-SA"/>
        </w:rPr>
        <w:t>商务文件：具体材料见“供应商须知前附表”。</w:t>
      </w:r>
    </w:p>
    <w:p w14:paraId="525735C4">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5" w:name="_13.4技术文件：具体材料见“投标人须知前附表”。"/>
      <w:bookmarkEnd w:id="85"/>
      <w:r>
        <w:rPr>
          <w:rFonts w:hint="default" w:ascii="Times New Roman" w:hAnsi="Times New Roman" w:eastAsia="宋体" w:cs="Times New Roman"/>
          <w:b w:val="0"/>
          <w:color w:val="auto"/>
          <w:sz w:val="21"/>
          <w:szCs w:val="21"/>
          <w:highlight w:val="none"/>
        </w:rPr>
        <w:t>（4）</w:t>
      </w:r>
      <w:r>
        <w:rPr>
          <w:rFonts w:hint="default" w:ascii="Times New Roman" w:hAnsi="Times New Roman" w:eastAsia="宋体" w:cs="Times New Roman"/>
          <w:b w:val="0"/>
          <w:color w:val="auto"/>
          <w:kern w:val="2"/>
          <w:sz w:val="21"/>
          <w:szCs w:val="21"/>
          <w:highlight w:val="none"/>
          <w:lang w:val="en-US" w:eastAsia="zh-CN" w:bidi="ar-SA"/>
        </w:rPr>
        <w:t>技术文件：具体材料见“供应商须知前附表”。</w:t>
      </w:r>
    </w:p>
    <w:p w14:paraId="4E4BBFEE">
      <w:pPr>
        <w:pStyle w:val="5"/>
        <w:keepNext w:val="0"/>
        <w:keepLines w:val="0"/>
        <w:spacing w:before="0" w:after="0" w:line="360" w:lineRule="auto"/>
        <w:ind w:left="420" w:leftChars="200"/>
        <w:rPr>
          <w:rFonts w:hint="default" w:ascii="Times New Roman" w:hAnsi="Times New Roman" w:eastAsia="宋体" w:cs="Times New Roman"/>
          <w:b w:val="0"/>
          <w:color w:val="auto"/>
          <w:kern w:val="2"/>
          <w:sz w:val="21"/>
          <w:szCs w:val="21"/>
          <w:highlight w:val="none"/>
          <w:lang w:val="en-US" w:eastAsia="zh-CN" w:bidi="ar-SA"/>
        </w:rPr>
      </w:pPr>
      <w:bookmarkStart w:id="86" w:name="_13.5投标文件电子版：具体材料见“投标人须知前附表”。"/>
      <w:bookmarkEnd w:id="86"/>
      <w:r>
        <w:rPr>
          <w:rFonts w:hint="default" w:ascii="Times New Roman" w:hAnsi="Times New Roman" w:eastAsia="宋体" w:cs="Times New Roman"/>
          <w:b w:val="0"/>
          <w:color w:val="auto"/>
          <w:sz w:val="21"/>
          <w:szCs w:val="21"/>
          <w:highlight w:val="none"/>
        </w:rPr>
        <w:t>13.2</w:t>
      </w:r>
      <w:r>
        <w:rPr>
          <w:rFonts w:hint="default" w:ascii="Times New Roman" w:hAnsi="Times New Roman" w:eastAsia="宋体" w:cs="Times New Roman"/>
          <w:b w:val="0"/>
          <w:color w:val="auto"/>
          <w:kern w:val="2"/>
          <w:sz w:val="21"/>
          <w:szCs w:val="21"/>
          <w:highlight w:val="none"/>
          <w:lang w:val="en-US" w:eastAsia="zh-CN" w:bidi="ar-SA"/>
        </w:rPr>
        <w:t>响应文件</w:t>
      </w:r>
      <w:r>
        <w:rPr>
          <w:rFonts w:hint="eastAsia" w:ascii="Times New Roman" w:hAnsi="Times New Roman" w:eastAsia="宋体" w:cs="Times New Roman"/>
          <w:b w:val="0"/>
          <w:color w:val="auto"/>
          <w:kern w:val="2"/>
          <w:sz w:val="21"/>
          <w:szCs w:val="21"/>
          <w:highlight w:val="none"/>
          <w:lang w:val="en-US" w:eastAsia="zh-CN" w:bidi="ar-SA"/>
        </w:rPr>
        <w:t>纸质</w:t>
      </w:r>
      <w:r>
        <w:rPr>
          <w:rFonts w:hint="default" w:ascii="Times New Roman" w:hAnsi="Times New Roman" w:eastAsia="宋体" w:cs="Times New Roman"/>
          <w:b w:val="0"/>
          <w:color w:val="auto"/>
          <w:kern w:val="2"/>
          <w:sz w:val="21"/>
          <w:szCs w:val="21"/>
          <w:highlight w:val="none"/>
          <w:lang w:val="en-US" w:eastAsia="zh-CN" w:bidi="ar-SA"/>
        </w:rPr>
        <w:t>版：具体要求见“供应商须知前附表”。</w:t>
      </w:r>
    </w:p>
    <w:p w14:paraId="4715C6B3">
      <w:pPr>
        <w:pStyle w:val="5"/>
        <w:keepNext w:val="0"/>
        <w:keepLines w:val="0"/>
        <w:spacing w:before="0" w:after="0" w:line="360" w:lineRule="auto"/>
        <w:ind w:firstLine="420" w:firstLine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13.3本项目实行电子投标，供应商应准备电子响应文件、 电子备份响应文件两类： 电子响应文 件</w:t>
      </w:r>
    </w:p>
    <w:p w14:paraId="6F7C6A5C">
      <w:pPr>
        <w:pStyle w:val="5"/>
        <w:keepNext w:val="0"/>
        <w:keepLines w:val="0"/>
        <w:spacing w:before="0" w:after="0" w:line="360" w:lineRule="auto"/>
        <w:ind w:firstLine="420" w:firstLine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按广西政府采购云平台要求及本征集文件要求制作、加密并递交。具体操作流程 可参考《政府采购 项 目 电 子 交 易 管 理 操 作 指 南 - 供 应 商 》 ， 指 南 可 在 “ 政 府 采 购 云 平 台 （ https://login.gcy.zfcg.gxzf.gov.cn/user-login/#/login）服务中心-帮助文档-最新指南”下 载。 电子备份响应文件系上传广西政府采购云平台的响应文件电子版，按照本征集文件要求制作。</w:t>
      </w:r>
    </w:p>
    <w:p w14:paraId="5AEF5A92">
      <w:pPr>
        <w:pStyle w:val="5"/>
        <w:keepNext w:val="0"/>
        <w:keepLines w:val="0"/>
        <w:spacing w:before="0" w:after="0" w:line="360" w:lineRule="auto"/>
        <w:ind w:firstLine="420" w:firstLineChars="200"/>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通过“政府采购云平台”上传递交的“电子加密响应文件”按时解密的，不需要提交电子备份响应文件，无法按时解密的，代理机构向采购监督部门备案后，供应商可以在接到通知后30分钟内以电子邮件或者其他方式提交电子备份响应文件。供应商按时递交了电子备份响应文件的，以电子备份响应文件为依据，否则视为撤回响应文件。</w:t>
      </w:r>
    </w:p>
    <w:p w14:paraId="0D14CF87">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87" w:name="_Toc254970537"/>
      <w:bookmarkStart w:id="88" w:name="_Toc254970678"/>
      <w:r>
        <w:rPr>
          <w:rFonts w:hint="default" w:ascii="Times New Roman" w:hAnsi="Times New Roman" w:eastAsia="宋体" w:cs="Times New Roman"/>
          <w:color w:val="auto"/>
          <w:sz w:val="24"/>
          <w:highlight w:val="none"/>
        </w:rPr>
        <w:t>14.</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的语言及计量</w:t>
      </w:r>
      <w:bookmarkEnd w:id="87"/>
      <w:bookmarkEnd w:id="88"/>
    </w:p>
    <w:p w14:paraId="535CE248">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14.1语言文字</w:t>
      </w:r>
    </w:p>
    <w:p w14:paraId="02A9DB5D">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以</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与</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就有关投标事宜的所有来往函电，均应以中文书写（除专用术语外，与招标投标有关的语言均使用中文。必要时专用术语应附有中文注释）。</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提交的支持文件和印刷的文献可以使用别的语言，但其相应内容应同时附中文翻译文本，在解释</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时以中文翻译文本为主。对不同文字文本</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的解释发生异议的，以中文文本为准。</w:t>
      </w:r>
    </w:p>
    <w:p w14:paraId="1088BAC3">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14.2</w:t>
      </w:r>
      <w:r>
        <w:rPr>
          <w:rFonts w:hint="default" w:ascii="Times New Roman" w:hAnsi="Times New Roman" w:eastAsia="宋体" w:cs="Times New Roman"/>
          <w:b w:val="0"/>
          <w:color w:val="auto"/>
          <w:sz w:val="21"/>
          <w:szCs w:val="21"/>
          <w:highlight w:val="none"/>
          <w:lang w:val="en-US" w:eastAsia="zh-CN"/>
        </w:rPr>
        <w:t>响应</w:t>
      </w:r>
      <w:r>
        <w:rPr>
          <w:rFonts w:hint="default" w:ascii="Times New Roman" w:hAnsi="Times New Roman" w:eastAsia="宋体" w:cs="Times New Roman"/>
          <w:b w:val="0"/>
          <w:color w:val="auto"/>
          <w:sz w:val="21"/>
          <w:szCs w:val="21"/>
          <w:highlight w:val="none"/>
        </w:rPr>
        <w:t>计量单位</w:t>
      </w:r>
    </w:p>
    <w:p w14:paraId="52CBCC40">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已有明确规定的，使用</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规定的计量单位；</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没有规定的，应采用中华人民共和国法定计量单位，货币种类为人民币，否则视同未响应。</w:t>
      </w:r>
    </w:p>
    <w:p w14:paraId="6B44EABD">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的风险</w:t>
      </w:r>
    </w:p>
    <w:p w14:paraId="7A04C25F">
      <w:pPr>
        <w:pStyle w:val="23"/>
        <w:snapToGrid w:val="0"/>
        <w:spacing w:line="360" w:lineRule="auto"/>
        <w:ind w:firstLine="420" w:firstLineChars="200"/>
        <w:jc w:val="left"/>
        <w:rPr>
          <w:rFonts w:hint="default"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没有按照</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要求提供全部资料，或者</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没有对</w:t>
      </w:r>
      <w:r>
        <w:rPr>
          <w:rFonts w:hint="default" w:ascii="Times New Roman" w:hAnsi="Times New Roman" w:eastAsia="宋体" w:cs="Times New Roman"/>
          <w:color w:val="auto"/>
          <w:sz w:val="21"/>
          <w:highlight w:val="none"/>
          <w:lang w:eastAsia="zh-CN"/>
        </w:rPr>
        <w:t>征集文件</w:t>
      </w:r>
      <w:r>
        <w:rPr>
          <w:rFonts w:hint="default" w:ascii="Times New Roman" w:hAnsi="Times New Roman" w:eastAsia="宋体" w:cs="Times New Roman"/>
          <w:color w:val="auto"/>
          <w:sz w:val="21"/>
          <w:highlight w:val="none"/>
        </w:rPr>
        <w:t>作出实质性响应是</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的风险，并可能导致其投标被拒绝</w:t>
      </w:r>
      <w:r>
        <w:rPr>
          <w:rFonts w:hint="default" w:ascii="Times New Roman" w:hAnsi="Times New Roman" w:eastAsia="宋体" w:cs="Times New Roman"/>
          <w:color w:val="auto"/>
          <w:sz w:val="21"/>
          <w:highlight w:val="none"/>
          <w:lang w:eastAsia="zh-CN"/>
        </w:rPr>
        <w:t>，各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lang w:eastAsia="zh-CN"/>
        </w:rPr>
        <w:t>在编制响应文件时请按照征集文件规定的格式进行，混乱的编排导致响应文件被误读或评标委员会查找不到有效文件是</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lang w:eastAsia="zh-CN"/>
        </w:rPr>
        <w:t>的风险。 ▲响应文件没有按照征集文件要求提供全部资料、没有对征集文件作出实质性响应，响应无效</w:t>
      </w:r>
      <w:r>
        <w:rPr>
          <w:rFonts w:hint="default" w:ascii="Times New Roman" w:hAnsi="Times New Roman" w:eastAsia="宋体" w:cs="Times New Roman"/>
          <w:color w:val="auto"/>
          <w:sz w:val="21"/>
          <w:highlight w:val="none"/>
        </w:rPr>
        <w:t>。</w:t>
      </w:r>
    </w:p>
    <w:p w14:paraId="4F753882">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89" w:name="_Toc254970679"/>
      <w:bookmarkStart w:id="90" w:name="_Toc254970538"/>
      <w:r>
        <w:rPr>
          <w:rFonts w:hint="default" w:ascii="Times New Roman" w:hAnsi="Times New Roman" w:eastAsia="宋体" w:cs="Times New Roman"/>
          <w:color w:val="auto"/>
          <w:sz w:val="24"/>
          <w:highlight w:val="none"/>
        </w:rPr>
        <w:t>16.</w:t>
      </w:r>
      <w:r>
        <w:rPr>
          <w:rFonts w:hint="eastAsia" w:ascii="Times New Roman" w:hAnsi="Times New Roman" w:eastAsia="宋体" w:cs="Times New Roman"/>
          <w:color w:val="auto"/>
          <w:sz w:val="24"/>
          <w:highlight w:val="none"/>
          <w:lang w:val="en-US" w:eastAsia="zh-CN"/>
        </w:rPr>
        <w:t>投标</w:t>
      </w:r>
      <w:r>
        <w:rPr>
          <w:rFonts w:hint="default" w:ascii="Times New Roman" w:hAnsi="Times New Roman" w:eastAsia="宋体" w:cs="Times New Roman"/>
          <w:color w:val="auto"/>
          <w:sz w:val="24"/>
          <w:highlight w:val="none"/>
        </w:rPr>
        <w:t>报价</w:t>
      </w:r>
      <w:bookmarkEnd w:id="89"/>
      <w:bookmarkEnd w:id="90"/>
    </w:p>
    <w:p w14:paraId="2D588C77">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16.1投标报价应</w:t>
      </w:r>
      <w:r>
        <w:rPr>
          <w:rFonts w:hint="eastAsia" w:ascii="宋体" w:hAnsi="宋体" w:eastAsia="宋体" w:cs="宋体"/>
          <w:b w:val="0"/>
          <w:color w:val="auto"/>
          <w:sz w:val="21"/>
          <w:szCs w:val="21"/>
          <w:highlight w:val="none"/>
        </w:rPr>
        <w:t>按“第六章　</w:t>
      </w:r>
      <w:r>
        <w:rPr>
          <w:rFonts w:hint="eastAsia" w:ascii="宋体"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格式”中“开标一览表”格</w:t>
      </w:r>
      <w:r>
        <w:rPr>
          <w:rFonts w:hint="default" w:ascii="Times New Roman" w:hAnsi="Times New Roman" w:eastAsia="宋体" w:cs="Times New Roman"/>
          <w:b w:val="0"/>
          <w:color w:val="auto"/>
          <w:sz w:val="21"/>
          <w:szCs w:val="21"/>
          <w:highlight w:val="none"/>
        </w:rPr>
        <w:t>式填写。</w:t>
      </w:r>
    </w:p>
    <w:p w14:paraId="6099C1C3">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bookmarkStart w:id="91" w:name="_16.2投标报价具体定义见投标人须知前附表。"/>
      <w:bookmarkEnd w:id="91"/>
      <w:r>
        <w:rPr>
          <w:rFonts w:hint="default" w:ascii="Times New Roman" w:hAnsi="Times New Roman" w:eastAsia="宋体" w:cs="Times New Roman"/>
          <w:b w:val="0"/>
          <w:color w:val="auto"/>
          <w:sz w:val="21"/>
          <w:szCs w:val="21"/>
          <w:highlight w:val="none"/>
        </w:rPr>
        <w:t>16.2投标报价具体包括内容详</w:t>
      </w:r>
      <w:r>
        <w:rPr>
          <w:rFonts w:hint="eastAsia" w:ascii="宋体" w:hAnsi="宋体" w:eastAsia="宋体" w:cs="宋体"/>
          <w:b w:val="0"/>
          <w:color w:val="auto"/>
          <w:sz w:val="21"/>
          <w:szCs w:val="21"/>
          <w:highlight w:val="none"/>
        </w:rPr>
        <w:t>见“</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p>
    <w:p w14:paraId="3A1C9256">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16.3</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必须就所投每个分标的全部内容分别作完整唯一总价报价，不得存在漏项报价；</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必须就所投分标的单项内容作唯一报价，附带有条件的报价将不予接受。</w:t>
      </w:r>
    </w:p>
    <w:p w14:paraId="63367FF9">
      <w:pPr>
        <w:pStyle w:val="5"/>
        <w:keepNext w:val="0"/>
        <w:keepLines w:val="0"/>
        <w:spacing w:before="0" w:after="0" w:line="360" w:lineRule="auto"/>
        <w:ind w:left="420" w:leftChars="200"/>
        <w:rPr>
          <w:rFonts w:hint="eastAsia" w:ascii="宋体" w:hAnsi="宋体" w:eastAsia="宋体" w:cs="宋体"/>
          <w:color w:val="auto"/>
          <w:sz w:val="24"/>
          <w:highlight w:val="none"/>
        </w:rPr>
      </w:pPr>
      <w:r>
        <w:rPr>
          <w:rFonts w:hint="default" w:ascii="Times New Roman" w:hAnsi="Times New Roman" w:eastAsia="宋体" w:cs="Times New Roman"/>
          <w:color w:val="auto"/>
          <w:sz w:val="24"/>
          <w:highlight w:val="none"/>
        </w:rPr>
        <w:t>17.</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有效期</w:t>
      </w:r>
    </w:p>
    <w:p w14:paraId="01F5A7AA">
      <w:pPr>
        <w:pStyle w:val="5"/>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92" w:name="_17.1投标有效期应按“投标人须知中的前附表”规定的期限。"/>
      <w:bookmarkEnd w:id="92"/>
      <w:r>
        <w:rPr>
          <w:rFonts w:hint="default" w:ascii="Times New Roman" w:hAnsi="Times New Roman" w:eastAsia="宋体" w:cs="Times New Roman"/>
          <w:b w:val="0"/>
          <w:color w:val="auto"/>
          <w:sz w:val="21"/>
          <w:szCs w:val="21"/>
          <w:highlight w:val="none"/>
        </w:rPr>
        <w:t>17.1</w:t>
      </w:r>
      <w:r>
        <w:rPr>
          <w:rFonts w:hint="eastAsia" w:ascii="宋体" w:hAnsi="宋体" w:eastAsia="宋体" w:cs="宋体"/>
          <w:b w:val="0"/>
          <w:color w:val="auto"/>
          <w:sz w:val="21"/>
          <w:szCs w:val="21"/>
          <w:highlight w:val="none"/>
        </w:rPr>
        <w:t>响应有效期是指为保证</w:t>
      </w:r>
      <w:r>
        <w:rPr>
          <w:rFonts w:hint="eastAsia" w:ascii="宋体" w:hAnsi="宋体" w:eastAsia="宋体" w:cs="宋体"/>
          <w:b w:val="0"/>
          <w:color w:val="auto"/>
          <w:sz w:val="21"/>
          <w:szCs w:val="21"/>
          <w:highlight w:val="none"/>
          <w:lang w:eastAsia="zh-CN"/>
        </w:rPr>
        <w:t>征集人</w:t>
      </w:r>
      <w:r>
        <w:rPr>
          <w:rFonts w:hint="eastAsia" w:ascii="宋体" w:hAnsi="宋体" w:eastAsia="宋体" w:cs="宋体"/>
          <w:b w:val="0"/>
          <w:color w:val="auto"/>
          <w:sz w:val="21"/>
          <w:szCs w:val="21"/>
          <w:highlight w:val="none"/>
        </w:rPr>
        <w:t>有足够的时间在开标后完成评标、定标、合同签订等工作而要求</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提交的</w:t>
      </w:r>
      <w:r>
        <w:rPr>
          <w:rFonts w:hint="eastAsia" w:ascii="宋体"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在一定时间内保持有效的期限。</w:t>
      </w:r>
    </w:p>
    <w:p w14:paraId="5222236E">
      <w:pPr>
        <w:pStyle w:val="5"/>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default" w:ascii="Times New Roman" w:hAnsi="Times New Roman" w:eastAsia="宋体" w:cs="Times New Roman"/>
          <w:b w:val="0"/>
          <w:color w:val="auto"/>
          <w:sz w:val="21"/>
          <w:szCs w:val="21"/>
          <w:highlight w:val="none"/>
        </w:rPr>
        <w:t>17.2</w:t>
      </w:r>
      <w:bookmarkStart w:id="93" w:name="_Toc254970681"/>
      <w:bookmarkStart w:id="94" w:name="_Toc254970540"/>
      <w:r>
        <w:rPr>
          <w:rFonts w:hint="default" w:ascii="Times New Roman" w:hAnsi="Times New Roman" w:eastAsia="宋体" w:cs="Times New Roman"/>
          <w:b w:val="0"/>
          <w:color w:val="auto"/>
          <w:sz w:val="21"/>
          <w:szCs w:val="21"/>
          <w:highlight w:val="none"/>
        </w:rPr>
        <w:t xml:space="preserve"> </w:t>
      </w:r>
      <w:r>
        <w:rPr>
          <w:rFonts w:hint="eastAsia" w:ascii="宋体" w:hAnsi="宋体" w:eastAsia="宋体" w:cs="宋体"/>
          <w:b w:val="0"/>
          <w:color w:val="auto"/>
          <w:sz w:val="21"/>
          <w:szCs w:val="21"/>
          <w:highlight w:val="none"/>
        </w:rPr>
        <w:t>响应有效期应按规定的期限作出承诺，具体详见“</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须知前附表”。</w:t>
      </w:r>
    </w:p>
    <w:p w14:paraId="6CDB0D69">
      <w:pPr>
        <w:pStyle w:val="5"/>
        <w:keepNext w:val="0"/>
        <w:keepLines w:val="0"/>
        <w:spacing w:before="0" w:after="0" w:line="360" w:lineRule="auto"/>
        <w:ind w:left="420" w:leftChars="200"/>
        <w:rPr>
          <w:rFonts w:hint="eastAsia" w:ascii="宋体" w:hAnsi="宋体" w:eastAsia="宋体" w:cs="宋体"/>
          <w:b w:val="0"/>
          <w:bCs/>
          <w:color w:val="auto"/>
          <w:sz w:val="21"/>
          <w:szCs w:val="21"/>
          <w:highlight w:val="none"/>
        </w:rPr>
      </w:pPr>
      <w:r>
        <w:rPr>
          <w:rFonts w:hint="default" w:ascii="Times New Roman" w:hAnsi="Times New Roman" w:eastAsia="宋体" w:cs="Times New Roman"/>
          <w:b w:val="0"/>
          <w:color w:val="auto"/>
          <w:sz w:val="21"/>
          <w:szCs w:val="21"/>
          <w:highlight w:val="none"/>
        </w:rPr>
        <w:t>17.3</w:t>
      </w:r>
      <w:r>
        <w:rPr>
          <w:rFonts w:hint="eastAsia" w:ascii="Times New Roman" w:hAnsi="Times New Roman" w:eastAsia="宋体" w:cs="Times New Roman"/>
          <w:b w:val="0"/>
          <w:color w:val="auto"/>
          <w:sz w:val="21"/>
          <w:szCs w:val="21"/>
          <w:highlight w:val="none"/>
          <w:lang w:eastAsia="zh-CN"/>
        </w:rPr>
        <w:t>供应商</w:t>
      </w:r>
      <w:r>
        <w:rPr>
          <w:rFonts w:hint="eastAsia" w:ascii="宋体" w:hAnsi="宋体" w:eastAsia="宋体" w:cs="宋体"/>
          <w:b w:val="0"/>
          <w:color w:val="auto"/>
          <w:sz w:val="21"/>
          <w:szCs w:val="21"/>
          <w:highlight w:val="none"/>
        </w:rPr>
        <w:t>的</w:t>
      </w:r>
      <w:r>
        <w:rPr>
          <w:rFonts w:hint="eastAsia" w:ascii="宋体" w:hAnsi="宋体" w:eastAsia="宋体" w:cs="宋体"/>
          <w:b w:val="0"/>
          <w:color w:val="auto"/>
          <w:sz w:val="21"/>
          <w:szCs w:val="21"/>
          <w:highlight w:val="none"/>
          <w:lang w:eastAsia="zh-CN"/>
        </w:rPr>
        <w:t>响应文件</w:t>
      </w:r>
      <w:r>
        <w:rPr>
          <w:rFonts w:hint="eastAsia" w:ascii="宋体" w:hAnsi="宋体" w:eastAsia="宋体" w:cs="宋体"/>
          <w:b w:val="0"/>
          <w:color w:val="auto"/>
          <w:sz w:val="21"/>
          <w:szCs w:val="21"/>
          <w:highlight w:val="none"/>
        </w:rPr>
        <w:t>在投标有效期内均保持有效</w:t>
      </w:r>
      <w:bookmarkEnd w:id="93"/>
      <w:bookmarkEnd w:id="94"/>
      <w:r>
        <w:rPr>
          <w:rFonts w:hint="eastAsia" w:ascii="宋体" w:hAnsi="宋体" w:eastAsia="宋体" w:cs="宋体"/>
          <w:b w:val="0"/>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如不满足或不响应</w:t>
      </w:r>
      <w:r>
        <w:rPr>
          <w:rFonts w:hint="eastAsia" w:ascii="宋体" w:hAnsi="宋体" w:eastAsia="宋体" w:cs="宋体"/>
          <w:b w:val="0"/>
          <w:bCs/>
          <w:color w:val="auto"/>
          <w:sz w:val="21"/>
          <w:szCs w:val="21"/>
          <w:highlight w:val="none"/>
        </w:rPr>
        <w:t>投标有效期内均</w:t>
      </w:r>
      <w:r>
        <w:rPr>
          <w:rFonts w:hint="eastAsia" w:ascii="宋体" w:hAnsi="宋体" w:eastAsia="宋体" w:cs="宋体"/>
          <w:b w:val="0"/>
          <w:bCs/>
          <w:color w:val="auto"/>
          <w:sz w:val="21"/>
          <w:szCs w:val="21"/>
          <w:highlight w:val="none"/>
          <w:lang w:val="en-US" w:eastAsia="zh-CN"/>
        </w:rPr>
        <w:t>不得进入下一步的评审。</w:t>
      </w:r>
    </w:p>
    <w:p w14:paraId="0625C4BE">
      <w:pPr>
        <w:pStyle w:val="5"/>
        <w:keepNext w:val="0"/>
        <w:keepLines w:val="0"/>
        <w:spacing w:before="0" w:after="0" w:line="360" w:lineRule="auto"/>
        <w:ind w:left="420" w:leftChars="200"/>
        <w:rPr>
          <w:rFonts w:hint="eastAsia" w:ascii="宋体" w:hAnsi="宋体" w:eastAsia="宋体" w:cs="宋体"/>
          <w:color w:val="auto"/>
          <w:sz w:val="24"/>
          <w:highlight w:val="none"/>
        </w:rPr>
      </w:pPr>
      <w:bookmarkStart w:id="95" w:name="_18.投标保证金"/>
      <w:bookmarkEnd w:id="95"/>
      <w:bookmarkStart w:id="96" w:name="_Toc254970541"/>
      <w:bookmarkStart w:id="97" w:name="_Toc254970682"/>
      <w:r>
        <w:rPr>
          <w:rFonts w:hint="default" w:ascii="Times New Roman" w:hAnsi="Times New Roman" w:eastAsia="宋体" w:cs="Times New Roman"/>
          <w:color w:val="auto"/>
          <w:sz w:val="24"/>
          <w:highlight w:val="none"/>
        </w:rPr>
        <w:t>18.</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保证金</w:t>
      </w:r>
      <w:bookmarkEnd w:id="96"/>
      <w:bookmarkEnd w:id="97"/>
    </w:p>
    <w:p w14:paraId="7229A482">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rPr>
        <w:t>18.1</w:t>
      </w:r>
      <w:bookmarkStart w:id="98" w:name="_Toc254970542"/>
      <w:bookmarkStart w:id="99" w:name="_Toc254970683"/>
      <w:r>
        <w:rPr>
          <w:rFonts w:hint="eastAsia" w:ascii="Times New Roman" w:hAnsi="Times New Roman" w:eastAsia="宋体" w:cs="Times New Roman"/>
          <w:b w:val="0"/>
          <w:bCs/>
          <w:color w:val="auto"/>
          <w:sz w:val="21"/>
          <w:szCs w:val="21"/>
          <w:highlight w:val="none"/>
          <w:lang w:eastAsia="zh-CN"/>
        </w:rPr>
        <w:t>无。</w:t>
      </w:r>
    </w:p>
    <w:p w14:paraId="4201AC45">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w:t>
      </w:r>
      <w:r>
        <w:rPr>
          <w:rFonts w:hint="default" w:ascii="Times New Roman" w:hAnsi="Times New Roman" w:eastAsia="宋体" w:cs="Times New Roman"/>
          <w:color w:val="auto"/>
          <w:sz w:val="24"/>
          <w:highlight w:val="none"/>
          <w:lang w:eastAsia="zh-CN"/>
        </w:rPr>
        <w:t>响应文件</w:t>
      </w:r>
      <w:r>
        <w:rPr>
          <w:rFonts w:hint="default" w:ascii="Times New Roman" w:hAnsi="Times New Roman" w:eastAsia="宋体" w:cs="Times New Roman"/>
          <w:color w:val="auto"/>
          <w:sz w:val="24"/>
          <w:highlight w:val="none"/>
        </w:rPr>
        <w:t>的</w:t>
      </w:r>
      <w:bookmarkEnd w:id="98"/>
      <w:bookmarkEnd w:id="99"/>
      <w:r>
        <w:rPr>
          <w:rFonts w:hint="default" w:ascii="Times New Roman" w:hAnsi="Times New Roman" w:eastAsia="宋体" w:cs="Times New Roman"/>
          <w:color w:val="auto"/>
          <w:sz w:val="24"/>
          <w:highlight w:val="none"/>
        </w:rPr>
        <w:t>编制</w:t>
      </w:r>
    </w:p>
    <w:p w14:paraId="26074DFD">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19.1 供应商应根据“政府采购项目电子交易管理操作指南-供应商 ”及本征集文件规定的格式和顺序编制、装订响应文件并标注页码，响应文件内容不完整、编排混乱导致响应文件被误读、漏读或者 查找不到相关内容的， 由此引发的后果由供应商承担。</w:t>
      </w:r>
    </w:p>
    <w:p w14:paraId="2703D0C4">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19.2 响应文件电子版：具体材料详见“供应商须知前附表 ”。</w:t>
      </w:r>
    </w:p>
    <w:p w14:paraId="04169022">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19.3 响应文件须由供应商在规定位置盖公章并由法定代表人或委托代理人签字或签章，否则其响</w:t>
      </w:r>
    </w:p>
    <w:p w14:paraId="759FB6D2">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应文件按无效响应处理。</w:t>
      </w:r>
    </w:p>
    <w:p w14:paraId="4BEEDD51">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19.4 响应文件中标注的供应商名称应与营业执照（事业单位法人证书、执业许可证、自然人身份</w:t>
      </w:r>
    </w:p>
    <w:p w14:paraId="1246CA7A">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证）及公章一致，否则其响应文件按无效响应处理。</w:t>
      </w:r>
    </w:p>
    <w:p w14:paraId="579DA99E">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19.5 响应文件应尽量避免涂改、行间插字或删除。如果出现上述情况，改动之处应由供应商的法</w:t>
      </w:r>
    </w:p>
    <w:p w14:paraId="1DD1EBBB">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定代表人或其委托代理人签字或加盖公章。响应文件因涂改、行间插字或删除导致字迹潦草或表达不 清所引起的后果由供应商承担。</w:t>
      </w:r>
    </w:p>
    <w:p w14:paraId="769C6D30">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19.6 电子响应文件中须加盖供应商公章部分均采用CA 签章，并根据“政府采购项目电子交易管理操作指南-供应商 ”及本征集文件规定的格式和顺序编制电子响应文件并进行关联定位，以便评标委员会在评审时，点击评分项可直接定位到该评分项内容。如对征集文件的某项要求，供应商的电子响应 文件未能关联定位提供相应的内容与其对应，则评标委员会在评审时如做出对供应商不利的评审由供 应商自行承担。电子响应文件如内容不完整、编排混乱导致响应文件被误读、漏读，或者在按采购文件规定的部位查找不到相关内容的，由供应商自行承担。</w:t>
      </w:r>
    </w:p>
    <w:p w14:paraId="2FB9590E">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19.7 CA 签章上关于法人（负责人）或授权代表签字信息，供应商在响应文件中涉及到签字的位置</w:t>
      </w:r>
    </w:p>
    <w:p w14:paraId="1680F85B">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线下【签好字然后扫描或者拍照做成 PDF 的格式】或【通过广西政府采购云平台电子交易客户端使用CA 法人（负责人）或授权代表签章】亦可。响应文件中涉及到签字的位置未按要求签字的，提供的材料视为无效。</w:t>
      </w:r>
    </w:p>
    <w:p w14:paraId="3B1ABB1F">
      <w:pPr>
        <w:pStyle w:val="5"/>
        <w:keepNext w:val="0"/>
        <w:keepLines w:val="0"/>
        <w:spacing w:before="0" w:after="0"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19.8 响应文件不得涂改，若有修改错漏处，须加盖单位公章或者法定代表人（负责人）或授权委</w:t>
      </w:r>
    </w:p>
    <w:p w14:paraId="37D4E81A">
      <w:pPr>
        <w:pStyle w:val="5"/>
        <w:keepNext w:val="0"/>
        <w:keepLines w:val="0"/>
        <w:numPr>
          <w:ilvl w:val="0"/>
          <w:numId w:val="0"/>
        </w:numPr>
        <w:spacing w:before="0" w:after="0"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托人签字或盖章。响应文件因字迹潦草或表达不清所引起的后果由供应商负责。</w:t>
      </w:r>
    </w:p>
    <w:p w14:paraId="23949701">
      <w:pPr>
        <w:pStyle w:val="5"/>
        <w:keepNext w:val="0"/>
        <w:keepLines w:val="0"/>
        <w:spacing w:before="0" w:after="0" w:line="360" w:lineRule="auto"/>
        <w:ind w:left="420" w:leftChars="200"/>
        <w:rPr>
          <w:rFonts w:hint="default" w:ascii="宋体" w:hAnsi="宋体" w:eastAsia="宋体" w:cs="宋体"/>
          <w:b w:val="0"/>
          <w:bCs/>
          <w:color w:val="auto"/>
          <w:kern w:val="2"/>
          <w:sz w:val="21"/>
          <w:szCs w:val="21"/>
          <w:highlight w:val="none"/>
          <w:lang w:val="en-US" w:eastAsia="zh-CN" w:bidi="ar-SA"/>
        </w:rPr>
      </w:pPr>
      <w:r>
        <w:rPr>
          <w:rFonts w:hint="default" w:ascii="Times New Roman" w:hAnsi="Times New Roman" w:eastAsia="宋体" w:cs="Times New Roman"/>
          <w:color w:val="auto"/>
          <w:sz w:val="24"/>
          <w:highlight w:val="none"/>
        </w:rPr>
        <w:t>20.</w:t>
      </w:r>
      <w:r>
        <w:rPr>
          <w:rFonts w:hint="default" w:ascii="Times New Roman" w:hAnsi="Times New Roman" w:cs="Times New Roman"/>
          <w:color w:val="auto"/>
          <w:spacing w:val="-2"/>
          <w:sz w:val="24"/>
          <w:szCs w:val="24"/>
          <w:highlight w:val="none"/>
        </w:rPr>
        <w:t>备份响应文件</w:t>
      </w:r>
    </w:p>
    <w:p w14:paraId="3661B956">
      <w:pPr>
        <w:pStyle w:val="5"/>
        <w:keepNext w:val="0"/>
        <w:keepLines w:val="0"/>
        <w:spacing w:before="0" w:after="0" w:line="360" w:lineRule="auto"/>
        <w:ind w:left="420" w:leftChars="200"/>
        <w:rPr>
          <w:rFonts w:hint="default" w:ascii="宋体" w:hAnsi="宋体" w:eastAsia="宋体" w:cs="宋体"/>
          <w:b w:val="0"/>
          <w:bCs/>
          <w:color w:val="auto"/>
          <w:kern w:val="2"/>
          <w:sz w:val="21"/>
          <w:szCs w:val="21"/>
          <w:highlight w:val="none"/>
          <w:lang w:val="en-US" w:eastAsia="zh-CN" w:bidi="ar-SA"/>
        </w:rPr>
      </w:pPr>
      <w:r>
        <w:rPr>
          <w:rFonts w:hint="default" w:ascii="宋体" w:hAnsi="宋体" w:eastAsia="宋体" w:cs="宋体"/>
          <w:b w:val="0"/>
          <w:bCs/>
          <w:color w:val="auto"/>
          <w:kern w:val="2"/>
          <w:sz w:val="21"/>
          <w:szCs w:val="21"/>
          <w:highlight w:val="none"/>
          <w:lang w:val="en-US" w:eastAsia="zh-CN" w:bidi="ar-SA"/>
        </w:rPr>
        <w:t>详见在</w:t>
      </w:r>
      <w:r>
        <w:rPr>
          <w:rFonts w:hint="eastAsia" w:ascii="宋体" w:hAnsi="宋体" w:eastAsia="宋体" w:cs="宋体"/>
          <w:b w:val="0"/>
          <w:bCs/>
          <w:color w:val="auto"/>
          <w:kern w:val="2"/>
          <w:sz w:val="21"/>
          <w:szCs w:val="21"/>
          <w:highlight w:val="none"/>
          <w:lang w:val="en-US" w:eastAsia="zh-CN" w:bidi="ar-SA"/>
        </w:rPr>
        <w:t>“</w:t>
      </w:r>
      <w:r>
        <w:rPr>
          <w:rFonts w:hint="default" w:ascii="宋体" w:hAnsi="宋体" w:eastAsia="宋体" w:cs="宋体"/>
          <w:b w:val="0"/>
          <w:bCs/>
          <w:color w:val="auto"/>
          <w:kern w:val="2"/>
          <w:sz w:val="21"/>
          <w:szCs w:val="21"/>
          <w:highlight w:val="none"/>
          <w:lang w:val="en-US" w:eastAsia="zh-CN" w:bidi="ar-SA"/>
        </w:rPr>
        <w:t>供应商须知前附表</w:t>
      </w:r>
      <w:r>
        <w:rPr>
          <w:rFonts w:hint="eastAsia" w:ascii="宋体" w:hAnsi="宋体" w:eastAsia="宋体" w:cs="宋体"/>
          <w:b w:val="0"/>
          <w:bCs/>
          <w:color w:val="auto"/>
          <w:kern w:val="2"/>
          <w:sz w:val="21"/>
          <w:szCs w:val="21"/>
          <w:highlight w:val="none"/>
          <w:lang w:val="en-US" w:eastAsia="zh-CN" w:bidi="ar-SA"/>
        </w:rPr>
        <w:t>”，无法按时解密需要提供电子备份响应文件的，可以在规定时间内以</w:t>
      </w:r>
    </w:p>
    <w:p w14:paraId="72366DB6">
      <w:pPr>
        <w:pStyle w:val="5"/>
        <w:keepNext w:val="0"/>
        <w:keepLines w:val="0"/>
        <w:numPr>
          <w:ilvl w:val="0"/>
          <w:numId w:val="0"/>
        </w:numPr>
        <w:spacing w:before="0" w:after="0" w:line="360" w:lineRule="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电子邮件或者其他方式提交</w:t>
      </w:r>
      <w:r>
        <w:rPr>
          <w:rFonts w:hint="default" w:ascii="宋体" w:hAnsi="宋体" w:eastAsia="宋体" w:cs="宋体"/>
          <w:b w:val="0"/>
          <w:bCs/>
          <w:color w:val="auto"/>
          <w:kern w:val="2"/>
          <w:sz w:val="21"/>
          <w:szCs w:val="21"/>
          <w:highlight w:val="none"/>
          <w:lang w:val="en-US" w:eastAsia="zh-CN" w:bidi="ar-SA"/>
        </w:rPr>
        <w:t>。</w:t>
      </w:r>
    </w:p>
    <w:p w14:paraId="0726AAE5">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21.</w:t>
      </w:r>
      <w:r>
        <w:rPr>
          <w:rFonts w:hint="eastAsia" w:ascii="Times New Roman" w:hAnsi="Times New Roman" w:eastAsia="宋体" w:cs="Times New Roman"/>
          <w:b/>
          <w:color w:val="auto"/>
          <w:sz w:val="24"/>
          <w:highlight w:val="none"/>
          <w:lang w:eastAsia="zh-CN"/>
        </w:rPr>
        <w:t>响应文件</w:t>
      </w:r>
      <w:r>
        <w:rPr>
          <w:rFonts w:hint="eastAsia" w:ascii="Times New Roman" w:hAnsi="Times New Roman" w:eastAsia="宋体" w:cs="Times New Roman"/>
          <w:b/>
          <w:color w:val="auto"/>
          <w:sz w:val="24"/>
          <w:highlight w:val="none"/>
        </w:rPr>
        <w:t>的提交</w:t>
      </w:r>
    </w:p>
    <w:p w14:paraId="21D3C1F2">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bookmarkStart w:id="100" w:name="_21.1投标人必须在“投标人须知中的前附表”规定的投标文件接收时间和投"/>
      <w:bookmarkEnd w:id="100"/>
      <w:r>
        <w:rPr>
          <w:rFonts w:hint="default" w:ascii="Times New Roman" w:hAnsi="Times New Roman" w:eastAsia="宋体" w:cs="Times New Roman"/>
          <w:snapToGrid w:val="0"/>
          <w:color w:val="auto"/>
          <w:sz w:val="21"/>
          <w:szCs w:val="21"/>
          <w:highlight w:val="none"/>
        </w:rPr>
        <w:t xml:space="preserve">21.1 </w:t>
      </w:r>
      <w:r>
        <w:rPr>
          <w:rFonts w:hint="eastAsia" w:ascii="Times New Roman" w:hAnsi="Times New Roman" w:eastAsia="宋体" w:cs="Times New Roman"/>
          <w:snapToGrid w:val="0"/>
          <w:color w:val="auto"/>
          <w:sz w:val="21"/>
          <w:szCs w:val="21"/>
          <w:highlight w:val="none"/>
          <w:lang w:eastAsia="zh-CN"/>
        </w:rPr>
        <w:t>供应商</w:t>
      </w:r>
      <w:r>
        <w:rPr>
          <w:rFonts w:hint="default" w:ascii="Times New Roman" w:hAnsi="Times New Roman" w:eastAsia="宋体" w:cs="Times New Roman"/>
          <w:snapToGrid w:val="0"/>
          <w:color w:val="auto"/>
          <w:sz w:val="21"/>
          <w:szCs w:val="21"/>
          <w:highlight w:val="none"/>
        </w:rPr>
        <w:t>必须在“供应商须知前附表 ”规定的响应文件接收时间和响应地点提交电子版响应文件。电子响应文件应在制作完成后，在响应截止时间前通过有效数字证书（CA 认证锁）进行电子签章、加密，然后通过网络将加密的电子响应文件递交至“政采云平台 ”。</w:t>
      </w:r>
    </w:p>
    <w:p w14:paraId="579F081A">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21.2 电子版响应文件提交方式见“征集公告 ”中“四、提交响应文件截止时间、开标时间和地点 ”。</w:t>
      </w:r>
    </w:p>
    <w:p w14:paraId="24C919C7">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22. 响应文件的补充、修改、撤回与退回</w:t>
      </w:r>
    </w:p>
    <w:p w14:paraId="0A99E22A">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 xml:space="preserve">22.1 </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snapToGrid w:val="0"/>
          <w:color w:val="auto"/>
          <w:sz w:val="21"/>
          <w:szCs w:val="21"/>
          <w:highlight w:val="none"/>
        </w:rPr>
        <w:t>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政采云 ”平台将拒收。</w:t>
      </w:r>
    </w:p>
    <w:p w14:paraId="35C0FAB5">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22.2“政采云 ”平台收到响应文件，将妥善保存并即时向供应商发出确认回执通知。在响应截止时间前，除供应商补充、修改或者撤回响应文件外，任何单位和个人不得解密或提取响应文件。</w:t>
      </w:r>
    </w:p>
    <w:p w14:paraId="114C03E8">
      <w:pPr>
        <w:pStyle w:val="18"/>
        <w:snapToGrid w:val="0"/>
        <w:spacing w:line="360" w:lineRule="auto"/>
        <w:ind w:firstLine="739"/>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22.3 在响应截止时间止提交电子版响应文件的供应商不足 3 家时，</w:t>
      </w:r>
      <w:r>
        <w:rPr>
          <w:rFonts w:hint="eastAsia" w:ascii="Times New Roman" w:hAnsi="Times New Roman" w:eastAsia="宋体" w:cs="Times New Roman"/>
          <w:snapToGrid w:val="0"/>
          <w:color w:val="auto"/>
          <w:sz w:val="21"/>
          <w:szCs w:val="21"/>
          <w:highlight w:val="none"/>
          <w:lang w:eastAsia="zh-CN"/>
        </w:rPr>
        <w:t>系统自动做废标处理</w:t>
      </w:r>
      <w:r>
        <w:rPr>
          <w:rFonts w:hint="default" w:ascii="Times New Roman" w:hAnsi="Times New Roman" w:eastAsia="宋体" w:cs="Times New Roman"/>
          <w:snapToGrid w:val="0"/>
          <w:color w:val="auto"/>
          <w:sz w:val="21"/>
          <w:szCs w:val="21"/>
          <w:highlight w:val="none"/>
        </w:rPr>
        <w:t>。</w:t>
      </w:r>
    </w:p>
    <w:p w14:paraId="6D43E58F">
      <w:pPr>
        <w:pStyle w:val="18"/>
        <w:snapToGrid w:val="0"/>
        <w:spacing w:line="360" w:lineRule="auto"/>
        <w:ind w:firstLine="739"/>
        <w:rPr>
          <w:rFonts w:hint="eastAsia" w:ascii="宋体" w:hAnsi="宋体" w:eastAsia="宋体" w:cs="宋体"/>
          <w:snapToGrid w:val="0"/>
          <w:color w:val="auto"/>
          <w:sz w:val="21"/>
          <w:szCs w:val="21"/>
          <w:highlight w:val="none"/>
        </w:rPr>
      </w:pPr>
    </w:p>
    <w:p w14:paraId="21233CC7">
      <w:pPr>
        <w:pStyle w:val="4"/>
        <w:keepNext w:val="0"/>
        <w:keepLines w:val="0"/>
        <w:jc w:val="center"/>
        <w:rPr>
          <w:rFonts w:hint="eastAsia" w:ascii="宋体" w:hAnsi="宋体" w:eastAsia="宋体" w:cs="宋体"/>
          <w:color w:val="auto"/>
          <w:highlight w:val="none"/>
        </w:rPr>
      </w:pPr>
      <w:bookmarkStart w:id="101" w:name="_Toc254970544"/>
      <w:bookmarkStart w:id="102" w:name="_Toc254970685"/>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    标</w:t>
      </w:r>
      <w:bookmarkEnd w:id="101"/>
      <w:bookmarkEnd w:id="102"/>
    </w:p>
    <w:p w14:paraId="24050673">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bookmarkStart w:id="103" w:name="_23.开标时间和地点"/>
      <w:bookmarkEnd w:id="103"/>
      <w:r>
        <w:rPr>
          <w:rFonts w:hint="eastAsia" w:ascii="Times New Roman" w:hAnsi="Times New Roman" w:eastAsia="宋体" w:cs="Times New Roman"/>
          <w:b/>
          <w:color w:val="auto"/>
          <w:sz w:val="24"/>
          <w:highlight w:val="none"/>
          <w:lang w:val="en-US" w:eastAsia="zh-CN"/>
        </w:rPr>
        <w:t>23.开标时间和地点</w:t>
      </w:r>
    </w:p>
    <w:p w14:paraId="5F72293F">
      <w:pPr>
        <w:pStyle w:val="23"/>
        <w:snapToGrid w:val="0"/>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须知前附表”规定的时间和地点进行开标，</w:t>
      </w:r>
      <w:r>
        <w:rPr>
          <w:rFonts w:hint="eastAsia" w:hAnsi="宋体" w:eastAsia="宋体" w:cs="宋体"/>
          <w:bCs/>
          <w:color w:val="auto"/>
          <w:sz w:val="21"/>
          <w:highlight w:val="none"/>
          <w:lang w:val="en-US" w:eastAsia="zh-CN"/>
        </w:rPr>
        <w:t>如供应商成功解密响应文件</w:t>
      </w:r>
      <w:r>
        <w:rPr>
          <w:rFonts w:hint="eastAsia" w:ascii="宋体" w:hAnsi="宋体" w:eastAsia="宋体" w:cs="宋体"/>
          <w:bCs/>
          <w:color w:val="auto"/>
          <w:sz w:val="21"/>
          <w:highlight w:val="none"/>
          <w:lang w:eastAsia="zh-CN"/>
        </w:rPr>
        <w:t>但未在“政采云”电子开标大厅参加开标</w:t>
      </w:r>
      <w:r>
        <w:rPr>
          <w:rFonts w:hint="eastAsia" w:hAnsi="宋体" w:eastAsia="宋体" w:cs="宋体"/>
          <w:bCs/>
          <w:color w:val="auto"/>
          <w:sz w:val="21"/>
          <w:highlight w:val="none"/>
          <w:lang w:val="en-US" w:eastAsia="zh-CN"/>
        </w:rPr>
        <w:t>会</w:t>
      </w:r>
      <w:r>
        <w:rPr>
          <w:rFonts w:hint="eastAsia" w:ascii="宋体" w:hAnsi="宋体" w:eastAsia="宋体" w:cs="宋体"/>
          <w:bCs/>
          <w:color w:val="auto"/>
          <w:sz w:val="21"/>
          <w:highlight w:val="none"/>
        </w:rPr>
        <w:t>，视同认可开标过程和结果。本项目开标过程实行全程录音、录像监控。</w:t>
      </w:r>
    </w:p>
    <w:p w14:paraId="226FE849">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24.开标程序</w:t>
      </w:r>
    </w:p>
    <w:p w14:paraId="609032DC">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24.1开标形式：</w:t>
      </w:r>
    </w:p>
    <w:p w14:paraId="23C2646D">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（1）开标的准备工作由采购代理机构负责落实，采购代理机构必须基于“政采云”平台选取评审专家，如采购代理机构未按规定选取专家的，视为本次开评审无效，应当重新采购；</w:t>
      </w:r>
    </w:p>
    <w:p w14:paraId="7D135D8A">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（2）采购代理机构将按照征集文件规定的时间通过“政采云”平台组织线上开标活动、开启响应文件，所有</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均应当准时在线参加。</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如不参加开标大会的，视同认可开标结果，同时</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因未在线参加开标而导致响应文件无法按时解密等一切后果由</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自己承担。</w:t>
      </w:r>
    </w:p>
    <w:p w14:paraId="2DF95A41">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24.2开标程序：</w:t>
      </w:r>
    </w:p>
    <w:p w14:paraId="457A40DB">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（1）解密电子响应文件。“政采云”平台按开标时间自动提取所有响应文件。采购代理机构依托 “政采云”平台向各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发出电子加密响应文件【开始解密】通知，由</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按征集文件规定的时间内自行进行响应文件解密。</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的法定代表人或其委托代理人须携带加密时所用的 CA 锁准时登录到“政采云”平台电子开标大厅签到并对电子响应文件解密。开标后5分钟</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还未进行解密的，代理机构要通知</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。通知后，响应文件仍未按时解密，或者</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没预留联系方式或预留联系方式无效，导致代理机构无法联系到</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进行解密的，均视为无效响应。（解密异常情况处理：详见本章 29.3 电子交易活动的中止。）</w:t>
      </w:r>
    </w:p>
    <w:p w14:paraId="32E30960">
      <w:pPr>
        <w:pStyle w:val="23"/>
        <w:snapToGrid w:val="0"/>
        <w:spacing w:line="360" w:lineRule="auto"/>
        <w:ind w:firstLine="420" w:firstLineChars="200"/>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（2）电子唱标。响应文件解密结束，各</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lang w:eastAsia="zh-CN"/>
        </w:rPr>
        <w:t>信息</w:t>
      </w:r>
      <w:r>
        <w:rPr>
          <w:rFonts w:hint="default" w:ascii="Times New Roman" w:hAnsi="Times New Roman" w:eastAsia="宋体" w:cs="Times New Roman"/>
          <w:color w:val="auto"/>
          <w:sz w:val="21"/>
          <w:highlight w:val="none"/>
        </w:rPr>
        <w:t>均在“政采云”平台远程不见面开标大厅展示</w:t>
      </w:r>
      <w:r>
        <w:rPr>
          <w:rFonts w:hint="default" w:ascii="Times New Roman" w:hAnsi="Times New Roman" w:eastAsia="宋体" w:cs="Times New Roman"/>
          <w:color w:val="auto"/>
          <w:sz w:val="21"/>
          <w:highlight w:val="none"/>
          <w:lang w:eastAsia="zh-CN"/>
        </w:rPr>
        <w:t>。</w:t>
      </w:r>
    </w:p>
    <w:p w14:paraId="4CF26B8A">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（3）签署电子《政府采购活动现场确认声明书》。通过邮件形式在远程不见面开标大厅发送各供应商签署电子《政府采购活动现场确认声明书》。</w:t>
      </w:r>
    </w:p>
    <w:p w14:paraId="59792A32">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（4）开标过程由采购代理机构如实记录，并电子留痕，由参加电子开标的各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代表对电子开标记录在开标记录公布后15分钟内进行当场校核及勘误，并线上确认，未确认的视同认可开标结果。</w:t>
      </w:r>
    </w:p>
    <w:p w14:paraId="26E63183">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（5）</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color w:val="auto"/>
          <w:sz w:val="21"/>
          <w:highlight w:val="none"/>
        </w:rPr>
        <w:t>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679FD86E">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（6）开标结束。</w:t>
      </w:r>
    </w:p>
    <w:p w14:paraId="43C73C9C">
      <w:pPr>
        <w:pStyle w:val="23"/>
        <w:snapToGrid w:val="0"/>
        <w:spacing w:line="360" w:lineRule="auto"/>
        <w:ind w:firstLine="422" w:firstLineChars="200"/>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特别说明：</w:t>
      </w:r>
      <w:r>
        <w:rPr>
          <w:rFonts w:hint="eastAsia" w:ascii="宋体" w:hAnsi="宋体" w:eastAsia="宋体" w:cs="宋体"/>
          <w:color w:val="auto"/>
          <w:sz w:val="21"/>
          <w:highlight w:val="none"/>
        </w:rPr>
        <w:t>如遇“政采云”平台电子化开标或评审程序调整的，按调整后执行。</w:t>
      </w:r>
    </w:p>
    <w:p w14:paraId="36B2E58C">
      <w:pPr>
        <w:pStyle w:val="23"/>
        <w:snapToGrid w:val="0"/>
        <w:spacing w:line="360" w:lineRule="auto"/>
        <w:ind w:left="689" w:leftChars="228" w:hanging="210" w:hangingChars="100"/>
        <w:rPr>
          <w:rFonts w:hint="eastAsia" w:ascii="宋体" w:hAnsi="宋体" w:eastAsia="宋体" w:cs="宋体"/>
          <w:color w:val="auto"/>
          <w:sz w:val="21"/>
          <w:highlight w:val="none"/>
        </w:rPr>
      </w:pPr>
    </w:p>
    <w:p w14:paraId="1BF7E7D1">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资格审查</w:t>
      </w:r>
    </w:p>
    <w:p w14:paraId="7B663B7E">
      <w:pPr>
        <w:pStyle w:val="5"/>
        <w:keepNext w:val="0"/>
        <w:keepLines w:val="0"/>
        <w:spacing w:before="0" w:after="0" w:line="360" w:lineRule="auto"/>
        <w:ind w:left="420" w:leftChars="200"/>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25.资格审查</w:t>
      </w:r>
    </w:p>
    <w:p w14:paraId="40A113B8">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25.1开标结束后，</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或者采购代理机构依法对</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的资格进行审查。</w:t>
      </w:r>
    </w:p>
    <w:p w14:paraId="330BC19F">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25.2资格审查标准为本</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中载明对</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资格要求的条件。本项目资格审查采用合格制，凡符合</w:t>
      </w:r>
      <w:r>
        <w:rPr>
          <w:rFonts w:hint="default" w:ascii="Times New Roman" w:hAnsi="Times New Roman" w:eastAsia="宋体" w:cs="Times New Roman"/>
          <w:b w:val="0"/>
          <w:color w:val="auto"/>
          <w:sz w:val="21"/>
          <w:szCs w:val="21"/>
          <w:highlight w:val="none"/>
          <w:lang w:eastAsia="zh-CN"/>
        </w:rPr>
        <w:t>征集文件</w:t>
      </w:r>
      <w:r>
        <w:rPr>
          <w:rFonts w:hint="default" w:ascii="Times New Roman" w:hAnsi="Times New Roman" w:eastAsia="宋体" w:cs="Times New Roman"/>
          <w:b w:val="0"/>
          <w:color w:val="auto"/>
          <w:sz w:val="21"/>
          <w:szCs w:val="21"/>
          <w:highlight w:val="none"/>
        </w:rPr>
        <w:t>规定的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资格要求的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均通过资格审查。</w:t>
      </w:r>
    </w:p>
    <w:p w14:paraId="7B47510E">
      <w:pPr>
        <w:pStyle w:val="5"/>
        <w:keepNext w:val="0"/>
        <w:keepLines w:val="0"/>
        <w:numPr>
          <w:ilvl w:val="0"/>
          <w:numId w:val="0"/>
        </w:numPr>
        <w:spacing w:before="0" w:after="0" w:line="360" w:lineRule="auto"/>
        <w:ind w:firstLine="422" w:firstLineChars="200"/>
        <w:rPr>
          <w:rFonts w:hint="default" w:ascii="Times New Roman" w:hAnsi="Times New Roman" w:eastAsia="宋体" w:cs="Times New Roman"/>
          <w:color w:val="auto"/>
          <w:sz w:val="21"/>
          <w:szCs w:val="21"/>
          <w:highlight w:val="none"/>
        </w:rPr>
      </w:pPr>
      <w:bookmarkStart w:id="104" w:name="_25.3_投标人有下列情形之一的，资格审查不通过而导致其投标无效："/>
      <w:bookmarkEnd w:id="104"/>
      <w:r>
        <w:rPr>
          <w:rFonts w:hint="default" w:ascii="Times New Roman" w:hAnsi="Times New Roman" w:eastAsia="宋体" w:cs="Times New Roman"/>
          <w:color w:val="auto"/>
          <w:sz w:val="21"/>
          <w:szCs w:val="21"/>
          <w:highlight w:val="none"/>
        </w:rPr>
        <w:t xml:space="preserve">25.3 </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有下列情形之一的，资格审查不通过，作无效投标处理：</w:t>
      </w:r>
    </w:p>
    <w:p w14:paraId="5CB47BFA">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（1）未按</w:t>
      </w:r>
      <w:r>
        <w:rPr>
          <w:rFonts w:hint="default" w:ascii="Times New Roman" w:hAnsi="Times New Roman" w:eastAsia="宋体" w:cs="Times New Roman"/>
          <w:b w:val="0"/>
          <w:bCs/>
          <w:color w:val="auto"/>
          <w:sz w:val="21"/>
          <w:highlight w:val="none"/>
          <w:lang w:eastAsia="zh-CN"/>
        </w:rPr>
        <w:t>征集文件</w:t>
      </w:r>
      <w:r>
        <w:rPr>
          <w:rFonts w:hint="default" w:ascii="Times New Roman" w:hAnsi="Times New Roman" w:eastAsia="宋体" w:cs="Times New Roman"/>
          <w:b w:val="0"/>
          <w:bCs/>
          <w:color w:val="auto"/>
          <w:sz w:val="21"/>
          <w:highlight w:val="none"/>
        </w:rPr>
        <w:t>规定的方式获取本</w:t>
      </w:r>
      <w:r>
        <w:rPr>
          <w:rFonts w:hint="default" w:ascii="Times New Roman" w:hAnsi="Times New Roman" w:eastAsia="宋体" w:cs="Times New Roman"/>
          <w:b w:val="0"/>
          <w:bCs/>
          <w:color w:val="auto"/>
          <w:sz w:val="21"/>
          <w:highlight w:val="none"/>
          <w:lang w:eastAsia="zh-CN"/>
        </w:rPr>
        <w:t>征集文件</w:t>
      </w:r>
      <w:r>
        <w:rPr>
          <w:rFonts w:hint="default" w:ascii="Times New Roman" w:hAnsi="Times New Roman" w:eastAsia="宋体" w:cs="Times New Roman"/>
          <w:b w:val="0"/>
          <w:bCs/>
          <w:color w:val="auto"/>
          <w:sz w:val="21"/>
          <w:highlight w:val="none"/>
        </w:rPr>
        <w:t>的</w:t>
      </w:r>
      <w:r>
        <w:rPr>
          <w:rFonts w:hint="eastAsia"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bCs/>
          <w:color w:val="auto"/>
          <w:sz w:val="21"/>
          <w:highlight w:val="none"/>
        </w:rPr>
        <w:t>；</w:t>
      </w:r>
    </w:p>
    <w:p w14:paraId="527B28CA">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（2）不具备</w:t>
      </w:r>
      <w:r>
        <w:rPr>
          <w:rFonts w:hint="default" w:ascii="Times New Roman" w:hAnsi="Times New Roman" w:eastAsia="宋体" w:cs="Times New Roman"/>
          <w:b w:val="0"/>
          <w:bCs/>
          <w:color w:val="auto"/>
          <w:sz w:val="21"/>
          <w:highlight w:val="none"/>
          <w:lang w:eastAsia="zh-CN"/>
        </w:rPr>
        <w:t>征集文件</w:t>
      </w:r>
      <w:r>
        <w:rPr>
          <w:rFonts w:hint="default" w:ascii="Times New Roman" w:hAnsi="Times New Roman" w:eastAsia="宋体" w:cs="Times New Roman"/>
          <w:b w:val="0"/>
          <w:bCs/>
          <w:color w:val="auto"/>
          <w:sz w:val="21"/>
          <w:highlight w:val="none"/>
        </w:rPr>
        <w:t>中规定的资格要求的；</w:t>
      </w:r>
    </w:p>
    <w:p w14:paraId="641E5178">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须知前附表</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w:t>
      </w:r>
    </w:p>
    <w:p w14:paraId="526AC8DD">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（4）同一合同项下的不同</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，单位负责人为同一人或者存在直接控股、管理关系的；为本项目提供过整体设计、规范编制或者项目管理、监理、检测等服务的供应商，再参加该采购项目的其他采购活动的；</w:t>
      </w:r>
    </w:p>
    <w:p w14:paraId="59DE9A96">
      <w:pPr>
        <w:pStyle w:val="23"/>
        <w:snapToGrid w:val="0"/>
        <w:spacing w:line="360" w:lineRule="auto"/>
        <w:ind w:firstLine="420" w:firstLineChars="200"/>
        <w:rPr>
          <w:rFonts w:hint="default" w:ascii="Times New Roman" w:hAnsi="Times New Roman" w:eastAsia="宋体" w:cs="Times New Roman"/>
          <w:b w:val="0"/>
          <w:bCs/>
          <w:color w:val="auto"/>
          <w:sz w:val="21"/>
          <w:highlight w:val="none"/>
        </w:rPr>
      </w:pPr>
      <w:r>
        <w:rPr>
          <w:rFonts w:hint="default" w:ascii="Times New Roman" w:hAnsi="Times New Roman" w:eastAsia="宋体" w:cs="Times New Roman"/>
          <w:b w:val="0"/>
          <w:bCs/>
          <w:color w:val="auto"/>
          <w:sz w:val="21"/>
          <w:highlight w:val="none"/>
        </w:rPr>
        <w:t>（5）</w:t>
      </w:r>
      <w:r>
        <w:rPr>
          <w:rFonts w:hint="default" w:ascii="Times New Roman" w:hAnsi="Times New Roman" w:eastAsia="宋体" w:cs="Times New Roman"/>
          <w:b w:val="0"/>
          <w:bCs/>
          <w:color w:val="auto"/>
          <w:sz w:val="21"/>
          <w:highlight w:val="none"/>
          <w:lang w:eastAsia="zh-CN"/>
        </w:rPr>
        <w:t>响应文件</w:t>
      </w:r>
      <w:r>
        <w:rPr>
          <w:rFonts w:hint="default" w:ascii="Times New Roman" w:hAnsi="Times New Roman" w:eastAsia="宋体" w:cs="Times New Roman"/>
          <w:b w:val="0"/>
          <w:bCs/>
          <w:color w:val="auto"/>
          <w:sz w:val="21"/>
          <w:highlight w:val="none"/>
        </w:rPr>
        <w:t>中的资格证明文件缺少任一项</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须知前附表</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资格证明文件规定</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必须提供</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的文件资料的；</w:t>
      </w:r>
    </w:p>
    <w:p w14:paraId="27ECFD76">
      <w:pPr>
        <w:pStyle w:val="23"/>
        <w:snapToGrid w:val="0"/>
        <w:spacing w:line="360" w:lineRule="auto"/>
        <w:ind w:firstLine="420" w:firstLineChars="200"/>
        <w:rPr>
          <w:rFonts w:hint="default" w:ascii="Times New Roman" w:hAnsi="Times New Roman" w:eastAsia="宋体" w:cs="Times New Roman"/>
          <w:b/>
          <w:bCs w:val="0"/>
          <w:color w:val="auto"/>
          <w:sz w:val="21"/>
          <w:highlight w:val="none"/>
        </w:rPr>
      </w:pPr>
      <w:r>
        <w:rPr>
          <w:rFonts w:hint="default" w:ascii="Times New Roman" w:hAnsi="Times New Roman" w:eastAsia="宋体" w:cs="Times New Roman"/>
          <w:b w:val="0"/>
          <w:bCs/>
          <w:color w:val="auto"/>
          <w:sz w:val="21"/>
          <w:highlight w:val="none"/>
        </w:rPr>
        <w:t>（6）</w:t>
      </w:r>
      <w:r>
        <w:rPr>
          <w:rFonts w:hint="default" w:ascii="Times New Roman" w:hAnsi="Times New Roman" w:eastAsia="宋体" w:cs="Times New Roman"/>
          <w:b w:val="0"/>
          <w:bCs/>
          <w:color w:val="auto"/>
          <w:sz w:val="21"/>
          <w:highlight w:val="none"/>
          <w:lang w:eastAsia="zh-CN"/>
        </w:rPr>
        <w:t>响应文件</w:t>
      </w:r>
      <w:r>
        <w:rPr>
          <w:rFonts w:hint="default" w:ascii="Times New Roman" w:hAnsi="Times New Roman" w:eastAsia="宋体" w:cs="Times New Roman"/>
          <w:b w:val="0"/>
          <w:bCs/>
          <w:color w:val="auto"/>
          <w:sz w:val="21"/>
          <w:highlight w:val="none"/>
        </w:rPr>
        <w:t>中的资格证明文件出现任一项不符合“</w:t>
      </w:r>
      <w:r>
        <w:rPr>
          <w:rFonts w:hint="default" w:ascii="Times New Roman" w:hAnsi="Times New Roman" w:eastAsia="宋体" w:cs="Times New Roman"/>
          <w:b w:val="0"/>
          <w:bCs/>
          <w:color w:val="auto"/>
          <w:sz w:val="21"/>
          <w:highlight w:val="none"/>
          <w:lang w:eastAsia="zh-CN"/>
        </w:rPr>
        <w:t>供应商</w:t>
      </w:r>
      <w:r>
        <w:rPr>
          <w:rFonts w:hint="default" w:ascii="Times New Roman" w:hAnsi="Times New Roman" w:eastAsia="宋体" w:cs="Times New Roman"/>
          <w:b w:val="0"/>
          <w:bCs/>
          <w:color w:val="auto"/>
          <w:sz w:val="21"/>
          <w:highlight w:val="none"/>
        </w:rPr>
        <w:t>须知前附表”资格证明文件规定</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必须提供</w:t>
      </w:r>
      <w:r>
        <w:rPr>
          <w:rFonts w:hint="eastAsia" w:ascii="Times New Roman" w:hAnsi="Times New Roman" w:eastAsia="宋体" w:cs="Times New Roman"/>
          <w:b w:val="0"/>
          <w:bCs/>
          <w:color w:val="auto"/>
          <w:sz w:val="21"/>
          <w:highlight w:val="none"/>
          <w:lang w:eastAsia="zh-CN"/>
        </w:rPr>
        <w:t>”</w:t>
      </w:r>
      <w:r>
        <w:rPr>
          <w:rFonts w:hint="default" w:ascii="Times New Roman" w:hAnsi="Times New Roman" w:eastAsia="宋体" w:cs="Times New Roman"/>
          <w:b w:val="0"/>
          <w:bCs/>
          <w:color w:val="auto"/>
          <w:sz w:val="21"/>
          <w:highlight w:val="none"/>
        </w:rPr>
        <w:t>的文件资料要求或者无效的。</w:t>
      </w:r>
    </w:p>
    <w:p w14:paraId="4ADA9DFD">
      <w:pPr>
        <w:pStyle w:val="5"/>
        <w:keepNext w:val="0"/>
        <w:keepLines w:val="0"/>
        <w:spacing w:before="0" w:after="0" w:line="360" w:lineRule="auto"/>
        <w:ind w:left="420" w:leftChars="200"/>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25.4合格</w:t>
      </w:r>
      <w:r>
        <w:rPr>
          <w:rFonts w:hint="default" w:ascii="Times New Roman" w:hAnsi="Times New Roman" w:eastAsia="宋体" w:cs="Times New Roman"/>
          <w:b/>
          <w:bCs w:val="0"/>
          <w:color w:val="auto"/>
          <w:sz w:val="21"/>
          <w:szCs w:val="21"/>
          <w:highlight w:val="none"/>
          <w:lang w:eastAsia="zh-CN"/>
        </w:rPr>
        <w:t>供应商</w:t>
      </w:r>
      <w:r>
        <w:rPr>
          <w:rFonts w:hint="default" w:ascii="Times New Roman" w:hAnsi="Times New Roman" w:eastAsia="宋体" w:cs="Times New Roman"/>
          <w:b/>
          <w:bCs w:val="0"/>
          <w:color w:val="auto"/>
          <w:sz w:val="21"/>
          <w:szCs w:val="21"/>
          <w:highlight w:val="none"/>
        </w:rPr>
        <w:t>不足3家的，不得评标。</w:t>
      </w:r>
    </w:p>
    <w:p w14:paraId="74D90B9E">
      <w:pPr>
        <w:pStyle w:val="23"/>
        <w:snapToGrid w:val="0"/>
        <w:spacing w:line="360" w:lineRule="auto"/>
        <w:ind w:left="689" w:leftChars="228" w:hanging="210" w:hangingChars="100"/>
        <w:rPr>
          <w:rFonts w:hint="eastAsia" w:ascii="宋体" w:hAnsi="宋体" w:eastAsia="宋体" w:cs="宋体"/>
          <w:color w:val="auto"/>
          <w:sz w:val="21"/>
          <w:highlight w:val="none"/>
        </w:rPr>
      </w:pPr>
    </w:p>
    <w:p w14:paraId="2BBA9B8A">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   标</w:t>
      </w:r>
    </w:p>
    <w:p w14:paraId="2D100D62">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105" w:name="_26.组建评标委员会"/>
      <w:bookmarkEnd w:id="105"/>
      <w:r>
        <w:rPr>
          <w:rFonts w:hint="default" w:ascii="Times New Roman" w:hAnsi="Times New Roman" w:eastAsia="宋体" w:cs="Times New Roman"/>
          <w:color w:val="auto"/>
          <w:sz w:val="24"/>
          <w:highlight w:val="none"/>
        </w:rPr>
        <w:t>26.组建评标委员会</w:t>
      </w:r>
    </w:p>
    <w:p w14:paraId="609639BE">
      <w:pPr>
        <w:pStyle w:val="2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评标委员会由</w:t>
      </w:r>
      <w:r>
        <w:rPr>
          <w:rFonts w:hint="eastAsia" w:ascii="宋体" w:hAnsi="宋体" w:eastAsia="宋体" w:cs="宋体"/>
          <w:color w:val="auto"/>
          <w:sz w:val="21"/>
          <w:highlight w:val="none"/>
          <w:lang w:eastAsia="zh-CN"/>
        </w:rPr>
        <w:t>征集人</w:t>
      </w:r>
      <w:r>
        <w:rPr>
          <w:rFonts w:hint="eastAsia" w:ascii="宋体" w:hAnsi="宋体" w:eastAsia="宋体" w:cs="宋体"/>
          <w:color w:val="auto"/>
          <w:sz w:val="21"/>
          <w:highlight w:val="none"/>
        </w:rPr>
        <w:t>代表和评审专家组成，具体人数详见“</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须知前附表”，其中评审专家不得少于成员总数的三分之二。</w:t>
      </w:r>
    </w:p>
    <w:p w14:paraId="0FF2924E">
      <w:pPr>
        <w:pStyle w:val="23"/>
        <w:snapToGrid w:val="0"/>
        <w:spacing w:line="360" w:lineRule="auto"/>
        <w:ind w:left="2" w:leftChars="1"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参加过采购项目前期咨询论证的专家，不得参加该采购项目的评审活动。</w:t>
      </w:r>
    </w:p>
    <w:p w14:paraId="19A4A952">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27.评标的依据</w:t>
      </w:r>
    </w:p>
    <w:p w14:paraId="3D6287D3">
      <w:pPr>
        <w:pStyle w:val="23"/>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评标委员会以“第四章 评标方法和评标标准”为依据对</w:t>
      </w:r>
      <w:r>
        <w:rPr>
          <w:rFonts w:hint="eastAsia" w:ascii="宋体" w:hAnsi="宋体" w:eastAsia="宋体" w:cs="宋体"/>
          <w:color w:val="auto"/>
          <w:sz w:val="21"/>
          <w:highlight w:val="none"/>
          <w:lang w:eastAsia="zh-CN"/>
        </w:rPr>
        <w:t>响应文件</w:t>
      </w:r>
      <w:r>
        <w:rPr>
          <w:rFonts w:hint="eastAsia" w:ascii="宋体" w:hAnsi="宋体" w:eastAsia="宋体" w:cs="宋体"/>
          <w:color w:val="auto"/>
          <w:sz w:val="21"/>
          <w:highlight w:val="none"/>
        </w:rPr>
        <w:t>进行评审，没有规定的方法、评审因素和标准，不作为评标依据。</w:t>
      </w:r>
    </w:p>
    <w:p w14:paraId="0B33B2A9">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28.评标原则</w:t>
      </w:r>
    </w:p>
    <w:p w14:paraId="73DDBE1D">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default" w:ascii="Times New Roman" w:hAnsi="Times New Roman" w:eastAsia="宋体" w:cs="Times New Roman"/>
          <w:b w:val="0"/>
          <w:bCs w:val="0"/>
          <w:color w:val="auto"/>
          <w:sz w:val="21"/>
          <w:highlight w:val="none"/>
          <w:lang w:eastAsia="zh-CN"/>
        </w:rPr>
        <w:t>供应商</w:t>
      </w:r>
      <w:r>
        <w:rPr>
          <w:rFonts w:hint="default" w:ascii="Times New Roman" w:hAnsi="Times New Roman" w:eastAsia="宋体" w:cs="Times New Roman"/>
          <w:b w:val="0"/>
          <w:bCs w:val="0"/>
          <w:color w:val="auto"/>
          <w:sz w:val="21"/>
          <w:highlight w:val="none"/>
        </w:rPr>
        <w:t>接触，不得收受利害关系人的财物或者其他好处。</w:t>
      </w:r>
    </w:p>
    <w:p w14:paraId="04FD12A2">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28.2评委表决。评标委员会成员对需要共同认定的事项存在争议的，应当按照少数服从多数的原则作出结论。</w:t>
      </w:r>
    </w:p>
    <w:p w14:paraId="604242A1">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28.3评标的保密。</w:t>
      </w:r>
      <w:r>
        <w:rPr>
          <w:rFonts w:hint="default" w:ascii="Times New Roman" w:hAnsi="Times New Roman" w:eastAsia="宋体" w:cs="Times New Roman"/>
          <w:b w:val="0"/>
          <w:bCs w:val="0"/>
          <w:color w:val="auto"/>
          <w:sz w:val="21"/>
          <w:highlight w:val="none"/>
          <w:lang w:eastAsia="zh-CN"/>
        </w:rPr>
        <w:t>征集人</w:t>
      </w:r>
      <w:r>
        <w:rPr>
          <w:rFonts w:hint="default" w:ascii="Times New Roman" w:hAnsi="Times New Roman" w:eastAsia="宋体" w:cs="Times New Roman"/>
          <w:b w:val="0"/>
          <w:bCs w:val="0"/>
          <w:color w:val="auto"/>
          <w:sz w:val="21"/>
          <w:highlight w:val="none"/>
        </w:rPr>
        <w:t>、采购代理机构应当采取必要措施，保证评标在严格保密（封闭式评标）的情况下进行。除</w:t>
      </w:r>
      <w:r>
        <w:rPr>
          <w:rFonts w:hint="default" w:ascii="Times New Roman" w:hAnsi="Times New Roman" w:eastAsia="宋体" w:cs="Times New Roman"/>
          <w:b w:val="0"/>
          <w:bCs w:val="0"/>
          <w:color w:val="auto"/>
          <w:sz w:val="21"/>
          <w:highlight w:val="none"/>
          <w:lang w:eastAsia="zh-CN"/>
        </w:rPr>
        <w:t>征集人</w:t>
      </w:r>
      <w:r>
        <w:rPr>
          <w:rFonts w:hint="default" w:ascii="Times New Roman" w:hAnsi="Times New Roman" w:eastAsia="宋体" w:cs="Times New Roman"/>
          <w:b w:val="0"/>
          <w:bCs w:val="0"/>
          <w:color w:val="auto"/>
          <w:sz w:val="21"/>
          <w:highlight w:val="none"/>
        </w:rPr>
        <w:t>代表、评标现场组织人员外，</w:t>
      </w:r>
      <w:r>
        <w:rPr>
          <w:rFonts w:hint="default" w:ascii="Times New Roman" w:hAnsi="Times New Roman" w:eastAsia="宋体" w:cs="Times New Roman"/>
          <w:b w:val="0"/>
          <w:bCs w:val="0"/>
          <w:color w:val="auto"/>
          <w:sz w:val="21"/>
          <w:highlight w:val="none"/>
          <w:lang w:eastAsia="zh-CN"/>
        </w:rPr>
        <w:t>征集人</w:t>
      </w:r>
      <w:r>
        <w:rPr>
          <w:rFonts w:hint="default" w:ascii="Times New Roman" w:hAnsi="Times New Roman" w:eastAsia="宋体" w:cs="Times New Roman"/>
          <w:b w:val="0"/>
          <w:bCs w:val="0"/>
          <w:color w:val="auto"/>
          <w:sz w:val="21"/>
          <w:highlight w:val="none"/>
        </w:rPr>
        <w:t>的其他工作人员以及与评标工作无关的人员不得进入评标现场。有关人员对评标情况以及在评标过程中获悉的国家秘密、商业秘密负有保密责任。</w:t>
      </w:r>
    </w:p>
    <w:p w14:paraId="232B52E0">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28.4评标过程的监控。本项目评标过程实行全程录音、录像监控，</w:t>
      </w:r>
      <w:r>
        <w:rPr>
          <w:rFonts w:hint="default" w:ascii="Times New Roman" w:hAnsi="Times New Roman" w:eastAsia="宋体" w:cs="Times New Roman"/>
          <w:b w:val="0"/>
          <w:bCs w:val="0"/>
          <w:color w:val="auto"/>
          <w:sz w:val="21"/>
          <w:highlight w:val="none"/>
          <w:lang w:eastAsia="zh-CN"/>
        </w:rPr>
        <w:t>供应商</w:t>
      </w:r>
      <w:r>
        <w:rPr>
          <w:rFonts w:hint="default" w:ascii="Times New Roman" w:hAnsi="Times New Roman" w:eastAsia="宋体" w:cs="Times New Roman"/>
          <w:b w:val="0"/>
          <w:bCs w:val="0"/>
          <w:color w:val="auto"/>
          <w:sz w:val="21"/>
          <w:highlight w:val="none"/>
        </w:rPr>
        <w:t>在评标过程中所进行的试图影响评标结果的不公正活动，可能导致其投标无效。</w:t>
      </w:r>
    </w:p>
    <w:p w14:paraId="6AA135DC">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29.评标方法及</w:t>
      </w:r>
      <w:r>
        <w:rPr>
          <w:rFonts w:hint="default" w:ascii="Times New Roman" w:hAnsi="Times New Roman" w:eastAsia="宋体" w:cs="Times New Roman"/>
          <w:color w:val="auto"/>
          <w:sz w:val="24"/>
          <w:highlight w:val="none"/>
          <w:lang w:val="en-US" w:eastAsia="zh-CN"/>
        </w:rPr>
        <w:t>评审标准</w:t>
      </w:r>
    </w:p>
    <w:p w14:paraId="3A23EE57">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29.1本项目的评标方法详见“</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须知前附表”。</w:t>
      </w:r>
    </w:p>
    <w:p w14:paraId="755AA67F">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 xml:space="preserve">29.2 </w:t>
      </w:r>
      <w:r>
        <w:rPr>
          <w:rFonts w:hint="default" w:ascii="Times New Roman" w:hAnsi="Times New Roman" w:eastAsia="宋体" w:cs="Times New Roman"/>
          <w:b w:val="0"/>
          <w:bCs w:val="0"/>
          <w:color w:val="auto"/>
          <w:sz w:val="21"/>
          <w:highlight w:val="none"/>
          <w:lang w:eastAsia="zh-CN"/>
        </w:rPr>
        <w:t>评标</w:t>
      </w:r>
      <w:r>
        <w:rPr>
          <w:rFonts w:hint="default" w:ascii="Times New Roman" w:hAnsi="Times New Roman" w:eastAsia="宋体" w:cs="Times New Roman"/>
          <w:b w:val="0"/>
          <w:bCs w:val="0"/>
          <w:color w:val="auto"/>
          <w:sz w:val="21"/>
          <w:highlight w:val="none"/>
        </w:rPr>
        <w:t>委员会按照“第四章 评审方法和评审标准 ”规定的方法、评审因素、标准和程序对响应文件进行评审。</w:t>
      </w:r>
    </w:p>
    <w:p w14:paraId="2055C327">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29.3 电子交易活动的中止。采购过程中出现以下情形，导致电子交易平台无法正常运行，或者无法保证电子交易的公平、公正和安全时，采购机构可中止电子交易活动：</w:t>
      </w:r>
    </w:p>
    <w:p w14:paraId="2F93E97E">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（1） 电子交易平台发生故障而无法登录访问的；</w:t>
      </w:r>
    </w:p>
    <w:p w14:paraId="2E4E8433">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 电子交易平台应用或数据库出现错误，不能进行正常操作的；</w:t>
      </w:r>
    </w:p>
    <w:p w14:paraId="41543430">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（3） 电子交易平台发现严重安全漏洞，有潜在泄密危险的；</w:t>
      </w:r>
    </w:p>
    <w:p w14:paraId="5726F59F">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（4）病毒发作导致不能进行正常操作的；</w:t>
      </w:r>
    </w:p>
    <w:p w14:paraId="7841C8DF">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（4）其他无法保证电子交易的公平、公正和安全的情况。</w:t>
      </w:r>
    </w:p>
    <w:p w14:paraId="7B756C10">
      <w:pPr>
        <w:pStyle w:val="23"/>
        <w:snapToGrid w:val="0"/>
        <w:spacing w:line="360" w:lineRule="auto"/>
        <w:ind w:firstLine="420" w:firstLineChars="200"/>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29.4 出现以上情形，不影响采购公平、公正性的，采购组织机构可以待上述情形消除后继续组织 电子交易活动；影响或可能影响采购公平、公正性的，经采购代理机构确认后，应当重新采购。采购代理机构必须对原有的资料及信息作出妥善保密处理，并报财政部门备案。</w:t>
      </w:r>
    </w:p>
    <w:p w14:paraId="73DBD281">
      <w:pPr>
        <w:pStyle w:val="23"/>
        <w:snapToGrid w:val="0"/>
        <w:spacing w:line="360" w:lineRule="auto"/>
        <w:rPr>
          <w:rFonts w:hint="eastAsia" w:ascii="宋体" w:hAnsi="宋体" w:eastAsia="宋体" w:cs="宋体"/>
          <w:color w:val="auto"/>
          <w:sz w:val="21"/>
          <w:highlight w:val="none"/>
        </w:rPr>
      </w:pPr>
    </w:p>
    <w:p w14:paraId="1C3C5B89">
      <w:pPr>
        <w:pStyle w:val="4"/>
        <w:keepNext w:val="0"/>
        <w:keepLines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入围和框架协议</w:t>
      </w:r>
    </w:p>
    <w:p w14:paraId="0A7433F5">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 确定</w:t>
      </w:r>
      <w:r>
        <w:rPr>
          <w:rFonts w:hint="default" w:ascii="Times New Roman" w:hAnsi="Times New Roman" w:eastAsia="宋体" w:cs="Times New Roman"/>
          <w:color w:val="auto"/>
          <w:sz w:val="24"/>
          <w:highlight w:val="none"/>
          <w:lang w:val="en-US" w:eastAsia="zh-CN"/>
        </w:rPr>
        <w:t>入围供应商</w:t>
      </w:r>
    </w:p>
    <w:p w14:paraId="691BBADA">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bCs w:val="0"/>
          <w:color w:val="auto"/>
          <w:sz w:val="21"/>
          <w:szCs w:val="21"/>
          <w:highlight w:val="none"/>
        </w:rPr>
        <w:t>30.1本项目授权评</w:t>
      </w:r>
      <w:r>
        <w:rPr>
          <w:rFonts w:hint="default" w:ascii="Times New Roman" w:hAnsi="Times New Roman" w:eastAsia="宋体" w:cs="Times New Roman"/>
          <w:b w:val="0"/>
          <w:bCs w:val="0"/>
          <w:color w:val="auto"/>
          <w:sz w:val="21"/>
          <w:szCs w:val="21"/>
          <w:highlight w:val="none"/>
          <w:lang w:eastAsia="zh-CN"/>
        </w:rPr>
        <w:t>标</w:t>
      </w:r>
      <w:r>
        <w:rPr>
          <w:rFonts w:hint="default" w:ascii="Times New Roman" w:hAnsi="Times New Roman" w:eastAsia="宋体" w:cs="Times New Roman"/>
          <w:b w:val="0"/>
          <w:bCs w:val="0"/>
          <w:color w:val="auto"/>
          <w:sz w:val="21"/>
          <w:szCs w:val="21"/>
          <w:highlight w:val="none"/>
        </w:rPr>
        <w:t>委员会直接按第四章“评审方法及评审标准 ”的规定排列入围候选人顺序，并依照次序确定供应商。</w:t>
      </w:r>
      <w:r>
        <w:rPr>
          <w:rFonts w:hint="default" w:ascii="Times New Roman" w:hAnsi="Times New Roman" w:eastAsia="宋体" w:cs="Times New Roman"/>
          <w:b w:val="0"/>
          <w:color w:val="auto"/>
          <w:sz w:val="21"/>
          <w:szCs w:val="21"/>
          <w:highlight w:val="none"/>
        </w:rPr>
        <w:t>采购代理机构在评标结束之日起2个工作日内将</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b w:val="0"/>
          <w:color w:val="auto"/>
          <w:sz w:val="21"/>
          <w:szCs w:val="21"/>
          <w:highlight w:val="none"/>
        </w:rPr>
        <w:t>报告送</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在收到</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b w:val="0"/>
          <w:color w:val="auto"/>
          <w:sz w:val="21"/>
          <w:szCs w:val="21"/>
          <w:highlight w:val="none"/>
        </w:rPr>
        <w:t>报告之日起5个工作日内，在</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b w:val="0"/>
          <w:color w:val="auto"/>
          <w:sz w:val="21"/>
          <w:szCs w:val="21"/>
          <w:highlight w:val="none"/>
        </w:rPr>
        <w:t>报告确定名单中按顺序确定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并列的，按照“</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须知前附表”规定的方式确定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也可以事先授权评标委员会直接确定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w:t>
      </w:r>
    </w:p>
    <w:p w14:paraId="3F9FA4F2">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30.2</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在收到</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color w:val="auto"/>
          <w:szCs w:val="21"/>
          <w:highlight w:val="none"/>
        </w:rPr>
        <w:t>报告5个工作日内未按</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color w:val="auto"/>
          <w:szCs w:val="21"/>
          <w:highlight w:val="none"/>
        </w:rPr>
        <w:t>报告推荐的顺序确定</w:t>
      </w:r>
      <w:r>
        <w:rPr>
          <w:rFonts w:hint="default" w:ascii="Times New Roman" w:hAnsi="Times New Roman" w:eastAsia="宋体" w:cs="Times New Roman"/>
          <w:color w:val="auto"/>
          <w:szCs w:val="21"/>
          <w:highlight w:val="none"/>
          <w:lang w:val="en-US" w:eastAsia="zh-CN"/>
        </w:rPr>
        <w:t>入围供应商</w:t>
      </w:r>
      <w:r>
        <w:rPr>
          <w:rFonts w:hint="default" w:ascii="Times New Roman" w:hAnsi="Times New Roman" w:eastAsia="宋体" w:cs="Times New Roman"/>
          <w:color w:val="auto"/>
          <w:szCs w:val="21"/>
          <w:highlight w:val="none"/>
        </w:rPr>
        <w:t>，又不能说明合法理由的，视同按</w:t>
      </w:r>
      <w:r>
        <w:rPr>
          <w:rFonts w:hint="default" w:ascii="Times New Roman" w:hAnsi="Times New Roman" w:eastAsia="宋体" w:cs="Times New Roman"/>
          <w:b w:val="0"/>
          <w:color w:val="auto"/>
          <w:sz w:val="21"/>
          <w:szCs w:val="21"/>
          <w:highlight w:val="none"/>
          <w:lang w:eastAsia="zh-CN"/>
        </w:rPr>
        <w:t>评审</w:t>
      </w:r>
      <w:r>
        <w:rPr>
          <w:rFonts w:hint="default" w:ascii="Times New Roman" w:hAnsi="Times New Roman" w:eastAsia="宋体" w:cs="Times New Roman"/>
          <w:color w:val="auto"/>
          <w:szCs w:val="21"/>
          <w:highlight w:val="none"/>
        </w:rPr>
        <w:t>报告推荐的顺序确定</w:t>
      </w:r>
      <w:r>
        <w:rPr>
          <w:rFonts w:hint="default" w:ascii="Times New Roman" w:hAnsi="Times New Roman" w:eastAsia="宋体" w:cs="Times New Roman"/>
          <w:color w:val="auto"/>
          <w:szCs w:val="21"/>
          <w:highlight w:val="none"/>
          <w:lang w:val="en-US" w:eastAsia="zh-CN"/>
        </w:rPr>
        <w:t>入围供应商</w:t>
      </w:r>
      <w:r>
        <w:rPr>
          <w:rFonts w:hint="default" w:ascii="Times New Roman" w:hAnsi="Times New Roman" w:eastAsia="宋体" w:cs="Times New Roman"/>
          <w:color w:val="auto"/>
          <w:szCs w:val="21"/>
          <w:highlight w:val="none"/>
        </w:rPr>
        <w:t>。</w:t>
      </w:r>
    </w:p>
    <w:p w14:paraId="3B55E643">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30.3出现下列情形之一的，应予废标：</w:t>
      </w:r>
    </w:p>
    <w:p w14:paraId="1B6C9264">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（1）符合专业条件的供应商或者对</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作实质响应的</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不足三家的；</w:t>
      </w:r>
    </w:p>
    <w:p w14:paraId="1D205172">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（2）出现影响采购公正的违法、违规行为的；</w:t>
      </w:r>
    </w:p>
    <w:p w14:paraId="64F677BC">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的报价均超过了采购预算，</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不能支付的；</w:t>
      </w:r>
    </w:p>
    <w:p w14:paraId="61D64880">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（4）因重大变故，采购任务取消的。</w:t>
      </w:r>
    </w:p>
    <w:p w14:paraId="43D2979F">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废标后，</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应当将废标理由通知所有</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w:t>
      </w:r>
    </w:p>
    <w:p w14:paraId="7FEC3AC0">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30.4入围供应商拒绝签订政府采购合同（包括但不限于放弃中标、因不可抗力不能履行合同而放弃签订合同），</w:t>
      </w:r>
      <w:r>
        <w:rPr>
          <w:rFonts w:hint="default" w:ascii="Times New Roman" w:hAnsi="Times New Roman" w:eastAsia="宋体" w:cs="Times New Roman"/>
          <w:color w:val="auto"/>
          <w:szCs w:val="21"/>
          <w:highlight w:val="none"/>
          <w:lang w:eastAsia="zh-CN"/>
        </w:rPr>
        <w:t>征集人</w:t>
      </w:r>
      <w:r>
        <w:rPr>
          <w:rFonts w:hint="default" w:ascii="Times New Roman" w:hAnsi="Times New Roman" w:eastAsia="宋体" w:cs="Times New Roman"/>
          <w:color w:val="auto"/>
          <w:szCs w:val="21"/>
          <w:highlight w:val="none"/>
        </w:rPr>
        <w:t>可以按照评审报告推荐的</w:t>
      </w:r>
      <w:r>
        <w:rPr>
          <w:rFonts w:hint="eastAsia" w:ascii="Times New Roman" w:hAnsi="Times New Roman" w:eastAsia="宋体" w:cs="Times New Roman"/>
          <w:color w:val="auto"/>
          <w:szCs w:val="21"/>
          <w:highlight w:val="none"/>
          <w:lang w:eastAsia="zh-CN"/>
        </w:rPr>
        <w:t>入围供应商</w:t>
      </w:r>
      <w:r>
        <w:rPr>
          <w:rFonts w:hint="default" w:ascii="Times New Roman" w:hAnsi="Times New Roman" w:eastAsia="宋体" w:cs="Times New Roman"/>
          <w:color w:val="auto"/>
          <w:szCs w:val="21"/>
          <w:highlight w:val="none"/>
        </w:rPr>
        <w:t>名单排序，确定下一候选人为</w:t>
      </w:r>
      <w:r>
        <w:rPr>
          <w:rFonts w:hint="default" w:ascii="Times New Roman" w:hAnsi="Times New Roman" w:eastAsia="宋体" w:cs="Times New Roman"/>
          <w:color w:val="auto"/>
          <w:szCs w:val="21"/>
          <w:highlight w:val="none"/>
          <w:lang w:val="en-US" w:eastAsia="zh-CN"/>
        </w:rPr>
        <w:t>入围</w:t>
      </w:r>
      <w:r>
        <w:rPr>
          <w:rFonts w:hint="default" w:ascii="Times New Roman" w:hAnsi="Times New Roman" w:eastAsia="宋体" w:cs="Times New Roman"/>
          <w:color w:val="auto"/>
          <w:szCs w:val="21"/>
          <w:highlight w:val="none"/>
        </w:rPr>
        <w:t>供应商，也可以重新开展政府采购活动。</w:t>
      </w:r>
    </w:p>
    <w:p w14:paraId="53CDA657">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 结果公告</w:t>
      </w:r>
    </w:p>
    <w:p w14:paraId="0DD6193D">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31.1</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或者采购代理机构应当自确定</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之日起2个工作日内，在省级以上财政部门指定的媒体上</w:t>
      </w:r>
      <w:r>
        <w:rPr>
          <w:rFonts w:hint="default" w:ascii="Times New Roman" w:hAnsi="Times New Roman" w:eastAsia="宋体" w:cs="Times New Roman"/>
          <w:b w:val="0"/>
          <w:color w:val="auto"/>
          <w:sz w:val="21"/>
          <w:szCs w:val="21"/>
          <w:highlight w:val="none"/>
          <w:lang w:val="en-US" w:eastAsia="zh-CN"/>
        </w:rPr>
        <w:t>公示</w:t>
      </w:r>
      <w:r>
        <w:rPr>
          <w:rFonts w:hint="default" w:ascii="Times New Roman" w:hAnsi="Times New Roman" w:eastAsia="宋体" w:cs="Times New Roman"/>
          <w:b w:val="0"/>
          <w:color w:val="auto"/>
          <w:sz w:val="21"/>
          <w:szCs w:val="21"/>
          <w:highlight w:val="none"/>
        </w:rPr>
        <w:t>入围结果公告。</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或者采购代理发出</w:t>
      </w:r>
      <w:r>
        <w:rPr>
          <w:rFonts w:hint="default" w:ascii="Times New Roman" w:hAnsi="Times New Roman" w:eastAsia="宋体" w:cs="Times New Roman"/>
          <w:b w:val="0"/>
          <w:color w:val="auto"/>
          <w:sz w:val="21"/>
          <w:szCs w:val="21"/>
          <w:highlight w:val="none"/>
          <w:lang w:eastAsia="zh-CN"/>
        </w:rPr>
        <w:t>入围</w:t>
      </w:r>
      <w:r>
        <w:rPr>
          <w:rFonts w:hint="default" w:ascii="Times New Roman" w:hAnsi="Times New Roman" w:eastAsia="宋体" w:cs="Times New Roman"/>
          <w:b w:val="0"/>
          <w:color w:val="auto"/>
          <w:sz w:val="21"/>
          <w:szCs w:val="21"/>
          <w:highlight w:val="none"/>
        </w:rPr>
        <w:t>通知书前，应当对中标人信用进行查询，对列入失信被执行人、重大税收违法案件当事人名单、政府采购严重违法失信行为记录名单及其他不符合《中华人民共和国政府采购法》第二十二条规定条件的</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，取消其中标资格，并确定排名第二的</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为中标人。排名第二的</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因前款规定的同样原因被取消中标资格的，</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可以确定排名第三的</w:t>
      </w:r>
      <w:r>
        <w:rPr>
          <w:rFonts w:hint="eastAsia"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为中标人，以此类推。</w:t>
      </w:r>
    </w:p>
    <w:p w14:paraId="6D7ED607">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以上信息查询记录及相关证据与采购文件一并保存。</w:t>
      </w:r>
    </w:p>
    <w:p w14:paraId="710AE3A9">
      <w:pPr>
        <w:pStyle w:val="5"/>
        <w:keepNext w:val="0"/>
        <w:keepLines w:val="0"/>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31.2中标供应商享受《政府采购促进中小企业发展管理办法》（财库〔2020〕46号）规定的中小企业扶持政策的，</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、采购代理机构应当随中标结果公开中标供应商的《中小企业声明函》。</w:t>
      </w:r>
    </w:p>
    <w:p w14:paraId="105937C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32.发出</w:t>
      </w:r>
      <w:r>
        <w:rPr>
          <w:rFonts w:hint="default" w:ascii="Times New Roman" w:hAnsi="Times New Roman" w:eastAsia="宋体" w:cs="Times New Roman"/>
          <w:b/>
          <w:color w:val="auto"/>
          <w:sz w:val="24"/>
          <w:highlight w:val="none"/>
        </w:rPr>
        <w:t>入围通知书</w:t>
      </w:r>
    </w:p>
    <w:p w14:paraId="463D108E">
      <w:pPr>
        <w:pStyle w:val="5"/>
        <w:keepNext w:val="0"/>
        <w:keepLines w:val="0"/>
        <w:spacing w:before="0" w:after="0" w:line="360" w:lineRule="auto"/>
        <w:ind w:firstLine="420" w:firstLineChars="200"/>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在</w:t>
      </w:r>
      <w:r>
        <w:rPr>
          <w:rFonts w:hint="default" w:ascii="Times New Roman" w:hAnsi="Times New Roman" w:eastAsia="宋体" w:cs="Times New Roman"/>
          <w:b w:val="0"/>
          <w:bCs/>
          <w:color w:val="auto"/>
          <w:sz w:val="21"/>
          <w:szCs w:val="21"/>
          <w:highlight w:val="none"/>
          <w:lang w:eastAsia="zh-CN"/>
        </w:rPr>
        <w:t>发布</w:t>
      </w:r>
      <w:r>
        <w:rPr>
          <w:rFonts w:hint="default" w:ascii="Times New Roman" w:hAnsi="Times New Roman" w:eastAsia="宋体" w:cs="Times New Roman"/>
          <w:b w:val="0"/>
          <w:bCs/>
          <w:color w:val="auto"/>
          <w:sz w:val="21"/>
          <w:szCs w:val="21"/>
          <w:highlight w:val="none"/>
        </w:rPr>
        <w:t>入围结果公告的同时，采购代理机构向</w:t>
      </w:r>
      <w:r>
        <w:rPr>
          <w:rFonts w:hint="default" w:ascii="Times New Roman" w:hAnsi="Times New Roman" w:eastAsia="宋体" w:cs="Times New Roman"/>
          <w:b w:val="0"/>
          <w:bCs/>
          <w:color w:val="auto"/>
          <w:sz w:val="21"/>
          <w:szCs w:val="21"/>
          <w:highlight w:val="none"/>
          <w:lang w:val="en-US" w:eastAsia="zh-CN"/>
        </w:rPr>
        <w:t>入围供应商</w:t>
      </w:r>
      <w:r>
        <w:rPr>
          <w:rFonts w:hint="default" w:ascii="Times New Roman" w:hAnsi="Times New Roman" w:eastAsia="宋体" w:cs="Times New Roman"/>
          <w:b w:val="0"/>
          <w:bCs/>
          <w:color w:val="auto"/>
          <w:sz w:val="21"/>
          <w:szCs w:val="21"/>
          <w:highlight w:val="none"/>
        </w:rPr>
        <w:t>发出入围通知书。对未通过资格审查的</w:t>
      </w:r>
      <w:r>
        <w:rPr>
          <w:rFonts w:hint="default" w:ascii="Times New Roman" w:hAnsi="Times New Roman" w:eastAsia="宋体" w:cs="Times New Roman"/>
          <w:b w:val="0"/>
          <w:bCs/>
          <w:color w:val="auto"/>
          <w:sz w:val="21"/>
          <w:szCs w:val="21"/>
          <w:highlight w:val="none"/>
          <w:lang w:eastAsia="zh-CN"/>
        </w:rPr>
        <w:t>供应商</w:t>
      </w:r>
      <w:r>
        <w:rPr>
          <w:rFonts w:hint="default" w:ascii="Times New Roman" w:hAnsi="Times New Roman" w:eastAsia="宋体" w:cs="Times New Roman"/>
          <w:b w:val="0"/>
          <w:bCs/>
          <w:color w:val="auto"/>
          <w:sz w:val="21"/>
          <w:szCs w:val="21"/>
          <w:highlight w:val="none"/>
        </w:rPr>
        <w:t>，应当告知其未通过的原因；采用综合评分办法评审的，还应当告知</w:t>
      </w:r>
      <w:r>
        <w:rPr>
          <w:rFonts w:hint="default" w:ascii="Times New Roman" w:hAnsi="Times New Roman" w:eastAsia="宋体" w:cs="Times New Roman"/>
          <w:b w:val="0"/>
          <w:bCs/>
          <w:color w:val="auto"/>
          <w:sz w:val="21"/>
          <w:szCs w:val="21"/>
          <w:highlight w:val="none"/>
          <w:lang w:val="en-US" w:eastAsia="zh-CN"/>
        </w:rPr>
        <w:t>未入围供应商</w:t>
      </w:r>
      <w:r>
        <w:rPr>
          <w:rFonts w:hint="default" w:ascii="Times New Roman" w:hAnsi="Times New Roman" w:eastAsia="宋体" w:cs="Times New Roman"/>
          <w:b w:val="0"/>
          <w:bCs/>
          <w:color w:val="auto"/>
          <w:sz w:val="21"/>
          <w:szCs w:val="21"/>
          <w:highlight w:val="none"/>
        </w:rPr>
        <w:t>的评审得分与排序。</w:t>
      </w:r>
    </w:p>
    <w:p w14:paraId="741D82AA">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 无义务解释未中标原因</w:t>
      </w:r>
    </w:p>
    <w:p w14:paraId="5693C6C0">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采购代理机构无义务向未</w:t>
      </w:r>
      <w:r>
        <w:rPr>
          <w:rFonts w:hint="default" w:ascii="Times New Roman" w:hAnsi="Times New Roman" w:eastAsia="宋体" w:cs="Times New Roman"/>
          <w:b w:val="0"/>
          <w:color w:val="auto"/>
          <w:sz w:val="21"/>
          <w:szCs w:val="21"/>
          <w:highlight w:val="none"/>
          <w:lang w:val="en-US" w:eastAsia="zh-CN"/>
        </w:rPr>
        <w:t>入围供应商</w:t>
      </w:r>
      <w:r>
        <w:rPr>
          <w:rFonts w:hint="default" w:ascii="Times New Roman" w:hAnsi="Times New Roman" w:eastAsia="宋体" w:cs="Times New Roman"/>
          <w:b w:val="0"/>
          <w:color w:val="auto"/>
          <w:sz w:val="21"/>
          <w:szCs w:val="21"/>
          <w:highlight w:val="none"/>
        </w:rPr>
        <w:t>解释原因和退还</w:t>
      </w:r>
      <w:r>
        <w:rPr>
          <w:rFonts w:hint="default" w:ascii="Times New Roman" w:hAnsi="Times New Roman" w:eastAsia="宋体" w:cs="Times New Roman"/>
          <w:b w:val="0"/>
          <w:color w:val="auto"/>
          <w:sz w:val="21"/>
          <w:szCs w:val="21"/>
          <w:highlight w:val="none"/>
          <w:lang w:eastAsia="zh-CN"/>
        </w:rPr>
        <w:t>响应文件</w:t>
      </w:r>
      <w:r>
        <w:rPr>
          <w:rFonts w:hint="default" w:ascii="Times New Roman" w:hAnsi="Times New Roman" w:eastAsia="宋体" w:cs="Times New Roman"/>
          <w:b w:val="0"/>
          <w:color w:val="auto"/>
          <w:sz w:val="21"/>
          <w:szCs w:val="21"/>
          <w:highlight w:val="none"/>
        </w:rPr>
        <w:t>。</w:t>
      </w:r>
    </w:p>
    <w:p w14:paraId="4D5CB316">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34.合同授予标准</w:t>
      </w:r>
    </w:p>
    <w:p w14:paraId="777904B0">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框架协议将授予被确定实质上响应</w:t>
      </w:r>
      <w:r>
        <w:rPr>
          <w:rFonts w:hint="default" w:ascii="Times New Roman" w:hAnsi="Times New Roman" w:eastAsia="宋体" w:cs="Times New Roman"/>
          <w:color w:val="auto"/>
          <w:szCs w:val="21"/>
          <w:highlight w:val="none"/>
          <w:lang w:eastAsia="zh-CN"/>
        </w:rPr>
        <w:t>征集文件</w:t>
      </w:r>
      <w:r>
        <w:rPr>
          <w:rFonts w:hint="default" w:ascii="Times New Roman" w:hAnsi="Times New Roman" w:eastAsia="宋体" w:cs="Times New Roman"/>
          <w:color w:val="auto"/>
          <w:szCs w:val="21"/>
          <w:highlight w:val="none"/>
        </w:rPr>
        <w:t>要求，具备履行框架协议能力的</w:t>
      </w:r>
      <w:r>
        <w:rPr>
          <w:rFonts w:hint="default" w:ascii="Times New Roman" w:hAnsi="Times New Roman" w:eastAsia="宋体" w:cs="Times New Roman"/>
          <w:b w:val="0"/>
          <w:color w:val="auto"/>
          <w:sz w:val="21"/>
          <w:szCs w:val="21"/>
          <w:highlight w:val="none"/>
          <w:lang w:val="en-US" w:eastAsia="zh-CN"/>
        </w:rPr>
        <w:t>供应商</w:t>
      </w:r>
      <w:r>
        <w:rPr>
          <w:rFonts w:hint="default" w:ascii="Times New Roman" w:hAnsi="Times New Roman" w:eastAsia="宋体" w:cs="Times New Roman"/>
          <w:color w:val="auto"/>
          <w:szCs w:val="21"/>
          <w:highlight w:val="none"/>
        </w:rPr>
        <w:t>。</w:t>
      </w:r>
    </w:p>
    <w:p w14:paraId="10238A0D">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35.履约保证金</w:t>
      </w:r>
    </w:p>
    <w:p w14:paraId="049A62BA">
      <w:pPr>
        <w:pStyle w:val="5"/>
        <w:keepNext w:val="0"/>
        <w:keepLines w:val="0"/>
        <w:spacing w:before="0" w:after="0" w:line="360" w:lineRule="auto"/>
        <w:ind w:firstLine="315" w:firstLineChars="150"/>
        <w:rPr>
          <w:rFonts w:hint="default" w:ascii="Times New Roman" w:hAnsi="Times New Roman" w:eastAsia="宋体" w:cs="Times New Roman"/>
          <w:b w:val="0"/>
          <w:color w:val="auto"/>
          <w:sz w:val="21"/>
          <w:szCs w:val="21"/>
          <w:highlight w:val="none"/>
        </w:rPr>
      </w:pPr>
      <w:bookmarkStart w:id="106" w:name="_39.1中标人须于签订合同前按本须知前附表规定的金额转账或电汇到指定账"/>
      <w:bookmarkEnd w:id="106"/>
      <w:r>
        <w:rPr>
          <w:rFonts w:hint="default" w:ascii="Times New Roman" w:hAnsi="Times New Roman" w:eastAsia="宋体" w:cs="Times New Roman"/>
          <w:b w:val="0"/>
          <w:color w:val="auto"/>
          <w:sz w:val="21"/>
          <w:szCs w:val="21"/>
          <w:highlight w:val="none"/>
        </w:rPr>
        <w:t xml:space="preserve"> 35.1 履约保证金的金额、提交方式、退付的时间和条件详见 “</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w:t>
      </w:r>
      <w:r>
        <w:rPr>
          <w:rFonts w:hint="default" w:ascii="Times New Roman" w:hAnsi="Times New Roman" w:eastAsia="宋体" w:cs="Times New Roman"/>
          <w:b w:val="0"/>
          <w:color w:val="auto"/>
          <w:sz w:val="21"/>
          <w:szCs w:val="21"/>
          <w:highlight w:val="none"/>
          <w:lang w:eastAsia="zh-CN"/>
        </w:rPr>
        <w:t>入围供应商</w:t>
      </w:r>
      <w:r>
        <w:rPr>
          <w:rFonts w:hint="default" w:ascii="Times New Roman" w:hAnsi="Times New Roman" w:eastAsia="宋体" w:cs="Times New Roman"/>
          <w:b w:val="0"/>
          <w:color w:val="auto"/>
          <w:sz w:val="21"/>
          <w:szCs w:val="21"/>
          <w:highlight w:val="none"/>
        </w:rPr>
        <w:t>未按规定提交履约保证金的，视为拒绝与</w:t>
      </w:r>
      <w:r>
        <w:rPr>
          <w:rFonts w:hint="default" w:ascii="Times New Roman" w:hAnsi="Times New Roman" w:eastAsia="宋体" w:cs="Times New Roman"/>
          <w:b w:val="0"/>
          <w:color w:val="auto"/>
          <w:sz w:val="21"/>
          <w:szCs w:val="21"/>
          <w:highlight w:val="none"/>
          <w:lang w:eastAsia="zh-CN"/>
        </w:rPr>
        <w:t>征集人</w:t>
      </w:r>
      <w:r>
        <w:rPr>
          <w:rFonts w:hint="default" w:ascii="Times New Roman" w:hAnsi="Times New Roman" w:eastAsia="宋体" w:cs="Times New Roman"/>
          <w:b w:val="0"/>
          <w:color w:val="auto"/>
          <w:sz w:val="21"/>
          <w:szCs w:val="21"/>
          <w:highlight w:val="none"/>
        </w:rPr>
        <w:t>签订合同。</w:t>
      </w:r>
    </w:p>
    <w:p w14:paraId="5D29B48E">
      <w:pPr>
        <w:pStyle w:val="5"/>
        <w:keepNext w:val="0"/>
        <w:keepLines w:val="0"/>
        <w:numPr>
          <w:ilvl w:val="0"/>
          <w:numId w:val="0"/>
        </w:numPr>
        <w:spacing w:before="0" w:after="0" w:line="360" w:lineRule="auto"/>
        <w:ind w:firstLine="420" w:firstLine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35.2 在履约保证金退还日期前，若</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的开户名称、开户银行、</w:t>
      </w:r>
      <w:r>
        <w:rPr>
          <w:rFonts w:hint="eastAsia" w:ascii="Times New Roman" w:hAnsi="Times New Roman" w:eastAsia="宋体" w:cs="Times New Roman"/>
          <w:b w:val="0"/>
          <w:color w:val="auto"/>
          <w:sz w:val="21"/>
          <w:szCs w:val="21"/>
          <w:highlight w:val="none"/>
          <w:lang w:eastAsia="zh-CN"/>
        </w:rPr>
        <w:t>账号</w:t>
      </w:r>
      <w:r>
        <w:rPr>
          <w:rFonts w:hint="default" w:ascii="Times New Roman" w:hAnsi="Times New Roman" w:eastAsia="宋体" w:cs="Times New Roman"/>
          <w:b w:val="0"/>
          <w:color w:val="auto"/>
          <w:sz w:val="21"/>
          <w:szCs w:val="21"/>
          <w:highlight w:val="none"/>
        </w:rPr>
        <w:t>有变动的，请以书面形式通知履约保证金收取单位，否则由此产生的后果由中标人自行承担。</w:t>
      </w:r>
    </w:p>
    <w:p w14:paraId="6C539CE3">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36.签订框架协议</w:t>
      </w:r>
    </w:p>
    <w:p w14:paraId="25D8968E">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bookmarkStart w:id="107" w:name="_40.1投标人接到中标通知书后，按须知前附表规定向采购人出示相关资格证"/>
      <w:bookmarkEnd w:id="107"/>
      <w:r>
        <w:rPr>
          <w:rFonts w:hint="eastAsia" w:ascii="Times New Roman" w:hAnsi="Times New Roman" w:eastAsia="宋体" w:cs="Times New Roman"/>
          <w:b w:val="0"/>
          <w:bCs/>
          <w:color w:val="auto"/>
          <w:sz w:val="21"/>
          <w:szCs w:val="21"/>
          <w:highlight w:val="none"/>
        </w:rPr>
        <w:t xml:space="preserve"> 36.1 供应商领取入围通知书后，按规定的日期、时间、地点， 由法定代表人或其授权代表与征集人代表签订框架协议。</w:t>
      </w:r>
    </w:p>
    <w:p w14:paraId="093DAAB0">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36.2 框架协议由征集人与入围供应商根据征集文件、响应文件等内容通过政府采购电子交易平台在线签订，自动备案。</w:t>
      </w:r>
    </w:p>
    <w:p w14:paraId="19D2E553">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36.3 签订框架协议时间：入围通知书发出后25日内征集人与入围供应商签订框架协议。</w:t>
      </w:r>
    </w:p>
    <w:p w14:paraId="3F0A6016">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36.4 供应商拒绝与征集人签订框架协议的，征集人可以按照评审报告推荐的入围候选人名单排序， 确定下一候选人为供应商，也可以重新开展政府采购活动。如征集人无正当理由拒签框架协议的，给入围供应商造成损失的，入围供应商可追究征集人承担相应的法律责任。</w:t>
      </w:r>
    </w:p>
    <w:p w14:paraId="72EB01E6">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36.5 政府采购合同是政府采购项目验收的依据，入围供应商和征集人应当按照采购合同约定的各 自的权利和义务全面履行合同。任何一方当事人在履行合同过程中均不得擅自变更、中止或终止合同。 政府采购合同继续履行将损害国家利益和社会公共利益的，双方当事人应当变更、中止或终止合同</w:t>
      </w:r>
      <w:r>
        <w:rPr>
          <w:rFonts w:hint="eastAsia" w:ascii="Times New Roman" w:hAnsi="Times New Roman" w:eastAsia="宋体" w:cs="Times New Roman"/>
          <w:b w:val="0"/>
          <w:bCs/>
          <w:color w:val="auto"/>
          <w:sz w:val="21"/>
          <w:szCs w:val="21"/>
          <w:highlight w:val="none"/>
          <w:lang w:eastAsia="zh-CN"/>
        </w:rPr>
        <w:t>，</w:t>
      </w:r>
      <w:r>
        <w:rPr>
          <w:rFonts w:hint="eastAsia" w:ascii="Times New Roman" w:hAnsi="Times New Roman" w:eastAsia="宋体" w:cs="Times New Roman"/>
          <w:b w:val="0"/>
          <w:bCs/>
          <w:color w:val="auto"/>
          <w:sz w:val="21"/>
          <w:szCs w:val="21"/>
          <w:highlight w:val="none"/>
        </w:rPr>
        <w:t>有过错的一方应当承担赔偿责任，双方都有过错的，各自承担相应的责任。</w:t>
      </w:r>
    </w:p>
    <w:p w14:paraId="58316C7A">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 xml:space="preserve"> </w:t>
      </w:r>
      <w:r>
        <w:rPr>
          <w:rFonts w:hint="eastAsia" w:ascii="Times New Roman" w:hAnsi="Times New Roman" w:eastAsia="宋体" w:cs="Times New Roman"/>
          <w:b w:val="0"/>
          <w:bCs/>
          <w:color w:val="auto"/>
          <w:sz w:val="21"/>
          <w:szCs w:val="21"/>
          <w:highlight w:val="none"/>
        </w:rPr>
        <w:t>36.6 征集人或入围供应商不得单方面向框架协议另一方提出任何征集文件没有约定的条件或不合</w:t>
      </w:r>
    </w:p>
    <w:p w14:paraId="3B5C1F45">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Times New Roman" w:hAnsi="Times New Roman" w:eastAsia="宋体" w:cs="Times New Roman"/>
          <w:b w:val="0"/>
          <w:bCs/>
          <w:color w:val="auto"/>
          <w:sz w:val="21"/>
          <w:szCs w:val="21"/>
          <w:highlight w:val="none"/>
        </w:rPr>
        <w:t>理的要求，作为签订框架协议的条件；也不得协商另行订立背离征集文件和合同实质性内容的协议。</w:t>
      </w:r>
    </w:p>
    <w:p w14:paraId="791ECED1">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rPr>
        <w:t>36.7 如签订框架协议并生效后，供应商无故拒绝或延期，除按照框架协议条款处理外，将承担相应的法律责任。</w:t>
      </w:r>
    </w:p>
    <w:p w14:paraId="07EEA3A1">
      <w:pPr>
        <w:pStyle w:val="5"/>
        <w:keepNext w:val="0"/>
        <w:keepLines w:val="0"/>
        <w:spacing w:before="0" w:after="0" w:line="360" w:lineRule="auto"/>
        <w:ind w:firstLine="315" w:firstLineChars="15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val="0"/>
          <w:bCs/>
          <w:color w:val="auto"/>
          <w:sz w:val="21"/>
          <w:szCs w:val="21"/>
          <w:highlight w:val="none"/>
        </w:rPr>
        <w:t>36.8 征集人需追加与框架协议标的相同的货物或者服务的，在不改变原框架协议条款且已报财政部门批准落实资金的前提下，可从原入围供应商处添购，所签订的补充添置框架协议的采购资金总额不超过原框架协议金额的 10%。</w:t>
      </w:r>
    </w:p>
    <w:p w14:paraId="6C8C69BB">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37.</w:t>
      </w:r>
      <w:r>
        <w:rPr>
          <w:rFonts w:hint="default" w:ascii="Times New Roman" w:hAnsi="Times New Roman" w:eastAsia="宋体" w:cs="Times New Roman"/>
          <w:b/>
          <w:color w:val="auto"/>
          <w:sz w:val="24"/>
          <w:highlight w:val="none"/>
        </w:rPr>
        <w:t>框架协议</w:t>
      </w:r>
      <w:r>
        <w:rPr>
          <w:rFonts w:hint="eastAsia" w:ascii="Times New Roman" w:hAnsi="Times New Roman" w:eastAsia="宋体" w:cs="Times New Roman"/>
          <w:b/>
          <w:color w:val="auto"/>
          <w:sz w:val="24"/>
          <w:highlight w:val="none"/>
        </w:rPr>
        <w:t>公告</w:t>
      </w:r>
    </w:p>
    <w:p w14:paraId="0F02A87E">
      <w:pPr>
        <w:pStyle w:val="5"/>
        <w:keepNext w:val="0"/>
        <w:keepLines w:val="0"/>
        <w:spacing w:before="0" w:after="0" w:line="360" w:lineRule="auto"/>
        <w:ind w:firstLine="315" w:firstLineChars="150"/>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eastAsia="zh-CN"/>
        </w:rPr>
        <w:t>征集人</w:t>
      </w:r>
      <w:r>
        <w:rPr>
          <w:rFonts w:hint="eastAsia" w:ascii="Times New Roman" w:hAnsi="Times New Roman" w:eastAsia="宋体" w:cs="Times New Roman"/>
          <w:b w:val="0"/>
          <w:bCs/>
          <w:color w:val="auto"/>
          <w:sz w:val="21"/>
          <w:szCs w:val="21"/>
          <w:highlight w:val="none"/>
        </w:rPr>
        <w:t>或者受托采购代理机构应当自政府采购合同签订之日起2个工作日内，将政府采购合同在省级以上人民政府财政部门指定的媒体上公告，但政府采购合同中涉及国家秘密、商业秘密的内容除外。</w:t>
      </w:r>
    </w:p>
    <w:p w14:paraId="2668D2F2">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38. 询问、质疑和投诉</w:t>
      </w:r>
    </w:p>
    <w:p w14:paraId="646231C0">
      <w:pPr>
        <w:pStyle w:val="6"/>
        <w:spacing w:line="360" w:lineRule="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38.1供应商对政府采购活动事项有疑问的，可以向征集人提出询问，征集人或者采购代理机构应当在3个工作日内对供应商依法提出的询问作出答复，但答复的内容不得涉及商业秘密。</w:t>
      </w:r>
    </w:p>
    <w:p w14:paraId="5E4BBED2">
      <w:pPr>
        <w:pStyle w:val="5"/>
        <w:keepNext w:val="0"/>
        <w:keepLines w:val="0"/>
        <w:numPr>
          <w:ilvl w:val="4"/>
          <w:numId w:val="0"/>
        </w:numPr>
        <w:spacing w:before="0" w:after="0" w:line="360" w:lineRule="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xml:space="preserve"> 38.2供应商认为征集文件、采购过程或者中标结果使自己的合法权益受到损害的，必须在知道或者应知其权益受到损害之日起7个工作日内，以书面形式向征集人、采购代理机构提出质疑。征集人、采购代理机构接收质疑函的方式、联系部门、联系电话和通讯地址等信息详见“供应商须知前附表”。具体质疑起算时间如下：</w:t>
      </w:r>
    </w:p>
    <w:p w14:paraId="5B574B7F">
      <w:pPr>
        <w:pStyle w:val="5"/>
        <w:keepNext w:val="0"/>
        <w:keepLines w:val="0"/>
        <w:numPr>
          <w:ilvl w:val="4"/>
          <w:numId w:val="0"/>
        </w:numPr>
        <w:spacing w:before="0" w:after="0" w:line="360" w:lineRule="auto"/>
        <w:ind w:firstLine="210" w:firstLineChars="10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（1）对可以质疑的征集文件提出质疑的，为收到征集文件之日或者征集文件公告期限届满之日；</w:t>
      </w:r>
    </w:p>
    <w:p w14:paraId="6B07B6AB">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（2）对采购过程提出质疑的，为各采购程序环节结束之日；</w:t>
      </w:r>
    </w:p>
    <w:p w14:paraId="78F05F0F">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（3）对中标结果提出质疑的，为中标结果公告期限届满之日。</w:t>
      </w:r>
    </w:p>
    <w:p w14:paraId="75494F71">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bookmarkStart w:id="108" w:name="_9.2质疑、投诉应当采用书面形式，质疑函、投诉书均应明确阐述招标文件、"/>
      <w:bookmarkEnd w:id="108"/>
      <w:r>
        <w:rPr>
          <w:rFonts w:hint="eastAsia" w:ascii="Times New Roman" w:hAnsi="Times New Roman" w:eastAsia="宋体" w:cs="Times New Roman"/>
          <w:b w:val="0"/>
          <w:bCs/>
          <w:color w:val="auto"/>
          <w:kern w:val="2"/>
          <w:sz w:val="21"/>
          <w:szCs w:val="21"/>
          <w:highlight w:val="none"/>
          <w:lang w:val="en-US" w:eastAsia="zh-CN" w:bidi="ar-SA"/>
        </w:rPr>
        <w:t xml:space="preserve"> 38.3 供应商提出质疑应当提交质疑函和必要的证明材料，针对同一采购程序环节的质疑必须在法定质疑期内一次性提出。质疑函应当包括下列内容（质疑函格式后附）：</w:t>
      </w:r>
    </w:p>
    <w:p w14:paraId="7DA27082">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（1）供应商的姓名或者名称、地址、邮编、联系人及联系电话；</w:t>
      </w:r>
    </w:p>
    <w:p w14:paraId="291E4D8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（2）质疑项目的名称、编号；</w:t>
      </w:r>
    </w:p>
    <w:p w14:paraId="5EAC127C">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（3）具体、明确的质疑事项和与质疑事项相关的请求；</w:t>
      </w:r>
    </w:p>
    <w:p w14:paraId="6CA3E763">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（4）事实依据；</w:t>
      </w:r>
    </w:p>
    <w:p w14:paraId="3EF0920C">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（5）必要的法律依据；</w:t>
      </w:r>
    </w:p>
    <w:p w14:paraId="2643676F">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（6）提出质疑的日期。</w:t>
      </w:r>
    </w:p>
    <w:p w14:paraId="661DA737">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供应商为自然人的，应当由本人签字；供应商为法人或者其他组织的，应当由法定代表人、主要负责人，或者其委托代理人签字或者盖章，并加盖公章。</w:t>
      </w:r>
    </w:p>
    <w:p w14:paraId="7BDC18B0">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38.4征集人、采购代理机构认为供应商质疑不成立，或者成立但未对中标结果构成影响的，继续开展采购活动；认为供应商质疑成立且影响或者可能影响中标结果的，按照下列情况处理：</w:t>
      </w:r>
    </w:p>
    <w:p w14:paraId="3A4739B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（1）对征集文件提出的质疑，依法通过澄清或者修改可以继续开展采购活动的，澄清或者修改征集文件后继续开展采购活动；否则应当修改征集文件后重新开展采购活动。</w:t>
      </w:r>
    </w:p>
    <w:p w14:paraId="12ADF86C">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（2）对采购过程、中标结果提出的质疑，合格供应商符合法定数量时，可以从合格的入围供应商中另行确定中标供应商的，应当依法另行确定中标供应商；否则应当重新开展采购活动。</w:t>
      </w:r>
    </w:p>
    <w:p w14:paraId="147BE13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质疑答复导致中标结果改变的，征集人或者采购代理机构应当将有关情况书面报告本级财政部门。</w:t>
      </w:r>
    </w:p>
    <w:p w14:paraId="04830ADD">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38.5质疑供应商对征集人、采购代理机构的答复不满意，或者征集人、采购代理机构未在规定时间内作出答复的，可以在答复期满后15个工作日内向《政府采购质疑和投诉办法》（财政部令第94号）第六条规定的财政部门提起投诉（投诉书格式后附）。</w:t>
      </w:r>
    </w:p>
    <w:p w14:paraId="6C447A28">
      <w:pPr>
        <w:pStyle w:val="5"/>
        <w:keepNext w:val="0"/>
        <w:keepLines w:val="0"/>
        <w:spacing w:before="0" w:after="0" w:line="360" w:lineRule="auto"/>
        <w:ind w:firstLine="422" w:firstLineChars="150"/>
        <w:rPr>
          <w:rFonts w:hint="eastAsia"/>
          <w:color w:val="auto"/>
          <w:highlight w:val="none"/>
        </w:rPr>
        <w:sectPr>
          <w:footerReference r:id="rId10" w:type="default"/>
          <w:pgSz w:w="11906" w:h="16839"/>
          <w:pgMar w:top="1404" w:right="1233" w:bottom="1091" w:left="1310" w:header="0" w:footer="929" w:gutter="0"/>
          <w:pgNumType w:fmt="decimal"/>
          <w:cols w:space="720" w:num="1"/>
        </w:sectPr>
      </w:pPr>
    </w:p>
    <w:p w14:paraId="2B6F15A5">
      <w:pPr>
        <w:pStyle w:val="23"/>
        <w:snapToGrid w:val="0"/>
        <w:spacing w:line="360" w:lineRule="auto"/>
        <w:jc w:val="both"/>
        <w:rPr>
          <w:rFonts w:hint="default" w:ascii="Times New Roman" w:hAnsi="Times New Roman" w:eastAsia="宋体" w:cs="Times New Roman"/>
          <w:b/>
          <w:bCs/>
          <w:snapToGrid w:val="0"/>
          <w:color w:val="auto"/>
          <w:spacing w:val="3"/>
          <w:kern w:val="0"/>
          <w:sz w:val="31"/>
          <w:szCs w:val="31"/>
          <w:highlight w:val="none"/>
          <w:lang w:val="en-US" w:eastAsia="en-US" w:bidi="ar-SA"/>
        </w:rPr>
      </w:pPr>
      <w:bookmarkStart w:id="109" w:name="_41.政府采购合同公告"/>
      <w:bookmarkEnd w:id="109"/>
    </w:p>
    <w:p w14:paraId="380FCA7F">
      <w:pPr>
        <w:pStyle w:val="23"/>
        <w:snapToGrid w:val="0"/>
        <w:spacing w:line="360" w:lineRule="auto"/>
        <w:ind w:firstLine="634" w:firstLineChars="200"/>
        <w:jc w:val="center"/>
        <w:rPr>
          <w:rFonts w:hint="default" w:ascii="Times New Roman" w:hAnsi="Times New Roman" w:eastAsia="宋体" w:cs="Times New Roman"/>
          <w:b/>
          <w:bCs/>
          <w:snapToGrid w:val="0"/>
          <w:color w:val="auto"/>
          <w:spacing w:val="3"/>
          <w:kern w:val="0"/>
          <w:sz w:val="31"/>
          <w:szCs w:val="31"/>
          <w:highlight w:val="none"/>
          <w:lang w:val="en-US" w:eastAsia="en-US" w:bidi="ar-SA"/>
        </w:rPr>
      </w:pPr>
      <w:r>
        <w:rPr>
          <w:rFonts w:hint="default" w:ascii="Times New Roman" w:hAnsi="Times New Roman" w:eastAsia="宋体" w:cs="Times New Roman"/>
          <w:b/>
          <w:bCs/>
          <w:snapToGrid w:val="0"/>
          <w:color w:val="auto"/>
          <w:spacing w:val="3"/>
          <w:kern w:val="0"/>
          <w:sz w:val="31"/>
          <w:szCs w:val="31"/>
          <w:highlight w:val="none"/>
          <w:lang w:val="en-US" w:eastAsia="en-US" w:bidi="ar-SA"/>
        </w:rPr>
        <w:t>三、第二阶段（成交阶段）</w:t>
      </w:r>
    </w:p>
    <w:p w14:paraId="6A142B7C">
      <w:pPr>
        <w:pStyle w:val="23"/>
        <w:snapToGrid w:val="0"/>
        <w:spacing w:line="360" w:lineRule="auto"/>
        <w:ind w:firstLine="634" w:firstLineChars="200"/>
        <w:jc w:val="center"/>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snapToGrid w:val="0"/>
          <w:color w:val="auto"/>
          <w:spacing w:val="3"/>
          <w:kern w:val="0"/>
          <w:sz w:val="31"/>
          <w:szCs w:val="31"/>
          <w:highlight w:val="none"/>
          <w:lang w:val="en-US" w:eastAsia="en-US" w:bidi="ar-SA"/>
        </w:rPr>
        <w:t>（一）成交供应商</w:t>
      </w:r>
    </w:p>
    <w:p w14:paraId="2CE9CCCA">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39.成交供应商</w:t>
      </w:r>
    </w:p>
    <w:p w14:paraId="539E8C56">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39.1 确定成交供应商</w:t>
      </w:r>
    </w:p>
    <w:p w14:paraId="33827DBA">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 xml:space="preserve"> 采购人按照征集文件或框架协议的规定从入围供应商选定成交供应商并签订采购合同。</w:t>
      </w:r>
    </w:p>
    <w:p w14:paraId="778C25B8">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 合同</w:t>
      </w:r>
    </w:p>
    <w:p w14:paraId="758AA770">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39.2.1 合同授予标准</w:t>
      </w:r>
    </w:p>
    <w:p w14:paraId="48D99695">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依法报送田东县财政局处理。</w:t>
      </w:r>
    </w:p>
    <w:p w14:paraId="3A615E7D">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39.2.2 签订合同</w:t>
      </w:r>
    </w:p>
    <w:p w14:paraId="1AA08745">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采购人与供应商签订的采购合同不得违背框架协议的实质性条款，且必须按照征集文件中的合同文本签订。</w:t>
      </w:r>
    </w:p>
    <w:p w14:paraId="5D2DC013">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39.2.3 履行合同</w:t>
      </w:r>
    </w:p>
    <w:p w14:paraId="154175A0">
      <w:pPr>
        <w:pStyle w:val="5"/>
        <w:keepNext w:val="0"/>
        <w:keepLines w:val="0"/>
        <w:spacing w:before="0" w:after="0" w:line="360" w:lineRule="auto"/>
        <w:ind w:firstLine="315" w:firstLineChars="15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采购人与供应商签订采购合同后，合同双方应严格执行合同条款，履行规定的合同义务，保证合同顺利完成，双方均不得擅自变更、中止或终止采购合同。确需解除合同的，应按民法典有关规定和合同约定执行。</w:t>
      </w:r>
    </w:p>
    <w:p w14:paraId="3673F5A5">
      <w:pPr>
        <w:pStyle w:val="23"/>
        <w:snapToGrid w:val="0"/>
        <w:spacing w:line="360" w:lineRule="auto"/>
        <w:ind w:firstLine="634" w:firstLineChars="200"/>
        <w:jc w:val="center"/>
        <w:rPr>
          <w:rFonts w:hint="eastAsia" w:ascii="Times New Roman" w:hAnsi="Times New Roman" w:eastAsia="宋体" w:cs="Times New Roman"/>
          <w:b/>
          <w:bCs/>
          <w:snapToGrid w:val="0"/>
          <w:color w:val="auto"/>
          <w:spacing w:val="3"/>
          <w:kern w:val="0"/>
          <w:sz w:val="31"/>
          <w:szCs w:val="31"/>
          <w:highlight w:val="none"/>
          <w:lang w:val="en-US" w:eastAsia="en-US" w:bidi="ar-SA"/>
        </w:rPr>
      </w:pPr>
      <w:r>
        <w:rPr>
          <w:rFonts w:hint="eastAsia" w:ascii="Times New Roman" w:hAnsi="Times New Roman" w:eastAsia="宋体" w:cs="Times New Roman"/>
          <w:b/>
          <w:bCs/>
          <w:snapToGrid w:val="0"/>
          <w:color w:val="auto"/>
          <w:spacing w:val="3"/>
          <w:kern w:val="0"/>
          <w:sz w:val="31"/>
          <w:szCs w:val="31"/>
          <w:highlight w:val="none"/>
          <w:lang w:val="en-US" w:eastAsia="en-US" w:bidi="ar-SA"/>
        </w:rPr>
        <w:t>（二）验收</w:t>
      </w:r>
    </w:p>
    <w:p w14:paraId="45075933">
      <w:pPr>
        <w:pStyle w:val="23"/>
        <w:snapToGrid w:val="0"/>
        <w:spacing w:line="360" w:lineRule="auto"/>
        <w:ind w:firstLine="420" w:firstLineChars="200"/>
        <w:rPr>
          <w:rFonts w:hint="eastAsia" w:ascii="宋体" w:hAnsi="宋体" w:eastAsia="宋体" w:cs="宋体"/>
          <w:color w:val="auto"/>
          <w:sz w:val="21"/>
          <w:highlight w:val="none"/>
        </w:rPr>
      </w:pPr>
    </w:p>
    <w:p w14:paraId="68AB8162">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w:t>
      </w:r>
      <w:r>
        <w:rPr>
          <w:rFonts w:hint="default" w:ascii="Times New Roman" w:hAnsi="Times New Roman" w:eastAsia="宋体" w:cs="Times New Roman"/>
          <w:b/>
          <w:bCs/>
          <w:color w:val="auto"/>
          <w:sz w:val="21"/>
          <w:highlight w:val="none"/>
        </w:rPr>
        <w:t>验收</w:t>
      </w:r>
    </w:p>
    <w:p w14:paraId="022D7E22">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40.1 采购人组织对供应商履约的验收。大型或者复杂的政府采购项目，应当邀请国家认可的质量 检测机构参加验收工作。验收方成员应当在验收书上签字，并承担相应的法律责任。如果发现与合同中要求不符，供应商须承担由此发生的一切损失和费用，并接受相应的处理。</w:t>
      </w:r>
    </w:p>
    <w:p w14:paraId="0F947560">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40.2 采购人可以邀请参加本项目的其他供应商或者第三方机构参与验收。参与验收的供应商或者第三方机构的意见作为验收书的参考资料一并存档。</w:t>
      </w:r>
    </w:p>
    <w:p w14:paraId="6A6C2611">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40.3 本项目将严格按照本征集文件及合同有关规定进行合同履约验收。征集文件或合同未规定 的按财政部关于进一步加强政府</w:t>
      </w:r>
      <w:r>
        <w:rPr>
          <w:rFonts w:hint="eastAsia" w:ascii="Times New Roman" w:hAnsi="Times New Roman" w:eastAsia="宋体" w:cs="Times New Roman"/>
          <w:color w:val="auto"/>
          <w:sz w:val="21"/>
          <w:highlight w:val="none"/>
          <w:lang w:eastAsia="zh-CN"/>
        </w:rPr>
        <w:t>采购</w:t>
      </w:r>
      <w:r>
        <w:rPr>
          <w:rFonts w:hint="default" w:ascii="Times New Roman" w:hAnsi="Times New Roman" w:eastAsia="宋体" w:cs="Times New Roman"/>
          <w:color w:val="auto"/>
          <w:sz w:val="21"/>
          <w:highlight w:val="none"/>
        </w:rPr>
        <w:t>需求和履约验收管理的指导意见 (财库〔2016) 205 号) 以及《广西壮族自治区政府采购项目履约验收管理办法》 (桂财采〔2015)22 号) 的规定执行。</w:t>
      </w:r>
    </w:p>
    <w:p w14:paraId="72431C2B">
      <w:pPr>
        <w:pStyle w:val="23"/>
        <w:snapToGrid w:val="0"/>
        <w:spacing w:line="360" w:lineRule="auto"/>
        <w:ind w:firstLine="634" w:firstLineChars="200"/>
        <w:jc w:val="center"/>
        <w:rPr>
          <w:rFonts w:hint="eastAsia" w:ascii="Times New Roman" w:hAnsi="Times New Roman" w:eastAsia="宋体" w:cs="Times New Roman"/>
          <w:b/>
          <w:bCs/>
          <w:snapToGrid w:val="0"/>
          <w:color w:val="auto"/>
          <w:spacing w:val="3"/>
          <w:kern w:val="0"/>
          <w:sz w:val="31"/>
          <w:szCs w:val="31"/>
          <w:highlight w:val="none"/>
          <w:lang w:val="en-US" w:eastAsia="en-US" w:bidi="ar-SA"/>
        </w:rPr>
      </w:pPr>
      <w:bookmarkStart w:id="110" w:name="_八、其他事项"/>
      <w:bookmarkEnd w:id="110"/>
      <w:r>
        <w:rPr>
          <w:rFonts w:hint="eastAsia" w:ascii="Times New Roman" w:hAnsi="Times New Roman" w:eastAsia="宋体" w:cs="Times New Roman"/>
          <w:b/>
          <w:bCs/>
          <w:snapToGrid w:val="0"/>
          <w:color w:val="auto"/>
          <w:spacing w:val="3"/>
          <w:kern w:val="0"/>
          <w:sz w:val="31"/>
          <w:szCs w:val="31"/>
          <w:highlight w:val="none"/>
          <w:lang w:val="en-US" w:eastAsia="zh-CN" w:bidi="ar-SA"/>
        </w:rPr>
        <w:t>四</w:t>
      </w:r>
      <w:r>
        <w:rPr>
          <w:rFonts w:hint="eastAsia" w:ascii="Times New Roman" w:hAnsi="Times New Roman" w:eastAsia="宋体" w:cs="Times New Roman"/>
          <w:b/>
          <w:bCs/>
          <w:snapToGrid w:val="0"/>
          <w:color w:val="auto"/>
          <w:spacing w:val="3"/>
          <w:kern w:val="0"/>
          <w:sz w:val="31"/>
          <w:szCs w:val="31"/>
          <w:highlight w:val="none"/>
          <w:lang w:val="en-US" w:eastAsia="en-US" w:bidi="ar-SA"/>
        </w:rPr>
        <w:t>、其他事项</w:t>
      </w:r>
    </w:p>
    <w:p w14:paraId="4E8CA29B">
      <w:pPr>
        <w:pStyle w:val="5"/>
        <w:keepNext w:val="0"/>
        <w:keepLines w:val="0"/>
        <w:spacing w:before="0" w:after="0" w:line="360" w:lineRule="auto"/>
        <w:ind w:left="420" w:leftChars="200"/>
        <w:rPr>
          <w:rFonts w:hint="default" w:ascii="Times New Roman" w:hAnsi="Times New Roman" w:eastAsia="宋体" w:cs="Times New Roman"/>
          <w:color w:val="auto"/>
          <w:sz w:val="24"/>
          <w:highlight w:val="none"/>
        </w:rPr>
      </w:pPr>
      <w:bookmarkStart w:id="111" w:name="_42.代理服务费"/>
      <w:bookmarkEnd w:id="111"/>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.代理服务费</w:t>
      </w:r>
    </w:p>
    <w:p w14:paraId="0AE56F93">
      <w:pPr>
        <w:pStyle w:val="5"/>
        <w:keepNext w:val="0"/>
        <w:keepLines w:val="0"/>
        <w:spacing w:before="0" w:after="0" w:line="360" w:lineRule="auto"/>
        <w:ind w:left="420" w:leftChars="200"/>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val="en-US" w:eastAsia="zh-CN"/>
        </w:rPr>
        <w:t>40</w:t>
      </w:r>
      <w:r>
        <w:rPr>
          <w:rFonts w:hint="default" w:ascii="Times New Roman" w:hAnsi="Times New Roman" w:eastAsia="宋体" w:cs="Times New Roman"/>
          <w:b w:val="0"/>
          <w:color w:val="auto"/>
          <w:sz w:val="21"/>
          <w:szCs w:val="21"/>
          <w:highlight w:val="none"/>
        </w:rPr>
        <w:t>.1代理服务收取标准及缴费账户详见“</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w:t>
      </w:r>
    </w:p>
    <w:p w14:paraId="2616D222">
      <w:pPr>
        <w:pStyle w:val="5"/>
        <w:keepNext w:val="0"/>
        <w:keepLines w:val="0"/>
        <w:spacing w:before="0" w:after="0" w:line="360" w:lineRule="auto"/>
        <w:ind w:left="420" w:left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color w:val="auto"/>
          <w:sz w:val="21"/>
          <w:szCs w:val="21"/>
          <w:highlight w:val="none"/>
          <w:lang w:val="en-US" w:eastAsia="zh-CN"/>
        </w:rPr>
        <w:t>40</w:t>
      </w:r>
      <w:r>
        <w:rPr>
          <w:rFonts w:hint="default" w:ascii="Times New Roman" w:hAnsi="Times New Roman" w:eastAsia="宋体" w:cs="Times New Roman"/>
          <w:b w:val="0"/>
          <w:color w:val="auto"/>
          <w:sz w:val="21"/>
          <w:szCs w:val="21"/>
          <w:highlight w:val="none"/>
        </w:rPr>
        <w:t>.2代理服务收费标准：详见“</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须知前附表”。</w:t>
      </w:r>
    </w:p>
    <w:p w14:paraId="2819D665">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41. 需要补充的其他内容</w:t>
      </w:r>
    </w:p>
    <w:p w14:paraId="5F909F97">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41.1本征集文件解释规则详见“供应商须知前附表”。</w:t>
      </w:r>
    </w:p>
    <w:p w14:paraId="541A850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41.2 其他事项详见“供应商须知前附表”。</w:t>
      </w:r>
    </w:p>
    <w:p w14:paraId="2FD74565">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41.3本征集文件所称中小企业，是指在中华人民共和国境内依法设立，依据国务院批准</w:t>
      </w:r>
    </w:p>
    <w:p w14:paraId="5393BE88">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征集文件规定的中小企业扶持政策：</w:t>
      </w:r>
    </w:p>
    <w:p w14:paraId="498A4159">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（1）在货物采购项目中，货物由中小企业制造，即货物由中小企业生产且使用该中小</w:t>
      </w:r>
    </w:p>
    <w:p w14:paraId="0F9250A9">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企业商号或者注册商标，不对其中涉及的工程承建商和服务的承接商作出要求；</w:t>
      </w:r>
    </w:p>
    <w:p w14:paraId="4CC810F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（2）在工程采购项目中，工程由中小企业承建，即工程施工单位为中小企业，不对其</w:t>
      </w:r>
    </w:p>
    <w:p w14:paraId="6A975458">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中涉及的货物的制造商和服务的承接商作出要求；</w:t>
      </w:r>
    </w:p>
    <w:p w14:paraId="15C3200E">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7492F7DC">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在货物采购项目中，供应商提供的货物既有中小企业制造货物，也有大型企业制造货物的，不享受本征集文件规定的中小企业扶持政策。以联合体形式参加政府采购活动，联合体各方均为中小企业的，联合体视同中小企业。其中，联合体各方均为小微企业的，联合体视同小微企业。</w:t>
      </w:r>
    </w:p>
    <w:p w14:paraId="7F8D4364">
      <w:pPr>
        <w:pStyle w:val="5"/>
        <w:keepNext w:val="0"/>
        <w:keepLines w:val="0"/>
        <w:numPr>
          <w:ilvl w:val="0"/>
          <w:numId w:val="0"/>
        </w:numPr>
        <w:spacing w:before="0" w:after="0" w:line="360" w:lineRule="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依据本征集文件规定享受扶持政策获得政府采购合同的，小微企业不得将合同分包给大中型企业，中型企业不得将合同分包给大型企业。</w:t>
      </w:r>
    </w:p>
    <w:p w14:paraId="1AE0874D">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42.用户反馈和评价机制</w:t>
      </w:r>
    </w:p>
    <w:p w14:paraId="1824CB7D">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本项目将建立用户反馈和评价机制。</w:t>
      </w:r>
    </w:p>
    <w:p w14:paraId="5E68BCF2">
      <w:pPr>
        <w:pStyle w:val="5"/>
        <w:keepNext w:val="0"/>
        <w:keepLines w:val="0"/>
        <w:spacing w:before="0" w:after="0" w:line="360" w:lineRule="auto"/>
        <w:ind w:left="420" w:leftChars="200"/>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43.入围供应商的清退和补充规则</w:t>
      </w:r>
    </w:p>
    <w:p w14:paraId="5573FCC6">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43.1 入围供应商有下列情形之一，尚未签订框架协议的，取消其入围资格；已经签订框架协议的，解除与其签订的框架协议：</w:t>
      </w:r>
    </w:p>
    <w:p w14:paraId="047DCA76">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（1）恶意串通谋取入围或者合同成交的；</w:t>
      </w:r>
    </w:p>
    <w:p w14:paraId="5F652EC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（2）提供虚假材料谋取入围或者合同成交的；</w:t>
      </w:r>
    </w:p>
    <w:p w14:paraId="15A6FAF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（3）无正当理由拒不接受合同授予的；</w:t>
      </w:r>
    </w:p>
    <w:p w14:paraId="590BBECF">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（4）不履行合同义务或者履行合同义务不符合约定，经采购人请求履行后仍不履行或者仍未按约定履行的；</w:t>
      </w:r>
    </w:p>
    <w:p w14:paraId="5E302167">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（5）框架协议有效期内，因违法行为被禁止或限制参加政府采购活动的；</w:t>
      </w:r>
    </w:p>
    <w:p w14:paraId="5DDC634C">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（6）供应商违反职业道德，有违规违纪问题的；</w:t>
      </w:r>
    </w:p>
    <w:p w14:paraId="6A325CE1">
      <w:pPr>
        <w:pStyle w:val="5"/>
        <w:keepNext w:val="0"/>
        <w:keepLines w:val="0"/>
        <w:spacing w:before="0" w:after="0" w:line="360" w:lineRule="auto"/>
        <w:ind w:left="420" w:leftChars="200"/>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（7）框架协议约定的其他情形。</w:t>
      </w:r>
    </w:p>
    <w:p w14:paraId="4DCFD1DA">
      <w:pPr>
        <w:pStyle w:val="5"/>
        <w:keepNext w:val="0"/>
        <w:keepLines w:val="0"/>
        <w:spacing w:before="0" w:after="0" w:line="360" w:lineRule="auto"/>
        <w:ind w:left="420" w:leftChars="200"/>
        <w:rPr>
          <w:rFonts w:hint="eastAsia" w:ascii="宋体" w:hAnsi="宋体" w:eastAsia="宋体" w:cs="宋体"/>
          <w:color w:val="auto"/>
          <w:highlight w:val="none"/>
        </w:rPr>
      </w:pPr>
      <w:r>
        <w:rPr>
          <w:rFonts w:hint="eastAsia" w:ascii="Times New Roman" w:hAnsi="Times New Roman" w:eastAsia="宋体" w:cs="Times New Roman"/>
          <w:b w:val="0"/>
          <w:bCs/>
          <w:color w:val="auto"/>
          <w:sz w:val="21"/>
          <w:szCs w:val="21"/>
          <w:highlight w:val="none"/>
          <w:lang w:val="en-US" w:eastAsia="zh-CN"/>
        </w:rPr>
        <w:t>43.2 补充规则：框架协议有效期内，不再补充征集供应商.</w:t>
      </w:r>
      <w:r>
        <w:rPr>
          <w:rFonts w:hint="eastAsia" w:ascii="宋体" w:hAnsi="宋体" w:eastAsia="宋体" w:cs="宋体"/>
          <w:color w:val="auto"/>
          <w:highlight w:val="none"/>
        </w:rPr>
        <w:br w:type="page"/>
      </w:r>
    </w:p>
    <w:p w14:paraId="16C3ADA2">
      <w:pPr>
        <w:pStyle w:val="23"/>
        <w:snapToGrid w:val="0"/>
        <w:spacing w:before="120" w:after="120"/>
        <w:rPr>
          <w:rFonts w:hint="eastAsia" w:ascii="宋体" w:hAnsi="宋体" w:eastAsia="宋体" w:cs="宋体"/>
          <w:color w:val="auto"/>
          <w:highlight w:val="none"/>
        </w:rPr>
      </w:pPr>
    </w:p>
    <w:p w14:paraId="6A1B2AEA">
      <w:pPr>
        <w:pStyle w:val="23"/>
        <w:snapToGrid w:val="0"/>
        <w:spacing w:before="120" w:after="120"/>
        <w:rPr>
          <w:rFonts w:hint="eastAsia" w:ascii="宋体" w:hAnsi="宋体" w:eastAsia="宋体" w:cs="宋体"/>
          <w:color w:val="auto"/>
          <w:highlight w:val="none"/>
        </w:rPr>
      </w:pPr>
    </w:p>
    <w:p w14:paraId="18BCC059">
      <w:pPr>
        <w:pStyle w:val="23"/>
        <w:snapToGrid w:val="0"/>
        <w:spacing w:before="120" w:after="120"/>
        <w:rPr>
          <w:rFonts w:hint="eastAsia" w:ascii="宋体" w:hAnsi="宋体" w:eastAsia="宋体" w:cs="宋体"/>
          <w:color w:val="auto"/>
          <w:highlight w:val="none"/>
        </w:rPr>
      </w:pPr>
    </w:p>
    <w:p w14:paraId="2CA60296">
      <w:pPr>
        <w:pStyle w:val="23"/>
        <w:snapToGrid w:val="0"/>
        <w:spacing w:before="120" w:after="120"/>
        <w:rPr>
          <w:rFonts w:hint="eastAsia" w:ascii="宋体" w:hAnsi="宋体" w:eastAsia="宋体" w:cs="宋体"/>
          <w:color w:val="auto"/>
          <w:highlight w:val="none"/>
        </w:rPr>
      </w:pPr>
    </w:p>
    <w:p w14:paraId="1DD1BF40">
      <w:pPr>
        <w:pStyle w:val="23"/>
        <w:snapToGrid w:val="0"/>
        <w:spacing w:before="120" w:after="120"/>
        <w:rPr>
          <w:rFonts w:hint="eastAsia" w:ascii="宋体" w:hAnsi="宋体" w:eastAsia="宋体" w:cs="宋体"/>
          <w:color w:val="auto"/>
          <w:highlight w:val="none"/>
        </w:rPr>
      </w:pPr>
    </w:p>
    <w:p w14:paraId="5855C8DD">
      <w:pPr>
        <w:pStyle w:val="23"/>
        <w:snapToGrid w:val="0"/>
        <w:spacing w:before="120" w:after="120"/>
        <w:rPr>
          <w:rFonts w:hint="eastAsia" w:ascii="宋体" w:hAnsi="宋体" w:eastAsia="宋体" w:cs="宋体"/>
          <w:color w:val="auto"/>
          <w:highlight w:val="none"/>
        </w:rPr>
      </w:pPr>
    </w:p>
    <w:p w14:paraId="61C38CBF">
      <w:pPr>
        <w:pStyle w:val="23"/>
        <w:snapToGrid w:val="0"/>
        <w:spacing w:before="120" w:after="120"/>
        <w:rPr>
          <w:rFonts w:hint="eastAsia" w:ascii="宋体" w:hAnsi="宋体" w:eastAsia="宋体" w:cs="宋体"/>
          <w:color w:val="auto"/>
          <w:highlight w:val="none"/>
        </w:rPr>
      </w:pPr>
    </w:p>
    <w:p w14:paraId="393C429D">
      <w:pPr>
        <w:pStyle w:val="23"/>
        <w:snapToGrid w:val="0"/>
        <w:spacing w:before="120" w:after="120"/>
        <w:rPr>
          <w:rFonts w:hint="eastAsia" w:ascii="宋体" w:hAnsi="宋体" w:eastAsia="宋体" w:cs="宋体"/>
          <w:color w:val="auto"/>
          <w:highlight w:val="none"/>
        </w:rPr>
      </w:pPr>
    </w:p>
    <w:p w14:paraId="76F6A2AF">
      <w:pPr>
        <w:pStyle w:val="23"/>
        <w:snapToGrid w:val="0"/>
        <w:spacing w:before="120" w:after="120"/>
        <w:rPr>
          <w:rFonts w:hint="eastAsia" w:ascii="宋体" w:hAnsi="宋体" w:eastAsia="宋体" w:cs="宋体"/>
          <w:color w:val="auto"/>
          <w:highlight w:val="none"/>
        </w:rPr>
      </w:pPr>
    </w:p>
    <w:p w14:paraId="2DC69242">
      <w:pPr>
        <w:pStyle w:val="23"/>
        <w:snapToGrid w:val="0"/>
        <w:spacing w:before="120" w:after="120"/>
        <w:rPr>
          <w:rFonts w:hint="eastAsia" w:ascii="宋体" w:hAnsi="宋体" w:eastAsia="宋体" w:cs="宋体"/>
          <w:color w:val="auto"/>
          <w:highlight w:val="none"/>
        </w:rPr>
      </w:pPr>
    </w:p>
    <w:p w14:paraId="6CF8AEF6">
      <w:pPr>
        <w:pStyle w:val="23"/>
        <w:snapToGrid w:val="0"/>
        <w:spacing w:before="120" w:after="120"/>
        <w:rPr>
          <w:rFonts w:hint="eastAsia" w:ascii="宋体" w:hAnsi="宋体" w:eastAsia="宋体" w:cs="宋体"/>
          <w:color w:val="auto"/>
          <w:highlight w:val="none"/>
        </w:rPr>
      </w:pPr>
    </w:p>
    <w:p w14:paraId="5F30CA16">
      <w:pPr>
        <w:pStyle w:val="23"/>
        <w:snapToGrid w:val="0"/>
        <w:spacing w:before="120" w:after="120"/>
        <w:rPr>
          <w:rFonts w:hint="eastAsia" w:ascii="宋体" w:hAnsi="宋体" w:eastAsia="宋体" w:cs="宋体"/>
          <w:color w:val="auto"/>
          <w:highlight w:val="none"/>
        </w:rPr>
      </w:pPr>
    </w:p>
    <w:p w14:paraId="6F6FE62D">
      <w:pPr>
        <w:pStyle w:val="23"/>
        <w:snapToGrid w:val="0"/>
        <w:spacing w:before="120" w:after="120"/>
        <w:rPr>
          <w:rFonts w:hint="eastAsia" w:ascii="宋体" w:hAnsi="宋体" w:eastAsia="宋体" w:cs="宋体"/>
          <w:color w:val="auto"/>
          <w:highlight w:val="none"/>
        </w:rPr>
      </w:pPr>
    </w:p>
    <w:p w14:paraId="257BD100">
      <w:pPr>
        <w:pStyle w:val="2"/>
        <w:jc w:val="center"/>
        <w:rPr>
          <w:rFonts w:hint="eastAsia" w:ascii="宋体" w:hAnsi="宋体" w:eastAsia="宋体" w:cs="宋体"/>
          <w:color w:val="auto"/>
          <w:highlight w:val="none"/>
          <w:lang w:eastAsia="zh-CN"/>
        </w:rPr>
      </w:pPr>
      <w:bookmarkStart w:id="112" w:name="_Toc254970548"/>
      <w:bookmarkStart w:id="113" w:name="_Toc254970689"/>
      <w:bookmarkStart w:id="114" w:name="_Toc74323514"/>
      <w:bookmarkStart w:id="115" w:name="_Toc330456896"/>
      <w:r>
        <w:rPr>
          <w:rFonts w:hint="eastAsia" w:ascii="宋体" w:hAnsi="宋体" w:eastAsia="宋体" w:cs="宋体"/>
          <w:color w:val="auto"/>
          <w:highlight w:val="none"/>
        </w:rPr>
        <w:t xml:space="preserve">第四章  </w:t>
      </w:r>
      <w:bookmarkEnd w:id="112"/>
      <w:bookmarkEnd w:id="113"/>
      <w:bookmarkEnd w:id="114"/>
      <w:bookmarkEnd w:id="115"/>
      <w:r>
        <w:rPr>
          <w:rFonts w:hint="eastAsia" w:ascii="宋体" w:hAnsi="宋体" w:eastAsia="宋体" w:cs="宋体"/>
          <w:color w:val="auto"/>
          <w:highlight w:val="none"/>
          <w:lang w:eastAsia="zh-CN"/>
        </w:rPr>
        <w:t>评审方法及评审标准</w:t>
      </w:r>
    </w:p>
    <w:p w14:paraId="13D54AE6">
      <w:pPr>
        <w:rPr>
          <w:rFonts w:hint="eastAsia" w:ascii="宋体" w:hAnsi="宋体" w:eastAsia="宋体" w:cs="宋体"/>
          <w:color w:val="auto"/>
          <w:highlight w:val="none"/>
        </w:rPr>
      </w:pPr>
      <w:bookmarkStart w:id="116" w:name="_Toc254970549"/>
      <w:bookmarkStart w:id="117" w:name="_Toc254970690"/>
    </w:p>
    <w:bookmarkEnd w:id="116"/>
    <w:bookmarkEnd w:id="117"/>
    <w:p w14:paraId="655A7D9A">
      <w:pPr>
        <w:rPr>
          <w:rFonts w:hint="eastAsia" w:ascii="宋体" w:hAnsi="宋体" w:eastAsia="宋体" w:cs="宋体"/>
          <w:color w:val="auto"/>
          <w:highlight w:val="none"/>
        </w:rPr>
      </w:pPr>
    </w:p>
    <w:p w14:paraId="0CE4154F">
      <w:pPr>
        <w:rPr>
          <w:rFonts w:hint="eastAsia" w:ascii="宋体" w:hAnsi="宋体" w:eastAsia="宋体" w:cs="宋体"/>
          <w:color w:val="auto"/>
          <w:highlight w:val="none"/>
        </w:rPr>
      </w:pPr>
    </w:p>
    <w:p w14:paraId="08A96FE9">
      <w:pPr>
        <w:rPr>
          <w:rFonts w:hint="eastAsia" w:ascii="宋体" w:hAnsi="宋体" w:eastAsia="宋体" w:cs="宋体"/>
          <w:color w:val="auto"/>
          <w:highlight w:val="none"/>
        </w:rPr>
      </w:pPr>
    </w:p>
    <w:p w14:paraId="7784D4C1">
      <w:pPr>
        <w:rPr>
          <w:rFonts w:hint="eastAsia" w:ascii="宋体" w:hAnsi="宋体" w:eastAsia="宋体" w:cs="宋体"/>
          <w:color w:val="auto"/>
          <w:highlight w:val="none"/>
        </w:rPr>
      </w:pPr>
    </w:p>
    <w:p w14:paraId="3389A5C2">
      <w:pPr>
        <w:rPr>
          <w:rFonts w:hint="eastAsia" w:ascii="宋体" w:hAnsi="宋体" w:eastAsia="宋体" w:cs="宋体"/>
          <w:color w:val="auto"/>
          <w:highlight w:val="none"/>
        </w:rPr>
      </w:pPr>
    </w:p>
    <w:p w14:paraId="2CA7C8E4">
      <w:pPr>
        <w:rPr>
          <w:rFonts w:hint="eastAsia" w:ascii="宋体" w:hAnsi="宋体" w:eastAsia="宋体" w:cs="宋体"/>
          <w:color w:val="auto"/>
          <w:highlight w:val="none"/>
        </w:rPr>
      </w:pPr>
    </w:p>
    <w:p w14:paraId="03D87BC4">
      <w:pPr>
        <w:rPr>
          <w:rFonts w:hint="eastAsia" w:ascii="宋体" w:hAnsi="宋体" w:eastAsia="宋体" w:cs="宋体"/>
          <w:color w:val="auto"/>
          <w:highlight w:val="none"/>
        </w:rPr>
      </w:pPr>
    </w:p>
    <w:p w14:paraId="57569C4E">
      <w:pPr>
        <w:rPr>
          <w:rFonts w:hint="eastAsia" w:ascii="宋体" w:hAnsi="宋体" w:eastAsia="宋体" w:cs="宋体"/>
          <w:color w:val="auto"/>
          <w:highlight w:val="none"/>
        </w:rPr>
      </w:pPr>
    </w:p>
    <w:p w14:paraId="674E07CE">
      <w:pPr>
        <w:spacing w:before="120" w:beforeLines="50" w:after="120" w:afterLines="50" w:line="400" w:lineRule="exact"/>
        <w:rPr>
          <w:rFonts w:hint="eastAsia" w:ascii="宋体" w:hAnsi="宋体" w:eastAsia="宋体" w:cs="宋体"/>
          <w:b/>
          <w:color w:val="auto"/>
          <w:sz w:val="24"/>
          <w:highlight w:val="none"/>
        </w:rPr>
      </w:pPr>
    </w:p>
    <w:p w14:paraId="33568279">
      <w:pPr>
        <w:spacing w:before="120" w:beforeLines="50" w:after="120" w:afterLines="50" w:line="400" w:lineRule="exact"/>
        <w:rPr>
          <w:rFonts w:hint="eastAsia" w:ascii="宋体" w:hAnsi="宋体" w:eastAsia="宋体" w:cs="宋体"/>
          <w:b/>
          <w:color w:val="auto"/>
          <w:sz w:val="24"/>
          <w:highlight w:val="none"/>
        </w:rPr>
      </w:pPr>
    </w:p>
    <w:p w14:paraId="2F35456C">
      <w:pPr>
        <w:pStyle w:val="23"/>
        <w:spacing w:line="360" w:lineRule="exact"/>
        <w:rPr>
          <w:rFonts w:hint="eastAsia" w:ascii="宋体" w:hAnsi="宋体" w:eastAsia="宋体" w:cs="宋体"/>
          <w:b/>
          <w:color w:val="auto"/>
          <w:sz w:val="24"/>
          <w:highlight w:val="none"/>
        </w:rPr>
      </w:pPr>
    </w:p>
    <w:p w14:paraId="16B5E227">
      <w:pPr>
        <w:pStyle w:val="23"/>
        <w:spacing w:line="360" w:lineRule="exact"/>
        <w:rPr>
          <w:rFonts w:hint="eastAsia" w:ascii="宋体" w:hAnsi="宋体" w:eastAsia="宋体" w:cs="宋体"/>
          <w:b/>
          <w:color w:val="auto"/>
          <w:sz w:val="24"/>
          <w:highlight w:val="none"/>
        </w:rPr>
      </w:pPr>
    </w:p>
    <w:p w14:paraId="4034E6C0">
      <w:pPr>
        <w:pStyle w:val="23"/>
        <w:spacing w:line="360" w:lineRule="exact"/>
        <w:rPr>
          <w:rFonts w:hint="eastAsia" w:ascii="宋体" w:hAnsi="宋体" w:eastAsia="宋体" w:cs="宋体"/>
          <w:b/>
          <w:color w:val="auto"/>
          <w:sz w:val="24"/>
          <w:highlight w:val="none"/>
        </w:rPr>
      </w:pPr>
    </w:p>
    <w:p w14:paraId="729B5687">
      <w:pPr>
        <w:pStyle w:val="23"/>
        <w:spacing w:line="360" w:lineRule="exact"/>
        <w:rPr>
          <w:rFonts w:hint="eastAsia" w:ascii="宋体" w:hAnsi="宋体" w:eastAsia="宋体" w:cs="宋体"/>
          <w:b/>
          <w:color w:val="auto"/>
          <w:sz w:val="24"/>
          <w:highlight w:val="none"/>
        </w:rPr>
      </w:pPr>
    </w:p>
    <w:p w14:paraId="78831A34">
      <w:pPr>
        <w:pStyle w:val="23"/>
        <w:spacing w:line="360" w:lineRule="exact"/>
        <w:rPr>
          <w:rFonts w:hint="eastAsia" w:ascii="宋体" w:hAnsi="宋体" w:eastAsia="宋体" w:cs="宋体"/>
          <w:b/>
          <w:color w:val="auto"/>
          <w:sz w:val="24"/>
          <w:highlight w:val="none"/>
        </w:rPr>
      </w:pPr>
    </w:p>
    <w:p w14:paraId="1C2F9328">
      <w:pPr>
        <w:pStyle w:val="23"/>
        <w:spacing w:line="360" w:lineRule="exact"/>
        <w:rPr>
          <w:rFonts w:hint="eastAsia" w:ascii="宋体" w:hAnsi="宋体" w:eastAsia="宋体" w:cs="宋体"/>
          <w:b/>
          <w:color w:val="auto"/>
          <w:sz w:val="24"/>
          <w:highlight w:val="none"/>
        </w:rPr>
      </w:pPr>
    </w:p>
    <w:p w14:paraId="5982AB0E">
      <w:pPr>
        <w:pStyle w:val="23"/>
        <w:spacing w:line="360" w:lineRule="exact"/>
        <w:rPr>
          <w:rFonts w:hint="eastAsia" w:ascii="宋体" w:hAnsi="宋体" w:eastAsia="宋体" w:cs="宋体"/>
          <w:b/>
          <w:color w:val="auto"/>
          <w:sz w:val="24"/>
          <w:highlight w:val="none"/>
        </w:rPr>
      </w:pPr>
    </w:p>
    <w:p w14:paraId="2D43FCD2">
      <w:pPr>
        <w:pStyle w:val="23"/>
        <w:spacing w:line="36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p>
    <w:p w14:paraId="515DE2C5">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一、评标方法</w:t>
      </w:r>
    </w:p>
    <w:p w14:paraId="47BADCBD">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本项目采用质量优先法进行评审，质量优先法是指对满足采购需求且响应报价不超过最高限制单 价的货物、服务进行质量综合评分，按照质量评分从高到低排序，根据征集文件规定的淘汰率或者入围供应商数量上限，确定入围供应商的评审方法。</w:t>
      </w:r>
    </w:p>
    <w:p w14:paraId="5C676070">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本项目</w:t>
      </w:r>
      <w:r>
        <w:rPr>
          <w:rFonts w:hint="eastAsia" w:ascii="Times New Roman" w:hAnsi="Times New Roman" w:eastAsia="宋体" w:cs="Times New Roman"/>
          <w:color w:val="auto"/>
          <w:sz w:val="21"/>
          <w:highlight w:val="none"/>
          <w:lang w:val="en-US" w:eastAsia="zh-CN"/>
        </w:rPr>
        <w:t>报价方式为费率报价</w:t>
      </w:r>
      <w:r>
        <w:rPr>
          <w:rFonts w:hint="default"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应该结合自身运营成本、市场行情进行竞争性报价，但不得超出最高投标限价，否则报价无效，按无效响应处理。</w:t>
      </w:r>
    </w:p>
    <w:p w14:paraId="5649ED99">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根据质量优先法的评审原则，本项目评分满分100分，其中</w:t>
      </w:r>
      <w:r>
        <w:rPr>
          <w:rFonts w:hint="eastAsia" w:ascii="Times New Roman" w:hAnsi="Times New Roman" w:cs="Times New Roman"/>
          <w:color w:val="auto"/>
          <w:sz w:val="21"/>
          <w:highlight w:val="none"/>
          <w:lang w:eastAsia="zh-CN"/>
        </w:rPr>
        <w:t>：</w:t>
      </w:r>
      <w:r>
        <w:rPr>
          <w:rFonts w:hint="default" w:ascii="Times New Roman" w:hAnsi="Times New Roman" w:eastAsia="宋体" w:cs="Times New Roman"/>
          <w:color w:val="auto"/>
          <w:sz w:val="21"/>
          <w:highlight w:val="none"/>
        </w:rPr>
        <w:t>技术分</w:t>
      </w:r>
      <w:r>
        <w:rPr>
          <w:rFonts w:hint="eastAsia" w:ascii="Times New Roman" w:hAnsi="Times New Roman" w:cs="Times New Roman"/>
          <w:color w:val="auto"/>
          <w:sz w:val="21"/>
          <w:highlight w:val="none"/>
          <w:lang w:val="en-US" w:eastAsia="zh-CN"/>
        </w:rPr>
        <w:t>78</w:t>
      </w:r>
      <w:r>
        <w:rPr>
          <w:rFonts w:hint="default" w:ascii="Times New Roman" w:hAnsi="Times New Roman" w:eastAsia="宋体" w:cs="Times New Roman"/>
          <w:color w:val="auto"/>
          <w:sz w:val="21"/>
          <w:highlight w:val="none"/>
        </w:rPr>
        <w:t xml:space="preserve"> 分；商务</w:t>
      </w:r>
      <w:r>
        <w:rPr>
          <w:rFonts w:hint="eastAsia" w:ascii="Times New Roman" w:hAnsi="Times New Roman" w:cs="Times New Roman"/>
          <w:color w:val="auto"/>
          <w:sz w:val="21"/>
          <w:highlight w:val="none"/>
          <w:lang w:eastAsia="zh-CN"/>
        </w:rPr>
        <w:t>资信</w:t>
      </w:r>
      <w:r>
        <w:rPr>
          <w:rFonts w:hint="default" w:ascii="Times New Roman" w:hAnsi="Times New Roman" w:eastAsia="宋体" w:cs="Times New Roman"/>
          <w:color w:val="auto"/>
          <w:sz w:val="21"/>
          <w:highlight w:val="none"/>
        </w:rPr>
        <w:t>分</w:t>
      </w:r>
      <w:r>
        <w:rPr>
          <w:rFonts w:hint="eastAsia" w:ascii="Times New Roman" w:hAnsi="Times New Roman" w:cs="Times New Roman"/>
          <w:color w:val="auto"/>
          <w:sz w:val="21"/>
          <w:highlight w:val="none"/>
          <w:lang w:val="en-US" w:eastAsia="zh-CN"/>
        </w:rPr>
        <w:t>22</w:t>
      </w:r>
      <w:r>
        <w:rPr>
          <w:rFonts w:hint="default" w:ascii="Times New Roman" w:hAnsi="Times New Roman" w:eastAsia="宋体" w:cs="Times New Roman"/>
          <w:color w:val="auto"/>
          <w:sz w:val="21"/>
          <w:highlight w:val="none"/>
        </w:rPr>
        <w:t>分。评标委员会以征集文件为依据，对供应商的技术文件和商务文件等两部分内容按百分制打分，得分分值按四舍五入取至小数点后四位。（评审时，对于带有主观因素的评分，由评委独立评审、打分。）</w:t>
      </w:r>
    </w:p>
    <w:p w14:paraId="280DDA72">
      <w:pPr>
        <w:pStyle w:val="23"/>
        <w:spacing w:line="360" w:lineRule="auto"/>
        <w:ind w:firstLine="42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入围标准详见本章第四节。</w:t>
      </w:r>
    </w:p>
    <w:p w14:paraId="60841B88">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二、评标程序</w:t>
      </w:r>
    </w:p>
    <w:p w14:paraId="25C9A1D6">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1.符合性审查</w:t>
      </w:r>
    </w:p>
    <w:p w14:paraId="27187377">
      <w:pPr>
        <w:pStyle w:val="23"/>
        <w:numPr>
          <w:ilvl w:val="0"/>
          <w:numId w:val="6"/>
        </w:numPr>
        <w:snapToGrid w:val="0"/>
        <w:spacing w:line="360" w:lineRule="auto"/>
        <w:ind w:left="1" w:firstLine="42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highlight w:val="none"/>
        </w:rPr>
        <w:t>评标委员会应当对符合资格</w:t>
      </w:r>
      <w:r>
        <w:rPr>
          <w:rFonts w:hint="eastAsia" w:hAnsi="宋体" w:eastAsia="宋体" w:cs="宋体"/>
          <w:b w:val="0"/>
          <w:bCs/>
          <w:color w:val="auto"/>
          <w:kern w:val="2"/>
          <w:sz w:val="21"/>
          <w:highlight w:val="none"/>
          <w:lang w:eastAsia="zh-CN"/>
        </w:rPr>
        <w:t>供应商</w:t>
      </w:r>
      <w:r>
        <w:rPr>
          <w:rFonts w:hint="eastAsia" w:ascii="宋体" w:hAnsi="宋体" w:eastAsia="宋体" w:cs="宋体"/>
          <w:b w:val="0"/>
          <w:bCs/>
          <w:color w:val="auto"/>
          <w:kern w:val="2"/>
          <w:sz w:val="21"/>
          <w:highlight w:val="none"/>
        </w:rPr>
        <w:t>的</w:t>
      </w:r>
      <w:r>
        <w:rPr>
          <w:rFonts w:hint="eastAsia" w:ascii="宋体" w:hAnsi="宋体" w:eastAsia="宋体" w:cs="宋体"/>
          <w:b w:val="0"/>
          <w:bCs/>
          <w:color w:val="auto"/>
          <w:kern w:val="2"/>
          <w:sz w:val="21"/>
          <w:highlight w:val="none"/>
          <w:lang w:eastAsia="zh-CN"/>
        </w:rPr>
        <w:t>响应文件</w:t>
      </w:r>
      <w:r>
        <w:rPr>
          <w:rFonts w:hint="eastAsia" w:ascii="宋体" w:hAnsi="宋体" w:eastAsia="宋体" w:cs="宋体"/>
          <w:b w:val="0"/>
          <w:bCs/>
          <w:color w:val="auto"/>
          <w:kern w:val="2"/>
          <w:sz w:val="21"/>
          <w:highlight w:val="none"/>
        </w:rPr>
        <w:t>进行投标报价、商务、技术等实质性</w:t>
      </w:r>
      <w:r>
        <w:rPr>
          <w:rFonts w:hint="eastAsia" w:ascii="宋体" w:hAnsi="宋体" w:eastAsia="宋体" w:cs="宋体"/>
          <w:b w:val="0"/>
          <w:bCs/>
          <w:color w:val="auto"/>
          <w:kern w:val="2"/>
          <w:sz w:val="21"/>
          <w:szCs w:val="21"/>
          <w:highlight w:val="none"/>
          <w:lang w:val="en-US" w:eastAsia="zh-CN" w:bidi="ar-SA"/>
        </w:rPr>
        <w:t>内容符合性审查，以确定其是否满足征集文件的实质性要求。</w:t>
      </w:r>
    </w:p>
    <w:p w14:paraId="0F0E2B75">
      <w:pPr>
        <w:spacing w:line="360" w:lineRule="auto"/>
        <w:ind w:firstLine="420" w:firstLineChars="200"/>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2.供应商在响应文件中必须提供“直接控股股东信息”，并附上在国家企业信用信息公示系统（</w:t>
      </w:r>
      <w:r>
        <w:rPr>
          <w:rFonts w:hint="eastAsia" w:ascii="宋体" w:hAnsi="宋体" w:eastAsia="宋体" w:cs="宋体"/>
          <w:b w:val="0"/>
          <w:bCs/>
          <w:color w:val="auto"/>
          <w:kern w:val="2"/>
          <w:sz w:val="21"/>
          <w:szCs w:val="21"/>
          <w:highlight w:val="none"/>
          <w:lang w:val="en-US" w:eastAsia="zh-CN" w:bidi="ar-SA"/>
        </w:rPr>
        <w:fldChar w:fldCharType="begin"/>
      </w:r>
      <w:r>
        <w:rPr>
          <w:rFonts w:hint="eastAsia" w:ascii="宋体" w:hAnsi="宋体" w:eastAsia="宋体" w:cs="宋体"/>
          <w:b w:val="0"/>
          <w:bCs/>
          <w:color w:val="auto"/>
          <w:kern w:val="2"/>
          <w:sz w:val="21"/>
          <w:szCs w:val="21"/>
          <w:highlight w:val="none"/>
          <w:lang w:val="en-US" w:eastAsia="zh-CN" w:bidi="ar-SA"/>
        </w:rPr>
        <w:instrText xml:space="preserve"> HYPERLINK "http://www.gsxt.gov.cn/corp-query-homepage.html" </w:instrText>
      </w:r>
      <w:r>
        <w:rPr>
          <w:rFonts w:hint="eastAsia" w:ascii="宋体" w:hAnsi="宋体" w:eastAsia="宋体" w:cs="宋体"/>
          <w:b w:val="0"/>
          <w:bCs/>
          <w:color w:val="auto"/>
          <w:kern w:val="2"/>
          <w:sz w:val="21"/>
          <w:szCs w:val="21"/>
          <w:highlight w:val="none"/>
          <w:lang w:val="en-US" w:eastAsia="zh-CN" w:bidi="ar-SA"/>
        </w:rPr>
        <w:fldChar w:fldCharType="separate"/>
      </w:r>
      <w:r>
        <w:rPr>
          <w:rFonts w:hint="eastAsia" w:ascii="宋体" w:hAnsi="宋体" w:eastAsia="宋体" w:cs="宋体"/>
          <w:b w:val="0"/>
          <w:bCs/>
          <w:color w:val="auto"/>
          <w:kern w:val="2"/>
          <w:sz w:val="21"/>
          <w:szCs w:val="21"/>
          <w:highlight w:val="none"/>
          <w:lang w:val="en-US" w:eastAsia="zh-CN" w:bidi="ar-SA"/>
        </w:rPr>
        <w:t>http://www.gsxt.gov.cn/corp-query-homepage.html</w:t>
      </w:r>
      <w:r>
        <w:rPr>
          <w:rFonts w:hint="eastAsia" w:ascii="宋体" w:hAnsi="宋体" w:eastAsia="宋体" w:cs="宋体"/>
          <w:b w:val="0"/>
          <w:bCs/>
          <w:color w:val="auto"/>
          <w:kern w:val="2"/>
          <w:sz w:val="21"/>
          <w:szCs w:val="21"/>
          <w:highlight w:val="none"/>
          <w:lang w:val="en-US" w:eastAsia="zh-CN" w:bidi="ar-SA"/>
        </w:rPr>
        <w:fldChar w:fldCharType="end"/>
      </w:r>
      <w:r>
        <w:rPr>
          <w:rFonts w:hint="eastAsia" w:ascii="宋体" w:hAnsi="宋体" w:eastAsia="宋体" w:cs="宋体"/>
          <w:b w:val="0"/>
          <w:bCs/>
          <w:color w:val="auto"/>
          <w:kern w:val="2"/>
          <w:sz w:val="21"/>
          <w:szCs w:val="21"/>
          <w:highlight w:val="none"/>
          <w:lang w:val="en-US" w:eastAsia="zh-CN" w:bidi="ar-SA"/>
        </w:rPr>
        <w:t>）打印查询记录，否则响应文件将被视为不响应要求。</w:t>
      </w:r>
    </w:p>
    <w:p w14:paraId="2DB97D96">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2.符合性审查不通过而导致</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无效的情形</w:t>
      </w:r>
    </w:p>
    <w:p w14:paraId="1DBD2294">
      <w:pPr>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eastAsia="zh-CN"/>
        </w:rPr>
        <w:t>供应商</w:t>
      </w:r>
      <w:r>
        <w:rPr>
          <w:rFonts w:hint="eastAsia" w:ascii="宋体" w:hAnsi="宋体" w:eastAsia="宋体" w:cs="宋体"/>
          <w:b w:val="0"/>
          <w:bCs/>
          <w:color w:val="auto"/>
          <w:szCs w:val="21"/>
          <w:highlight w:val="none"/>
        </w:rPr>
        <w:t>的</w:t>
      </w:r>
      <w:r>
        <w:rPr>
          <w:rFonts w:hint="eastAsia" w:ascii="宋体" w:hAnsi="宋体" w:eastAsia="宋体" w:cs="宋体"/>
          <w:b w:val="0"/>
          <w:bCs/>
          <w:color w:val="auto"/>
          <w:szCs w:val="21"/>
          <w:highlight w:val="none"/>
          <w:lang w:eastAsia="zh-CN"/>
        </w:rPr>
        <w:t>响应文件</w:t>
      </w:r>
      <w:r>
        <w:rPr>
          <w:rFonts w:hint="eastAsia" w:ascii="宋体" w:hAnsi="宋体" w:eastAsia="宋体" w:cs="宋体"/>
          <w:b w:val="0"/>
          <w:bCs/>
          <w:color w:val="auto"/>
          <w:szCs w:val="21"/>
          <w:highlight w:val="none"/>
        </w:rPr>
        <w:t>中存在对</w:t>
      </w:r>
      <w:r>
        <w:rPr>
          <w:rFonts w:hint="eastAsia" w:ascii="宋体" w:hAnsi="宋体" w:eastAsia="宋体" w:cs="宋体"/>
          <w:b w:val="0"/>
          <w:bCs/>
          <w:color w:val="auto"/>
          <w:szCs w:val="21"/>
          <w:highlight w:val="none"/>
          <w:lang w:eastAsia="zh-CN"/>
        </w:rPr>
        <w:t>征集文件</w:t>
      </w:r>
      <w:r>
        <w:rPr>
          <w:rFonts w:hint="eastAsia" w:ascii="宋体" w:hAnsi="宋体" w:eastAsia="宋体" w:cs="宋体"/>
          <w:b w:val="0"/>
          <w:bCs/>
          <w:color w:val="auto"/>
          <w:szCs w:val="21"/>
          <w:highlight w:val="none"/>
        </w:rPr>
        <w:t>的任何实质性要求和条件的负偏离，将被视为投标无效。</w:t>
      </w:r>
    </w:p>
    <w:p w14:paraId="249D7081">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2.1在报价评审时，如发现下列情形之一的，将被视为</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无效：</w:t>
      </w:r>
    </w:p>
    <w:p w14:paraId="0E810745">
      <w:pPr>
        <w:pStyle w:val="6"/>
        <w:numPr>
          <w:ilvl w:val="0"/>
          <w:numId w:val="7"/>
        </w:numPr>
        <w:spacing w:line="360" w:lineRule="auto"/>
        <w:ind w:firstLine="396" w:firstLineChars="200"/>
        <w:rPr>
          <w:rFonts w:hint="default" w:ascii="Times New Roman" w:hAnsi="Times New Roman" w:eastAsia="宋体" w:cs="Times New Roman"/>
          <w:b w:val="0"/>
          <w:bCs/>
          <w:color w:val="auto"/>
          <w:spacing w:val="-6"/>
          <w:szCs w:val="21"/>
          <w:highlight w:val="none"/>
        </w:rPr>
      </w:pPr>
      <w:r>
        <w:rPr>
          <w:rFonts w:hint="default" w:ascii="Times New Roman" w:hAnsi="Times New Roman" w:eastAsia="宋体" w:cs="Times New Roman"/>
          <w:b w:val="0"/>
          <w:bCs/>
          <w:color w:val="auto"/>
          <w:spacing w:val="-6"/>
          <w:szCs w:val="21"/>
          <w:highlight w:val="none"/>
        </w:rPr>
        <w:t>报价文件未提供“</w:t>
      </w:r>
      <w:r>
        <w:rPr>
          <w:rFonts w:hint="default" w:ascii="Times New Roman" w:hAnsi="Times New Roman" w:eastAsia="宋体" w:cs="Times New Roman"/>
          <w:b w:val="0"/>
          <w:bCs/>
          <w:color w:val="auto"/>
          <w:spacing w:val="-6"/>
          <w:szCs w:val="21"/>
          <w:highlight w:val="none"/>
          <w:lang w:eastAsia="zh-CN"/>
        </w:rPr>
        <w:t>供应商</w:t>
      </w:r>
      <w:r>
        <w:rPr>
          <w:rFonts w:hint="default" w:ascii="Times New Roman" w:hAnsi="Times New Roman" w:eastAsia="宋体" w:cs="Times New Roman"/>
          <w:b w:val="0"/>
          <w:bCs/>
          <w:color w:val="auto"/>
          <w:spacing w:val="-6"/>
          <w:szCs w:val="21"/>
          <w:highlight w:val="none"/>
        </w:rPr>
        <w:t>须知前附表”第13.1条规定中“必须提供”的文件资料的；</w:t>
      </w:r>
    </w:p>
    <w:p w14:paraId="267517A6">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未采用人民币报价或者未按照</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标明的币种报价的；</w:t>
      </w:r>
    </w:p>
    <w:p w14:paraId="2F2BE51C">
      <w:pPr>
        <w:pStyle w:val="6"/>
        <w:numPr>
          <w:ilvl w:val="0"/>
          <w:numId w:val="7"/>
        </w:numPr>
        <w:spacing w:line="360" w:lineRule="auto"/>
        <w:ind w:left="-2" w:firstLine="422"/>
        <w:rPr>
          <w:rFonts w:hint="default" w:ascii="Times New Roman" w:hAnsi="Times New Roman" w:eastAsia="宋体" w:cs="Times New Roman"/>
          <w:b w:val="0"/>
          <w:bCs/>
          <w:color w:val="auto"/>
          <w:spacing w:val="-6"/>
          <w:szCs w:val="21"/>
          <w:highlight w:val="none"/>
        </w:rPr>
      </w:pPr>
      <w:r>
        <w:rPr>
          <w:rFonts w:hint="default" w:ascii="Times New Roman" w:hAnsi="Times New Roman" w:eastAsia="宋体" w:cs="Times New Roman"/>
          <w:b w:val="0"/>
          <w:bCs/>
          <w:color w:val="auto"/>
          <w:spacing w:val="-6"/>
          <w:szCs w:val="21"/>
          <w:highlight w:val="none"/>
        </w:rPr>
        <w:t>各分标报价超出</w:t>
      </w:r>
      <w:r>
        <w:rPr>
          <w:rFonts w:hint="default" w:ascii="Times New Roman" w:hAnsi="Times New Roman" w:eastAsia="宋体" w:cs="Times New Roman"/>
          <w:b w:val="0"/>
          <w:bCs/>
          <w:color w:val="auto"/>
          <w:spacing w:val="-6"/>
          <w:szCs w:val="21"/>
          <w:highlight w:val="none"/>
          <w:lang w:eastAsia="zh-CN"/>
        </w:rPr>
        <w:t>征集文件</w:t>
      </w:r>
      <w:r>
        <w:rPr>
          <w:rFonts w:hint="default" w:ascii="Times New Roman" w:hAnsi="Times New Roman" w:eastAsia="宋体" w:cs="Times New Roman"/>
          <w:b w:val="0"/>
          <w:bCs/>
          <w:color w:val="auto"/>
          <w:spacing w:val="-6"/>
          <w:szCs w:val="21"/>
          <w:highlight w:val="none"/>
        </w:rPr>
        <w:t>相应分标规定最高限价，或者超出相应分标采购预算金额的；</w:t>
      </w:r>
    </w:p>
    <w:p w14:paraId="4614C4DA">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未就所投分标进行报价或者存在漏项报价；</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未就所投分标的单项内容作唯一报价；</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未就所投分标的全部内容作完整唯一总价报价；存在有选择、有条件报价的（</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允许有备选方案或者其他约定的除外）；</w:t>
      </w:r>
    </w:p>
    <w:p w14:paraId="773F6A6D">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修正后的报价，</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不确认的；</w:t>
      </w:r>
    </w:p>
    <w:p w14:paraId="239D9665">
      <w:pPr>
        <w:pStyle w:val="6"/>
        <w:numPr>
          <w:ilvl w:val="0"/>
          <w:numId w:val="7"/>
        </w:numPr>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属于本章第5.1条（2）或者第5.2条（2）项情形的；</w:t>
      </w:r>
    </w:p>
    <w:p w14:paraId="66E9BC56">
      <w:pPr>
        <w:pStyle w:val="6"/>
        <w:numPr>
          <w:ilvl w:val="0"/>
          <w:numId w:val="7"/>
        </w:numPr>
        <w:spacing w:line="360" w:lineRule="auto"/>
        <w:ind w:firstLine="396"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pacing w:val="-6"/>
          <w:szCs w:val="21"/>
          <w:highlight w:val="none"/>
        </w:rPr>
        <w:t>报价文件</w:t>
      </w:r>
      <w:r>
        <w:rPr>
          <w:rFonts w:hint="default" w:ascii="Times New Roman" w:hAnsi="Times New Roman" w:eastAsia="宋体" w:cs="Times New Roman"/>
          <w:b w:val="0"/>
          <w:bCs/>
          <w:color w:val="auto"/>
          <w:szCs w:val="21"/>
          <w:highlight w:val="none"/>
        </w:rPr>
        <w:t>响应的标的数量及单位与</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要求实质性不一致的。</w:t>
      </w:r>
    </w:p>
    <w:p w14:paraId="59445DBC">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2.2在商务评审时，如发现下列情形之一的，将被视为投标无效：</w:t>
      </w:r>
    </w:p>
    <w:p w14:paraId="6DBD5CCB">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未按</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要求签署、盖章的；</w:t>
      </w:r>
    </w:p>
    <w:p w14:paraId="388B1F11">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 xml:space="preserve">委托代理人未能出具有效身份证或者出具的身份证与授权委托书中的信息不符的； </w:t>
      </w:r>
    </w:p>
    <w:p w14:paraId="4B03AB35">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为无效</w:t>
      </w:r>
      <w:r>
        <w:rPr>
          <w:rFonts w:hint="default" w:ascii="Times New Roman" w:hAnsi="Times New Roman" w:eastAsia="宋体" w:cs="Times New Roman"/>
          <w:b w:val="0"/>
          <w:bCs/>
          <w:color w:val="auto"/>
          <w:szCs w:val="21"/>
          <w:highlight w:val="none"/>
          <w:lang w:eastAsia="zh-CN"/>
        </w:rPr>
        <w:t>响应保证金</w:t>
      </w:r>
      <w:r>
        <w:rPr>
          <w:rFonts w:hint="default" w:ascii="Times New Roman" w:hAnsi="Times New Roman" w:eastAsia="宋体" w:cs="Times New Roman"/>
          <w:b w:val="0"/>
          <w:bCs/>
          <w:color w:val="auto"/>
          <w:szCs w:val="21"/>
          <w:highlight w:val="none"/>
        </w:rPr>
        <w:t>的或者未按照</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的规定提交</w:t>
      </w:r>
      <w:r>
        <w:rPr>
          <w:rFonts w:hint="default" w:ascii="Times New Roman" w:hAnsi="Times New Roman" w:eastAsia="宋体" w:cs="Times New Roman"/>
          <w:b w:val="0"/>
          <w:bCs/>
          <w:color w:val="auto"/>
          <w:szCs w:val="21"/>
          <w:highlight w:val="none"/>
          <w:lang w:eastAsia="zh-CN"/>
        </w:rPr>
        <w:t>响应保证金</w:t>
      </w:r>
      <w:r>
        <w:rPr>
          <w:rFonts w:hint="default" w:ascii="Times New Roman" w:hAnsi="Times New Roman" w:eastAsia="宋体" w:cs="Times New Roman"/>
          <w:b w:val="0"/>
          <w:bCs/>
          <w:color w:val="auto"/>
          <w:szCs w:val="21"/>
          <w:highlight w:val="none"/>
        </w:rPr>
        <w:t>的；</w:t>
      </w:r>
    </w:p>
    <w:p w14:paraId="631578DE">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未提供“</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须知前附表”第13.1条规定中“必须提供”或者“委托时必须提供”的文件资料的；</w:t>
      </w:r>
    </w:p>
    <w:p w14:paraId="35E74DBE">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商务要求评审允许负偏离的条款数超过“</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须知前附表”规定项数的；</w:t>
      </w:r>
    </w:p>
    <w:p w14:paraId="230453C3">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的实质性内容未使用中文表述、使用计量单位不符合</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要求的；</w:t>
      </w:r>
    </w:p>
    <w:p w14:paraId="798ACF69">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中的文件资料因填写不齐全或者内容虚假或者出现其他情形而导致被评标委员会认定无效的；</w:t>
      </w:r>
    </w:p>
    <w:p w14:paraId="36E9F71D">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含有</w:t>
      </w:r>
      <w:r>
        <w:rPr>
          <w:rFonts w:hint="default" w:ascii="Times New Roman" w:hAnsi="Times New Roman" w:eastAsia="宋体" w:cs="Times New Roman"/>
          <w:b w:val="0"/>
          <w:bCs/>
          <w:color w:val="auto"/>
          <w:szCs w:val="21"/>
          <w:highlight w:val="none"/>
          <w:lang w:eastAsia="zh-CN"/>
        </w:rPr>
        <w:t>征集人</w:t>
      </w:r>
      <w:r>
        <w:rPr>
          <w:rFonts w:hint="default" w:ascii="Times New Roman" w:hAnsi="Times New Roman" w:eastAsia="宋体" w:cs="Times New Roman"/>
          <w:b w:val="0"/>
          <w:bCs/>
          <w:color w:val="auto"/>
          <w:szCs w:val="21"/>
          <w:highlight w:val="none"/>
        </w:rPr>
        <w:t>不能接受的附加条件的；</w:t>
      </w:r>
    </w:p>
    <w:p w14:paraId="5E3858E4">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属于</w:t>
      </w:r>
      <w:r>
        <w:rPr>
          <w:rFonts w:hint="default" w:ascii="Times New Roman" w:hAnsi="Times New Roman" w:eastAsia="宋体" w:cs="Times New Roman"/>
          <w:b w:val="0"/>
          <w:bCs/>
          <w:color w:val="auto"/>
          <w:szCs w:val="21"/>
          <w:highlight w:val="none"/>
          <w:lang w:eastAsia="zh-CN"/>
        </w:rPr>
        <w:t>供应商</w:t>
      </w:r>
      <w:r>
        <w:rPr>
          <w:rFonts w:hint="default" w:ascii="Times New Roman" w:hAnsi="Times New Roman" w:eastAsia="宋体" w:cs="Times New Roman"/>
          <w:b w:val="0"/>
          <w:bCs/>
          <w:color w:val="auto"/>
          <w:szCs w:val="21"/>
          <w:highlight w:val="none"/>
        </w:rPr>
        <w:t>须知正文第9.2条情形的；</w:t>
      </w:r>
    </w:p>
    <w:p w14:paraId="5167CB8E">
      <w:pPr>
        <w:numPr>
          <w:ilvl w:val="0"/>
          <w:numId w:val="8"/>
        </w:numPr>
        <w:snapToGrid w:val="0"/>
        <w:spacing w:line="360" w:lineRule="auto"/>
        <w:ind w:firstLine="420" w:firstLineChars="200"/>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lang w:eastAsia="zh-CN"/>
        </w:rPr>
        <w:t>响应文件</w:t>
      </w:r>
      <w:r>
        <w:rPr>
          <w:rFonts w:hint="default" w:ascii="Times New Roman" w:hAnsi="Times New Roman" w:eastAsia="宋体" w:cs="Times New Roman"/>
          <w:b w:val="0"/>
          <w:bCs/>
          <w:color w:val="auto"/>
          <w:szCs w:val="21"/>
          <w:highlight w:val="none"/>
        </w:rPr>
        <w:t>标注的项目名称或者项目编号与</w:t>
      </w:r>
      <w:r>
        <w:rPr>
          <w:rFonts w:hint="default" w:ascii="Times New Roman" w:hAnsi="Times New Roman" w:eastAsia="宋体" w:cs="Times New Roman"/>
          <w:b w:val="0"/>
          <w:bCs/>
          <w:color w:val="auto"/>
          <w:szCs w:val="21"/>
          <w:highlight w:val="none"/>
          <w:lang w:eastAsia="zh-CN"/>
        </w:rPr>
        <w:t>征集文件</w:t>
      </w:r>
      <w:r>
        <w:rPr>
          <w:rFonts w:hint="default" w:ascii="Times New Roman" w:hAnsi="Times New Roman" w:eastAsia="宋体" w:cs="Times New Roman"/>
          <w:b w:val="0"/>
          <w:bCs/>
          <w:color w:val="auto"/>
          <w:szCs w:val="21"/>
          <w:highlight w:val="none"/>
        </w:rPr>
        <w:t>标注的项目名称或者项目编号不一致的；</w:t>
      </w:r>
    </w:p>
    <w:p w14:paraId="7F8655FD">
      <w:pPr>
        <w:numPr>
          <w:ilvl w:val="0"/>
          <w:numId w:val="8"/>
        </w:numPr>
        <w:snapToGrid w:val="0"/>
        <w:spacing w:line="360" w:lineRule="auto"/>
        <w:ind w:firstLine="420" w:firstLineChars="20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lang w:eastAsia="zh-CN"/>
        </w:rPr>
        <w:t>征集文件</w:t>
      </w:r>
      <w:r>
        <w:rPr>
          <w:rFonts w:hint="eastAsia" w:ascii="Times New Roman" w:hAnsi="Times New Roman" w:eastAsia="宋体" w:cs="Times New Roman"/>
          <w:b w:val="0"/>
          <w:bCs/>
          <w:color w:val="auto"/>
          <w:szCs w:val="21"/>
          <w:highlight w:val="none"/>
        </w:rPr>
        <w:t>明确不允许分包，</w:t>
      </w:r>
      <w:r>
        <w:rPr>
          <w:rFonts w:hint="eastAsia" w:ascii="Times New Roman" w:hAnsi="Times New Roman" w:eastAsia="宋体" w:cs="Times New Roman"/>
          <w:b w:val="0"/>
          <w:bCs/>
          <w:color w:val="auto"/>
          <w:szCs w:val="21"/>
          <w:highlight w:val="none"/>
          <w:lang w:eastAsia="zh-CN"/>
        </w:rPr>
        <w:t>响应文件</w:t>
      </w:r>
      <w:r>
        <w:rPr>
          <w:rFonts w:hint="eastAsia" w:ascii="Times New Roman" w:hAnsi="Times New Roman" w:eastAsia="宋体" w:cs="Times New Roman"/>
          <w:b w:val="0"/>
          <w:bCs/>
          <w:color w:val="auto"/>
          <w:szCs w:val="21"/>
          <w:highlight w:val="none"/>
        </w:rPr>
        <w:t>拟分包的；</w:t>
      </w:r>
    </w:p>
    <w:p w14:paraId="2810B825">
      <w:pPr>
        <w:numPr>
          <w:ilvl w:val="0"/>
          <w:numId w:val="8"/>
        </w:numPr>
        <w:snapToGrid w:val="0"/>
        <w:spacing w:line="360" w:lineRule="auto"/>
        <w:ind w:firstLine="420" w:firstLineChars="20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rPr>
        <w:t>未响应</w:t>
      </w:r>
      <w:r>
        <w:rPr>
          <w:rFonts w:hint="eastAsia" w:ascii="Times New Roman" w:hAnsi="Times New Roman" w:eastAsia="宋体" w:cs="Times New Roman"/>
          <w:b w:val="0"/>
          <w:bCs/>
          <w:color w:val="auto"/>
          <w:szCs w:val="21"/>
          <w:highlight w:val="none"/>
          <w:lang w:eastAsia="zh-CN"/>
        </w:rPr>
        <w:t>征集文件</w:t>
      </w:r>
      <w:r>
        <w:rPr>
          <w:rFonts w:hint="eastAsia" w:ascii="Times New Roman" w:hAnsi="Times New Roman" w:eastAsia="宋体" w:cs="Times New Roman"/>
          <w:b w:val="0"/>
          <w:bCs/>
          <w:color w:val="auto"/>
          <w:szCs w:val="21"/>
          <w:highlight w:val="none"/>
        </w:rPr>
        <w:t>实质性要求的；</w:t>
      </w:r>
    </w:p>
    <w:p w14:paraId="51023F9F">
      <w:pPr>
        <w:numPr>
          <w:ilvl w:val="0"/>
          <w:numId w:val="8"/>
        </w:numPr>
        <w:snapToGrid w:val="0"/>
        <w:spacing w:line="360" w:lineRule="auto"/>
        <w:ind w:firstLine="420" w:firstLineChars="200"/>
        <w:rPr>
          <w:rFonts w:hint="eastAsia" w:ascii="Times New Roman" w:hAnsi="Times New Roman" w:eastAsia="宋体" w:cs="Times New Roman"/>
          <w:b w:val="0"/>
          <w:bCs/>
          <w:color w:val="auto"/>
          <w:szCs w:val="21"/>
          <w:highlight w:val="none"/>
        </w:rPr>
      </w:pPr>
      <w:r>
        <w:rPr>
          <w:rFonts w:hint="eastAsia" w:ascii="Times New Roman" w:hAnsi="Times New Roman" w:eastAsia="宋体" w:cs="Times New Roman"/>
          <w:b w:val="0"/>
          <w:bCs/>
          <w:color w:val="auto"/>
          <w:szCs w:val="21"/>
          <w:highlight w:val="none"/>
        </w:rPr>
        <w:t>法律、法规和</w:t>
      </w:r>
      <w:r>
        <w:rPr>
          <w:rFonts w:hint="eastAsia" w:ascii="Times New Roman" w:hAnsi="Times New Roman" w:eastAsia="宋体" w:cs="Times New Roman"/>
          <w:b w:val="0"/>
          <w:bCs/>
          <w:color w:val="auto"/>
          <w:szCs w:val="21"/>
          <w:highlight w:val="none"/>
          <w:lang w:eastAsia="zh-CN"/>
        </w:rPr>
        <w:t>征集文件</w:t>
      </w:r>
      <w:r>
        <w:rPr>
          <w:rFonts w:hint="eastAsia" w:ascii="Times New Roman" w:hAnsi="Times New Roman" w:eastAsia="宋体" w:cs="Times New Roman"/>
          <w:b w:val="0"/>
          <w:bCs/>
          <w:color w:val="auto"/>
          <w:szCs w:val="21"/>
          <w:highlight w:val="none"/>
        </w:rPr>
        <w:t>规定的其他无效情形。</w:t>
      </w:r>
    </w:p>
    <w:p w14:paraId="138BABFA">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2.3在技术评审时，如发现下列情形之一的，将被视为投标无效：</w:t>
      </w:r>
    </w:p>
    <w:p w14:paraId="7A7E0E73">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（1）技术要求评审允许负偏离的条款数超过“</w:t>
      </w:r>
      <w:r>
        <w:rPr>
          <w:rFonts w:hint="eastAsia" w:ascii="宋体" w:hAnsi="宋体"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rPr>
        <w:t>须知前附表”规定项数的；</w:t>
      </w:r>
    </w:p>
    <w:p w14:paraId="5942427D">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（2）</w:t>
      </w:r>
      <w:r>
        <w:rPr>
          <w:rFonts w:hint="eastAsia" w:ascii="宋体" w:hAnsi="宋体" w:eastAsia="宋体" w:cs="宋体"/>
          <w:b w:val="0"/>
          <w:bCs/>
          <w:color w:val="auto"/>
          <w:kern w:val="2"/>
          <w:sz w:val="21"/>
          <w:szCs w:val="21"/>
          <w:highlight w:val="none"/>
          <w:lang w:eastAsia="zh-CN"/>
        </w:rPr>
        <w:t>响应文件</w:t>
      </w:r>
      <w:r>
        <w:rPr>
          <w:rFonts w:hint="eastAsia" w:ascii="宋体" w:hAnsi="宋体" w:eastAsia="宋体" w:cs="宋体"/>
          <w:b w:val="0"/>
          <w:bCs/>
          <w:color w:val="auto"/>
          <w:kern w:val="2"/>
          <w:sz w:val="21"/>
          <w:szCs w:val="21"/>
          <w:highlight w:val="none"/>
        </w:rPr>
        <w:t>未提供“</w:t>
      </w:r>
      <w:r>
        <w:rPr>
          <w:rFonts w:hint="eastAsia" w:ascii="宋体" w:hAnsi="宋体"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rPr>
        <w:t>须知前附表”第13.1条规定中“必须提供”的文件资料的；</w:t>
      </w:r>
    </w:p>
    <w:p w14:paraId="741D4205">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（3）虚假投标，或者出现其他情形而导致被评标委员会认定无效的；</w:t>
      </w:r>
    </w:p>
    <w:p w14:paraId="000B7EED">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（4）</w:t>
      </w:r>
      <w:bookmarkStart w:id="118" w:name="_Hlk71706244"/>
      <w:r>
        <w:rPr>
          <w:rFonts w:hint="eastAsia" w:ascii="宋体" w:hAnsi="宋体" w:eastAsia="宋体" w:cs="宋体"/>
          <w:b w:val="0"/>
          <w:bCs/>
          <w:color w:val="auto"/>
          <w:kern w:val="2"/>
          <w:sz w:val="21"/>
          <w:szCs w:val="21"/>
          <w:highlight w:val="none"/>
          <w:lang w:eastAsia="zh-CN"/>
        </w:rPr>
        <w:t>征集文件</w:t>
      </w:r>
      <w:r>
        <w:rPr>
          <w:rFonts w:hint="eastAsia" w:ascii="宋体" w:hAnsi="宋体" w:eastAsia="宋体" w:cs="宋体"/>
          <w:b w:val="0"/>
          <w:bCs/>
          <w:color w:val="auto"/>
          <w:kern w:val="2"/>
          <w:sz w:val="21"/>
          <w:szCs w:val="21"/>
          <w:highlight w:val="none"/>
        </w:rPr>
        <w:t>未载明允许提供备选（替代）投标方案或明确不允许提供备选（替代）投标方案时，</w:t>
      </w:r>
      <w:r>
        <w:rPr>
          <w:rFonts w:hint="eastAsia" w:ascii="宋体" w:hAnsi="宋体" w:eastAsia="宋体" w:cs="宋体"/>
          <w:b w:val="0"/>
          <w:bCs/>
          <w:color w:val="auto"/>
          <w:kern w:val="2"/>
          <w:sz w:val="21"/>
          <w:szCs w:val="21"/>
          <w:highlight w:val="none"/>
          <w:lang w:eastAsia="zh-CN"/>
        </w:rPr>
        <w:t>供应商</w:t>
      </w:r>
      <w:r>
        <w:rPr>
          <w:rFonts w:hint="eastAsia" w:ascii="宋体" w:hAnsi="宋体" w:eastAsia="宋体" w:cs="宋体"/>
          <w:b w:val="0"/>
          <w:bCs/>
          <w:color w:val="auto"/>
          <w:kern w:val="2"/>
          <w:sz w:val="21"/>
          <w:szCs w:val="21"/>
          <w:highlight w:val="none"/>
        </w:rPr>
        <w:t>提供了备选（替代）投标方案的；</w:t>
      </w:r>
      <w:bookmarkEnd w:id="118"/>
    </w:p>
    <w:p w14:paraId="580035A6">
      <w:pPr>
        <w:pStyle w:val="18"/>
        <w:snapToGrid w:val="0"/>
        <w:spacing w:line="360" w:lineRule="auto"/>
        <w:ind w:firstLine="411" w:firstLineChars="196"/>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（5）未响应</w:t>
      </w:r>
      <w:r>
        <w:rPr>
          <w:rFonts w:hint="eastAsia" w:ascii="宋体" w:hAnsi="宋体" w:eastAsia="宋体" w:cs="宋体"/>
          <w:b w:val="0"/>
          <w:bCs/>
          <w:color w:val="auto"/>
          <w:kern w:val="2"/>
          <w:sz w:val="21"/>
          <w:szCs w:val="21"/>
          <w:highlight w:val="none"/>
          <w:lang w:eastAsia="zh-CN"/>
        </w:rPr>
        <w:t>征集文件</w:t>
      </w:r>
      <w:r>
        <w:rPr>
          <w:rFonts w:hint="eastAsia" w:ascii="宋体" w:hAnsi="宋体" w:eastAsia="宋体" w:cs="宋体"/>
          <w:b w:val="0"/>
          <w:bCs/>
          <w:color w:val="auto"/>
          <w:kern w:val="2"/>
          <w:sz w:val="21"/>
          <w:szCs w:val="21"/>
          <w:highlight w:val="none"/>
        </w:rPr>
        <w:t>实质性要求的。</w:t>
      </w:r>
    </w:p>
    <w:p w14:paraId="26FEAAEF">
      <w:pPr>
        <w:pStyle w:val="18"/>
        <w:snapToGrid w:val="0"/>
        <w:spacing w:line="360" w:lineRule="auto"/>
        <w:ind w:firstLine="413" w:firstLineChars="196"/>
        <w:rPr>
          <w:rFonts w:hint="default" w:ascii="Times New Roman" w:hAnsi="Times New Roman" w:eastAsia="宋体" w:cs="Times New Roman"/>
          <w:b/>
          <w:bCs w:val="0"/>
          <w:color w:val="auto"/>
          <w:kern w:val="2"/>
          <w:sz w:val="21"/>
          <w:szCs w:val="21"/>
          <w:highlight w:val="none"/>
        </w:rPr>
      </w:pPr>
      <w:r>
        <w:rPr>
          <w:rFonts w:hint="default" w:ascii="Times New Roman" w:hAnsi="Times New Roman" w:eastAsia="宋体" w:cs="Times New Roman"/>
          <w:b/>
          <w:bCs w:val="0"/>
          <w:color w:val="auto"/>
          <w:kern w:val="2"/>
          <w:sz w:val="21"/>
          <w:szCs w:val="21"/>
          <w:highlight w:val="none"/>
        </w:rPr>
        <w:t>2.4通过符合性审查的</w:t>
      </w:r>
      <w:r>
        <w:rPr>
          <w:rFonts w:hint="default" w:ascii="Times New Roman" w:hAnsi="Times New Roman" w:eastAsia="宋体" w:cs="Times New Roman"/>
          <w:b/>
          <w:bCs w:val="0"/>
          <w:color w:val="auto"/>
          <w:kern w:val="2"/>
          <w:sz w:val="21"/>
          <w:szCs w:val="21"/>
          <w:highlight w:val="none"/>
          <w:lang w:eastAsia="zh-CN"/>
        </w:rPr>
        <w:t>供应商</w:t>
      </w:r>
      <w:r>
        <w:rPr>
          <w:rFonts w:hint="default" w:ascii="Times New Roman" w:hAnsi="Times New Roman" w:eastAsia="宋体" w:cs="Times New Roman"/>
          <w:b/>
          <w:bCs w:val="0"/>
          <w:color w:val="auto"/>
          <w:kern w:val="2"/>
          <w:sz w:val="21"/>
          <w:szCs w:val="21"/>
          <w:highlight w:val="none"/>
        </w:rPr>
        <w:t>不足3家，评标委员会不得继续评标，并出具</w:t>
      </w:r>
      <w:r>
        <w:rPr>
          <w:rFonts w:hint="default" w:ascii="Times New Roman" w:hAnsi="Times New Roman" w:eastAsia="宋体" w:cs="Times New Roman"/>
          <w:b/>
          <w:bCs w:val="0"/>
          <w:color w:val="auto"/>
          <w:kern w:val="2"/>
          <w:sz w:val="21"/>
          <w:szCs w:val="21"/>
          <w:highlight w:val="none"/>
          <w:lang w:eastAsia="zh-CN"/>
        </w:rPr>
        <w:t>评审</w:t>
      </w:r>
      <w:r>
        <w:rPr>
          <w:rFonts w:hint="default" w:ascii="Times New Roman" w:hAnsi="Times New Roman" w:eastAsia="宋体" w:cs="Times New Roman"/>
          <w:b/>
          <w:bCs w:val="0"/>
          <w:color w:val="auto"/>
          <w:kern w:val="2"/>
          <w:sz w:val="21"/>
          <w:szCs w:val="21"/>
          <w:highlight w:val="none"/>
        </w:rPr>
        <w:t>报告。</w:t>
      </w:r>
    </w:p>
    <w:p w14:paraId="2F1F4D4E">
      <w:pPr>
        <w:pStyle w:val="5"/>
        <w:keepNext w:val="0"/>
        <w:keepLines w:val="0"/>
        <w:spacing w:before="0" w:after="0" w:line="360" w:lineRule="auto"/>
        <w:ind w:left="420" w:leftChars="200"/>
        <w:rPr>
          <w:rFonts w:hint="eastAsia"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3.澄清补正</w:t>
      </w:r>
    </w:p>
    <w:p w14:paraId="3BD9E77D">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对响应文件中含义不明确、同类问题表述不一致或者有明显文字和计算错误的内容，评审委员会应在“政采云”平台发布电子澄清函，要求供应商在规定时间内作出必要的澄清、说明或者补正。供应商在“政采云”平台接收到电子澄清函后根据澄清函内容上传 PDF 格式回函，电子澄清答复函使用 CA 证书加盖单位公章后在线上传至评审委员会。供应商的澄清、说明或者补正不得超出响应文件的范围或者改变响应文件的实质性内容。供应商未在规定时间内进行澄清、说明或者补正的，按无效响应处理</w:t>
      </w:r>
      <w:r>
        <w:rPr>
          <w:rFonts w:hint="default" w:ascii="Times New Roman" w:hAnsi="Times New Roman" w:eastAsia="宋体" w:cs="Times New Roman"/>
          <w:color w:val="auto"/>
          <w:szCs w:val="21"/>
          <w:highlight w:val="none"/>
          <w:lang w:eastAsia="zh-CN"/>
        </w:rPr>
        <w:t>。</w:t>
      </w:r>
    </w:p>
    <w:p w14:paraId="5224B06B">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5A04BC9C">
      <w:pPr>
        <w:pStyle w:val="5"/>
        <w:keepNext w:val="0"/>
        <w:keepLines w:val="0"/>
        <w:spacing w:before="0" w:after="0" w:line="360" w:lineRule="auto"/>
        <w:ind w:left="420" w:leftChars="200"/>
        <w:rPr>
          <w:rFonts w:hint="eastAsia"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4.</w:t>
      </w:r>
      <w:r>
        <w:rPr>
          <w:rFonts w:hint="eastAsia" w:ascii="Times New Roman" w:hAnsi="Times New Roman" w:eastAsia="宋体" w:cs="Times New Roman"/>
          <w:b/>
          <w:color w:val="auto"/>
          <w:sz w:val="21"/>
          <w:szCs w:val="21"/>
          <w:highlight w:val="none"/>
          <w:lang w:eastAsia="zh-CN"/>
        </w:rPr>
        <w:t>响应文件</w:t>
      </w:r>
      <w:r>
        <w:rPr>
          <w:rFonts w:hint="eastAsia" w:ascii="Times New Roman" w:hAnsi="Times New Roman" w:eastAsia="宋体" w:cs="Times New Roman"/>
          <w:b/>
          <w:color w:val="auto"/>
          <w:sz w:val="21"/>
          <w:szCs w:val="21"/>
          <w:highlight w:val="none"/>
        </w:rPr>
        <w:t>修正</w:t>
      </w:r>
    </w:p>
    <w:p w14:paraId="64D3161E">
      <w:pPr>
        <w:pStyle w:val="5"/>
        <w:keepNext w:val="0"/>
        <w:keepLines w:val="0"/>
        <w:spacing w:before="0" w:after="0" w:line="360" w:lineRule="auto"/>
        <w:ind w:left="420" w:left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4.1</w:t>
      </w:r>
      <w:r>
        <w:rPr>
          <w:rFonts w:hint="default" w:ascii="Times New Roman" w:hAnsi="Times New Roman" w:eastAsia="宋体" w:cs="Times New Roman"/>
          <w:b/>
          <w:bCs/>
          <w:color w:val="auto"/>
          <w:sz w:val="21"/>
          <w:szCs w:val="21"/>
          <w:highlight w:val="none"/>
          <w:lang w:eastAsia="zh-CN"/>
        </w:rPr>
        <w:t>响应文件</w:t>
      </w:r>
      <w:r>
        <w:rPr>
          <w:rFonts w:hint="default" w:ascii="Times New Roman" w:hAnsi="Times New Roman" w:eastAsia="宋体" w:cs="Times New Roman"/>
          <w:b/>
          <w:bCs/>
          <w:color w:val="auto"/>
          <w:sz w:val="21"/>
          <w:szCs w:val="21"/>
          <w:highlight w:val="none"/>
        </w:rPr>
        <w:t xml:space="preserve">报价出现前后不一致的，按照下列规定修正： </w:t>
      </w:r>
    </w:p>
    <w:p w14:paraId="0D8F1BC3">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（1）</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中开标一览表（报价表）内容与</w:t>
      </w:r>
      <w:r>
        <w:rPr>
          <w:rFonts w:hint="default" w:ascii="Times New Roman" w:hAnsi="Times New Roman" w:eastAsia="宋体" w:cs="Times New Roman"/>
          <w:color w:val="auto"/>
          <w:sz w:val="21"/>
          <w:highlight w:val="none"/>
          <w:lang w:eastAsia="zh-CN"/>
        </w:rPr>
        <w:t>响应文件</w:t>
      </w:r>
      <w:r>
        <w:rPr>
          <w:rFonts w:hint="default" w:ascii="Times New Roman" w:hAnsi="Times New Roman" w:eastAsia="宋体" w:cs="Times New Roman"/>
          <w:color w:val="auto"/>
          <w:sz w:val="21"/>
          <w:highlight w:val="none"/>
        </w:rPr>
        <w:t>中相应内容不一致的，以开标一览表（报价表）为准；</w:t>
      </w:r>
    </w:p>
    <w:p w14:paraId="6EAD0028">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（2）大写金额和小写金额不一致的，以大写金额为准；</w:t>
      </w:r>
    </w:p>
    <w:p w14:paraId="14034726">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（3）单价金额小数点或者百分比有明显错位的，以开标一览表的总价为准，并修改单价；</w:t>
      </w:r>
    </w:p>
    <w:p w14:paraId="7F946AFE">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（4）总价金额与按单价汇总金额不一致的，以单价金额计算结果为准。</w:t>
      </w:r>
    </w:p>
    <w:p w14:paraId="062DD5EA">
      <w:pPr>
        <w:pStyle w:val="23"/>
        <w:snapToGrid w:val="0"/>
        <w:spacing w:line="360" w:lineRule="auto"/>
        <w:ind w:firstLine="420"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同时出现两种以上不一致的，按照以上（1）-（4）规定的顺序修正。修正后的报价经</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确认后产生约束力，</w:t>
      </w:r>
      <w:r>
        <w:rPr>
          <w:rFonts w:hint="default"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不确认的，</w:t>
      </w:r>
      <w:r>
        <w:rPr>
          <w:rFonts w:hint="default" w:ascii="Times New Roman" w:hAnsi="Times New Roman" w:eastAsia="宋体" w:cs="Times New Roman"/>
          <w:b/>
          <w:color w:val="auto"/>
          <w:kern w:val="2"/>
          <w:sz w:val="21"/>
          <w:highlight w:val="none"/>
        </w:rPr>
        <w:t>其投标无效</w:t>
      </w:r>
      <w:r>
        <w:rPr>
          <w:rFonts w:hint="default" w:ascii="Times New Roman" w:hAnsi="Times New Roman" w:eastAsia="宋体" w:cs="Times New Roman"/>
          <w:color w:val="auto"/>
          <w:sz w:val="21"/>
          <w:highlight w:val="none"/>
        </w:rPr>
        <w:t>。</w:t>
      </w:r>
    </w:p>
    <w:p w14:paraId="5353F6B7">
      <w:pPr>
        <w:pStyle w:val="5"/>
        <w:keepNext w:val="0"/>
        <w:keepLines w:val="0"/>
        <w:spacing w:before="0" w:after="0" w:line="360" w:lineRule="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 xml:space="preserve">    4.2经</w:t>
      </w:r>
      <w:r>
        <w:rPr>
          <w:rFonts w:hint="default" w:ascii="Times New Roman" w:hAnsi="Times New Roman" w:eastAsia="宋体" w:cs="Times New Roman"/>
          <w:b w:val="0"/>
          <w:color w:val="auto"/>
          <w:sz w:val="21"/>
          <w:szCs w:val="21"/>
          <w:highlight w:val="none"/>
          <w:lang w:eastAsia="zh-CN"/>
        </w:rPr>
        <w:t>供应商</w:t>
      </w:r>
      <w:r>
        <w:rPr>
          <w:rFonts w:hint="default" w:ascii="Times New Roman" w:hAnsi="Times New Roman" w:eastAsia="宋体" w:cs="Times New Roman"/>
          <w:b w:val="0"/>
          <w:color w:val="auto"/>
          <w:sz w:val="21"/>
          <w:szCs w:val="21"/>
          <w:highlight w:val="none"/>
        </w:rPr>
        <w:t>确认修正后的报价若超过采购预算金额或者最高限价，</w:t>
      </w:r>
      <w:r>
        <w:rPr>
          <w:rFonts w:hint="default" w:ascii="Times New Roman" w:hAnsi="Times New Roman" w:eastAsia="宋体" w:cs="Times New Roman"/>
          <w:color w:val="auto"/>
          <w:sz w:val="21"/>
          <w:highlight w:val="none"/>
        </w:rPr>
        <w:t>其投标无效</w:t>
      </w:r>
      <w:r>
        <w:rPr>
          <w:rFonts w:hint="default" w:ascii="Times New Roman" w:hAnsi="Times New Roman" w:eastAsia="宋体" w:cs="Times New Roman"/>
          <w:b w:val="0"/>
          <w:color w:val="auto"/>
          <w:sz w:val="21"/>
          <w:szCs w:val="21"/>
          <w:highlight w:val="none"/>
        </w:rPr>
        <w:t>。</w:t>
      </w:r>
    </w:p>
    <w:p w14:paraId="20C6DF97">
      <w:pPr>
        <w:snapToGrid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4.3经</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确认修正后的报价作为签订合同的依据，并以此报价计算价格分。</w:t>
      </w:r>
    </w:p>
    <w:p w14:paraId="2C01FE7A">
      <w:pPr>
        <w:pStyle w:val="5"/>
        <w:keepNext w:val="0"/>
        <w:keepLines w:val="0"/>
        <w:spacing w:before="0" w:after="0" w:line="360" w:lineRule="auto"/>
        <w:ind w:left="420" w:left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5.比较与评价</w:t>
      </w:r>
    </w:p>
    <w:p w14:paraId="685A5AC4">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（1）评审委员会按照征集文件中规定的评审方法和评审标准，对符合性审查合格的响应文件进行商务和技术评估，综合比较与评价。</w:t>
      </w:r>
    </w:p>
    <w:p w14:paraId="4D7AACED">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（2）评审委员会独立对每个供应商的响应文件进行评价，并汇总每个供应商的得分。</w:t>
      </w:r>
    </w:p>
    <w:p w14:paraId="194CC3E2">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（3）各供应商的得分为所有评委的有效评分的算术平均数。</w:t>
      </w:r>
    </w:p>
    <w:p w14:paraId="1AC89797">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（4）评审委员会按照征集文件中的规定推荐入围候选人。</w:t>
      </w:r>
    </w:p>
    <w:p w14:paraId="4C634598">
      <w:pPr>
        <w:snapToGrid w:val="0"/>
        <w:spacing w:line="360" w:lineRule="auto"/>
        <w:ind w:firstLine="424" w:firstLineChars="202"/>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（5）起草并签署评审报告。评审委员会根据评审委员会成员签字的原始评审记录和评审结果编写 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055FDBA2">
      <w:pPr>
        <w:snapToGrid w:val="0"/>
        <w:spacing w:line="360" w:lineRule="auto"/>
        <w:ind w:firstLine="424" w:firstLineChars="202"/>
        <w:jc w:val="center"/>
        <w:rPr>
          <w:rFonts w:hint="eastAsia" w:ascii="宋体" w:hAnsi="宋体" w:eastAsia="宋体" w:cs="宋体"/>
          <w:color w:val="auto"/>
          <w:szCs w:val="21"/>
          <w:highlight w:val="none"/>
        </w:rPr>
      </w:pPr>
    </w:p>
    <w:p w14:paraId="035B647A">
      <w:pPr>
        <w:snapToGrid w:val="0"/>
        <w:spacing w:line="360" w:lineRule="auto"/>
        <w:ind w:firstLine="424" w:firstLineChars="202"/>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19" w:name="_Hlk71707917"/>
      <w:r>
        <w:rPr>
          <w:rFonts w:hint="eastAsia" w:ascii="宋体" w:hAnsi="宋体" w:eastAsia="宋体" w:cs="宋体"/>
          <w:b/>
          <w:bCs/>
          <w:color w:val="auto"/>
          <w:kern w:val="0"/>
          <w:sz w:val="32"/>
          <w:szCs w:val="32"/>
          <w:highlight w:val="none"/>
          <w:lang w:val="en-US" w:eastAsia="zh-CN" w:bidi="ar-SA"/>
        </w:rPr>
        <w:t>三、评标标准</w:t>
      </w:r>
    </w:p>
    <w:p w14:paraId="526FFA24">
      <w:pPr>
        <w:rPr>
          <w:rFonts w:hint="eastAsia" w:eastAsia="宋体"/>
          <w:color w:val="auto"/>
          <w:highlight w:val="none"/>
          <w:lang w:eastAsia="zh-CN"/>
        </w:rPr>
      </w:pPr>
    </w:p>
    <w:tbl>
      <w:tblPr>
        <w:tblStyle w:val="46"/>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82"/>
        <w:gridCol w:w="4871"/>
        <w:gridCol w:w="617"/>
        <w:gridCol w:w="2171"/>
      </w:tblGrid>
      <w:tr w14:paraId="6D9E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45FAB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序号</w:t>
            </w:r>
          </w:p>
        </w:tc>
        <w:tc>
          <w:tcPr>
            <w:tcW w:w="882" w:type="dxa"/>
            <w:vAlign w:val="center"/>
          </w:tcPr>
          <w:p w14:paraId="2F7232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类型</w:t>
            </w:r>
          </w:p>
        </w:tc>
        <w:tc>
          <w:tcPr>
            <w:tcW w:w="4871" w:type="dxa"/>
            <w:vAlign w:val="center"/>
          </w:tcPr>
          <w:p w14:paraId="22C72A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评分标准</w:t>
            </w:r>
          </w:p>
        </w:tc>
        <w:tc>
          <w:tcPr>
            <w:tcW w:w="617" w:type="dxa"/>
            <w:vAlign w:val="center"/>
          </w:tcPr>
          <w:p w14:paraId="27875D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分值权重</w:t>
            </w:r>
          </w:p>
        </w:tc>
        <w:tc>
          <w:tcPr>
            <w:tcW w:w="2171" w:type="dxa"/>
            <w:vAlign w:val="center"/>
          </w:tcPr>
          <w:p w14:paraId="77CEA4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说明</w:t>
            </w:r>
          </w:p>
        </w:tc>
      </w:tr>
      <w:tr w14:paraId="3773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14:paraId="03C9D4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w:t>
            </w:r>
          </w:p>
        </w:tc>
        <w:tc>
          <w:tcPr>
            <w:tcW w:w="882" w:type="dxa"/>
            <w:vMerge w:val="restart"/>
            <w:vAlign w:val="center"/>
          </w:tcPr>
          <w:p w14:paraId="3CA3BE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技术分</w:t>
            </w:r>
          </w:p>
        </w:tc>
        <w:tc>
          <w:tcPr>
            <w:tcW w:w="4871" w:type="dxa"/>
            <w:vAlign w:val="center"/>
          </w:tcPr>
          <w:p w14:paraId="22B271E6">
            <w:pPr>
              <w:keepNext w:val="0"/>
              <w:keepLines w:val="0"/>
              <w:pageBreakBefore w:val="0"/>
              <w:widowControl w:val="0"/>
              <w:numPr>
                <w:ilvl w:val="0"/>
                <w:numId w:val="9"/>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拟投入评审人员资格</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客观分</w:t>
            </w:r>
            <w:r>
              <w:rPr>
                <w:rFonts w:hint="eastAsia" w:ascii="Times New Roman" w:hAnsi="Times New Roman" w:cs="Times New Roman"/>
                <w:color w:val="auto"/>
                <w:highlight w:val="none"/>
                <w:lang w:val="en-US" w:eastAsia="zh-CN"/>
              </w:rPr>
              <w:t>）</w:t>
            </w:r>
          </w:p>
          <w:p w14:paraId="49A1EB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人员中具有一级造价工程师资格，每有1人得</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此项满分</w:t>
            </w:r>
            <w:r>
              <w:rPr>
                <w:rFonts w:hint="eastAsia" w:cs="Times New Roman"/>
                <w:color w:val="auto"/>
                <w:highlight w:val="none"/>
                <w:lang w:val="en-US" w:eastAsia="zh-CN"/>
              </w:rPr>
              <w:t>12</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w:t>
            </w:r>
          </w:p>
          <w:p w14:paraId="2B157C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人员中具有二级造价工程师，每有1人得</w:t>
            </w: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此项满分</w:t>
            </w:r>
            <w:r>
              <w:rPr>
                <w:rFonts w:hint="eastAsia" w:cs="Times New Roman"/>
                <w:color w:val="auto"/>
                <w:highlight w:val="none"/>
                <w:lang w:val="en-US" w:eastAsia="zh-CN"/>
              </w:rPr>
              <w:t>18</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w:t>
            </w:r>
          </w:p>
          <w:p w14:paraId="55F0F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lang w:val="en-US" w:eastAsia="zh-CN"/>
              </w:rPr>
              <w:t>注:①已有一级造价工程师计分的，不再计入二级造价工程师得分。②如</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已得满分情况下，未计入</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的一级造价工程师可按二级造价工程师</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得分。</w:t>
            </w:r>
          </w:p>
        </w:tc>
        <w:tc>
          <w:tcPr>
            <w:tcW w:w="617" w:type="dxa"/>
            <w:vAlign w:val="center"/>
          </w:tcPr>
          <w:p w14:paraId="404BC0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0-</w:t>
            </w:r>
            <w:r>
              <w:rPr>
                <w:rFonts w:hint="eastAsia" w:cs="Times New Roman"/>
                <w:color w:val="auto"/>
                <w:highlight w:val="none"/>
                <w:vertAlign w:val="baseline"/>
                <w:lang w:val="en-US" w:eastAsia="zh-CN"/>
              </w:rPr>
              <w:t>30</w:t>
            </w:r>
          </w:p>
        </w:tc>
        <w:tc>
          <w:tcPr>
            <w:tcW w:w="2171" w:type="dxa"/>
            <w:vAlign w:val="center"/>
          </w:tcPr>
          <w:p w14:paraId="28D1C7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1.</w:t>
            </w:r>
            <w:r>
              <w:rPr>
                <w:rFonts w:hint="default" w:ascii="Times New Roman" w:hAnsi="Times New Roman" w:cs="Times New Roman"/>
                <w:color w:val="auto"/>
                <w:highlight w:val="none"/>
                <w:vertAlign w:val="baseline"/>
                <w:lang w:val="en-US" w:eastAsia="zh-CN"/>
              </w:rPr>
              <w:t>有效期以执业印章上或证书注明的期限为准，逾期无效不得分。</w:t>
            </w:r>
          </w:p>
          <w:p w14:paraId="7C451F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2.</w:t>
            </w:r>
            <w:r>
              <w:rPr>
                <w:rFonts w:hint="default" w:ascii="Times New Roman" w:hAnsi="Times New Roman" w:cs="Times New Roman"/>
                <w:color w:val="auto"/>
                <w:highlight w:val="none"/>
                <w:vertAlign w:val="baseline"/>
                <w:lang w:val="en-US" w:eastAsia="zh-CN"/>
              </w:rPr>
              <w:t>附资格证或专业证明。</w:t>
            </w:r>
          </w:p>
          <w:p w14:paraId="7BB88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3.公路甲级造价师、水利工程造价工程师按一级造价师计分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公路乙级造价师、造价员按二级造价师计分。下同。</w:t>
            </w:r>
          </w:p>
        </w:tc>
      </w:tr>
      <w:tr w14:paraId="2D1B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2097A1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0B57BD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01CA2A7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拟投入评审人员职称</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客观分</w:t>
            </w:r>
            <w:r>
              <w:rPr>
                <w:rFonts w:hint="eastAsia" w:ascii="Times New Roman" w:hAnsi="Times New Roman" w:cs="Times New Roman"/>
                <w:color w:val="auto"/>
                <w:highlight w:val="none"/>
                <w:vertAlign w:val="baseline"/>
                <w:lang w:val="en-US" w:eastAsia="zh-CN"/>
              </w:rPr>
              <w:t>）</w:t>
            </w:r>
          </w:p>
          <w:p w14:paraId="57FF6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拟投入评审人员具有工程或工程经济类中级职称的每人得0.5分，高级职称的每人得1分。</w:t>
            </w:r>
          </w:p>
        </w:tc>
        <w:tc>
          <w:tcPr>
            <w:tcW w:w="617" w:type="dxa"/>
            <w:vAlign w:val="center"/>
          </w:tcPr>
          <w:p w14:paraId="1E0C69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0-4</w:t>
            </w:r>
          </w:p>
        </w:tc>
        <w:tc>
          <w:tcPr>
            <w:tcW w:w="2171" w:type="dxa"/>
            <w:vAlign w:val="center"/>
          </w:tcPr>
          <w:p w14:paraId="29C8D5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附职称证。</w:t>
            </w:r>
          </w:p>
        </w:tc>
      </w:tr>
      <w:tr w14:paraId="35C2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1B1757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7E7553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7973AB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3</w:t>
            </w:r>
            <w:r>
              <w:rPr>
                <w:rFonts w:hint="default" w:ascii="Times New Roman" w:hAnsi="Times New Roman" w:cs="Times New Roman"/>
                <w:color w:val="auto"/>
                <w:highlight w:val="none"/>
                <w:vertAlign w:val="baseline"/>
                <w:lang w:val="en-US" w:eastAsia="zh-CN"/>
              </w:rPr>
              <w:t>、拟投入评审人员从业经验</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客观分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取得注册造价师或造价员资格5年及以上，且从事工程造价咨询工作8年及以上经验的，每人得1分。</w:t>
            </w:r>
          </w:p>
        </w:tc>
        <w:tc>
          <w:tcPr>
            <w:tcW w:w="617" w:type="dxa"/>
            <w:vAlign w:val="center"/>
          </w:tcPr>
          <w:p w14:paraId="098AD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0-</w:t>
            </w:r>
            <w:r>
              <w:rPr>
                <w:rFonts w:hint="eastAsia" w:cs="Times New Roman"/>
                <w:color w:val="auto"/>
                <w:highlight w:val="none"/>
                <w:vertAlign w:val="baseline"/>
                <w:lang w:val="en-US" w:eastAsia="zh-CN"/>
              </w:rPr>
              <w:t>4</w:t>
            </w:r>
          </w:p>
        </w:tc>
        <w:tc>
          <w:tcPr>
            <w:tcW w:w="2171" w:type="dxa"/>
          </w:tcPr>
          <w:p w14:paraId="53FCF4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附资格证及供应商承诺的。</w:t>
            </w:r>
          </w:p>
        </w:tc>
      </w:tr>
      <w:tr w14:paraId="239D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0725C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2BC5B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52F9B7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4</w:t>
            </w:r>
            <w:r>
              <w:rPr>
                <w:rFonts w:hint="default" w:ascii="Times New Roman" w:hAnsi="Times New Roman" w:cs="Times New Roman"/>
                <w:color w:val="auto"/>
                <w:highlight w:val="none"/>
                <w:vertAlign w:val="baseline"/>
                <w:lang w:val="en-US" w:eastAsia="zh-CN"/>
              </w:rPr>
              <w:t>、实施方案</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主观分</w:t>
            </w:r>
            <w:r>
              <w:rPr>
                <w:rFonts w:hint="eastAsia" w:ascii="Times New Roman" w:hAnsi="Times New Roman" w:cs="Times New Roman"/>
                <w:color w:val="auto"/>
                <w:highlight w:val="none"/>
                <w:vertAlign w:val="baseline"/>
                <w:lang w:val="en-US" w:eastAsia="zh-CN"/>
              </w:rPr>
              <w:t>）</w:t>
            </w:r>
          </w:p>
          <w:p w14:paraId="14BC06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一档</w:t>
            </w:r>
            <w:r>
              <w:rPr>
                <w:rFonts w:hint="eastAsia" w:ascii="Times New Roman" w:hAnsi="Times New Roman" w:cs="Times New Roman"/>
                <w:color w:val="auto"/>
                <w:highlight w:val="none"/>
                <w:vertAlign w:val="baseline"/>
                <w:lang w:val="en-US" w:eastAsia="zh-CN"/>
              </w:rPr>
              <w:t>（0分）：</w:t>
            </w:r>
            <w:r>
              <w:rPr>
                <w:rFonts w:hint="default" w:ascii="Times New Roman" w:hAnsi="Times New Roman" w:cs="Times New Roman"/>
                <w:color w:val="auto"/>
                <w:highlight w:val="none"/>
                <w:vertAlign w:val="baseline"/>
                <w:lang w:val="en-US" w:eastAsia="zh-CN"/>
              </w:rPr>
              <w:t>未提供实施方案。</w:t>
            </w:r>
          </w:p>
          <w:p w14:paraId="7A1433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二档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3</w:t>
            </w:r>
            <w:r>
              <w:rPr>
                <w:rFonts w:hint="default" w:ascii="Times New Roman" w:hAnsi="Times New Roman" w:cs="Times New Roman"/>
                <w:color w:val="auto"/>
                <w:highlight w:val="none"/>
                <w:vertAlign w:val="baseline"/>
                <w:lang w:val="en-US" w:eastAsia="zh-CN"/>
              </w:rPr>
              <w:t>分</w:t>
            </w:r>
            <w:r>
              <w:rPr>
                <w:rFonts w:hint="eastAsia" w:ascii="Times New Roman" w:hAnsi="Times New Roman" w:cs="Times New Roman"/>
                <w:color w:val="auto"/>
                <w:highlight w:val="none"/>
                <w:vertAlign w:val="baseline"/>
                <w:lang w:val="en-US" w:eastAsia="zh-CN"/>
              </w:rPr>
              <w:t>）：提供的实施方案</w:t>
            </w:r>
            <w:r>
              <w:rPr>
                <w:rFonts w:hint="eastAsia" w:cs="Times New Roman"/>
                <w:color w:val="auto"/>
                <w:highlight w:val="none"/>
                <w:vertAlign w:val="baseline"/>
                <w:lang w:val="en-US" w:eastAsia="zh-CN"/>
              </w:rPr>
              <w:t>一般</w:t>
            </w:r>
            <w:r>
              <w:rPr>
                <w:rFonts w:hint="eastAsia" w:ascii="Times New Roman" w:hAnsi="Times New Roman" w:cs="Times New Roman"/>
                <w:color w:val="auto"/>
                <w:highlight w:val="none"/>
                <w:vertAlign w:val="baseline"/>
                <w:lang w:val="en-US" w:eastAsia="zh-CN"/>
              </w:rPr>
              <w:t>，并有办公场所设施,人力资源、企业管理制度等方面有</w:t>
            </w:r>
            <w:r>
              <w:rPr>
                <w:rFonts w:hint="eastAsia" w:cs="Times New Roman"/>
                <w:color w:val="auto"/>
                <w:highlight w:val="none"/>
                <w:vertAlign w:val="baseline"/>
                <w:lang w:val="en-US" w:eastAsia="zh-CN"/>
              </w:rPr>
              <w:t>一定</w:t>
            </w:r>
            <w:r>
              <w:rPr>
                <w:rFonts w:hint="eastAsia" w:ascii="Times New Roman" w:hAnsi="Times New Roman" w:cs="Times New Roman"/>
                <w:color w:val="auto"/>
                <w:highlight w:val="none"/>
                <w:vertAlign w:val="baseline"/>
                <w:lang w:val="en-US" w:eastAsia="zh-CN"/>
              </w:rPr>
              <w:t>措施。</w:t>
            </w:r>
          </w:p>
          <w:p w14:paraId="4DDC4B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三</w:t>
            </w:r>
            <w:r>
              <w:rPr>
                <w:rFonts w:hint="default" w:ascii="Times New Roman" w:hAnsi="Times New Roman" w:cs="Times New Roman"/>
                <w:color w:val="auto"/>
                <w:highlight w:val="none"/>
                <w:vertAlign w:val="baseline"/>
                <w:lang w:val="en-US" w:eastAsia="zh-CN"/>
              </w:rPr>
              <w:t>档</w:t>
            </w:r>
            <w:r>
              <w:rPr>
                <w:rFonts w:hint="eastAsia" w:cs="Times New Roman"/>
                <w:color w:val="auto"/>
                <w:highlight w:val="none"/>
                <w:vertAlign w:val="baseline"/>
                <w:lang w:val="en-US" w:eastAsia="zh-CN"/>
              </w:rPr>
              <w:t>（7分）：</w:t>
            </w:r>
            <w:r>
              <w:rPr>
                <w:rFonts w:hint="default" w:ascii="Times New Roman" w:hAnsi="Times New Roman" w:cs="Times New Roman"/>
                <w:color w:val="auto"/>
                <w:highlight w:val="none"/>
                <w:vertAlign w:val="baseline"/>
                <w:lang w:val="en-US" w:eastAsia="zh-CN"/>
              </w:rPr>
              <w:t>提供的实施方案</w:t>
            </w:r>
            <w:r>
              <w:rPr>
                <w:rFonts w:hint="eastAsia" w:cs="Times New Roman"/>
                <w:color w:val="auto"/>
                <w:highlight w:val="none"/>
                <w:vertAlign w:val="baseline"/>
                <w:lang w:val="en-US" w:eastAsia="zh-CN"/>
              </w:rPr>
              <w:t>完整有效</w:t>
            </w:r>
            <w:r>
              <w:rPr>
                <w:rFonts w:hint="default" w:ascii="Times New Roman" w:hAnsi="Times New Roman" w:cs="Times New Roman"/>
                <w:color w:val="auto"/>
                <w:highlight w:val="none"/>
                <w:vertAlign w:val="baseline"/>
                <w:lang w:val="en-US" w:eastAsia="zh-CN"/>
              </w:rPr>
              <w:t>，并有办公场所设施,人力资源、企业管理制度等方面有便利、稳定可持续的具体措施。</w:t>
            </w:r>
          </w:p>
          <w:p w14:paraId="1DFC2A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四</w:t>
            </w:r>
            <w:r>
              <w:rPr>
                <w:rFonts w:hint="default" w:ascii="Times New Roman" w:hAnsi="Times New Roman" w:cs="Times New Roman"/>
                <w:color w:val="auto"/>
                <w:highlight w:val="none"/>
                <w:vertAlign w:val="baseline"/>
                <w:lang w:val="en-US" w:eastAsia="zh-CN"/>
              </w:rPr>
              <w:t>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15</w:t>
            </w:r>
            <w:r>
              <w:rPr>
                <w:rFonts w:hint="eastAsia" w:ascii="Times New Roman" w:hAnsi="Times New Roman" w:cs="Times New Roman"/>
                <w:color w:val="auto"/>
                <w:highlight w:val="none"/>
                <w:vertAlign w:val="baseline"/>
                <w:lang w:val="en-US" w:eastAsia="zh-CN"/>
              </w:rPr>
              <w:t>分）：</w:t>
            </w:r>
            <w:r>
              <w:rPr>
                <w:rFonts w:hint="default" w:ascii="Times New Roman" w:hAnsi="Times New Roman" w:cs="Times New Roman"/>
                <w:color w:val="auto"/>
                <w:highlight w:val="none"/>
                <w:vertAlign w:val="baseline"/>
                <w:lang w:val="en-US" w:eastAsia="zh-CN"/>
              </w:rPr>
              <w:t>在满足</w:t>
            </w:r>
            <w:r>
              <w:rPr>
                <w:rFonts w:hint="eastAsia" w:cs="Times New Roman"/>
                <w:color w:val="auto"/>
                <w:highlight w:val="none"/>
                <w:vertAlign w:val="baseline"/>
                <w:lang w:val="en-US" w:eastAsia="zh-CN"/>
              </w:rPr>
              <w:t>三</w:t>
            </w:r>
            <w:r>
              <w:rPr>
                <w:rFonts w:hint="default" w:ascii="Times New Roman" w:hAnsi="Times New Roman" w:cs="Times New Roman"/>
                <w:color w:val="auto"/>
                <w:highlight w:val="none"/>
                <w:vertAlign w:val="baseline"/>
                <w:lang w:val="en-US" w:eastAsia="zh-CN"/>
              </w:rPr>
              <w:t>档基础上，人力资源充足，可提供高效率的便捷服务，技术管理措施全面，工作流程把握到位，响应速度快，具有廉洁措施。</w:t>
            </w:r>
          </w:p>
        </w:tc>
        <w:tc>
          <w:tcPr>
            <w:tcW w:w="617" w:type="dxa"/>
            <w:vAlign w:val="center"/>
          </w:tcPr>
          <w:p w14:paraId="69AB18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0-15</w:t>
            </w:r>
          </w:p>
        </w:tc>
        <w:tc>
          <w:tcPr>
            <w:tcW w:w="2171" w:type="dxa"/>
          </w:tcPr>
          <w:p w14:paraId="64426D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附实施方案服务人员清单及资格证书。</w:t>
            </w:r>
          </w:p>
        </w:tc>
      </w:tr>
      <w:tr w14:paraId="5D9C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4F768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1F426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3A0B84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Cs w:val="21"/>
                <w:highlight w:val="none"/>
              </w:rPr>
            </w:pPr>
            <w:r>
              <w:rPr>
                <w:rFonts w:hint="eastAsia" w:cs="Times New Roman"/>
                <w:color w:val="auto"/>
                <w:highlight w:val="none"/>
                <w:vertAlign w:val="baseline"/>
                <w:lang w:val="en-US" w:eastAsia="zh-CN"/>
              </w:rPr>
              <w:t>5、</w:t>
            </w:r>
            <w:r>
              <w:rPr>
                <w:rFonts w:hint="default" w:ascii="Times New Roman" w:hAnsi="Times New Roman" w:eastAsia="宋体" w:cs="Times New Roman"/>
                <w:b w:val="0"/>
                <w:bCs/>
                <w:color w:val="auto"/>
                <w:szCs w:val="21"/>
                <w:highlight w:val="none"/>
              </w:rPr>
              <w:t>进度控制措施</w:t>
            </w:r>
            <w:r>
              <w:rPr>
                <w:rFonts w:hint="eastAsia" w:ascii="Times New Roman" w:hAnsi="Times New Roman" w:cs="Times New Roman"/>
                <w:color w:val="auto"/>
                <w:sz w:val="21"/>
                <w:szCs w:val="21"/>
                <w:highlight w:val="none"/>
                <w:vertAlign w:val="baseline"/>
                <w:lang w:val="en-US" w:eastAsia="zh-CN"/>
              </w:rPr>
              <w:t>（</w:t>
            </w:r>
            <w:r>
              <w:rPr>
                <w:rFonts w:hint="default" w:ascii="Times New Roman" w:hAnsi="Times New Roman" w:cs="Times New Roman"/>
                <w:color w:val="auto"/>
                <w:sz w:val="21"/>
                <w:szCs w:val="21"/>
                <w:highlight w:val="none"/>
                <w:vertAlign w:val="baseline"/>
                <w:lang w:val="en-US" w:eastAsia="zh-CN"/>
              </w:rPr>
              <w:t>主观分</w:t>
            </w:r>
            <w:r>
              <w:rPr>
                <w:rFonts w:hint="eastAsia" w:ascii="Times New Roman" w:hAnsi="Times New Roman" w:cs="Times New Roman"/>
                <w:color w:val="auto"/>
                <w:sz w:val="21"/>
                <w:szCs w:val="21"/>
                <w:highlight w:val="none"/>
                <w:vertAlign w:val="baseline"/>
                <w:lang w:val="en-US" w:eastAsia="zh-CN"/>
              </w:rPr>
              <w:t>）</w:t>
            </w:r>
          </w:p>
          <w:p w14:paraId="2E8B3FE8">
            <w:pPr>
              <w:spacing w:line="360" w:lineRule="auto"/>
              <w:rPr>
                <w:rFonts w:hint="eastAsia"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val="en-US" w:eastAsia="zh-CN"/>
              </w:rPr>
              <w:t>0</w:t>
            </w:r>
            <w:r>
              <w:rPr>
                <w:rFonts w:hint="eastAsia" w:ascii="宋体" w:hAnsi="宋体"/>
                <w:color w:val="auto"/>
                <w:highlight w:val="none"/>
              </w:rPr>
              <w:t>分）：</w:t>
            </w:r>
            <w:r>
              <w:rPr>
                <w:rFonts w:hint="default" w:ascii="Times New Roman" w:hAnsi="Times New Roman" w:cs="Times New Roman"/>
                <w:color w:val="auto"/>
                <w:sz w:val="21"/>
                <w:szCs w:val="21"/>
                <w:highlight w:val="none"/>
                <w:vertAlign w:val="baseline"/>
                <w:lang w:val="en-US" w:eastAsia="zh-CN"/>
              </w:rPr>
              <w:t>未提供</w:t>
            </w:r>
            <w:r>
              <w:rPr>
                <w:rFonts w:hint="eastAsia" w:cs="Times New Roman"/>
                <w:color w:val="auto"/>
                <w:sz w:val="21"/>
                <w:szCs w:val="21"/>
                <w:highlight w:val="none"/>
                <w:vertAlign w:val="baseline"/>
                <w:lang w:val="en-US" w:eastAsia="zh-CN"/>
              </w:rPr>
              <w:t>进度控制措施</w:t>
            </w:r>
            <w:r>
              <w:rPr>
                <w:rFonts w:hint="default" w:ascii="Times New Roman" w:hAnsi="Times New Roman" w:cs="Times New Roman"/>
                <w:color w:val="auto"/>
                <w:sz w:val="21"/>
                <w:szCs w:val="21"/>
                <w:highlight w:val="none"/>
                <w:vertAlign w:val="baseline"/>
                <w:lang w:val="en-US" w:eastAsia="zh-CN"/>
              </w:rPr>
              <w:t>。</w:t>
            </w:r>
          </w:p>
          <w:p w14:paraId="751447B5">
            <w:pPr>
              <w:spacing w:line="360" w:lineRule="auto"/>
              <w:rPr>
                <w:rFonts w:ascii="宋体" w:hAnsi="宋体"/>
                <w:color w:val="auto"/>
                <w:highlight w:val="none"/>
              </w:rPr>
            </w:pPr>
            <w:r>
              <w:rPr>
                <w:rFonts w:hint="eastAsia" w:ascii="宋体" w:hAnsi="宋体"/>
                <w:color w:val="auto"/>
                <w:highlight w:val="none"/>
                <w:lang w:eastAsia="zh-CN"/>
              </w:rPr>
              <w:t>二档（</w:t>
            </w:r>
            <w:r>
              <w:rPr>
                <w:rFonts w:hint="eastAsia" w:ascii="宋体" w:hAnsi="宋体"/>
                <w:color w:val="auto"/>
                <w:highlight w:val="none"/>
                <w:lang w:val="en-US" w:eastAsia="zh-CN"/>
              </w:rPr>
              <w:t>3分</w:t>
            </w:r>
            <w:r>
              <w:rPr>
                <w:rFonts w:hint="eastAsia" w:ascii="宋体" w:hAnsi="宋体"/>
                <w:color w:val="auto"/>
                <w:highlight w:val="none"/>
                <w:lang w:eastAsia="zh-CN"/>
              </w:rPr>
              <w:t>）：</w:t>
            </w:r>
            <w:r>
              <w:rPr>
                <w:rFonts w:hint="eastAsia" w:ascii="宋体" w:hAnsi="宋体"/>
                <w:color w:val="auto"/>
                <w:highlight w:val="none"/>
              </w:rPr>
              <w:t>审核进度控制措施内容简单，包含进度控制制度、组织架构、流程、工作职责。</w:t>
            </w:r>
          </w:p>
          <w:p w14:paraId="34D9ED70">
            <w:pPr>
              <w:spacing w:line="360" w:lineRule="auto"/>
              <w:rPr>
                <w:rFonts w:hint="eastAsia" w:ascii="宋体" w:hAnsi="宋体"/>
                <w:color w:val="auto"/>
                <w:highlight w:val="none"/>
              </w:rPr>
            </w:pPr>
            <w:r>
              <w:rPr>
                <w:rFonts w:hint="eastAsia" w:ascii="宋体" w:hAnsi="宋体"/>
                <w:color w:val="auto"/>
                <w:highlight w:val="none"/>
                <w:lang w:eastAsia="zh-CN"/>
              </w:rPr>
              <w:t>三</w:t>
            </w:r>
            <w:r>
              <w:rPr>
                <w:rFonts w:hint="eastAsia" w:ascii="宋体" w:hAnsi="宋体"/>
                <w:color w:val="auto"/>
                <w:highlight w:val="none"/>
              </w:rPr>
              <w:t>档（</w:t>
            </w:r>
            <w:r>
              <w:rPr>
                <w:rFonts w:hint="eastAsia" w:ascii="宋体" w:hAnsi="宋体"/>
                <w:color w:val="auto"/>
                <w:highlight w:val="none"/>
                <w:lang w:val="en-US" w:eastAsia="zh-CN"/>
              </w:rPr>
              <w:t>7</w:t>
            </w:r>
            <w:r>
              <w:rPr>
                <w:rFonts w:hint="eastAsia" w:ascii="宋体" w:hAnsi="宋体"/>
                <w:color w:val="auto"/>
                <w:highlight w:val="none"/>
              </w:rPr>
              <w:t>分）：审核进度控制措施内容具体，进度控制制度完善，组织架构清晰，流程规范，工作职责明确；控制审核进度按规定时间完成的相对应措施；对审核资料、现场踏勘、项目对数、复核后的修改、会议组织、资料整理归档等环节提出具体的控制措施。</w:t>
            </w:r>
          </w:p>
          <w:p w14:paraId="07F719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highlight w:val="none"/>
                <w:vertAlign w:val="baseline"/>
                <w:lang w:val="en-US" w:eastAsia="zh-CN"/>
              </w:rPr>
            </w:pPr>
            <w:r>
              <w:rPr>
                <w:rFonts w:hint="eastAsia" w:ascii="宋体" w:hAnsi="宋体"/>
                <w:color w:val="auto"/>
                <w:highlight w:val="none"/>
                <w:lang w:eastAsia="zh-CN"/>
              </w:rPr>
              <w:t>四</w:t>
            </w:r>
            <w:r>
              <w:rPr>
                <w:rFonts w:hint="eastAsia" w:ascii="宋体" w:hAnsi="宋体"/>
                <w:color w:val="auto"/>
                <w:highlight w:val="none"/>
              </w:rPr>
              <w:t>档（</w:t>
            </w:r>
            <w:r>
              <w:rPr>
                <w:rFonts w:hint="eastAsia" w:ascii="宋体" w:hAnsi="宋体"/>
                <w:color w:val="auto"/>
                <w:highlight w:val="none"/>
                <w:lang w:val="en-US" w:eastAsia="zh-CN"/>
              </w:rPr>
              <w:t>15</w:t>
            </w:r>
            <w:r>
              <w:rPr>
                <w:rFonts w:hint="eastAsia" w:ascii="宋体" w:hAnsi="宋体"/>
                <w:color w:val="auto"/>
                <w:highlight w:val="none"/>
              </w:rPr>
              <w:t>分）：审核进度控制措施内容具体，进度控制制度完善，组织架构清晰，流程规范，工作职责明确；控制审核进度按规定时间缩短的相对应措施，具有可操作性，针对性强；对审核资料、现场踏勘、项目对数、复核后的修改、会议组织、资料整理归档等环节提出具体的控制措施，因审核资料不完整和送审单位对数响应不及时影响审核时间采取的应对措施。</w:t>
            </w:r>
          </w:p>
        </w:tc>
        <w:tc>
          <w:tcPr>
            <w:tcW w:w="617" w:type="dxa"/>
            <w:vAlign w:val="center"/>
          </w:tcPr>
          <w:p w14:paraId="2A1FBA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0-15</w:t>
            </w:r>
          </w:p>
        </w:tc>
        <w:tc>
          <w:tcPr>
            <w:tcW w:w="2171" w:type="dxa"/>
          </w:tcPr>
          <w:p w14:paraId="11A0B2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附</w:t>
            </w:r>
            <w:r>
              <w:rPr>
                <w:rFonts w:hint="default" w:ascii="Times New Roman" w:hAnsi="Times New Roman" w:eastAsia="宋体" w:cs="Times New Roman"/>
                <w:b w:val="0"/>
                <w:bCs/>
                <w:color w:val="auto"/>
                <w:szCs w:val="21"/>
                <w:highlight w:val="none"/>
              </w:rPr>
              <w:t>进度控制措施</w:t>
            </w:r>
            <w:r>
              <w:rPr>
                <w:rFonts w:hint="eastAsia" w:cs="Times New Roman"/>
                <w:b w:val="0"/>
                <w:bCs/>
                <w:color w:val="auto"/>
                <w:szCs w:val="21"/>
                <w:highlight w:val="none"/>
                <w:lang w:eastAsia="zh-CN"/>
              </w:rPr>
              <w:t>。</w:t>
            </w:r>
          </w:p>
        </w:tc>
      </w:tr>
      <w:tr w14:paraId="06A8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tcPr>
          <w:p w14:paraId="003D0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882" w:type="dxa"/>
            <w:vMerge w:val="continue"/>
          </w:tcPr>
          <w:p w14:paraId="774CC4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p>
        </w:tc>
        <w:tc>
          <w:tcPr>
            <w:tcW w:w="4871" w:type="dxa"/>
          </w:tcPr>
          <w:p w14:paraId="3BDECB78">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评审报告编制水平</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主观分</w:t>
            </w:r>
            <w:r>
              <w:rPr>
                <w:rFonts w:hint="eastAsia" w:ascii="Times New Roman" w:hAnsi="Times New Roman" w:cs="Times New Roman"/>
                <w:color w:val="auto"/>
                <w:highlight w:val="none"/>
                <w:vertAlign w:val="baseline"/>
                <w:lang w:val="en-US" w:eastAsia="zh-CN"/>
              </w:rPr>
              <w:t>）</w:t>
            </w:r>
          </w:p>
          <w:p w14:paraId="61EDC4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一档</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0分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未提供符合要求的评审报告。</w:t>
            </w:r>
          </w:p>
          <w:p w14:paraId="50099B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二档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7</w:t>
            </w:r>
            <w:r>
              <w:rPr>
                <w:rFonts w:hint="default" w:ascii="Times New Roman" w:hAnsi="Times New Roman" w:cs="Times New Roman"/>
                <w:color w:val="auto"/>
                <w:highlight w:val="none"/>
                <w:vertAlign w:val="baseline"/>
                <w:lang w:val="en-US" w:eastAsia="zh-CN"/>
              </w:rPr>
              <w:t>分</w:t>
            </w:r>
            <w:r>
              <w:rPr>
                <w:rFonts w:hint="eastAsia" w:ascii="Times New Roman" w:hAnsi="Times New Roman" w:cs="Times New Roman"/>
                <w:color w:val="auto"/>
                <w:highlight w:val="none"/>
                <w:vertAlign w:val="baseline"/>
                <w:lang w:val="en-US" w:eastAsia="zh-CN"/>
              </w:rPr>
              <w:t>）</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评审报告内容不完整、数据准确、依据合理。评审内容不全面、完整，评审结论定性客观，定量准确。</w:t>
            </w:r>
          </w:p>
          <w:p w14:paraId="4BC02E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三档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13</w:t>
            </w:r>
            <w:r>
              <w:rPr>
                <w:rFonts w:hint="default" w:ascii="Times New Roman" w:hAnsi="Times New Roman" w:cs="Times New Roman"/>
                <w:color w:val="auto"/>
                <w:highlight w:val="none"/>
                <w:vertAlign w:val="baseline"/>
                <w:lang w:val="en-US" w:eastAsia="zh-CN"/>
              </w:rPr>
              <w:t>分</w:t>
            </w:r>
            <w:r>
              <w:rPr>
                <w:rFonts w:hint="eastAsia" w:ascii="Times New Roman" w:hAnsi="Times New Roman" w:cs="Times New Roman"/>
                <w:color w:val="auto"/>
                <w:highlight w:val="none"/>
                <w:vertAlign w:val="baseline"/>
                <w:lang w:val="en-US" w:eastAsia="zh-CN"/>
              </w:rPr>
              <w:t>）</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评审报告内容完整、数据精准、依据充分，评审结论定性客观到位，定量精确，依据充分，表达清楚、完整。</w:t>
            </w:r>
          </w:p>
          <w:p w14:paraId="6DAECE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四档</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20</w:t>
            </w:r>
            <w:r>
              <w:rPr>
                <w:rFonts w:hint="default" w:ascii="Times New Roman" w:hAnsi="Times New Roman" w:cs="Times New Roman"/>
                <w:color w:val="auto"/>
                <w:highlight w:val="none"/>
                <w:vertAlign w:val="baseline"/>
                <w:lang w:val="en-US" w:eastAsia="zh-CN"/>
              </w:rPr>
              <w:t>分</w:t>
            </w:r>
            <w:r>
              <w:rPr>
                <w:rFonts w:hint="eastAsia" w:ascii="Times New Roman" w:hAnsi="Times New Roman" w:cs="Times New Roman"/>
                <w:color w:val="auto"/>
                <w:highlight w:val="none"/>
                <w:vertAlign w:val="baseline"/>
                <w:lang w:val="en-US" w:eastAsia="zh-CN"/>
              </w:rPr>
              <w:t>）</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满足三档的基础上，核增核减原因定性准确、条理清晰，披露评审问题有理有据、分析透彻，提出评审建议措施具体、针对性强。</w:t>
            </w:r>
          </w:p>
        </w:tc>
        <w:tc>
          <w:tcPr>
            <w:tcW w:w="617" w:type="dxa"/>
            <w:vAlign w:val="center"/>
          </w:tcPr>
          <w:p w14:paraId="4E33B4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cs="Times New Roman"/>
                <w:color w:val="auto"/>
                <w:highlight w:val="none"/>
                <w:vertAlign w:val="baseline"/>
                <w:lang w:val="en-US" w:eastAsia="zh-CN"/>
              </w:rPr>
              <w:t>0-20</w:t>
            </w:r>
          </w:p>
        </w:tc>
        <w:tc>
          <w:tcPr>
            <w:tcW w:w="2171" w:type="dxa"/>
          </w:tcPr>
          <w:p w14:paraId="285076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w:t>
            </w:r>
            <w:r>
              <w:rPr>
                <w:rFonts w:hint="default" w:ascii="Times New Roman" w:hAnsi="Times New Roman" w:cs="Times New Roman"/>
                <w:color w:val="auto"/>
                <w:highlight w:val="none"/>
                <w:vertAlign w:val="baseline"/>
                <w:lang w:val="en-US" w:eastAsia="zh-CN"/>
              </w:rPr>
              <w:t>202</w:t>
            </w:r>
            <w:r>
              <w:rPr>
                <w:rFonts w:hint="eastAsia" w:cs="Times New Roman"/>
                <w:color w:val="auto"/>
                <w:highlight w:val="none"/>
                <w:vertAlign w:val="baseline"/>
                <w:lang w:val="en-US" w:eastAsia="zh-CN"/>
              </w:rPr>
              <w:t>0</w:t>
            </w:r>
            <w:r>
              <w:rPr>
                <w:rFonts w:hint="default" w:ascii="Times New Roman" w:hAnsi="Times New Roman" w:cs="Times New Roman"/>
                <w:color w:val="auto"/>
                <w:highlight w:val="none"/>
                <w:vertAlign w:val="baseline"/>
                <w:lang w:val="en-US" w:eastAsia="zh-CN"/>
              </w:rPr>
              <w:t>年1月1日</w:t>
            </w:r>
            <w:r>
              <w:rPr>
                <w:rFonts w:hint="default" w:ascii="Times New Roman" w:hAnsi="Times New Roman" w:cs="Times New Roman"/>
                <w:color w:val="auto"/>
                <w:highlight w:val="none"/>
                <w:vertAlign w:val="baseline"/>
                <w:lang w:val="en-US" w:eastAsia="zh-CN"/>
              </w:rPr>
              <w:t>至今，供应商承接的财政、审计部门评审业务的一份工程类项目评审报告</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只提供正文部分，不需要提供附件</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为评分依据。2.如附多份评审报告，仅以第一份为评分依据。</w:t>
            </w:r>
          </w:p>
        </w:tc>
      </w:tr>
      <w:tr w14:paraId="1DB4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14:paraId="18D79C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2</w:t>
            </w:r>
          </w:p>
        </w:tc>
        <w:tc>
          <w:tcPr>
            <w:tcW w:w="882" w:type="dxa"/>
            <w:vMerge w:val="restart"/>
            <w:vAlign w:val="center"/>
          </w:tcPr>
          <w:p w14:paraId="70D35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商务资信分</w:t>
            </w:r>
          </w:p>
        </w:tc>
        <w:tc>
          <w:tcPr>
            <w:tcW w:w="4871" w:type="dxa"/>
            <w:vAlign w:val="center"/>
          </w:tcPr>
          <w:p w14:paraId="7EA1BBEC">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业绩</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客观分</w:t>
            </w:r>
            <w:r>
              <w:rPr>
                <w:rFonts w:hint="eastAsia" w:ascii="Times New Roman" w:hAnsi="Times New Roman" w:cs="Times New Roman"/>
                <w:color w:val="auto"/>
                <w:highlight w:val="none"/>
                <w:vertAlign w:val="baseline"/>
                <w:lang w:val="en-US" w:eastAsia="zh-CN"/>
              </w:rPr>
              <w:t>）</w:t>
            </w:r>
          </w:p>
          <w:p w14:paraId="30AD6A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2021年1月1日-至今，承接过财政或审计部门委托评审的土建或水利或交通或市政工程的竣工结算审核项目，且有本次拟投入评审人员参与的，每个得 1 分。（要求提供工程竣工结算审核项目业绩）。</w:t>
            </w:r>
          </w:p>
          <w:p w14:paraId="55B2C4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注：1.响应文件中提供有效的合同书或委托文件和加盖委托单位公章的项目审定单（或结论书或定案表）等证明文件原件扫描件并加盖供应商电子公章，否则不予计分。</w:t>
            </w:r>
          </w:p>
          <w:p w14:paraId="7045D9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2.人员以供应商承诺函为准，承诺函附在《项目业绩一览表》后，否则不予计分。</w:t>
            </w:r>
          </w:p>
        </w:tc>
        <w:tc>
          <w:tcPr>
            <w:tcW w:w="617" w:type="dxa"/>
            <w:vAlign w:val="center"/>
          </w:tcPr>
          <w:p w14:paraId="4C4271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0-</w:t>
            </w:r>
            <w:r>
              <w:rPr>
                <w:rFonts w:hint="eastAsia" w:cs="Times New Roman"/>
                <w:color w:val="auto"/>
                <w:highlight w:val="none"/>
                <w:vertAlign w:val="baseline"/>
                <w:lang w:val="en-US" w:eastAsia="zh-CN"/>
              </w:rPr>
              <w:t>10</w:t>
            </w:r>
          </w:p>
        </w:tc>
        <w:tc>
          <w:tcPr>
            <w:tcW w:w="2171" w:type="dxa"/>
            <w:vAlign w:val="center"/>
          </w:tcPr>
          <w:p w14:paraId="347FB8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1.附单位委托文件或合同或审定单等证明材料。</w:t>
            </w:r>
          </w:p>
        </w:tc>
      </w:tr>
      <w:tr w14:paraId="724C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14:paraId="0AFB8F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highlight w:val="none"/>
                <w:vertAlign w:val="baseline"/>
                <w:lang w:val="en-US" w:eastAsia="zh-CN"/>
              </w:rPr>
            </w:pPr>
          </w:p>
        </w:tc>
        <w:tc>
          <w:tcPr>
            <w:tcW w:w="882" w:type="dxa"/>
            <w:vMerge w:val="continue"/>
            <w:vAlign w:val="center"/>
          </w:tcPr>
          <w:p w14:paraId="34663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highlight w:val="none"/>
                <w:vertAlign w:val="baseline"/>
                <w:lang w:val="en-US" w:eastAsia="zh-CN"/>
              </w:rPr>
            </w:pPr>
          </w:p>
        </w:tc>
        <w:tc>
          <w:tcPr>
            <w:tcW w:w="4871" w:type="dxa"/>
            <w:vAlign w:val="center"/>
          </w:tcPr>
          <w:p w14:paraId="62AC18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8、投资评审质量</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客观分</w:t>
            </w:r>
            <w:r>
              <w:rPr>
                <w:rFonts w:hint="eastAsia" w:ascii="Times New Roman" w:hAnsi="Times New Roman" w:cs="Times New Roman"/>
                <w:color w:val="auto"/>
                <w:highlight w:val="none"/>
                <w:vertAlign w:val="baseline"/>
                <w:lang w:val="en-US" w:eastAsia="zh-CN"/>
              </w:rPr>
              <w:t>）</w:t>
            </w:r>
            <w:r>
              <w:rPr>
                <w:rFonts w:hint="default" w:ascii="Times New Roman" w:hAnsi="Times New Roman" w:cs="Times New Roman"/>
                <w:color w:val="auto"/>
                <w:highlight w:val="none"/>
                <w:vertAlign w:val="baseline"/>
                <w:lang w:val="en-US" w:eastAsia="zh-CN"/>
              </w:rPr>
              <w:t>202</w:t>
            </w:r>
            <w:r>
              <w:rPr>
                <w:rFonts w:hint="eastAsia" w:cs="Times New Roman"/>
                <w:color w:val="auto"/>
                <w:highlight w:val="none"/>
                <w:vertAlign w:val="baseline"/>
                <w:lang w:val="en-US" w:eastAsia="zh-CN"/>
              </w:rPr>
              <w:t>0</w:t>
            </w:r>
            <w:r>
              <w:rPr>
                <w:rFonts w:hint="default" w:ascii="Times New Roman" w:hAnsi="Times New Roman" w:cs="Times New Roman"/>
                <w:color w:val="auto"/>
                <w:highlight w:val="none"/>
                <w:vertAlign w:val="baseline"/>
                <w:lang w:val="en-US" w:eastAsia="zh-CN"/>
              </w:rPr>
              <w:t>年1月1日</w:t>
            </w:r>
            <w:r>
              <w:rPr>
                <w:rFonts w:hint="default" w:ascii="Times New Roman" w:hAnsi="Times New Roman" w:cs="Times New Roman"/>
                <w:color w:val="auto"/>
                <w:highlight w:val="none"/>
                <w:vertAlign w:val="baseline"/>
                <w:lang w:val="en-US" w:eastAsia="zh-CN"/>
              </w:rPr>
              <w:t>至今，供应商承接承接</w:t>
            </w:r>
            <w:r>
              <w:rPr>
                <w:rFonts w:hint="eastAsia" w:cs="Times New Roman"/>
                <w:color w:val="auto"/>
                <w:highlight w:val="none"/>
                <w:vertAlign w:val="baseline"/>
                <w:lang w:val="en-US" w:eastAsia="zh-CN"/>
              </w:rPr>
              <w:t>财政、审计</w:t>
            </w:r>
            <w:r>
              <w:rPr>
                <w:rFonts w:hint="eastAsia" w:cs="Times New Roman"/>
                <w:color w:val="auto"/>
                <w:highlight w:val="none"/>
                <w:vertAlign w:val="baseline"/>
                <w:lang w:val="en-US" w:eastAsia="zh-CN"/>
              </w:rPr>
              <w:t>委托的</w:t>
            </w:r>
            <w:r>
              <w:rPr>
                <w:rFonts w:hint="default" w:ascii="Times New Roman" w:hAnsi="Times New Roman" w:cs="Times New Roman"/>
                <w:color w:val="auto"/>
                <w:highlight w:val="none"/>
                <w:vertAlign w:val="baseline"/>
                <w:lang w:val="en-US" w:eastAsia="zh-CN"/>
              </w:rPr>
              <w:t>部门投资评审业务期间，未发生因质量问题被终止合作业务的得2分。</w:t>
            </w:r>
          </w:p>
        </w:tc>
        <w:tc>
          <w:tcPr>
            <w:tcW w:w="617" w:type="dxa"/>
            <w:vAlign w:val="center"/>
          </w:tcPr>
          <w:p w14:paraId="150F6B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0-2</w:t>
            </w:r>
          </w:p>
        </w:tc>
        <w:tc>
          <w:tcPr>
            <w:tcW w:w="2171" w:type="dxa"/>
            <w:vAlign w:val="center"/>
          </w:tcPr>
          <w:p w14:paraId="1BDC7C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以供应商承诺函为准。</w:t>
            </w:r>
          </w:p>
        </w:tc>
      </w:tr>
      <w:bookmarkEnd w:id="119"/>
    </w:tbl>
    <w:p w14:paraId="37C6641A">
      <w:pPr>
        <w:pStyle w:val="4"/>
        <w:keepNext w:val="0"/>
        <w:keepLines w:val="0"/>
        <w:jc w:val="both"/>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32"/>
          <w:szCs w:val="32"/>
          <w:highlight w:val="none"/>
          <w:lang w:val="en-US" w:eastAsia="zh-CN" w:bidi="ar-SA"/>
        </w:rPr>
        <w:t>四、入围候选人推荐原则</w:t>
      </w:r>
    </w:p>
    <w:p w14:paraId="558C280F">
      <w:pPr>
        <w:pStyle w:val="23"/>
        <w:spacing w:line="360" w:lineRule="auto"/>
        <w:contextualSpacing/>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 质量优先法</w:t>
      </w:r>
    </w:p>
    <w:p w14:paraId="7320AA54">
      <w:pPr>
        <w:pStyle w:val="23"/>
        <w:spacing w:line="360" w:lineRule="auto"/>
        <w:ind w:firstLine="420" w:firstLineChars="200"/>
        <w:contextualSpacing/>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入围标准：通过资格性审查和符合性审查的</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数量多于或等于三家的，均须对通过符合性审查的</w:t>
      </w:r>
      <w:r>
        <w:rPr>
          <w:rFonts w:hint="eastAsia" w:ascii="Times New Roman" w:hAnsi="Times New Roman" w:eastAsia="宋体" w:cs="Times New Roman"/>
          <w:color w:val="auto"/>
          <w:sz w:val="21"/>
          <w:highlight w:val="none"/>
          <w:lang w:eastAsia="zh-CN"/>
        </w:rPr>
        <w:t>供应商</w:t>
      </w:r>
      <w:r>
        <w:rPr>
          <w:rFonts w:hint="default" w:ascii="Times New Roman" w:hAnsi="Times New Roman" w:eastAsia="宋体" w:cs="Times New Roman"/>
          <w:color w:val="auto"/>
          <w:sz w:val="21"/>
          <w:highlight w:val="none"/>
        </w:rPr>
        <w:t xml:space="preserve">进行评分和排序。评委根据总得分从高分到低分进行排名，按排名先后顺序确定入围供应商，如出现总得分相等时，按技术分高优先，如技术分得分亦相等时，则由技术分2.1高的优先，如2.1相等时，则由技术分2.2高的优先，以此类推，直至得出结果。若所有分值完全一致则随机抽签选取入围供应商。当满足淘汰率不低于20%且至少淘汰1家供应商，淘汰后剩余的供应商数量超出征集文件约定的供应商入围数量上限时，排名前 </w:t>
      </w:r>
      <w:r>
        <w:rPr>
          <w:rFonts w:hint="default" w:ascii="Times New Roman" w:hAnsi="Times New Roman" w:eastAsia="宋体" w:cs="Times New Roman"/>
          <w:color w:val="auto"/>
          <w:sz w:val="21"/>
          <w:highlight w:val="none"/>
          <w:lang w:val="en-US" w:eastAsia="zh-CN"/>
        </w:rPr>
        <w:t>1</w:t>
      </w:r>
      <w:r>
        <w:rPr>
          <w:rFonts w:hint="eastAsia" w:ascii="Times New Roman" w:hAnsi="Times New Roman" w:cs="Times New Roman"/>
          <w:color w:val="auto"/>
          <w:sz w:val="21"/>
          <w:highlight w:val="none"/>
          <w:lang w:val="en-US" w:eastAsia="zh-CN"/>
        </w:rPr>
        <w:t>2</w:t>
      </w:r>
      <w:r>
        <w:rPr>
          <w:rFonts w:hint="default" w:ascii="Times New Roman" w:hAnsi="Times New Roman" w:eastAsia="宋体" w:cs="Times New Roman"/>
          <w:color w:val="auto"/>
          <w:sz w:val="21"/>
          <w:highlight w:val="none"/>
        </w:rPr>
        <w:t>名为该标段入围供应商；当满足淘汰率不低于20%且至少淘汰 1 家供应商，淘汰后剩余的供应商数量少于征集文件约定的供应商入围数量上限时，淘汰后剩余的供应商即为该标段入围供应商。</w:t>
      </w:r>
    </w:p>
    <w:p w14:paraId="2C97A58D">
      <w:pPr>
        <w:spacing w:before="120" w:beforeLines="50" w:after="120" w:afterLines="50" w:line="400" w:lineRule="exact"/>
        <w:jc w:val="cente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五、评审报告</w:t>
      </w:r>
    </w:p>
    <w:p w14:paraId="4C0CFD0B">
      <w:pPr>
        <w:spacing w:before="120" w:beforeLines="50" w:after="120" w:afterLines="50" w:line="400" w:lineRule="exac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（一）评审报告与推荐入围候选人</w:t>
      </w:r>
    </w:p>
    <w:p w14:paraId="1B4E05F3">
      <w:pPr>
        <w:pStyle w:val="23"/>
        <w:spacing w:line="360" w:lineRule="auto"/>
        <w:ind w:firstLine="420" w:firstLineChars="200"/>
        <w:contextualSpacing/>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评审委员会根据原始评审记录和评审结果编写评审报告，并通过电子交易平台向征集人、采购代理机构提交。</w:t>
      </w:r>
    </w:p>
    <w:p w14:paraId="0B6307A1">
      <w:pPr>
        <w:spacing w:before="120" w:beforeLines="50" w:after="120" w:afterLines="50" w:line="400" w:lineRule="exac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（二）评审争议事项处理</w:t>
      </w:r>
    </w:p>
    <w:p w14:paraId="61BD18BD">
      <w:pPr>
        <w:pStyle w:val="23"/>
        <w:spacing w:line="360" w:lineRule="auto"/>
        <w:ind w:firstLine="420" w:firstLineChars="200"/>
        <w:contextualSpacing/>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评审委员会成员对需要共同认定的事项存在争议的，应当按照少数服从多数的原则作出结论。持不同意见的评审委员会成员应当在评审报告上签署不同意见及理由，否则视为同意评审报告</w:t>
      </w:r>
      <w:r>
        <w:rPr>
          <w:rFonts w:hint="default" w:ascii="Times New Roman" w:hAnsi="Times New Roman" w:eastAsia="宋体" w:cs="Times New Roman"/>
          <w:color w:val="auto"/>
          <w:sz w:val="21"/>
          <w:highlight w:val="none"/>
          <w:lang w:eastAsia="zh-CN"/>
        </w:rPr>
        <w:t>。</w:t>
      </w:r>
    </w:p>
    <w:p w14:paraId="3BF00B2B">
      <w:pPr>
        <w:spacing w:before="120" w:beforeLines="50" w:after="120" w:afterLines="50" w:line="400" w:lineRule="exact"/>
        <w:rPr>
          <w:rFonts w:hint="eastAsia" w:ascii="宋体" w:hAnsi="宋体" w:eastAsia="宋体" w:cs="宋体"/>
          <w:b/>
          <w:color w:val="auto"/>
          <w:sz w:val="24"/>
          <w:highlight w:val="none"/>
        </w:rPr>
      </w:pPr>
    </w:p>
    <w:p w14:paraId="6F505078">
      <w:pPr>
        <w:spacing w:before="120" w:beforeLines="50" w:after="120" w:afterLines="50" w:line="400" w:lineRule="exact"/>
        <w:rPr>
          <w:rFonts w:hint="eastAsia" w:ascii="宋体" w:hAnsi="宋体" w:eastAsia="宋体" w:cs="宋体"/>
          <w:b/>
          <w:color w:val="auto"/>
          <w:sz w:val="24"/>
          <w:highlight w:val="none"/>
        </w:rPr>
      </w:pPr>
    </w:p>
    <w:p w14:paraId="6F037836">
      <w:pPr>
        <w:spacing w:before="120" w:beforeLines="50" w:after="120" w:afterLines="50" w:line="400" w:lineRule="exact"/>
        <w:rPr>
          <w:rFonts w:hint="eastAsia" w:ascii="宋体" w:hAnsi="宋体" w:eastAsia="宋体" w:cs="宋体"/>
          <w:b/>
          <w:color w:val="auto"/>
          <w:sz w:val="24"/>
          <w:highlight w:val="none"/>
        </w:rPr>
      </w:pPr>
    </w:p>
    <w:p w14:paraId="2DC1F63F">
      <w:pPr>
        <w:spacing w:before="120" w:beforeLines="50" w:after="120" w:afterLines="50" w:line="400" w:lineRule="exact"/>
        <w:rPr>
          <w:rFonts w:hint="eastAsia" w:ascii="宋体" w:hAnsi="宋体" w:eastAsia="宋体" w:cs="宋体"/>
          <w:b/>
          <w:color w:val="auto"/>
          <w:sz w:val="24"/>
          <w:highlight w:val="none"/>
        </w:rPr>
      </w:pPr>
    </w:p>
    <w:p w14:paraId="75E578FF">
      <w:pPr>
        <w:spacing w:before="120" w:beforeLines="50" w:after="120" w:afterLines="50" w:line="400" w:lineRule="exact"/>
        <w:rPr>
          <w:rFonts w:hint="eastAsia" w:ascii="宋体" w:hAnsi="宋体" w:eastAsia="宋体" w:cs="宋体"/>
          <w:b/>
          <w:color w:val="auto"/>
          <w:sz w:val="24"/>
          <w:highlight w:val="none"/>
        </w:rPr>
      </w:pPr>
    </w:p>
    <w:p w14:paraId="17AB7927">
      <w:pPr>
        <w:spacing w:before="120" w:beforeLines="50" w:after="120" w:afterLines="50" w:line="400" w:lineRule="exact"/>
        <w:rPr>
          <w:rFonts w:hint="eastAsia" w:ascii="宋体" w:hAnsi="宋体" w:eastAsia="宋体" w:cs="宋体"/>
          <w:b/>
          <w:color w:val="auto"/>
          <w:sz w:val="24"/>
          <w:highlight w:val="none"/>
        </w:rPr>
      </w:pPr>
    </w:p>
    <w:p w14:paraId="70CEA1BE">
      <w:pPr>
        <w:spacing w:before="120" w:beforeLines="50" w:after="120" w:afterLines="50" w:line="400" w:lineRule="exact"/>
        <w:rPr>
          <w:rFonts w:hint="eastAsia" w:ascii="宋体" w:hAnsi="宋体" w:eastAsia="宋体" w:cs="宋体"/>
          <w:b/>
          <w:color w:val="auto"/>
          <w:sz w:val="24"/>
          <w:highlight w:val="none"/>
        </w:rPr>
      </w:pPr>
    </w:p>
    <w:p w14:paraId="778368D4">
      <w:pPr>
        <w:spacing w:before="120" w:beforeLines="50" w:after="120" w:afterLines="50" w:line="400" w:lineRule="exact"/>
        <w:rPr>
          <w:rFonts w:hint="eastAsia" w:ascii="宋体" w:hAnsi="宋体" w:eastAsia="宋体" w:cs="宋体"/>
          <w:b/>
          <w:color w:val="auto"/>
          <w:sz w:val="24"/>
          <w:highlight w:val="none"/>
        </w:rPr>
      </w:pPr>
    </w:p>
    <w:p w14:paraId="5A82551F">
      <w:pPr>
        <w:spacing w:before="120" w:beforeLines="50" w:after="120" w:afterLines="50" w:line="400" w:lineRule="exact"/>
        <w:rPr>
          <w:rFonts w:hint="eastAsia" w:ascii="宋体" w:hAnsi="宋体" w:eastAsia="宋体" w:cs="宋体"/>
          <w:b/>
          <w:color w:val="auto"/>
          <w:sz w:val="24"/>
          <w:highlight w:val="none"/>
        </w:rPr>
      </w:pPr>
    </w:p>
    <w:p w14:paraId="1FA65EE5">
      <w:pPr>
        <w:pStyle w:val="2"/>
        <w:jc w:val="center"/>
        <w:rPr>
          <w:rFonts w:hint="eastAsia" w:ascii="宋体" w:hAnsi="宋体" w:eastAsia="宋体" w:cs="宋体"/>
          <w:b/>
          <w:bCs/>
          <w:color w:val="auto"/>
          <w:highlight w:val="none"/>
        </w:rPr>
      </w:pPr>
      <w:bookmarkStart w:id="120" w:name="_Toc74323515"/>
    </w:p>
    <w:p w14:paraId="0008E9FA">
      <w:pPr>
        <w:pStyle w:val="2"/>
        <w:jc w:val="center"/>
        <w:rPr>
          <w:rFonts w:hint="eastAsia" w:ascii="宋体" w:hAnsi="宋体" w:eastAsia="宋体" w:cs="宋体"/>
          <w:b/>
          <w:bCs/>
          <w:color w:val="auto"/>
          <w:highlight w:val="none"/>
        </w:rPr>
      </w:pPr>
    </w:p>
    <w:p w14:paraId="536F88F2">
      <w:pPr>
        <w:pStyle w:val="2"/>
        <w:jc w:val="center"/>
        <w:rPr>
          <w:rFonts w:hint="eastAsia" w:ascii="宋体" w:hAnsi="宋体" w:eastAsia="宋体" w:cs="宋体"/>
          <w:color w:val="auto"/>
          <w:highlight w:val="none"/>
          <w:lang w:eastAsia="zh-CN"/>
        </w:rPr>
      </w:pPr>
      <w:r>
        <w:rPr>
          <w:rFonts w:hint="eastAsia" w:ascii="宋体" w:hAnsi="宋体" w:eastAsia="宋体" w:cs="宋体"/>
          <w:b/>
          <w:bCs/>
          <w:color w:val="auto"/>
          <w:highlight w:val="none"/>
        </w:rPr>
        <w:t xml:space="preserve">第五章  </w:t>
      </w:r>
      <w:bookmarkEnd w:id="120"/>
      <w:r>
        <w:rPr>
          <w:rFonts w:hint="eastAsia" w:ascii="宋体" w:hAnsi="宋体" w:eastAsia="宋体" w:cs="宋体"/>
          <w:b/>
          <w:bCs/>
          <w:color w:val="auto"/>
          <w:highlight w:val="none"/>
          <w:lang w:eastAsia="zh-CN"/>
        </w:rPr>
        <w:t>拟签订的框架协议文本和采购合同文本</w:t>
      </w:r>
    </w:p>
    <w:p w14:paraId="30228356">
      <w:pPr>
        <w:snapToGrid w:val="0"/>
        <w:jc w:val="center"/>
        <w:rPr>
          <w:rFonts w:hint="eastAsia" w:ascii="宋体" w:hAnsi="宋体" w:eastAsia="宋体" w:cs="宋体"/>
          <w:bCs/>
          <w:color w:val="auto"/>
          <w:sz w:val="32"/>
          <w:szCs w:val="32"/>
          <w:highlight w:val="none"/>
        </w:rPr>
      </w:pPr>
    </w:p>
    <w:p w14:paraId="07D31BBF">
      <w:pPr>
        <w:snapToGrid w:val="0"/>
        <w:jc w:val="center"/>
        <w:rPr>
          <w:rFonts w:hint="eastAsia" w:ascii="宋体" w:hAnsi="宋体" w:eastAsia="宋体" w:cs="宋体"/>
          <w:bCs/>
          <w:color w:val="auto"/>
          <w:sz w:val="32"/>
          <w:szCs w:val="32"/>
          <w:highlight w:val="none"/>
        </w:rPr>
      </w:pPr>
    </w:p>
    <w:p w14:paraId="5253F66A">
      <w:pPr>
        <w:snapToGrid w:val="0"/>
        <w:jc w:val="center"/>
        <w:rPr>
          <w:rFonts w:hint="eastAsia" w:ascii="宋体" w:hAnsi="宋体" w:eastAsia="宋体" w:cs="宋体"/>
          <w:bCs/>
          <w:color w:val="auto"/>
          <w:sz w:val="32"/>
          <w:szCs w:val="32"/>
          <w:highlight w:val="none"/>
        </w:rPr>
      </w:pPr>
    </w:p>
    <w:p w14:paraId="40D8DDC9">
      <w:pPr>
        <w:snapToGrid w:val="0"/>
        <w:jc w:val="center"/>
        <w:rPr>
          <w:rFonts w:hint="eastAsia" w:ascii="宋体" w:hAnsi="宋体" w:eastAsia="宋体" w:cs="宋体"/>
          <w:bCs/>
          <w:color w:val="auto"/>
          <w:sz w:val="32"/>
          <w:szCs w:val="32"/>
          <w:highlight w:val="none"/>
        </w:rPr>
      </w:pPr>
    </w:p>
    <w:p w14:paraId="67E0DB6C">
      <w:pPr>
        <w:snapToGrid w:val="0"/>
        <w:jc w:val="center"/>
        <w:rPr>
          <w:rFonts w:hint="eastAsia" w:ascii="宋体" w:hAnsi="宋体" w:eastAsia="宋体" w:cs="宋体"/>
          <w:bCs/>
          <w:color w:val="auto"/>
          <w:sz w:val="32"/>
          <w:szCs w:val="32"/>
          <w:highlight w:val="none"/>
        </w:rPr>
      </w:pPr>
    </w:p>
    <w:p w14:paraId="0ED335B6">
      <w:pPr>
        <w:snapToGrid w:val="0"/>
        <w:jc w:val="center"/>
        <w:rPr>
          <w:rFonts w:hint="eastAsia" w:ascii="宋体" w:hAnsi="宋体" w:eastAsia="宋体" w:cs="宋体"/>
          <w:bCs/>
          <w:color w:val="auto"/>
          <w:sz w:val="32"/>
          <w:szCs w:val="32"/>
          <w:highlight w:val="none"/>
        </w:rPr>
      </w:pPr>
    </w:p>
    <w:p w14:paraId="633FF024">
      <w:pPr>
        <w:snapToGrid w:val="0"/>
        <w:jc w:val="center"/>
        <w:rPr>
          <w:rFonts w:hint="eastAsia" w:ascii="宋体" w:hAnsi="宋体" w:eastAsia="宋体" w:cs="宋体"/>
          <w:bCs/>
          <w:color w:val="auto"/>
          <w:sz w:val="32"/>
          <w:szCs w:val="32"/>
          <w:highlight w:val="none"/>
        </w:rPr>
      </w:pPr>
    </w:p>
    <w:p w14:paraId="0674B89A">
      <w:pPr>
        <w:snapToGrid w:val="0"/>
        <w:jc w:val="center"/>
        <w:rPr>
          <w:rFonts w:hint="eastAsia" w:ascii="宋体" w:hAnsi="宋体" w:eastAsia="宋体" w:cs="宋体"/>
          <w:bCs/>
          <w:color w:val="auto"/>
          <w:sz w:val="32"/>
          <w:szCs w:val="32"/>
          <w:highlight w:val="none"/>
        </w:rPr>
      </w:pPr>
    </w:p>
    <w:p w14:paraId="0B30598A">
      <w:pPr>
        <w:snapToGrid w:val="0"/>
        <w:jc w:val="center"/>
        <w:rPr>
          <w:rFonts w:hint="eastAsia" w:ascii="宋体" w:hAnsi="宋体" w:eastAsia="宋体" w:cs="宋体"/>
          <w:bCs/>
          <w:color w:val="auto"/>
          <w:sz w:val="32"/>
          <w:szCs w:val="32"/>
          <w:highlight w:val="none"/>
        </w:rPr>
      </w:pPr>
    </w:p>
    <w:p w14:paraId="2A3ADD38">
      <w:pPr>
        <w:snapToGrid w:val="0"/>
        <w:jc w:val="center"/>
        <w:rPr>
          <w:rFonts w:hint="eastAsia" w:ascii="宋体" w:hAnsi="宋体" w:eastAsia="宋体" w:cs="宋体"/>
          <w:bCs/>
          <w:color w:val="auto"/>
          <w:sz w:val="32"/>
          <w:szCs w:val="32"/>
          <w:highlight w:val="none"/>
        </w:rPr>
      </w:pPr>
    </w:p>
    <w:p w14:paraId="20623903">
      <w:pPr>
        <w:snapToGrid w:val="0"/>
        <w:jc w:val="center"/>
        <w:rPr>
          <w:rFonts w:hint="eastAsia" w:ascii="宋体" w:hAnsi="宋体" w:eastAsia="宋体" w:cs="宋体"/>
          <w:bCs/>
          <w:color w:val="auto"/>
          <w:sz w:val="32"/>
          <w:szCs w:val="32"/>
          <w:highlight w:val="none"/>
        </w:rPr>
      </w:pPr>
    </w:p>
    <w:p w14:paraId="001ADF50">
      <w:pPr>
        <w:pStyle w:val="17"/>
        <w:spacing w:before="140" w:line="662" w:lineRule="exact"/>
        <w:jc w:val="center"/>
        <w:rPr>
          <w:rFonts w:hint="eastAsia" w:ascii="Times New Roman" w:hAnsi="Times New Roman" w:eastAsia="宋体" w:cs="Times New Roman"/>
          <w:b/>
          <w:bCs/>
          <w:color w:val="auto"/>
          <w:spacing w:val="8"/>
          <w:position w:val="15"/>
          <w:sz w:val="43"/>
          <w:szCs w:val="43"/>
          <w:highlight w:val="none"/>
          <w:lang w:eastAsia="zh-CN"/>
        </w:rPr>
      </w:pPr>
      <w:r>
        <w:rPr>
          <w:rFonts w:hint="eastAsia" w:ascii="宋体" w:hAnsi="宋体" w:eastAsia="宋体" w:cs="宋体"/>
          <w:bCs/>
          <w:color w:val="auto"/>
          <w:highlight w:val="none"/>
        </w:rPr>
        <w:br w:type="page"/>
      </w:r>
      <w:r>
        <w:rPr>
          <w:rFonts w:hint="eastAsia" w:ascii="Times New Roman" w:hAnsi="Times New Roman" w:eastAsia="宋体" w:cs="Times New Roman"/>
          <w:b/>
          <w:bCs/>
          <w:color w:val="auto"/>
          <w:spacing w:val="8"/>
          <w:position w:val="15"/>
          <w:sz w:val="43"/>
          <w:szCs w:val="43"/>
          <w:highlight w:val="none"/>
          <w:lang w:eastAsia="zh-CN"/>
        </w:rPr>
        <w:t>202</w:t>
      </w:r>
      <w:r>
        <w:rPr>
          <w:rFonts w:hint="eastAsia" w:cs="Times New Roman"/>
          <w:b/>
          <w:bCs/>
          <w:color w:val="auto"/>
          <w:spacing w:val="8"/>
          <w:position w:val="15"/>
          <w:sz w:val="43"/>
          <w:szCs w:val="43"/>
          <w:highlight w:val="none"/>
          <w:lang w:val="en-US" w:eastAsia="zh-CN"/>
        </w:rPr>
        <w:t>5</w:t>
      </w:r>
      <w:r>
        <w:rPr>
          <w:rFonts w:hint="eastAsia" w:ascii="Times New Roman" w:hAnsi="Times New Roman" w:eastAsia="宋体" w:cs="Times New Roman"/>
          <w:b/>
          <w:bCs/>
          <w:color w:val="auto"/>
          <w:spacing w:val="8"/>
          <w:position w:val="15"/>
          <w:sz w:val="43"/>
          <w:szCs w:val="43"/>
          <w:highlight w:val="none"/>
          <w:lang w:eastAsia="zh-CN"/>
        </w:rPr>
        <w:t>—202</w:t>
      </w:r>
      <w:r>
        <w:rPr>
          <w:rFonts w:hint="eastAsia" w:cs="Times New Roman"/>
          <w:b/>
          <w:bCs/>
          <w:color w:val="auto"/>
          <w:spacing w:val="8"/>
          <w:position w:val="15"/>
          <w:sz w:val="43"/>
          <w:szCs w:val="43"/>
          <w:highlight w:val="none"/>
          <w:lang w:val="en-US" w:eastAsia="zh-CN"/>
        </w:rPr>
        <w:t>7</w:t>
      </w:r>
      <w:r>
        <w:rPr>
          <w:rFonts w:hint="eastAsia" w:ascii="Times New Roman" w:hAnsi="Times New Roman" w:eastAsia="宋体" w:cs="Times New Roman"/>
          <w:b/>
          <w:bCs/>
          <w:color w:val="auto"/>
          <w:spacing w:val="8"/>
          <w:position w:val="15"/>
          <w:sz w:val="43"/>
          <w:szCs w:val="43"/>
          <w:highlight w:val="none"/>
          <w:lang w:eastAsia="zh-CN"/>
        </w:rPr>
        <w:t>年度田东县政府投资项目</w:t>
      </w:r>
      <w:r>
        <w:rPr>
          <w:rFonts w:hint="eastAsia" w:cs="Times New Roman"/>
          <w:b/>
          <w:bCs/>
          <w:color w:val="auto"/>
          <w:spacing w:val="8"/>
          <w:position w:val="15"/>
          <w:sz w:val="43"/>
          <w:szCs w:val="43"/>
          <w:highlight w:val="none"/>
          <w:lang w:eastAsia="zh-CN"/>
        </w:rPr>
        <w:t>竣工结算</w:t>
      </w:r>
      <w:r>
        <w:rPr>
          <w:rFonts w:hint="eastAsia" w:ascii="Times New Roman" w:hAnsi="Times New Roman" w:eastAsia="宋体" w:cs="Times New Roman"/>
          <w:b/>
          <w:bCs/>
          <w:color w:val="auto"/>
          <w:spacing w:val="8"/>
          <w:position w:val="15"/>
          <w:sz w:val="43"/>
          <w:szCs w:val="43"/>
          <w:highlight w:val="none"/>
          <w:lang w:eastAsia="zh-CN"/>
        </w:rPr>
        <w:t>评审服务框架协议采购</w:t>
      </w:r>
    </w:p>
    <w:p w14:paraId="4124790C">
      <w:pPr>
        <w:spacing w:line="255" w:lineRule="auto"/>
        <w:rPr>
          <w:rFonts w:ascii="Arial"/>
          <w:b/>
          <w:bCs/>
          <w:color w:val="auto"/>
          <w:sz w:val="21"/>
          <w:highlight w:val="none"/>
        </w:rPr>
      </w:pPr>
    </w:p>
    <w:p w14:paraId="30F7CCEC">
      <w:pPr>
        <w:spacing w:line="255" w:lineRule="auto"/>
        <w:rPr>
          <w:rFonts w:ascii="Arial"/>
          <w:b/>
          <w:bCs/>
          <w:color w:val="auto"/>
          <w:sz w:val="21"/>
          <w:highlight w:val="none"/>
        </w:rPr>
      </w:pPr>
    </w:p>
    <w:p w14:paraId="421CDA08">
      <w:pPr>
        <w:spacing w:line="255" w:lineRule="auto"/>
        <w:rPr>
          <w:rFonts w:ascii="Arial"/>
          <w:b/>
          <w:bCs/>
          <w:color w:val="auto"/>
          <w:sz w:val="21"/>
          <w:highlight w:val="none"/>
        </w:rPr>
      </w:pPr>
    </w:p>
    <w:p w14:paraId="340698C1">
      <w:pPr>
        <w:spacing w:line="255" w:lineRule="auto"/>
        <w:rPr>
          <w:rFonts w:ascii="Arial"/>
          <w:b/>
          <w:bCs/>
          <w:color w:val="auto"/>
          <w:sz w:val="21"/>
          <w:highlight w:val="none"/>
        </w:rPr>
      </w:pPr>
    </w:p>
    <w:p w14:paraId="26F40488">
      <w:pPr>
        <w:spacing w:line="255" w:lineRule="auto"/>
        <w:rPr>
          <w:rFonts w:ascii="Arial"/>
          <w:b/>
          <w:bCs/>
          <w:color w:val="auto"/>
          <w:sz w:val="21"/>
          <w:highlight w:val="none"/>
        </w:rPr>
      </w:pPr>
    </w:p>
    <w:p w14:paraId="3B9AFC70">
      <w:pPr>
        <w:spacing w:line="255" w:lineRule="auto"/>
        <w:rPr>
          <w:rFonts w:ascii="Arial"/>
          <w:b/>
          <w:bCs/>
          <w:color w:val="auto"/>
          <w:sz w:val="21"/>
          <w:highlight w:val="none"/>
        </w:rPr>
      </w:pPr>
    </w:p>
    <w:p w14:paraId="429A8768">
      <w:pPr>
        <w:spacing w:line="255" w:lineRule="auto"/>
        <w:rPr>
          <w:rFonts w:ascii="Arial"/>
          <w:b/>
          <w:bCs/>
          <w:color w:val="auto"/>
          <w:sz w:val="21"/>
          <w:highlight w:val="none"/>
        </w:rPr>
      </w:pPr>
    </w:p>
    <w:p w14:paraId="3C8AA045">
      <w:pPr>
        <w:spacing w:line="255" w:lineRule="auto"/>
        <w:rPr>
          <w:rFonts w:ascii="Arial"/>
          <w:b/>
          <w:bCs/>
          <w:color w:val="auto"/>
          <w:sz w:val="21"/>
          <w:highlight w:val="none"/>
        </w:rPr>
      </w:pPr>
    </w:p>
    <w:p w14:paraId="0D30BBC8">
      <w:pPr>
        <w:pStyle w:val="17"/>
        <w:spacing w:before="114" w:line="225" w:lineRule="auto"/>
        <w:ind w:left="1922"/>
        <w:rPr>
          <w:b/>
          <w:bCs/>
          <w:color w:val="auto"/>
          <w:sz w:val="35"/>
          <w:szCs w:val="35"/>
          <w:highlight w:val="none"/>
        </w:rPr>
      </w:pPr>
      <w:r>
        <w:rPr>
          <w:b/>
          <w:bCs/>
          <w:color w:val="auto"/>
          <w:spacing w:val="7"/>
          <w:sz w:val="35"/>
          <w:szCs w:val="35"/>
          <w:highlight w:val="none"/>
        </w:rPr>
        <w:t>项目编号：</w:t>
      </w:r>
      <w:r>
        <w:rPr>
          <w:b/>
          <w:bCs/>
          <w:color w:val="auto"/>
          <w:sz w:val="35"/>
          <w:szCs w:val="35"/>
          <w:highlight w:val="none"/>
          <w:u w:val="single" w:color="auto"/>
        </w:rPr>
        <w:t xml:space="preserve">                      </w:t>
      </w:r>
    </w:p>
    <w:p w14:paraId="120CE839">
      <w:pPr>
        <w:spacing w:line="261" w:lineRule="auto"/>
        <w:rPr>
          <w:rFonts w:ascii="Arial"/>
          <w:b/>
          <w:bCs/>
          <w:color w:val="auto"/>
          <w:sz w:val="21"/>
          <w:highlight w:val="none"/>
        </w:rPr>
      </w:pPr>
    </w:p>
    <w:p w14:paraId="72ADB210">
      <w:pPr>
        <w:spacing w:line="261" w:lineRule="auto"/>
        <w:rPr>
          <w:rFonts w:ascii="Arial"/>
          <w:b/>
          <w:bCs/>
          <w:color w:val="auto"/>
          <w:sz w:val="21"/>
          <w:highlight w:val="none"/>
        </w:rPr>
      </w:pPr>
    </w:p>
    <w:p w14:paraId="575FFF83">
      <w:pPr>
        <w:spacing w:line="261" w:lineRule="auto"/>
        <w:rPr>
          <w:rFonts w:ascii="Arial"/>
          <w:b/>
          <w:bCs/>
          <w:color w:val="auto"/>
          <w:sz w:val="21"/>
          <w:highlight w:val="none"/>
        </w:rPr>
      </w:pPr>
    </w:p>
    <w:p w14:paraId="7B85CC57">
      <w:pPr>
        <w:spacing w:line="262" w:lineRule="auto"/>
        <w:rPr>
          <w:rFonts w:ascii="Arial"/>
          <w:b/>
          <w:bCs/>
          <w:color w:val="auto"/>
          <w:sz w:val="21"/>
          <w:highlight w:val="none"/>
        </w:rPr>
      </w:pPr>
    </w:p>
    <w:p w14:paraId="1C36637B">
      <w:pPr>
        <w:spacing w:line="262" w:lineRule="auto"/>
        <w:rPr>
          <w:rFonts w:ascii="Arial"/>
          <w:b/>
          <w:bCs/>
          <w:color w:val="auto"/>
          <w:sz w:val="21"/>
          <w:highlight w:val="none"/>
        </w:rPr>
      </w:pPr>
    </w:p>
    <w:p w14:paraId="00E65835">
      <w:pPr>
        <w:spacing w:line="262" w:lineRule="auto"/>
        <w:rPr>
          <w:rFonts w:ascii="Arial"/>
          <w:b/>
          <w:bCs/>
          <w:color w:val="auto"/>
          <w:sz w:val="21"/>
          <w:highlight w:val="none"/>
        </w:rPr>
      </w:pPr>
    </w:p>
    <w:p w14:paraId="36DCB5E9">
      <w:pPr>
        <w:spacing w:line="262" w:lineRule="auto"/>
        <w:rPr>
          <w:rFonts w:ascii="Arial"/>
          <w:b/>
          <w:bCs/>
          <w:color w:val="auto"/>
          <w:sz w:val="21"/>
          <w:highlight w:val="none"/>
        </w:rPr>
      </w:pPr>
    </w:p>
    <w:p w14:paraId="0259B6B5">
      <w:pPr>
        <w:spacing w:line="262" w:lineRule="auto"/>
        <w:rPr>
          <w:rFonts w:ascii="Arial"/>
          <w:b/>
          <w:bCs/>
          <w:color w:val="auto"/>
          <w:sz w:val="21"/>
          <w:highlight w:val="none"/>
        </w:rPr>
      </w:pPr>
    </w:p>
    <w:p w14:paraId="0CBDCE18">
      <w:pPr>
        <w:pStyle w:val="17"/>
        <w:spacing w:before="114" w:line="225" w:lineRule="auto"/>
        <w:ind w:left="1920"/>
        <w:rPr>
          <w:b/>
          <w:bCs/>
          <w:color w:val="auto"/>
          <w:sz w:val="35"/>
          <w:szCs w:val="35"/>
          <w:highlight w:val="none"/>
        </w:rPr>
      </w:pPr>
      <w:r>
        <w:rPr>
          <w:b/>
          <w:bCs/>
          <w:color w:val="auto"/>
          <w:spacing w:val="8"/>
          <w:sz w:val="35"/>
          <w:szCs w:val="35"/>
          <w:highlight w:val="none"/>
        </w:rPr>
        <w:t>征集人：</w:t>
      </w:r>
      <w:r>
        <w:rPr>
          <w:b/>
          <w:bCs/>
          <w:color w:val="auto"/>
          <w:spacing w:val="8"/>
          <w:sz w:val="35"/>
          <w:szCs w:val="35"/>
          <w:highlight w:val="none"/>
          <w:u w:val="single" w:color="auto"/>
        </w:rPr>
        <w:t xml:space="preserve">   </w:t>
      </w:r>
      <w:r>
        <w:rPr>
          <w:rFonts w:hint="eastAsia"/>
          <w:b/>
          <w:bCs/>
          <w:color w:val="auto"/>
          <w:spacing w:val="8"/>
          <w:sz w:val="35"/>
          <w:szCs w:val="35"/>
          <w:highlight w:val="none"/>
          <w:u w:val="single" w:color="000000"/>
          <w:lang w:eastAsia="zh-CN"/>
        </w:rPr>
        <w:t>田东县财政局</w:t>
      </w:r>
      <w:r>
        <w:rPr>
          <w:b/>
          <w:bCs/>
          <w:color w:val="auto"/>
          <w:spacing w:val="1"/>
          <w:sz w:val="35"/>
          <w:szCs w:val="35"/>
          <w:highlight w:val="none"/>
          <w:u w:val="single" w:color="auto"/>
        </w:rPr>
        <w:t xml:space="preserve">    </w:t>
      </w:r>
    </w:p>
    <w:p w14:paraId="58DD6024">
      <w:pPr>
        <w:ind w:firstLine="1847" w:firstLineChars="500"/>
        <w:jc w:val="both"/>
        <w:rPr>
          <w:b/>
          <w:bCs/>
          <w:color w:val="auto"/>
          <w:spacing w:val="9"/>
          <w:sz w:val="35"/>
          <w:szCs w:val="35"/>
          <w:highlight w:val="none"/>
        </w:rPr>
      </w:pPr>
    </w:p>
    <w:p w14:paraId="55435461">
      <w:pPr>
        <w:pStyle w:val="17"/>
        <w:spacing w:before="114" w:line="228" w:lineRule="auto"/>
        <w:ind w:firstLine="1847" w:firstLineChars="500"/>
        <w:jc w:val="both"/>
        <w:rPr>
          <w:color w:val="auto"/>
          <w:sz w:val="35"/>
          <w:szCs w:val="35"/>
          <w:highlight w:val="none"/>
        </w:rPr>
      </w:pPr>
      <w:r>
        <w:rPr>
          <w:b/>
          <w:bCs/>
          <w:color w:val="auto"/>
          <w:spacing w:val="9"/>
          <w:sz w:val="35"/>
          <w:szCs w:val="35"/>
          <w:highlight w:val="none"/>
        </w:rPr>
        <w:t>入围供应商：</w:t>
      </w:r>
      <w:r>
        <w:rPr>
          <w:b/>
          <w:bCs/>
          <w:color w:val="auto"/>
          <w:sz w:val="35"/>
          <w:szCs w:val="35"/>
          <w:highlight w:val="none"/>
          <w:u w:val="single" w:color="auto"/>
        </w:rPr>
        <w:t xml:space="preserve">            </w:t>
      </w:r>
      <w:r>
        <w:rPr>
          <w:rFonts w:hint="eastAsia"/>
          <w:b/>
          <w:bCs/>
          <w:color w:val="auto"/>
          <w:sz w:val="35"/>
          <w:szCs w:val="35"/>
          <w:highlight w:val="none"/>
          <w:u w:val="single" w:color="auto"/>
          <w:lang w:val="en-US" w:eastAsia="zh-CN"/>
        </w:rPr>
        <w:t xml:space="preserve">  </w:t>
      </w:r>
      <w:r>
        <w:rPr>
          <w:b/>
          <w:bCs/>
          <w:color w:val="auto"/>
          <w:sz w:val="35"/>
          <w:szCs w:val="35"/>
          <w:highlight w:val="none"/>
          <w:u w:val="single" w:color="auto"/>
        </w:rPr>
        <w:t xml:space="preserve">   </w:t>
      </w:r>
      <w:r>
        <w:rPr>
          <w:rFonts w:hint="eastAsia" w:ascii="宋体" w:hAnsi="宋体" w:eastAsia="宋体" w:cs="宋体"/>
          <w:b/>
          <w:bCs/>
          <w:color w:val="auto"/>
          <w:highlight w:val="none"/>
        </w:rPr>
        <w:br w:type="page"/>
      </w:r>
      <w:r>
        <w:rPr>
          <w:color w:val="auto"/>
          <w:spacing w:val="-37"/>
          <w:sz w:val="35"/>
          <w:szCs w:val="35"/>
          <w:highlight w:val="none"/>
        </w:rPr>
        <w:t>目</w:t>
      </w:r>
      <w:r>
        <w:rPr>
          <w:color w:val="auto"/>
          <w:spacing w:val="12"/>
          <w:sz w:val="35"/>
          <w:szCs w:val="35"/>
          <w:highlight w:val="none"/>
        </w:rPr>
        <w:t xml:space="preserve">  </w:t>
      </w:r>
      <w:r>
        <w:rPr>
          <w:color w:val="auto"/>
          <w:spacing w:val="-37"/>
          <w:sz w:val="35"/>
          <w:szCs w:val="35"/>
          <w:highlight w:val="none"/>
        </w:rPr>
        <w:t>录</w:t>
      </w:r>
    </w:p>
    <w:p w14:paraId="704EA143">
      <w:pPr>
        <w:spacing w:line="273" w:lineRule="auto"/>
        <w:rPr>
          <w:rFonts w:ascii="Arial"/>
          <w:color w:val="auto"/>
          <w:sz w:val="21"/>
          <w:highlight w:val="none"/>
        </w:rPr>
      </w:pPr>
    </w:p>
    <w:p w14:paraId="2D87E8AA">
      <w:pPr>
        <w:spacing w:line="273" w:lineRule="auto"/>
        <w:rPr>
          <w:rFonts w:ascii="Arial"/>
          <w:color w:val="auto"/>
          <w:sz w:val="21"/>
          <w:highlight w:val="none"/>
        </w:rPr>
      </w:pPr>
    </w:p>
    <w:p w14:paraId="2FC5FAF4">
      <w:pPr>
        <w:spacing w:line="274" w:lineRule="auto"/>
        <w:rPr>
          <w:rFonts w:ascii="Arial"/>
          <w:color w:val="auto"/>
          <w:sz w:val="21"/>
          <w:highlight w:val="none"/>
        </w:rPr>
      </w:pPr>
    </w:p>
    <w:p w14:paraId="292B208F">
      <w:pPr>
        <w:pStyle w:val="17"/>
        <w:spacing w:before="98" w:line="662" w:lineRule="exact"/>
        <w:rPr>
          <w:b/>
          <w:bCs/>
          <w:color w:val="auto"/>
          <w:highlight w:val="none"/>
        </w:rPr>
      </w:pPr>
      <w:r>
        <w:rPr>
          <w:b/>
          <w:bCs/>
          <w:color w:val="auto"/>
          <w:spacing w:val="-1"/>
          <w:position w:val="27"/>
          <w:highlight w:val="none"/>
        </w:rPr>
        <w:t>一、框架协议合同文本</w:t>
      </w:r>
    </w:p>
    <w:p w14:paraId="43A1AB90">
      <w:pPr>
        <w:pStyle w:val="17"/>
        <w:spacing w:line="219" w:lineRule="auto"/>
        <w:rPr>
          <w:b/>
          <w:bCs/>
          <w:color w:val="auto"/>
          <w:highlight w:val="none"/>
        </w:rPr>
      </w:pPr>
      <w:r>
        <w:rPr>
          <w:b/>
          <w:bCs/>
          <w:color w:val="auto"/>
          <w:spacing w:val="-2"/>
          <w:highlight w:val="none"/>
        </w:rPr>
        <w:t>二、合同附件</w:t>
      </w:r>
    </w:p>
    <w:p w14:paraId="3E61F035">
      <w:pPr>
        <w:pStyle w:val="17"/>
        <w:spacing w:before="315" w:line="220" w:lineRule="auto"/>
        <w:ind w:left="576"/>
        <w:rPr>
          <w:rFonts w:hint="eastAsia" w:eastAsia="宋体"/>
          <w:color w:val="auto"/>
          <w:sz w:val="28"/>
          <w:szCs w:val="28"/>
          <w:highlight w:val="none"/>
          <w:lang w:eastAsia="zh-CN"/>
        </w:rPr>
      </w:pPr>
      <w:r>
        <w:rPr>
          <w:color w:val="auto"/>
          <w:spacing w:val="-5"/>
          <w:sz w:val="28"/>
          <w:szCs w:val="28"/>
          <w:highlight w:val="none"/>
        </w:rPr>
        <w:t>1.</w:t>
      </w:r>
      <w:r>
        <w:rPr>
          <w:rFonts w:hint="eastAsia"/>
          <w:color w:val="auto"/>
          <w:spacing w:val="-5"/>
          <w:sz w:val="28"/>
          <w:szCs w:val="28"/>
          <w:highlight w:val="none"/>
          <w:lang w:eastAsia="zh-CN"/>
        </w:rPr>
        <w:t>入围通知书</w:t>
      </w:r>
    </w:p>
    <w:p w14:paraId="265FAE65">
      <w:pPr>
        <w:pStyle w:val="17"/>
        <w:spacing w:before="328" w:line="221" w:lineRule="auto"/>
        <w:ind w:left="559"/>
        <w:rPr>
          <w:color w:val="auto"/>
          <w:sz w:val="28"/>
          <w:szCs w:val="28"/>
          <w:highlight w:val="none"/>
        </w:rPr>
      </w:pPr>
      <w:r>
        <w:rPr>
          <w:color w:val="auto"/>
          <w:spacing w:val="-2"/>
          <w:sz w:val="28"/>
          <w:szCs w:val="28"/>
          <w:highlight w:val="none"/>
        </w:rPr>
        <w:t>2.征集文件服务需求一览表</w:t>
      </w:r>
    </w:p>
    <w:p w14:paraId="4825CAFA">
      <w:pPr>
        <w:pStyle w:val="17"/>
        <w:spacing w:before="327" w:line="663" w:lineRule="exact"/>
        <w:ind w:left="561"/>
        <w:rPr>
          <w:color w:val="auto"/>
          <w:sz w:val="28"/>
          <w:szCs w:val="28"/>
          <w:highlight w:val="none"/>
        </w:rPr>
      </w:pPr>
      <w:r>
        <w:rPr>
          <w:color w:val="auto"/>
          <w:spacing w:val="-2"/>
          <w:position w:val="29"/>
          <w:sz w:val="28"/>
          <w:szCs w:val="28"/>
          <w:highlight w:val="none"/>
        </w:rPr>
        <w:t>3.征集文件的更改通知（如有）</w:t>
      </w:r>
    </w:p>
    <w:p w14:paraId="7FCB205B">
      <w:pPr>
        <w:pStyle w:val="17"/>
        <w:spacing w:line="222" w:lineRule="auto"/>
        <w:ind w:left="554"/>
        <w:rPr>
          <w:color w:val="auto"/>
          <w:sz w:val="28"/>
          <w:szCs w:val="28"/>
          <w:highlight w:val="none"/>
        </w:rPr>
      </w:pPr>
      <w:r>
        <w:rPr>
          <w:color w:val="auto"/>
          <w:spacing w:val="-2"/>
          <w:sz w:val="28"/>
          <w:szCs w:val="28"/>
          <w:highlight w:val="none"/>
        </w:rPr>
        <w:t>4.响应函</w:t>
      </w:r>
    </w:p>
    <w:p w14:paraId="53CF7D6D">
      <w:pPr>
        <w:pStyle w:val="17"/>
        <w:spacing w:before="323" w:line="221" w:lineRule="auto"/>
        <w:ind w:left="561"/>
        <w:rPr>
          <w:color w:val="auto"/>
          <w:sz w:val="28"/>
          <w:szCs w:val="28"/>
          <w:highlight w:val="none"/>
        </w:rPr>
      </w:pPr>
      <w:r>
        <w:rPr>
          <w:color w:val="auto"/>
          <w:spacing w:val="-3"/>
          <w:sz w:val="28"/>
          <w:szCs w:val="28"/>
          <w:highlight w:val="none"/>
        </w:rPr>
        <w:t>5.开标一览表</w:t>
      </w:r>
    </w:p>
    <w:p w14:paraId="60B2D905">
      <w:pPr>
        <w:pStyle w:val="17"/>
        <w:spacing w:before="327" w:line="662" w:lineRule="exact"/>
        <w:ind w:left="558"/>
        <w:rPr>
          <w:color w:val="auto"/>
          <w:sz w:val="28"/>
          <w:szCs w:val="28"/>
          <w:highlight w:val="none"/>
        </w:rPr>
      </w:pPr>
      <w:r>
        <w:rPr>
          <w:color w:val="auto"/>
          <w:spacing w:val="-2"/>
          <w:position w:val="29"/>
          <w:sz w:val="28"/>
          <w:szCs w:val="28"/>
          <w:highlight w:val="none"/>
        </w:rPr>
        <w:t>6.响应服务技术需求偏离表</w:t>
      </w:r>
    </w:p>
    <w:p w14:paraId="7CC25B05">
      <w:pPr>
        <w:pStyle w:val="17"/>
        <w:spacing w:before="1" w:line="220" w:lineRule="auto"/>
        <w:ind w:left="562"/>
        <w:rPr>
          <w:color w:val="auto"/>
          <w:sz w:val="28"/>
          <w:szCs w:val="28"/>
          <w:highlight w:val="none"/>
        </w:rPr>
      </w:pPr>
      <w:r>
        <w:rPr>
          <w:color w:val="auto"/>
          <w:spacing w:val="-3"/>
          <w:sz w:val="28"/>
          <w:szCs w:val="28"/>
          <w:highlight w:val="none"/>
        </w:rPr>
        <w:t>7.商务条款偏离表</w:t>
      </w:r>
    </w:p>
    <w:p w14:paraId="467C8C8E">
      <w:pPr>
        <w:pStyle w:val="17"/>
        <w:spacing w:before="319" w:line="671" w:lineRule="exact"/>
        <w:ind w:left="557"/>
        <w:rPr>
          <w:color w:val="auto"/>
          <w:sz w:val="28"/>
          <w:szCs w:val="28"/>
          <w:highlight w:val="none"/>
        </w:rPr>
      </w:pPr>
      <w:r>
        <w:rPr>
          <w:color w:val="auto"/>
          <w:spacing w:val="-1"/>
          <w:position w:val="28"/>
          <w:sz w:val="28"/>
          <w:szCs w:val="28"/>
          <w:highlight w:val="none"/>
        </w:rPr>
        <w:t>8.中标供应商澄清函（如有请提</w:t>
      </w:r>
      <w:r>
        <w:rPr>
          <w:color w:val="auto"/>
          <w:spacing w:val="-1"/>
          <w:position w:val="28"/>
          <w:highlight w:val="none"/>
        </w:rPr>
        <w:t>供</w:t>
      </w:r>
      <w:r>
        <w:rPr>
          <w:color w:val="auto"/>
          <w:spacing w:val="-1"/>
          <w:position w:val="28"/>
          <w:sz w:val="28"/>
          <w:szCs w:val="28"/>
          <w:highlight w:val="none"/>
        </w:rPr>
        <w:t>）</w:t>
      </w:r>
    </w:p>
    <w:p w14:paraId="3D7DBF80">
      <w:pPr>
        <w:pStyle w:val="17"/>
        <w:spacing w:before="1" w:line="221" w:lineRule="auto"/>
        <w:ind w:left="557"/>
        <w:rPr>
          <w:color w:val="auto"/>
          <w:sz w:val="28"/>
          <w:szCs w:val="28"/>
          <w:highlight w:val="none"/>
        </w:rPr>
      </w:pPr>
      <w:r>
        <w:rPr>
          <w:color w:val="auto"/>
          <w:spacing w:val="-2"/>
          <w:sz w:val="28"/>
          <w:szCs w:val="28"/>
          <w:highlight w:val="none"/>
        </w:rPr>
        <w:t>9.人员配备一览表</w:t>
      </w:r>
    </w:p>
    <w:p w14:paraId="2438EC87">
      <w:pPr>
        <w:pStyle w:val="17"/>
        <w:spacing w:before="316" w:line="219" w:lineRule="auto"/>
        <w:ind w:left="576"/>
        <w:rPr>
          <w:color w:val="auto"/>
          <w:sz w:val="28"/>
          <w:szCs w:val="28"/>
          <w:highlight w:val="none"/>
        </w:rPr>
      </w:pPr>
      <w:r>
        <w:rPr>
          <w:color w:val="auto"/>
          <w:spacing w:val="-2"/>
          <w:sz w:val="28"/>
          <w:szCs w:val="28"/>
          <w:highlight w:val="none"/>
        </w:rPr>
        <w:t>10.其他与本合同相关的资料（如有请提</w:t>
      </w:r>
      <w:r>
        <w:rPr>
          <w:color w:val="auto"/>
          <w:spacing w:val="-2"/>
          <w:highlight w:val="none"/>
        </w:rPr>
        <w:t>供</w:t>
      </w:r>
      <w:r>
        <w:rPr>
          <w:color w:val="auto"/>
          <w:spacing w:val="-2"/>
          <w:sz w:val="28"/>
          <w:szCs w:val="28"/>
          <w:highlight w:val="none"/>
        </w:rPr>
        <w:t>）</w:t>
      </w:r>
    </w:p>
    <w:p w14:paraId="666A1809">
      <w:pPr>
        <w:ind w:firstLine="2240" w:firstLineChars="500"/>
        <w:jc w:val="both"/>
        <w:rPr>
          <w:rFonts w:hint="eastAsia" w:ascii="宋体" w:hAnsi="宋体" w:eastAsia="宋体" w:cs="宋体"/>
          <w:color w:val="auto"/>
          <w:sz w:val="32"/>
          <w:szCs w:val="32"/>
          <w:highlight w:val="none"/>
        </w:rPr>
      </w:pPr>
      <w:r>
        <w:rPr>
          <w:color w:val="auto"/>
          <w:spacing w:val="9"/>
          <w:sz w:val="43"/>
          <w:szCs w:val="43"/>
          <w:highlight w:val="none"/>
        </w:rPr>
        <w:br w:type="page"/>
      </w:r>
      <w:r>
        <w:rPr>
          <w:rFonts w:hint="eastAsia"/>
          <w:color w:val="auto"/>
          <w:spacing w:val="9"/>
          <w:sz w:val="43"/>
          <w:szCs w:val="43"/>
          <w:highlight w:val="none"/>
          <w:lang w:val="en-US" w:eastAsia="zh-CN"/>
        </w:rPr>
        <w:t xml:space="preserve">    </w:t>
      </w:r>
      <w:bookmarkStart w:id="121" w:name="OLE_LINK1"/>
      <w:r>
        <w:rPr>
          <w:color w:val="auto"/>
          <w:spacing w:val="9"/>
          <w:sz w:val="43"/>
          <w:szCs w:val="43"/>
          <w:highlight w:val="none"/>
        </w:rPr>
        <w:t>框架协议文本</w:t>
      </w:r>
      <w:bookmarkEnd w:id="121"/>
    </w:p>
    <w:p w14:paraId="24529D41">
      <w:pPr>
        <w:spacing w:line="520" w:lineRule="exact"/>
        <w:rPr>
          <w:rFonts w:hint="eastAsia" w:ascii="宋体" w:hAnsi="宋体" w:eastAsia="宋体" w:cs="宋体"/>
          <w:b/>
          <w:color w:val="auto"/>
          <w:sz w:val="32"/>
          <w:szCs w:val="32"/>
          <w:highlight w:val="none"/>
        </w:rPr>
      </w:pPr>
    </w:p>
    <w:p w14:paraId="0F586B5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征集人（甲方）：</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供应商（乙方）：</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w:t>
      </w:r>
    </w:p>
    <w:p w14:paraId="179D0F7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项目名称：</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项目编号：</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w:t>
      </w:r>
    </w:p>
    <w:p w14:paraId="199D83E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签订地点：</w:t>
      </w:r>
      <w:r>
        <w:rPr>
          <w:rFonts w:hint="eastAsia"/>
          <w:color w:val="auto"/>
          <w:sz w:val="21"/>
          <w:szCs w:val="21"/>
          <w:highlight w:val="none"/>
          <w:u w:val="single"/>
          <w:lang w:eastAsia="en-US"/>
        </w:rPr>
        <w:t xml:space="preserve">                     </w:t>
      </w:r>
      <w:r>
        <w:rPr>
          <w:rFonts w:hint="eastAsia"/>
          <w:color w:val="auto"/>
          <w:sz w:val="21"/>
          <w:szCs w:val="21"/>
          <w:highlight w:val="none"/>
          <w:lang w:eastAsia="en-US"/>
        </w:rPr>
        <w:t xml:space="preserve">         签订时间：</w:t>
      </w:r>
      <w:r>
        <w:rPr>
          <w:rFonts w:hint="eastAsia"/>
          <w:color w:val="auto"/>
          <w:sz w:val="21"/>
          <w:szCs w:val="21"/>
          <w:highlight w:val="none"/>
          <w:u w:val="single"/>
          <w:lang w:eastAsia="en-US"/>
        </w:rPr>
        <w:t xml:space="preserve">                         </w:t>
      </w:r>
    </w:p>
    <w:p w14:paraId="73DC1EE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p>
    <w:p w14:paraId="797258F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为了保护甲乙双方合法权益，根据《中华人民共和国民法典》、政府采购有关法律法规的规定，及</w:t>
      </w:r>
      <w:r>
        <w:rPr>
          <w:rFonts w:hint="eastAsia"/>
          <w:color w:val="auto"/>
          <w:sz w:val="21"/>
          <w:szCs w:val="21"/>
          <w:highlight w:val="none"/>
          <w:u w:val="single"/>
          <w:lang w:val="en-US" w:eastAsia="zh-CN"/>
        </w:rPr>
        <w:t xml:space="preserve">                            </w:t>
      </w:r>
      <w:r>
        <w:rPr>
          <w:rFonts w:hint="eastAsia"/>
          <w:color w:val="auto"/>
          <w:sz w:val="21"/>
          <w:szCs w:val="21"/>
          <w:highlight w:val="none"/>
          <w:lang w:eastAsia="en-US"/>
        </w:rPr>
        <w:t>征集文件的要求签订本协议，并共同遵守。</w:t>
      </w:r>
    </w:p>
    <w:p w14:paraId="29FD3AF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一、协议内容</w:t>
      </w:r>
    </w:p>
    <w:p w14:paraId="4318297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甲方委托乙方负责</w:t>
      </w:r>
      <w:r>
        <w:rPr>
          <w:rFonts w:hint="eastAsia"/>
          <w:color w:val="auto"/>
          <w:sz w:val="21"/>
          <w:szCs w:val="21"/>
          <w:highlight w:val="none"/>
          <w:u w:val="single"/>
          <w:lang w:val="en-US" w:eastAsia="zh-CN"/>
        </w:rPr>
        <w:t xml:space="preserve">                   </w:t>
      </w:r>
      <w:r>
        <w:rPr>
          <w:rFonts w:hint="eastAsia"/>
          <w:color w:val="auto"/>
          <w:sz w:val="21"/>
          <w:szCs w:val="21"/>
          <w:highlight w:val="none"/>
          <w:lang w:eastAsia="en-US"/>
        </w:rPr>
        <w:t>工程造价咨询服务工作。乙方不得超过本协议规定的费率和其他要求与甲方</w:t>
      </w:r>
      <w:r>
        <w:rPr>
          <w:rFonts w:hint="eastAsia"/>
          <w:color w:val="auto"/>
          <w:sz w:val="21"/>
          <w:szCs w:val="21"/>
          <w:highlight w:val="none"/>
          <w:lang w:eastAsia="zh-CN"/>
        </w:rPr>
        <w:t>签订</w:t>
      </w:r>
      <w:r>
        <w:rPr>
          <w:rFonts w:hint="eastAsia"/>
          <w:color w:val="auto"/>
          <w:sz w:val="21"/>
          <w:szCs w:val="21"/>
          <w:highlight w:val="none"/>
          <w:lang w:eastAsia="en-US"/>
        </w:rPr>
        <w:t>和履行本协议。协议有效期为</w:t>
      </w:r>
      <w:r>
        <w:rPr>
          <w:rFonts w:hint="eastAsia"/>
          <w:color w:val="auto"/>
          <w:sz w:val="21"/>
          <w:szCs w:val="21"/>
          <w:highlight w:val="none"/>
          <w:u w:val="single"/>
          <w:lang w:eastAsia="en-US"/>
        </w:rPr>
        <w:t xml:space="preserve">    年   月</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日</w:t>
      </w:r>
      <w:r>
        <w:rPr>
          <w:rFonts w:hint="eastAsia"/>
          <w:color w:val="auto"/>
          <w:sz w:val="21"/>
          <w:szCs w:val="21"/>
          <w:highlight w:val="none"/>
          <w:lang w:eastAsia="en-US"/>
        </w:rPr>
        <w:t xml:space="preserve">至     </w:t>
      </w:r>
      <w:r>
        <w:rPr>
          <w:rFonts w:hint="eastAsia"/>
          <w:color w:val="auto"/>
          <w:sz w:val="21"/>
          <w:szCs w:val="21"/>
          <w:highlight w:val="none"/>
          <w:u w:val="single"/>
          <w:lang w:eastAsia="en-US"/>
        </w:rPr>
        <w:t xml:space="preserve">年   月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 日</w:t>
      </w:r>
      <w:r>
        <w:rPr>
          <w:rFonts w:hint="eastAsia"/>
          <w:color w:val="auto"/>
          <w:sz w:val="21"/>
          <w:szCs w:val="21"/>
          <w:highlight w:val="none"/>
          <w:lang w:eastAsia="en-US"/>
        </w:rPr>
        <w:t>。在协议有效期内，由甲方与入围供应商签订服务合同，同时应根据工程建设</w:t>
      </w:r>
    </w:p>
    <w:p w14:paraId="69C43457">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1"/>
          <w:szCs w:val="21"/>
          <w:highlight w:val="none"/>
          <w:lang w:eastAsia="en-US"/>
        </w:rPr>
      </w:pPr>
      <w:r>
        <w:rPr>
          <w:rFonts w:hint="eastAsia"/>
          <w:color w:val="auto"/>
          <w:sz w:val="21"/>
          <w:szCs w:val="21"/>
          <w:highlight w:val="none"/>
          <w:lang w:eastAsia="en-US"/>
        </w:rPr>
        <w:t>的具体情况，在合同中明确建设工程结算审核服务范围、工作内容、审核服务人员配备、审核服务仪器和设备配备、审核服务单位违约责任等要求，以确保审核服务的质量，确保工程项目的顺利进行。</w:t>
      </w:r>
    </w:p>
    <w:p w14:paraId="3D0E316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二、采购需求</w:t>
      </w:r>
    </w:p>
    <w:p w14:paraId="0EF27C4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1.选</w:t>
      </w:r>
      <w:r>
        <w:rPr>
          <w:rFonts w:hint="eastAsia"/>
          <w:color w:val="auto"/>
          <w:sz w:val="21"/>
          <w:szCs w:val="21"/>
          <w:highlight w:val="none"/>
          <w:lang w:eastAsia="en-US"/>
        </w:rPr>
        <w:t>择12家</w:t>
      </w:r>
      <w:r>
        <w:rPr>
          <w:rFonts w:hint="eastAsia"/>
          <w:color w:val="auto"/>
          <w:sz w:val="21"/>
          <w:szCs w:val="21"/>
          <w:highlight w:val="none"/>
          <w:lang w:eastAsia="en-US"/>
        </w:rPr>
        <w:t>具有履行合同所</w:t>
      </w:r>
      <w:r>
        <w:rPr>
          <w:rFonts w:hint="eastAsia"/>
          <w:color w:val="auto"/>
          <w:sz w:val="21"/>
          <w:szCs w:val="21"/>
          <w:highlight w:val="none"/>
          <w:lang w:eastAsia="zh-CN"/>
        </w:rPr>
        <w:t>必需</w:t>
      </w:r>
      <w:r>
        <w:rPr>
          <w:rFonts w:hint="eastAsia"/>
          <w:color w:val="auto"/>
          <w:sz w:val="21"/>
          <w:szCs w:val="21"/>
          <w:highlight w:val="none"/>
          <w:lang w:eastAsia="en-US"/>
        </w:rPr>
        <w:t>的设备和专业技术能力的供应商在协议期限内提供结算审核服务，要求供应商具有健全的质量内部管理机制及较完整的风险防范管理制度，遵章守纪，较好地执行行业管理规定，没有发生过严重的违规、违纪和违法事件，根据提供的审核资料事实就是依法审核，依照相关管理制度按时、保质、保量出具合法的结算审核报告。</w:t>
      </w:r>
    </w:p>
    <w:p w14:paraId="5C1DD28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2．服务内容：</w:t>
      </w:r>
    </w:p>
    <w:p w14:paraId="5ECC175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①</w:t>
      </w:r>
      <w:r>
        <w:rPr>
          <w:rFonts w:hint="eastAsia"/>
          <w:color w:val="auto"/>
          <w:sz w:val="21"/>
          <w:szCs w:val="21"/>
          <w:highlight w:val="none"/>
          <w:lang w:eastAsia="en-US"/>
        </w:rPr>
        <w:t>框架协议期限为自签订框架协议之日起至</w:t>
      </w:r>
      <w:r>
        <w:rPr>
          <w:rFonts w:hint="eastAsia"/>
          <w:color w:val="auto"/>
          <w:sz w:val="21"/>
          <w:szCs w:val="21"/>
          <w:highlight w:val="none"/>
          <w:u w:val="single"/>
          <w:lang w:eastAsia="en-US"/>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 年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月 </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en-US"/>
        </w:rPr>
        <w:t xml:space="preserve"> 日</w:t>
      </w:r>
      <w:r>
        <w:rPr>
          <w:rFonts w:hint="eastAsia"/>
          <w:color w:val="auto"/>
          <w:sz w:val="21"/>
          <w:szCs w:val="21"/>
          <w:highlight w:val="none"/>
          <w:lang w:eastAsia="en-US"/>
        </w:rPr>
        <w:t>。（具体起止时间以框架协议签订的时间为准。）</w:t>
      </w:r>
    </w:p>
    <w:p w14:paraId="54E2D7A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②</w:t>
      </w:r>
      <w:r>
        <w:rPr>
          <w:rFonts w:hint="eastAsia"/>
          <w:color w:val="auto"/>
          <w:sz w:val="21"/>
          <w:szCs w:val="21"/>
          <w:highlight w:val="none"/>
          <w:lang w:eastAsia="en-US"/>
        </w:rPr>
        <w:t>造价审核业务授予方法：</w:t>
      </w:r>
    </w:p>
    <w:p w14:paraId="7893712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在框架协议有效期内，委托单位根据服务项目的类别和规模情况，依据入围价格、质量以及服务便利性、用户评价等因素，在入围的供应商内择优选择服务单位。</w:t>
      </w:r>
    </w:p>
    <w:p w14:paraId="6F8F7EF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③</w:t>
      </w:r>
      <w:r>
        <w:rPr>
          <w:rFonts w:hint="eastAsia"/>
          <w:color w:val="auto"/>
          <w:sz w:val="21"/>
          <w:szCs w:val="21"/>
          <w:highlight w:val="none"/>
          <w:lang w:eastAsia="en-US"/>
        </w:rPr>
        <w:t>项目现场情况核查：</w:t>
      </w:r>
    </w:p>
    <w:p w14:paraId="776B161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（1）工程结算审核项目要求供应商必须到现场踏勘和抽查。</w:t>
      </w:r>
    </w:p>
    <w:p w14:paraId="3D696F3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（2）EPC工程总承包项目要求供应商必须到现场踏勘和抽查。</w:t>
      </w:r>
    </w:p>
    <w:p w14:paraId="054FA94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3．审核质量管理</w:t>
      </w:r>
    </w:p>
    <w:p w14:paraId="0B905CB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1.中介机构承揽的委托审核项目，必须安排本单位的造价人员完成，不得将受托审核项目转包或分包给其他工程造价咨询机构或个人。否则，委托方有权取消受托方的审核资格并拒绝支付委托项目的审核费。</w:t>
      </w:r>
    </w:p>
    <w:p w14:paraId="76CF6C4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2.中介机构在审核过程中如需项目业主增补资料的，应通过委托单位索要。</w:t>
      </w:r>
    </w:p>
    <w:p w14:paraId="185B7E9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3.中介机构不得既承揽同一项目的预(概)算编审工作又承揽该项目的概算、预算和结算审核工作。</w:t>
      </w:r>
    </w:p>
    <w:p w14:paraId="3CFD86D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4.中介机构接受委托审核项目后，应根据项目特点及专业情况，配置专业胜任、能力胜任、在委托单位留存备案的工程造价审核人员进行审核。</w:t>
      </w:r>
    </w:p>
    <w:p w14:paraId="05C70E0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5.在项目审核过程中，中介机构如需更换造价审核人员需向委托单位提出书面申请并得到批准后方可更换</w:t>
      </w:r>
      <w:r>
        <w:rPr>
          <w:rFonts w:hint="eastAsia"/>
          <w:color w:val="auto"/>
          <w:sz w:val="21"/>
          <w:szCs w:val="21"/>
          <w:highlight w:val="none"/>
          <w:lang w:eastAsia="zh-CN"/>
        </w:rPr>
        <w:t>，</w:t>
      </w:r>
      <w:r>
        <w:rPr>
          <w:rFonts w:hint="eastAsia"/>
          <w:color w:val="auto"/>
          <w:sz w:val="21"/>
          <w:szCs w:val="21"/>
          <w:highlight w:val="none"/>
          <w:lang w:eastAsia="en-US"/>
        </w:rPr>
        <w:t>且造价审核人员变更率不得超过40%</w:t>
      </w:r>
      <w:r>
        <w:rPr>
          <w:rFonts w:hint="eastAsia"/>
          <w:color w:val="auto"/>
          <w:sz w:val="21"/>
          <w:szCs w:val="21"/>
          <w:highlight w:val="none"/>
          <w:lang w:eastAsia="zh-CN"/>
        </w:rPr>
        <w:t>，</w:t>
      </w:r>
      <w:r>
        <w:rPr>
          <w:rFonts w:hint="eastAsia"/>
          <w:color w:val="auto"/>
          <w:sz w:val="21"/>
          <w:szCs w:val="21"/>
          <w:highlight w:val="none"/>
          <w:lang w:eastAsia="en-US"/>
        </w:rPr>
        <w:t>项目委托单位也可以向中介机构提出更换不称职的造价审核人员。</w:t>
      </w:r>
    </w:p>
    <w:p w14:paraId="011B82D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6.项目审核单位接收审核资料后，应根据项目特点编制项目造价《审核实施方案》，其主要内容 包括：</w:t>
      </w:r>
    </w:p>
    <w:p w14:paraId="63D9A52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（1）分析项目造价主要费用构成、预算报审价相对合同造价及概（预）算价增减变动情况，提出 概算、预算（含上限控制价、工程量清单、工程量增减跟踪审核）和结算审核重点与方法；</w:t>
      </w:r>
    </w:p>
    <w:p w14:paraId="24E02C7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（2）拟订项目审核质量控制措施，其内容包含：审核程序与流程，量、价、费审核质量控制措施 与重点，现场踏勘程序与方法、争议问题协调处理机制；</w:t>
      </w:r>
    </w:p>
    <w:p w14:paraId="0CC3C74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（3）组建项目审核组，审核组由中介机构从内部具备资质的人员自行组织，并明确其任务分工；</w:t>
      </w:r>
    </w:p>
    <w:p w14:paraId="2329874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（4）审核方案应报委托方审批。</w:t>
      </w:r>
    </w:p>
    <w:p w14:paraId="610A371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7.结算审核质量要求：</w:t>
      </w:r>
    </w:p>
    <w:p w14:paraId="634BEB0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（1）审核人应识别或质疑项目资料的真实性、有效性、合规性；</w:t>
      </w:r>
    </w:p>
    <w:p w14:paraId="7CA4EC1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（2）审核人员必须结合合同文件对工程量、清单价格、及各项费用的真实性、准确性进行复核；</w:t>
      </w:r>
    </w:p>
    <w:p w14:paraId="3100A3E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（3）审核人员应分析并找出工程造价变动的原因；</w:t>
      </w:r>
    </w:p>
    <w:p w14:paraId="7467073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（4）审核程序和质量标准应符合预算审核相关法律、法规规定和要求。</w:t>
      </w:r>
    </w:p>
    <w:p w14:paraId="1A66ABE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8.结算审核应认真做好造价审核工作，中介机构应对送审资料进行认真审核，对数  须由委托单位联系组织，对数过程在委托单位办公场所，并在委托单位的监督下开展。其具体要求是：</w:t>
      </w:r>
    </w:p>
    <w:p w14:paraId="61129F8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（1）对数前审核人员应制作有异议的清单列表，并经中介机构内部审核后提交委托单位审定；</w:t>
      </w:r>
    </w:p>
    <w:p w14:paraId="6465364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（2）对数由委托单位牵头联系，邀请项目业主、施工单位、设计及预算编制单位共同参与，中介 机构审核人员不得独自邀请项目业主进行对数工作。</w:t>
      </w:r>
    </w:p>
    <w:p w14:paraId="022F2BB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9.中介机构在审核中遇到当期</w:t>
      </w:r>
      <w:r>
        <w:rPr>
          <w:rFonts w:hint="eastAsia"/>
          <w:color w:val="auto"/>
          <w:sz w:val="21"/>
          <w:szCs w:val="21"/>
          <w:highlight w:val="none"/>
          <w:lang w:val="en-US" w:eastAsia="zh-CN"/>
        </w:rPr>
        <w:t>百色</w:t>
      </w:r>
      <w:r>
        <w:rPr>
          <w:rFonts w:hint="eastAsia"/>
          <w:color w:val="auto"/>
          <w:sz w:val="21"/>
          <w:szCs w:val="21"/>
          <w:highlight w:val="none"/>
          <w:lang w:eastAsia="en-US"/>
        </w:rPr>
        <w:t>市《造价信息》没有刊登</w:t>
      </w:r>
      <w:r>
        <w:rPr>
          <w:rFonts w:hint="eastAsia"/>
          <w:color w:val="auto"/>
          <w:sz w:val="21"/>
          <w:szCs w:val="21"/>
          <w:highlight w:val="none"/>
          <w:lang w:val="en-US" w:eastAsia="zh-CN"/>
        </w:rPr>
        <w:t>百色</w:t>
      </w:r>
      <w:r>
        <w:rPr>
          <w:rFonts w:hint="eastAsia"/>
          <w:color w:val="auto"/>
          <w:sz w:val="21"/>
          <w:szCs w:val="21"/>
          <w:highlight w:val="none"/>
          <w:lang w:eastAsia="en-US"/>
        </w:rPr>
        <w:t>市特殊材料和设备价格的，应参考</w:t>
      </w:r>
      <w:r>
        <w:rPr>
          <w:rFonts w:hint="eastAsia"/>
          <w:color w:val="auto"/>
          <w:sz w:val="21"/>
          <w:szCs w:val="21"/>
          <w:highlight w:val="none"/>
          <w:lang w:val="en-US" w:eastAsia="zh-CN"/>
        </w:rPr>
        <w:t>百色</w:t>
      </w:r>
      <w:r>
        <w:rPr>
          <w:rFonts w:hint="eastAsia"/>
          <w:color w:val="auto"/>
          <w:sz w:val="21"/>
          <w:szCs w:val="21"/>
          <w:highlight w:val="none"/>
          <w:lang w:eastAsia="en-US"/>
        </w:rPr>
        <w:t>市《造价信息》其他县的特殊材料和设备价格，</w:t>
      </w:r>
      <w:r>
        <w:rPr>
          <w:rFonts w:hint="eastAsia"/>
          <w:color w:val="auto"/>
          <w:sz w:val="21"/>
          <w:szCs w:val="21"/>
          <w:highlight w:val="none"/>
          <w:lang w:val="en-US" w:eastAsia="zh-CN"/>
        </w:rPr>
        <w:t>百色</w:t>
      </w:r>
      <w:r>
        <w:rPr>
          <w:rFonts w:hint="eastAsia"/>
          <w:color w:val="auto"/>
          <w:sz w:val="21"/>
          <w:szCs w:val="21"/>
          <w:highlight w:val="none"/>
          <w:lang w:eastAsia="en-US"/>
        </w:rPr>
        <w:t>市当期《造价信息》均没有的应进行市场询价，询价对象不少于三家，将询价过程及结果形成询价记录表。</w:t>
      </w:r>
    </w:p>
    <w:p w14:paraId="0025179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10.中介机构内部质量复核</w:t>
      </w:r>
    </w:p>
    <w:p w14:paraId="77B35D5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（1）中介机构应建立有效的内部复核制度；</w:t>
      </w:r>
    </w:p>
    <w:p w14:paraId="1351C99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（2）复核人员应采取有效的技术方法复核各项预算费用计算的正确性；</w:t>
      </w:r>
    </w:p>
    <w:p w14:paraId="1E6B4FD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（3）造价复核应有书面记录,并作为项目档案的必存材料收归档案。</w:t>
      </w:r>
    </w:p>
    <w:p w14:paraId="3B07ED0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11.对数工作</w:t>
      </w:r>
    </w:p>
    <w:p w14:paraId="0905B9E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（1）经过中介机构内部复核后的初审成果，报经委托单位备案并征得委托单位同意后，由委托单 位项目组长组织与项目业主开展对数工作；</w:t>
      </w:r>
    </w:p>
    <w:p w14:paraId="317E998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（2）中介机构应配置具有审核模块功能的工程造价软件，为概算、预算及结算对数过程须留下痕迹记录。</w:t>
      </w:r>
    </w:p>
    <w:p w14:paraId="3C4B15C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12.接受委托的中介机构，其审核程序和质量标准还应遵守相关法律法规的要求。</w:t>
      </w:r>
    </w:p>
    <w:p w14:paraId="668F5D6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13.中介机构应在合同协议规定时间内完成项目预算审核与对数工作，并形成规范的预算审核结论和用于招标投标工作使用的工程量清单，审定成果建设单位、编制单位、编制人签字盖章后，由中介机构、审核人签字盖章并出具审核报告。</w:t>
      </w:r>
    </w:p>
    <w:p w14:paraId="37C5FB4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14.审核工作结束后，中介机构应向委托单位提供完整详细的项目造价审核档案资料（含一式陆份书面资料和一份电子版）。</w:t>
      </w:r>
    </w:p>
    <w:p w14:paraId="0170AD5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15.审核成果文件包括审核报告、工程量计算底稿、审核依据内容（过程往来资料、询价记录、 现场勘察记录、图片等），必须做好存档工作，采购人有权利随时要求供应商提供相关资料。</w:t>
      </w:r>
    </w:p>
    <w:p w14:paraId="561BBBA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16.审核项目所</w:t>
      </w:r>
      <w:r>
        <w:rPr>
          <w:rFonts w:hint="eastAsia"/>
          <w:color w:val="auto"/>
          <w:sz w:val="21"/>
          <w:szCs w:val="21"/>
          <w:highlight w:val="none"/>
          <w:lang w:eastAsia="zh-CN"/>
        </w:rPr>
        <w:t>需</w:t>
      </w:r>
      <w:r>
        <w:rPr>
          <w:rFonts w:hint="eastAsia"/>
          <w:color w:val="auto"/>
          <w:sz w:val="21"/>
          <w:szCs w:val="21"/>
          <w:highlight w:val="none"/>
          <w:lang w:eastAsia="en-US"/>
        </w:rPr>
        <w:t>提供资料的真实性、合法性、一</w:t>
      </w:r>
      <w:r>
        <w:rPr>
          <w:rFonts w:hint="eastAsia"/>
          <w:color w:val="auto"/>
          <w:sz w:val="21"/>
          <w:szCs w:val="21"/>
          <w:highlight w:val="none"/>
          <w:lang w:eastAsia="zh-CN"/>
        </w:rPr>
        <w:t>致性</w:t>
      </w:r>
      <w:r>
        <w:rPr>
          <w:rFonts w:hint="eastAsia"/>
          <w:color w:val="auto"/>
          <w:sz w:val="21"/>
          <w:szCs w:val="21"/>
          <w:highlight w:val="none"/>
          <w:lang w:eastAsia="en-US"/>
        </w:rPr>
        <w:t>、完整性负责。审核所送的纸质资料与电子资料一致，做好扫描纸质材料归档，后才可以按电子资料开展审核工作及存档，如因电子资料与纸质资料不一致引起的一切后果审核方承担。</w:t>
      </w:r>
    </w:p>
    <w:p w14:paraId="3FF89DC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三、确定第二阶段成交供应商的方式</w:t>
      </w:r>
    </w:p>
    <w:p w14:paraId="6B434FB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在框架协议有效期内，委托单位根据服务项目的类别和规模情况，项目实际情况、供应商服务质 量、服务便利性、用户评价等因素，从第一阶段入围供应商中直接选定，并签订服务采购合同，服务 采购合同格式按照国家相关标准版本签订。</w:t>
      </w:r>
    </w:p>
    <w:p w14:paraId="25D23ED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四、工程结算审核完成时间</w:t>
      </w:r>
    </w:p>
    <w:p w14:paraId="6B0B526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（一）项目审核的时限要求：（以接受项目委托之日算起）      单位： 日历天</w:t>
      </w:r>
    </w:p>
    <w:tbl>
      <w:tblPr>
        <w:tblStyle w:val="46"/>
        <w:tblW w:w="7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078"/>
        <w:gridCol w:w="1061"/>
        <w:gridCol w:w="1226"/>
        <w:gridCol w:w="1226"/>
        <w:gridCol w:w="1226"/>
      </w:tblGrid>
      <w:tr w14:paraId="67D7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center"/>
          </w:tcPr>
          <w:p w14:paraId="788C87EB">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送审造价</w:t>
            </w:r>
          </w:p>
        </w:tc>
        <w:tc>
          <w:tcPr>
            <w:tcW w:w="1078" w:type="dxa"/>
            <w:noWrap w:val="0"/>
            <w:vAlign w:val="center"/>
          </w:tcPr>
          <w:p w14:paraId="3DC2F483">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出具初审报告工作时限</w:t>
            </w:r>
          </w:p>
        </w:tc>
        <w:tc>
          <w:tcPr>
            <w:tcW w:w="1061" w:type="dxa"/>
            <w:noWrap w:val="0"/>
            <w:vAlign w:val="center"/>
          </w:tcPr>
          <w:p w14:paraId="1BE9B618">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对数工作</w:t>
            </w:r>
          </w:p>
          <w:p w14:paraId="7A026F0A">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时限</w:t>
            </w:r>
          </w:p>
        </w:tc>
        <w:tc>
          <w:tcPr>
            <w:tcW w:w="1226" w:type="dxa"/>
            <w:noWrap w:val="0"/>
            <w:vAlign w:val="center"/>
          </w:tcPr>
          <w:p w14:paraId="0672935C">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二次复核</w:t>
            </w:r>
          </w:p>
          <w:p w14:paraId="4D1A6BDD">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工作时限</w:t>
            </w:r>
          </w:p>
        </w:tc>
        <w:tc>
          <w:tcPr>
            <w:tcW w:w="1226" w:type="dxa"/>
            <w:noWrap w:val="0"/>
            <w:vAlign w:val="center"/>
          </w:tcPr>
          <w:p w14:paraId="537C2514">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出具审核报</w:t>
            </w:r>
          </w:p>
          <w:p w14:paraId="07C082AE">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告工作时限</w:t>
            </w:r>
          </w:p>
        </w:tc>
        <w:tc>
          <w:tcPr>
            <w:tcW w:w="1226" w:type="dxa"/>
            <w:noWrap w:val="0"/>
            <w:vAlign w:val="center"/>
          </w:tcPr>
          <w:p w14:paraId="75FB0450">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总审核工作</w:t>
            </w:r>
          </w:p>
          <w:p w14:paraId="1221B8FA">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时限</w:t>
            </w:r>
          </w:p>
        </w:tc>
      </w:tr>
      <w:tr w14:paraId="28F4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5FAC25D9">
            <w:pPr>
              <w:pStyle w:val="114"/>
              <w:spacing w:before="32" w:line="216"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2"/>
                <w:sz w:val="20"/>
                <w:szCs w:val="20"/>
                <w:highlight w:val="none"/>
              </w:rPr>
              <w:t>100</w:t>
            </w:r>
            <w:r>
              <w:rPr>
                <w:rFonts w:hint="default" w:ascii="Times New Roman" w:hAnsi="Times New Roman" w:cs="Times New Roman"/>
                <w:b w:val="0"/>
                <w:bCs w:val="0"/>
                <w:color w:val="auto"/>
                <w:spacing w:val="2"/>
                <w:sz w:val="20"/>
                <w:szCs w:val="20"/>
                <w:highlight w:val="none"/>
              </w:rPr>
              <w:t>万元以下</w:t>
            </w:r>
          </w:p>
        </w:tc>
        <w:tc>
          <w:tcPr>
            <w:tcW w:w="1078" w:type="dxa"/>
            <w:noWrap w:val="0"/>
            <w:vAlign w:val="top"/>
          </w:tcPr>
          <w:p w14:paraId="703CA7B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7 天</w:t>
            </w:r>
          </w:p>
        </w:tc>
        <w:tc>
          <w:tcPr>
            <w:tcW w:w="1061" w:type="dxa"/>
            <w:noWrap w:val="0"/>
            <w:vAlign w:val="top"/>
          </w:tcPr>
          <w:p w14:paraId="0B03FB8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23D49152">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6C28A16E">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116E9C56">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15 天</w:t>
            </w:r>
          </w:p>
        </w:tc>
      </w:tr>
      <w:tr w14:paraId="2707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1B8E35FE">
            <w:pPr>
              <w:pStyle w:val="114"/>
              <w:spacing w:before="31" w:line="218"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1"/>
                <w:sz w:val="20"/>
                <w:szCs w:val="20"/>
                <w:highlight w:val="none"/>
              </w:rPr>
              <w:t>100-200</w:t>
            </w:r>
            <w:r>
              <w:rPr>
                <w:rFonts w:hint="default" w:ascii="Times New Roman" w:hAnsi="Times New Roman" w:cs="Times New Roman"/>
                <w:b w:val="0"/>
                <w:bCs w:val="0"/>
                <w:color w:val="auto"/>
                <w:spacing w:val="1"/>
                <w:sz w:val="20"/>
                <w:szCs w:val="20"/>
                <w:highlight w:val="none"/>
              </w:rPr>
              <w:t>万元</w:t>
            </w:r>
          </w:p>
        </w:tc>
        <w:tc>
          <w:tcPr>
            <w:tcW w:w="1078" w:type="dxa"/>
            <w:noWrap w:val="0"/>
            <w:vAlign w:val="top"/>
          </w:tcPr>
          <w:p w14:paraId="184B5601">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10 天</w:t>
            </w:r>
          </w:p>
        </w:tc>
        <w:tc>
          <w:tcPr>
            <w:tcW w:w="1061" w:type="dxa"/>
            <w:noWrap w:val="0"/>
            <w:vAlign w:val="top"/>
          </w:tcPr>
          <w:p w14:paraId="51B59C0D">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 天</w:t>
            </w:r>
          </w:p>
        </w:tc>
        <w:tc>
          <w:tcPr>
            <w:tcW w:w="1226" w:type="dxa"/>
            <w:noWrap w:val="0"/>
            <w:vAlign w:val="top"/>
          </w:tcPr>
          <w:p w14:paraId="47D8852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 天</w:t>
            </w:r>
          </w:p>
        </w:tc>
        <w:tc>
          <w:tcPr>
            <w:tcW w:w="1226" w:type="dxa"/>
            <w:noWrap w:val="0"/>
            <w:vAlign w:val="top"/>
          </w:tcPr>
          <w:p w14:paraId="1D7356D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5DF1E3B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20 天</w:t>
            </w:r>
          </w:p>
        </w:tc>
      </w:tr>
      <w:tr w14:paraId="3CDC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6A6C6F6F">
            <w:pPr>
              <w:pStyle w:val="114"/>
              <w:spacing w:before="32" w:line="216"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3"/>
                <w:sz w:val="20"/>
                <w:szCs w:val="20"/>
                <w:highlight w:val="none"/>
              </w:rPr>
              <w:t>200-500</w:t>
            </w:r>
            <w:r>
              <w:rPr>
                <w:rFonts w:hint="default" w:ascii="Times New Roman" w:hAnsi="Times New Roman" w:cs="Times New Roman"/>
                <w:b w:val="0"/>
                <w:bCs w:val="0"/>
                <w:color w:val="auto"/>
                <w:spacing w:val="3"/>
                <w:sz w:val="20"/>
                <w:szCs w:val="20"/>
                <w:highlight w:val="none"/>
              </w:rPr>
              <w:t>万元</w:t>
            </w:r>
          </w:p>
        </w:tc>
        <w:tc>
          <w:tcPr>
            <w:tcW w:w="1078" w:type="dxa"/>
            <w:noWrap w:val="0"/>
            <w:vAlign w:val="top"/>
          </w:tcPr>
          <w:p w14:paraId="500FD74B">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12 天</w:t>
            </w:r>
          </w:p>
        </w:tc>
        <w:tc>
          <w:tcPr>
            <w:tcW w:w="1061" w:type="dxa"/>
            <w:noWrap w:val="0"/>
            <w:vAlign w:val="top"/>
          </w:tcPr>
          <w:p w14:paraId="2A37711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6 天</w:t>
            </w:r>
          </w:p>
        </w:tc>
        <w:tc>
          <w:tcPr>
            <w:tcW w:w="1226" w:type="dxa"/>
            <w:noWrap w:val="0"/>
            <w:vAlign w:val="top"/>
          </w:tcPr>
          <w:p w14:paraId="325FA62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3970903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7D68712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25 天</w:t>
            </w:r>
          </w:p>
        </w:tc>
      </w:tr>
      <w:tr w14:paraId="759E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7D35A3AE">
            <w:pPr>
              <w:pStyle w:val="114"/>
              <w:spacing w:before="30" w:line="218"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3"/>
                <w:sz w:val="20"/>
                <w:szCs w:val="20"/>
                <w:highlight w:val="none"/>
              </w:rPr>
              <w:t>500-1000</w:t>
            </w:r>
            <w:r>
              <w:rPr>
                <w:rFonts w:hint="default" w:ascii="Times New Roman" w:hAnsi="Times New Roman" w:cs="Times New Roman"/>
                <w:b w:val="0"/>
                <w:bCs w:val="0"/>
                <w:color w:val="auto"/>
                <w:spacing w:val="3"/>
                <w:sz w:val="20"/>
                <w:szCs w:val="20"/>
                <w:highlight w:val="none"/>
              </w:rPr>
              <w:t>万元</w:t>
            </w:r>
          </w:p>
        </w:tc>
        <w:tc>
          <w:tcPr>
            <w:tcW w:w="1078" w:type="dxa"/>
            <w:noWrap w:val="0"/>
            <w:vAlign w:val="top"/>
          </w:tcPr>
          <w:p w14:paraId="444E341F">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16 天</w:t>
            </w:r>
          </w:p>
        </w:tc>
        <w:tc>
          <w:tcPr>
            <w:tcW w:w="1061" w:type="dxa"/>
            <w:noWrap w:val="0"/>
            <w:vAlign w:val="top"/>
          </w:tcPr>
          <w:p w14:paraId="1506DB0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7 天</w:t>
            </w:r>
          </w:p>
        </w:tc>
        <w:tc>
          <w:tcPr>
            <w:tcW w:w="1226" w:type="dxa"/>
            <w:noWrap w:val="0"/>
            <w:vAlign w:val="top"/>
          </w:tcPr>
          <w:p w14:paraId="20DD844E">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0613DE39">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 天</w:t>
            </w:r>
          </w:p>
        </w:tc>
        <w:tc>
          <w:tcPr>
            <w:tcW w:w="1226" w:type="dxa"/>
            <w:noWrap w:val="0"/>
            <w:vAlign w:val="top"/>
          </w:tcPr>
          <w:p w14:paraId="1551F171">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30 天</w:t>
            </w:r>
          </w:p>
        </w:tc>
      </w:tr>
      <w:tr w14:paraId="0334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36D1BE96">
            <w:pPr>
              <w:pStyle w:val="114"/>
              <w:spacing w:before="32" w:line="217"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2"/>
                <w:sz w:val="20"/>
                <w:szCs w:val="20"/>
                <w:highlight w:val="none"/>
              </w:rPr>
              <w:t>1000-200</w:t>
            </w:r>
            <w:r>
              <w:rPr>
                <w:rFonts w:hint="default" w:ascii="Times New Roman" w:hAnsi="Times New Roman" w:cs="Times New Roman"/>
                <w:b w:val="0"/>
                <w:bCs w:val="0"/>
                <w:color w:val="auto"/>
                <w:spacing w:val="2"/>
                <w:sz w:val="20"/>
                <w:szCs w:val="20"/>
                <w:highlight w:val="none"/>
              </w:rPr>
              <w:t>万元</w:t>
            </w:r>
          </w:p>
        </w:tc>
        <w:tc>
          <w:tcPr>
            <w:tcW w:w="1078" w:type="dxa"/>
            <w:noWrap w:val="0"/>
            <w:vAlign w:val="top"/>
          </w:tcPr>
          <w:p w14:paraId="242D537A">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18 天</w:t>
            </w:r>
          </w:p>
        </w:tc>
        <w:tc>
          <w:tcPr>
            <w:tcW w:w="1061" w:type="dxa"/>
            <w:noWrap w:val="0"/>
            <w:vAlign w:val="top"/>
          </w:tcPr>
          <w:p w14:paraId="06CC0206">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9 天</w:t>
            </w:r>
          </w:p>
        </w:tc>
        <w:tc>
          <w:tcPr>
            <w:tcW w:w="1226" w:type="dxa"/>
            <w:noWrap w:val="0"/>
            <w:vAlign w:val="top"/>
          </w:tcPr>
          <w:p w14:paraId="423AED67">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22BEA782">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74BFFC50">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35 天</w:t>
            </w:r>
          </w:p>
        </w:tc>
      </w:tr>
      <w:tr w14:paraId="400C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441DB74D">
            <w:pPr>
              <w:pStyle w:val="114"/>
              <w:spacing w:before="29" w:line="219"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4"/>
                <w:sz w:val="20"/>
                <w:szCs w:val="20"/>
                <w:highlight w:val="none"/>
              </w:rPr>
              <w:t>2000-500</w:t>
            </w:r>
            <w:r>
              <w:rPr>
                <w:rFonts w:hint="default" w:ascii="Times New Roman" w:hAnsi="Times New Roman" w:cs="Times New Roman"/>
                <w:b w:val="0"/>
                <w:bCs w:val="0"/>
                <w:color w:val="auto"/>
                <w:spacing w:val="4"/>
                <w:sz w:val="20"/>
                <w:szCs w:val="20"/>
                <w:highlight w:val="none"/>
              </w:rPr>
              <w:t>万元</w:t>
            </w:r>
          </w:p>
        </w:tc>
        <w:tc>
          <w:tcPr>
            <w:tcW w:w="1078" w:type="dxa"/>
            <w:noWrap w:val="0"/>
            <w:vAlign w:val="top"/>
          </w:tcPr>
          <w:p w14:paraId="2EAD0D68">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22 天</w:t>
            </w:r>
          </w:p>
        </w:tc>
        <w:tc>
          <w:tcPr>
            <w:tcW w:w="1061" w:type="dxa"/>
            <w:noWrap w:val="0"/>
            <w:vAlign w:val="top"/>
          </w:tcPr>
          <w:p w14:paraId="391C862C">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12 天</w:t>
            </w:r>
          </w:p>
        </w:tc>
        <w:tc>
          <w:tcPr>
            <w:tcW w:w="1226" w:type="dxa"/>
            <w:noWrap w:val="0"/>
            <w:vAlign w:val="top"/>
          </w:tcPr>
          <w:p w14:paraId="3264276D">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8 天</w:t>
            </w:r>
          </w:p>
        </w:tc>
        <w:tc>
          <w:tcPr>
            <w:tcW w:w="1226" w:type="dxa"/>
            <w:noWrap w:val="0"/>
            <w:vAlign w:val="top"/>
          </w:tcPr>
          <w:p w14:paraId="2F4B6EF4">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 天</w:t>
            </w:r>
          </w:p>
        </w:tc>
        <w:tc>
          <w:tcPr>
            <w:tcW w:w="1226" w:type="dxa"/>
            <w:noWrap w:val="0"/>
            <w:vAlign w:val="top"/>
          </w:tcPr>
          <w:p w14:paraId="3402D989">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45 天</w:t>
            </w:r>
          </w:p>
        </w:tc>
      </w:tr>
      <w:tr w14:paraId="5F91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8" w:type="dxa"/>
            <w:noWrap w:val="0"/>
            <w:vAlign w:val="top"/>
          </w:tcPr>
          <w:p w14:paraId="639F380A">
            <w:pPr>
              <w:pStyle w:val="114"/>
              <w:spacing w:before="31" w:line="217" w:lineRule="auto"/>
              <w:rPr>
                <w:rFonts w:hint="default" w:ascii="Times New Roman" w:hAnsi="Times New Roman" w:cs="Times New Roman"/>
                <w:b w:val="0"/>
                <w:bCs w:val="0"/>
                <w:color w:val="auto"/>
                <w:spacing w:val="6"/>
                <w:sz w:val="20"/>
                <w:szCs w:val="20"/>
                <w:highlight w:val="none"/>
                <w:vertAlign w:val="baseline"/>
              </w:rPr>
            </w:pPr>
            <w:r>
              <w:rPr>
                <w:rFonts w:hint="default" w:ascii="Times New Roman" w:hAnsi="Times New Roman" w:eastAsia="Times New Roman" w:cs="Times New Roman"/>
                <w:b w:val="0"/>
                <w:bCs w:val="0"/>
                <w:color w:val="auto"/>
                <w:spacing w:val="4"/>
                <w:sz w:val="20"/>
                <w:szCs w:val="20"/>
                <w:highlight w:val="none"/>
              </w:rPr>
              <w:t>500</w:t>
            </w:r>
            <w:r>
              <w:rPr>
                <w:rFonts w:hint="default" w:ascii="Times New Roman" w:hAnsi="Times New Roman" w:eastAsia="宋体" w:cs="Times New Roman"/>
                <w:b w:val="0"/>
                <w:bCs w:val="0"/>
                <w:color w:val="auto"/>
                <w:spacing w:val="4"/>
                <w:sz w:val="20"/>
                <w:szCs w:val="20"/>
                <w:highlight w:val="none"/>
                <w:lang w:val="en-US" w:eastAsia="zh-CN"/>
              </w:rPr>
              <w:t>0</w:t>
            </w:r>
            <w:r>
              <w:rPr>
                <w:rFonts w:hint="default" w:ascii="Times New Roman" w:hAnsi="Times New Roman" w:cs="Times New Roman"/>
                <w:b w:val="0"/>
                <w:bCs w:val="0"/>
                <w:color w:val="auto"/>
                <w:spacing w:val="4"/>
                <w:sz w:val="20"/>
                <w:szCs w:val="20"/>
                <w:highlight w:val="none"/>
              </w:rPr>
              <w:t>万元以上</w:t>
            </w:r>
          </w:p>
        </w:tc>
        <w:tc>
          <w:tcPr>
            <w:tcW w:w="1078" w:type="dxa"/>
            <w:noWrap w:val="0"/>
            <w:vAlign w:val="top"/>
          </w:tcPr>
          <w:p w14:paraId="78342BDA">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30 天</w:t>
            </w:r>
          </w:p>
        </w:tc>
        <w:tc>
          <w:tcPr>
            <w:tcW w:w="1061" w:type="dxa"/>
            <w:noWrap w:val="0"/>
            <w:vAlign w:val="top"/>
          </w:tcPr>
          <w:p w14:paraId="74B60B53">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15 天</w:t>
            </w:r>
          </w:p>
        </w:tc>
        <w:tc>
          <w:tcPr>
            <w:tcW w:w="1226" w:type="dxa"/>
            <w:noWrap w:val="0"/>
            <w:vAlign w:val="top"/>
          </w:tcPr>
          <w:p w14:paraId="6F9DB439">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10 天</w:t>
            </w:r>
          </w:p>
        </w:tc>
        <w:tc>
          <w:tcPr>
            <w:tcW w:w="1226" w:type="dxa"/>
            <w:noWrap w:val="0"/>
            <w:vAlign w:val="top"/>
          </w:tcPr>
          <w:p w14:paraId="0CF37F85">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5 天</w:t>
            </w:r>
          </w:p>
        </w:tc>
        <w:tc>
          <w:tcPr>
            <w:tcW w:w="1226" w:type="dxa"/>
            <w:noWrap w:val="0"/>
            <w:vAlign w:val="top"/>
          </w:tcPr>
          <w:p w14:paraId="5A462591">
            <w:pPr>
              <w:jc w:val="center"/>
              <w:rPr>
                <w:rFonts w:hint="default" w:ascii="Times New Roman" w:hAnsi="Times New Roman" w:eastAsia="宋体" w:cs="Times New Roman"/>
                <w:b w:val="0"/>
                <w:bCs w:val="0"/>
                <w:color w:val="auto"/>
                <w:spacing w:val="2"/>
                <w:kern w:val="2"/>
                <w:sz w:val="20"/>
                <w:szCs w:val="20"/>
                <w:highlight w:val="none"/>
                <w:lang w:val="en-US" w:eastAsia="en-US" w:bidi="ar-SA"/>
              </w:rPr>
            </w:pPr>
            <w:r>
              <w:rPr>
                <w:rFonts w:hint="default" w:ascii="Times New Roman" w:hAnsi="Times New Roman" w:eastAsia="宋体" w:cs="Times New Roman"/>
                <w:b w:val="0"/>
                <w:bCs w:val="0"/>
                <w:color w:val="auto"/>
                <w:spacing w:val="2"/>
                <w:kern w:val="2"/>
                <w:sz w:val="20"/>
                <w:szCs w:val="20"/>
                <w:highlight w:val="none"/>
                <w:lang w:val="en-US" w:eastAsia="en-US" w:bidi="ar-SA"/>
              </w:rPr>
              <w:t>60 天</w:t>
            </w:r>
          </w:p>
        </w:tc>
      </w:tr>
    </w:tbl>
    <w:p w14:paraId="3622D74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p>
    <w:p w14:paraId="77F961B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（二）入围供应商在审核过程中因争议问题不能形成审核结论的，应做好书面记录报项目委托单位 组组长，经审核组长批准可延长审核时间。</w:t>
      </w:r>
    </w:p>
    <w:p w14:paraId="0A156F9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（三）入围供应商无故延长审核时间，委托方除扣减委托审核费（按每逾期一天扣减该项目委托审 核费的3%计算）外，并将暂停委托项目审核；审核时间延迟一个月以上的视为受托方无法完成该项目 工程结算审核工作，委托方有权收回工程结算审核资料并扣除该项目的委托审核业务费，当年累计有 两项无法完成的审核项目，委托方有权取消受托方的受托审核资格。</w:t>
      </w:r>
    </w:p>
    <w:p w14:paraId="33521A7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（四）根据入围供应商响应文件承诺为基础，提交的时间应尽可能提前。</w:t>
      </w:r>
    </w:p>
    <w:p w14:paraId="60A874F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（五）甲方不承诺入围供应商在入围有效期内实际承担的工程结算审核服务项目数量。甲方委托入 围单位进行工程结算审核服务时，入围供应商不应拒绝。</w:t>
      </w:r>
    </w:p>
    <w:p w14:paraId="34D9AE0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五、服务费的计算标准</w:t>
      </w:r>
    </w:p>
    <w:p w14:paraId="40D6424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评审服务费计算式=1.基本系数（基本计费与绩效计费二选一计费）×2.调整系数×3.审查性质系数×4.（1-偏差费率）</w:t>
      </w:r>
    </w:p>
    <w:p w14:paraId="5A01422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计费完成后，最终结算的评审服务费不高于中标基本费率的两倍，若超过，评审服务费按中标基本费率的两倍付费结算。</w:t>
      </w:r>
    </w:p>
    <w:p w14:paraId="4250D994">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评审服务费执行上限封顶：单个合同的评审服务费最高不超过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w:t>
      </w:r>
      <w:r>
        <w:rPr>
          <w:rFonts w:hint="default" w:ascii="Times New Roman" w:hAnsi="Times New Roman" w:eastAsia="宋体" w:cs="Times New Roman"/>
          <w:b w:val="0"/>
          <w:bCs w:val="0"/>
          <w:color w:val="auto"/>
          <w:kern w:val="2"/>
          <w:sz w:val="21"/>
          <w:szCs w:val="21"/>
          <w:highlight w:val="none"/>
          <w:lang w:val="en-US" w:eastAsia="zh-CN" w:bidi="ar-SA"/>
        </w:rPr>
        <w:t>。一个委托合同包含多个项目的，每个项目单独计算评审服务费，所有项目服务费之和超过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w:t>
      </w:r>
      <w:r>
        <w:rPr>
          <w:rFonts w:hint="default" w:ascii="Times New Roman" w:hAnsi="Times New Roman" w:eastAsia="宋体" w:cs="Times New Roman"/>
          <w:b w:val="0"/>
          <w:bCs w:val="0"/>
          <w:color w:val="auto"/>
          <w:kern w:val="2"/>
          <w:sz w:val="21"/>
          <w:szCs w:val="21"/>
          <w:highlight w:val="none"/>
          <w:lang w:val="en-US" w:eastAsia="zh-CN" w:bidi="ar-SA"/>
        </w:rPr>
        <w:t>的，按</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w:t>
      </w:r>
      <w:r>
        <w:rPr>
          <w:rFonts w:hint="default" w:ascii="Times New Roman" w:hAnsi="Times New Roman" w:eastAsia="宋体" w:cs="Times New Roman"/>
          <w:b w:val="0"/>
          <w:bCs w:val="0"/>
          <w:color w:val="auto"/>
          <w:kern w:val="2"/>
          <w:sz w:val="21"/>
          <w:szCs w:val="21"/>
          <w:highlight w:val="none"/>
          <w:lang w:val="en-US" w:eastAsia="zh-CN" w:bidi="ar-SA"/>
        </w:rPr>
        <w:t>元结算。</w:t>
      </w:r>
    </w:p>
    <w:p w14:paraId="659C82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评审服务费最低金额：单个合同评审服务费少于1</w:t>
      </w:r>
      <w:r>
        <w:rPr>
          <w:rFonts w:hint="eastAsia" w:cs="Times New Roman"/>
          <w:b w:val="0"/>
          <w:bCs w:val="0"/>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2"/>
          <w:sz w:val="21"/>
          <w:szCs w:val="21"/>
          <w:highlight w:val="none"/>
          <w:lang w:val="en-US" w:eastAsia="zh-CN" w:bidi="ar-SA"/>
        </w:rPr>
        <w:t>00元的，按1</w:t>
      </w:r>
      <w:r>
        <w:rPr>
          <w:rFonts w:hint="eastAsia" w:cs="Times New Roman"/>
          <w:b w:val="0"/>
          <w:bCs w:val="0"/>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2"/>
          <w:sz w:val="21"/>
          <w:szCs w:val="21"/>
          <w:highlight w:val="none"/>
          <w:lang w:val="en-US" w:eastAsia="zh-CN" w:bidi="ar-SA"/>
        </w:rPr>
        <w:t>00元计。</w:t>
      </w:r>
    </w:p>
    <w:p w14:paraId="76EDC00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按照计算式计算出评审服务费，需与上限封顶费及最低金额对比后，才能进行结算付费。以下是计算式的乘数及被乘数的具体解析：</w:t>
      </w:r>
    </w:p>
    <w:p w14:paraId="1D05E4E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（1）</w:t>
      </w:r>
      <w:r>
        <w:rPr>
          <w:rFonts w:hint="default" w:ascii="Times New Roman" w:hAnsi="Times New Roman" w:eastAsia="宋体" w:cs="Times New Roman"/>
          <w:b/>
          <w:bCs/>
          <w:color w:val="auto"/>
          <w:kern w:val="2"/>
          <w:sz w:val="21"/>
          <w:szCs w:val="21"/>
          <w:highlight w:val="none"/>
          <w:lang w:val="en-US" w:eastAsia="zh-CN" w:bidi="ar-SA"/>
        </w:rPr>
        <w:t>基本系数：</w:t>
      </w:r>
    </w:p>
    <w:p w14:paraId="230C459A">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采购人将项目安排供应商评审时，按以下方式计算评审服务费：</w:t>
      </w:r>
    </w:p>
    <w:p w14:paraId="31BC487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基本计费：项目送审造价x基本费率1.50‰；</w:t>
      </w:r>
    </w:p>
    <w:p w14:paraId="073599E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绩效计费：评审净核减值x绩效费率3.00%；</w:t>
      </w:r>
    </w:p>
    <w:p w14:paraId="424E262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按基本计费与绩效计费两种计费方式计算的评审服务费，计费时只能选择一种计费标准，可以按较高者计取。</w:t>
      </w:r>
    </w:p>
    <w:p w14:paraId="63EFBE4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调整系数</w:t>
      </w:r>
      <w:r>
        <w:rPr>
          <w:rFonts w:hint="default" w:ascii="Times New Roman" w:hAnsi="Times New Roman" w:cs="Times New Roman"/>
          <w:b/>
          <w:bCs/>
          <w:color w:val="auto"/>
          <w:kern w:val="2"/>
          <w:sz w:val="21"/>
          <w:szCs w:val="21"/>
          <w:highlight w:val="none"/>
          <w:lang w:val="en-US" w:eastAsia="zh-CN" w:bidi="ar-SA"/>
        </w:rPr>
        <w:t>：</w:t>
      </w:r>
    </w:p>
    <w:p w14:paraId="1FE02A6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按单个合同不同送审造价的调整系数：</w:t>
      </w:r>
    </w:p>
    <w:p w14:paraId="20AA7C3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送审造价500万元以下：1.00;</w:t>
      </w:r>
    </w:p>
    <w:p w14:paraId="38D473E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送审造价500万元（含）以上、1000万元以下：0.85；</w:t>
      </w:r>
    </w:p>
    <w:p w14:paraId="7A3CFFB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送审造价1000万元（含）以上，5000万元以下：0.75；</w:t>
      </w:r>
    </w:p>
    <w:p w14:paraId="0DF7053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④</w:t>
      </w:r>
      <w:r>
        <w:rPr>
          <w:rFonts w:hint="default" w:ascii="Times New Roman" w:hAnsi="Times New Roman" w:eastAsia="宋体" w:cs="Times New Roman"/>
          <w:b w:val="0"/>
          <w:bCs w:val="0"/>
          <w:color w:val="auto"/>
          <w:kern w:val="2"/>
          <w:sz w:val="21"/>
          <w:szCs w:val="21"/>
          <w:highlight w:val="none"/>
          <w:lang w:val="en-US" w:eastAsia="zh-CN" w:bidi="ar-SA"/>
        </w:rPr>
        <w:t>送审造价5000万元（含）以上，1亿元以下：0.60；</w:t>
      </w:r>
    </w:p>
    <w:p w14:paraId="61BA5723">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⑤</w:t>
      </w:r>
      <w:r>
        <w:rPr>
          <w:rFonts w:hint="default" w:ascii="Times New Roman" w:hAnsi="Times New Roman" w:eastAsia="宋体" w:cs="Times New Roman"/>
          <w:b w:val="0"/>
          <w:bCs w:val="0"/>
          <w:color w:val="auto"/>
          <w:kern w:val="2"/>
          <w:sz w:val="21"/>
          <w:szCs w:val="21"/>
          <w:highlight w:val="none"/>
          <w:lang w:val="en-US" w:eastAsia="zh-CN" w:bidi="ar-SA"/>
        </w:rPr>
        <w:t>送审造价1亿元（含）以上，1.5亿元以下：0.50</w:t>
      </w:r>
      <w:r>
        <w:rPr>
          <w:rFonts w:hint="default" w:ascii="Times New Roman" w:hAnsi="Times New Roman" w:cs="Times New Roman"/>
          <w:b w:val="0"/>
          <w:bCs w:val="0"/>
          <w:color w:val="auto"/>
          <w:kern w:val="2"/>
          <w:sz w:val="21"/>
          <w:szCs w:val="21"/>
          <w:highlight w:val="none"/>
          <w:lang w:val="en-US" w:eastAsia="zh-CN" w:bidi="ar-SA"/>
        </w:rPr>
        <w:t>；</w:t>
      </w:r>
    </w:p>
    <w:p w14:paraId="28CA98A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⑥</w:t>
      </w:r>
      <w:r>
        <w:rPr>
          <w:rFonts w:hint="default" w:ascii="Times New Roman" w:hAnsi="Times New Roman" w:eastAsia="宋体" w:cs="Times New Roman"/>
          <w:b w:val="0"/>
          <w:bCs w:val="0"/>
          <w:color w:val="auto"/>
          <w:kern w:val="2"/>
          <w:sz w:val="21"/>
          <w:szCs w:val="21"/>
          <w:highlight w:val="none"/>
          <w:lang w:val="en-US" w:eastAsia="zh-CN" w:bidi="ar-SA"/>
        </w:rPr>
        <w:t>送审造价1.5亿元（含）以上，2亿元以下：0.45</w:t>
      </w:r>
      <w:r>
        <w:rPr>
          <w:rFonts w:hint="default" w:ascii="Times New Roman" w:hAnsi="Times New Roman" w:cs="Times New Roman"/>
          <w:b w:val="0"/>
          <w:bCs w:val="0"/>
          <w:color w:val="auto"/>
          <w:kern w:val="2"/>
          <w:sz w:val="21"/>
          <w:szCs w:val="21"/>
          <w:highlight w:val="none"/>
          <w:lang w:val="en-US" w:eastAsia="zh-CN" w:bidi="ar-SA"/>
        </w:rPr>
        <w:t>；</w:t>
      </w:r>
    </w:p>
    <w:p w14:paraId="5C7A75B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⑦</w:t>
      </w:r>
      <w:r>
        <w:rPr>
          <w:rFonts w:hint="default" w:ascii="Times New Roman" w:hAnsi="Times New Roman" w:eastAsia="宋体" w:cs="Times New Roman"/>
          <w:b w:val="0"/>
          <w:bCs w:val="0"/>
          <w:color w:val="auto"/>
          <w:kern w:val="2"/>
          <w:sz w:val="21"/>
          <w:szCs w:val="21"/>
          <w:highlight w:val="none"/>
          <w:lang w:val="en-US" w:eastAsia="zh-CN" w:bidi="ar-SA"/>
        </w:rPr>
        <w:t>送审造价2亿元（含）以上：0.40</w:t>
      </w:r>
      <w:r>
        <w:rPr>
          <w:rFonts w:hint="default" w:ascii="Times New Roman" w:hAnsi="Times New Roman" w:cs="Times New Roman"/>
          <w:b w:val="0"/>
          <w:bCs w:val="0"/>
          <w:color w:val="auto"/>
          <w:kern w:val="2"/>
          <w:sz w:val="21"/>
          <w:szCs w:val="21"/>
          <w:highlight w:val="none"/>
          <w:lang w:val="en-US" w:eastAsia="zh-CN" w:bidi="ar-SA"/>
        </w:rPr>
        <w:t>；</w:t>
      </w:r>
    </w:p>
    <w:p w14:paraId="113E364E">
      <w:pPr>
        <w:pStyle w:val="11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bCs/>
          <w:color w:val="auto"/>
          <w:spacing w:val="8"/>
          <w:highlight w:val="none"/>
          <w:lang w:val="en-US" w:eastAsia="zh-CN"/>
        </w:rPr>
      </w:pP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3</w:t>
      </w: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审查性质系数：</w:t>
      </w:r>
    </w:p>
    <w:p w14:paraId="40E2F57F">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left"/>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根据各类工程现场勘察的难易程度、工程量计算的难易程度等，测算项目结算评审难易程度，得出以下工程的审查性质系数：</w:t>
      </w:r>
    </w:p>
    <w:p w14:paraId="60389B7D">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①</w:t>
      </w:r>
      <w:r>
        <w:rPr>
          <w:rFonts w:hint="default" w:ascii="Times New Roman" w:hAnsi="Times New Roman" w:cs="Times New Roman"/>
          <w:color w:val="auto"/>
          <w:spacing w:val="8"/>
          <w:highlight w:val="none"/>
          <w:lang w:val="en-US" w:eastAsia="zh-CN"/>
        </w:rPr>
        <w:t>房屋建筑工程：1.1</w:t>
      </w:r>
    </w:p>
    <w:p w14:paraId="2138715E">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②</w:t>
      </w:r>
      <w:r>
        <w:rPr>
          <w:rFonts w:hint="default" w:ascii="Times New Roman" w:hAnsi="Times New Roman" w:cs="Times New Roman"/>
          <w:color w:val="auto"/>
          <w:spacing w:val="8"/>
          <w:highlight w:val="none"/>
          <w:lang w:val="en-US" w:eastAsia="zh-CN"/>
        </w:rPr>
        <w:t>大型水库建筑工程、园林绿化工程：1.2</w:t>
      </w:r>
    </w:p>
    <w:p w14:paraId="6733B606">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③</w:t>
      </w:r>
      <w:r>
        <w:rPr>
          <w:rFonts w:hint="default" w:ascii="Times New Roman" w:hAnsi="Times New Roman" w:cs="Times New Roman"/>
          <w:color w:val="auto"/>
          <w:spacing w:val="8"/>
          <w:highlight w:val="none"/>
          <w:lang w:val="en-US" w:eastAsia="zh-CN"/>
        </w:rPr>
        <w:t>公路工程：0.8</w:t>
      </w:r>
    </w:p>
    <w:p w14:paraId="735E5F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eastAsia" w:cs="Times New Roman"/>
          <w:color w:val="auto"/>
          <w:spacing w:val="8"/>
          <w:highlight w:val="none"/>
          <w:lang w:val="en-US" w:eastAsia="zh-CN"/>
        </w:rPr>
        <w:t>④</w:t>
      </w:r>
      <w:r>
        <w:rPr>
          <w:rFonts w:hint="default" w:ascii="Times New Roman" w:hAnsi="Times New Roman" w:cs="Times New Roman"/>
          <w:color w:val="auto"/>
          <w:spacing w:val="8"/>
          <w:highlight w:val="none"/>
          <w:lang w:val="en-US" w:eastAsia="zh-CN"/>
        </w:rPr>
        <w:t>其他工程：1.0</w:t>
      </w:r>
    </w:p>
    <w:p w14:paraId="74E4F882">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spacing w:val="9"/>
          <w:highlight w:val="none"/>
          <w:lang w:val="en-US" w:eastAsia="zh-CN"/>
        </w:rPr>
      </w:pPr>
      <w:r>
        <w:rPr>
          <w:rFonts w:hint="eastAsia"/>
          <w:b/>
          <w:bCs/>
          <w:color w:val="auto"/>
          <w:spacing w:val="9"/>
          <w:highlight w:val="none"/>
          <w:lang w:val="en-US" w:eastAsia="zh-CN"/>
        </w:rPr>
        <w:t>（4）偏差费率：</w:t>
      </w:r>
    </w:p>
    <w:p w14:paraId="1E2C337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color w:val="auto"/>
          <w:spacing w:val="9"/>
          <w:highlight w:val="none"/>
          <w:lang w:val="en-US" w:eastAsia="zh-CN"/>
        </w:rPr>
      </w:pPr>
      <w:r>
        <w:rPr>
          <w:rFonts w:hint="eastAsia"/>
          <w:b w:val="0"/>
          <w:bCs w:val="0"/>
          <w:color w:val="auto"/>
          <w:spacing w:val="9"/>
          <w:highlight w:val="none"/>
          <w:lang w:val="en-US" w:eastAsia="zh-CN"/>
        </w:rPr>
        <w:t>评审过程中，供应商结算评审初审结果与主审、组长复核有偏差的，根据以下表格的情况核减结算评审服务费：</w:t>
      </w:r>
    </w:p>
    <w:tbl>
      <w:tblPr>
        <w:tblStyle w:val="46"/>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3156"/>
        <w:gridCol w:w="2976"/>
      </w:tblGrid>
      <w:tr w14:paraId="7EB3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Align w:val="center"/>
          </w:tcPr>
          <w:p w14:paraId="26C0E05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项目名称</w:t>
            </w:r>
          </w:p>
        </w:tc>
        <w:tc>
          <w:tcPr>
            <w:tcW w:w="3156" w:type="dxa"/>
            <w:vAlign w:val="center"/>
          </w:tcPr>
          <w:p w14:paraId="2081347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供应商初审结果与定案结果的偏差</w:t>
            </w:r>
          </w:p>
        </w:tc>
        <w:tc>
          <w:tcPr>
            <w:tcW w:w="2976" w:type="dxa"/>
            <w:vAlign w:val="center"/>
          </w:tcPr>
          <w:p w14:paraId="037941E0">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按下表偏差费率核减评审服务费</w:t>
            </w:r>
          </w:p>
        </w:tc>
      </w:tr>
      <w:tr w14:paraId="0461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03976AC2">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送审造价</w:t>
            </w:r>
            <w:r>
              <w:rPr>
                <w:rFonts w:hint="default" w:ascii="宋体" w:hAnsi="宋体" w:eastAsia="宋体" w:cs="宋体"/>
                <w:b w:val="0"/>
                <w:bCs w:val="0"/>
                <w:color w:val="auto"/>
                <w:spacing w:val="9"/>
                <w:kern w:val="2"/>
                <w:sz w:val="20"/>
                <w:szCs w:val="20"/>
                <w:highlight w:val="none"/>
                <w:lang w:val="en-US" w:eastAsia="zh-CN" w:bidi="ar-SA"/>
              </w:rPr>
              <w:t>≤400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0A6878D6">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4</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至6</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2C6D866E">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6A8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21667445">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0C22D977">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6%以上的</w:t>
            </w:r>
          </w:p>
        </w:tc>
        <w:tc>
          <w:tcPr>
            <w:tcW w:w="2976" w:type="dxa"/>
            <w:vAlign w:val="center"/>
          </w:tcPr>
          <w:p w14:paraId="2CE6C760">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417A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44F7EA9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400</w:t>
            </w:r>
            <w:r>
              <w:rPr>
                <w:rFonts w:hint="eastAsia" w:ascii="宋体" w:hAnsi="宋体" w:eastAsia="宋体" w:cs="宋体"/>
                <w:b w:val="0"/>
                <w:bCs w:val="0"/>
                <w:color w:val="auto"/>
                <w:spacing w:val="9"/>
                <w:kern w:val="2"/>
                <w:sz w:val="20"/>
                <w:szCs w:val="20"/>
                <w:highlight w:val="none"/>
                <w:lang w:val="en-US" w:eastAsia="zh-CN" w:bidi="ar-SA"/>
              </w:rPr>
              <w:t>万元以上≤送审造价≤</w:t>
            </w:r>
            <w:r>
              <w:rPr>
                <w:rFonts w:hint="default" w:ascii="宋体" w:hAnsi="宋体" w:eastAsia="宋体" w:cs="宋体"/>
                <w:b w:val="0"/>
                <w:bCs w:val="0"/>
                <w:color w:val="auto"/>
                <w:spacing w:val="9"/>
                <w:kern w:val="2"/>
                <w:sz w:val="20"/>
                <w:szCs w:val="20"/>
                <w:highlight w:val="none"/>
                <w:lang w:val="en-US" w:eastAsia="zh-CN" w:bidi="ar-SA"/>
              </w:rPr>
              <w:t>5000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450D4B01">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3%</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至5</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以上的</w:t>
            </w:r>
          </w:p>
        </w:tc>
        <w:tc>
          <w:tcPr>
            <w:tcW w:w="2976" w:type="dxa"/>
            <w:vAlign w:val="center"/>
          </w:tcPr>
          <w:p w14:paraId="7E0F74AD">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58A0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5E852C10">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711B300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5%以上的</w:t>
            </w:r>
          </w:p>
        </w:tc>
        <w:tc>
          <w:tcPr>
            <w:tcW w:w="2976" w:type="dxa"/>
            <w:vAlign w:val="center"/>
          </w:tcPr>
          <w:p w14:paraId="200D2FCC">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0944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57CBABE7">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5000</w:t>
            </w:r>
            <w:r>
              <w:rPr>
                <w:rFonts w:hint="eastAsia" w:ascii="宋体" w:hAnsi="宋体" w:eastAsia="宋体" w:cs="宋体"/>
                <w:b w:val="0"/>
                <w:bCs w:val="0"/>
                <w:color w:val="auto"/>
                <w:spacing w:val="9"/>
                <w:kern w:val="2"/>
                <w:sz w:val="20"/>
                <w:szCs w:val="20"/>
                <w:highlight w:val="none"/>
                <w:lang w:val="en-US" w:eastAsia="zh-CN" w:bidi="ar-SA"/>
              </w:rPr>
              <w:t>万以上≤送审造价≤</w:t>
            </w:r>
            <w:r>
              <w:rPr>
                <w:rFonts w:hint="default" w:ascii="宋体" w:hAnsi="宋体" w:eastAsia="宋体" w:cs="宋体"/>
                <w:b w:val="0"/>
                <w:bCs w:val="0"/>
                <w:color w:val="auto"/>
                <w:spacing w:val="9"/>
                <w:kern w:val="2"/>
                <w:sz w:val="20"/>
                <w:szCs w:val="20"/>
                <w:highlight w:val="none"/>
                <w:lang w:val="en-US" w:eastAsia="zh-CN" w:bidi="ar-SA"/>
              </w:rPr>
              <w:t>10000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67062EB2">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2%</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至4</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49C413D3">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152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7D19F268">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144B59B7">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4%以上的</w:t>
            </w:r>
          </w:p>
        </w:tc>
        <w:tc>
          <w:tcPr>
            <w:tcW w:w="2976" w:type="dxa"/>
            <w:vAlign w:val="center"/>
          </w:tcPr>
          <w:p w14:paraId="4A42FB1F">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4C8D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restart"/>
            <w:vAlign w:val="center"/>
          </w:tcPr>
          <w:p w14:paraId="34030DA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送审造价</w:t>
            </w:r>
            <w:r>
              <w:rPr>
                <w:rFonts w:hint="default" w:ascii="宋体" w:hAnsi="宋体" w:eastAsia="宋体" w:cs="宋体"/>
                <w:b w:val="0"/>
                <w:bCs w:val="0"/>
                <w:color w:val="auto"/>
                <w:spacing w:val="9"/>
                <w:kern w:val="2"/>
                <w:sz w:val="20"/>
                <w:szCs w:val="20"/>
                <w:highlight w:val="none"/>
                <w:lang w:val="en-US" w:eastAsia="zh-CN" w:bidi="ar-SA"/>
              </w:rPr>
              <w:t>10000</w:t>
            </w:r>
            <w:r>
              <w:rPr>
                <w:rFonts w:hint="eastAsia" w:ascii="宋体" w:hAnsi="宋体" w:eastAsia="宋体" w:cs="宋体"/>
                <w:b w:val="0"/>
                <w:bCs w:val="0"/>
                <w:color w:val="auto"/>
                <w:spacing w:val="9"/>
                <w:kern w:val="2"/>
                <w:sz w:val="20"/>
                <w:szCs w:val="20"/>
                <w:highlight w:val="none"/>
                <w:lang w:val="en-US" w:eastAsia="zh-CN" w:bidi="ar-SA"/>
              </w:rPr>
              <w:t>万元以上的项目</w:t>
            </w:r>
          </w:p>
        </w:tc>
        <w:tc>
          <w:tcPr>
            <w:tcW w:w="3156" w:type="dxa"/>
            <w:vAlign w:val="center"/>
          </w:tcPr>
          <w:p w14:paraId="2C4BD548">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至3</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（含本数）</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2DA9CEE1">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686D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0" w:type="dxa"/>
            <w:vMerge w:val="continue"/>
            <w:vAlign w:val="center"/>
          </w:tcPr>
          <w:p w14:paraId="1F3FBD9A">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1C0F5108">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3%以上的</w:t>
            </w:r>
          </w:p>
        </w:tc>
        <w:tc>
          <w:tcPr>
            <w:tcW w:w="2976" w:type="dxa"/>
            <w:vAlign w:val="center"/>
          </w:tcPr>
          <w:p w14:paraId="40FDB0F6">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bl>
    <w:p w14:paraId="75C4866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供应商的报价已包括了实施和完成工程结算评审工作所需的劳务费、技术服务费、交通、通讯、办公 场地、管理费、税费和利润等费用和政策性文件规定及合同包含的所有风险、责任等各项应有的费用，除 非上述费用在合同中另有说明。合同期内，费率不再调整。</w:t>
      </w:r>
    </w:p>
    <w:p w14:paraId="50DADE3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六、服务费的支付</w:t>
      </w:r>
    </w:p>
    <w:p w14:paraId="3EDB6B8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1、本项目无预付款。</w:t>
      </w:r>
    </w:p>
    <w:p w14:paraId="40156B1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2、服务费由入围供应商根据结算审核完成情况按半年据实申报，征集人（采购人）审核无误后统一支付。</w:t>
      </w:r>
    </w:p>
    <w:p w14:paraId="78DDE93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3、合同履行期间，如入围供应商存在违法行为，在政府采购监督管理部门调查期间、被行政处罚 期间，征集人（采购人）可视情况依法终止合同。涉及到所承接项目的结算审核服务费，征集人（采 购人）可延期或拒绝支付服务费。</w:t>
      </w:r>
    </w:p>
    <w:p w14:paraId="34778A5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（二）服务费的结算</w:t>
      </w:r>
    </w:p>
    <w:p w14:paraId="560B720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双方约定同意将审核费转入如下账号：</w:t>
      </w:r>
    </w:p>
    <w:p w14:paraId="7554983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开户名称：</w:t>
      </w:r>
    </w:p>
    <w:p w14:paraId="0C5F8F4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开户银行：</w:t>
      </w:r>
    </w:p>
    <w:p w14:paraId="631EF84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 xml:space="preserve">开户账号：                             </w:t>
      </w:r>
    </w:p>
    <w:p w14:paraId="07FE979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统一社会信用代码：</w:t>
      </w:r>
    </w:p>
    <w:p w14:paraId="0B87501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七、1．适用框架协议的范围：甲方委托的建设工程结算评审服务项目；</w:t>
      </w:r>
    </w:p>
    <w:p w14:paraId="768D7EE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lang w:eastAsia="en-US"/>
        </w:rPr>
        <w:t>2．履行合同的地域范围：</w:t>
      </w:r>
      <w:r>
        <w:rPr>
          <w:rFonts w:hint="eastAsia"/>
          <w:color w:val="auto"/>
          <w:sz w:val="21"/>
          <w:szCs w:val="21"/>
          <w:highlight w:val="none"/>
          <w:lang w:val="en-US" w:eastAsia="zh-CN"/>
        </w:rPr>
        <w:t>田东县</w:t>
      </w:r>
    </w:p>
    <w:p w14:paraId="1651C2A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八、入围供应商清退和补充规则</w:t>
      </w:r>
    </w:p>
    <w:p w14:paraId="08B7798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1.出现“第十一条 违约责任”规定的情形的供应商将被清退出入围名单；</w:t>
      </w:r>
    </w:p>
    <w:p w14:paraId="57D6645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2.在框架协议有效期内，除单个标项内剩余供应商不足1家的情况外，不再补充征集入围供应商；</w:t>
      </w:r>
    </w:p>
    <w:p w14:paraId="446AD5D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3.如确需补充征集入围供应商，将按本次征集程序补充入围供应商数量至同样数量，被清退的供 应商不得参加补充征集，补充征集的框架协议有效期与原框架协议有效期剩余时间一致。</w:t>
      </w:r>
    </w:p>
    <w:p w14:paraId="10BF087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4.</w:t>
      </w:r>
      <w:r>
        <w:rPr>
          <w:rFonts w:hint="eastAsia"/>
          <w:color w:val="auto"/>
          <w:sz w:val="21"/>
          <w:szCs w:val="21"/>
          <w:highlight w:val="none"/>
          <w:lang w:val="en-US" w:eastAsia="zh-CN"/>
        </w:rPr>
        <w:t>供应商参与政府投资建设项目竣工结算审计，因其出具的结算报告失实导致超付工程款问题发生，进而产生诉讼情况的（诉讼发生时间为2021年1月1日至今的），该供应商不得参与本次政府采购活动。招标前未发现，而在招标后发现的，自动丧失中标供应商资格。</w:t>
      </w:r>
    </w:p>
    <w:p w14:paraId="65C4798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九、双方约定</w:t>
      </w:r>
    </w:p>
    <w:p w14:paraId="79855C7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1、乙方不得将甲方委托的审核工作必须安排本单位的人员完成，不得将受托审核项目转包或分包 给其他工程造价咨询机构或个人。否则，甲方</w:t>
      </w:r>
      <w:r>
        <w:rPr>
          <w:rFonts w:hint="eastAsia"/>
          <w:color w:val="auto"/>
          <w:sz w:val="21"/>
          <w:szCs w:val="21"/>
          <w:highlight w:val="none"/>
          <w:lang w:eastAsia="zh-CN"/>
        </w:rPr>
        <w:t>有权</w:t>
      </w:r>
      <w:r>
        <w:rPr>
          <w:rFonts w:hint="eastAsia"/>
          <w:color w:val="auto"/>
          <w:sz w:val="21"/>
          <w:szCs w:val="21"/>
          <w:highlight w:val="none"/>
          <w:lang w:eastAsia="en-US"/>
        </w:rPr>
        <w:t>取消乙方的审核资格并拒绝支付委托项目的审核 费。</w:t>
      </w:r>
    </w:p>
    <w:p w14:paraId="0F4C191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2、乙方在</w:t>
      </w:r>
      <w:r>
        <w:rPr>
          <w:rFonts w:hint="eastAsia"/>
          <w:color w:val="auto"/>
          <w:sz w:val="21"/>
          <w:szCs w:val="21"/>
          <w:highlight w:val="none"/>
          <w:lang w:eastAsia="zh-CN"/>
        </w:rPr>
        <w:t>接受</w:t>
      </w:r>
      <w:r>
        <w:rPr>
          <w:rFonts w:hint="eastAsia"/>
          <w:color w:val="auto"/>
          <w:sz w:val="21"/>
          <w:szCs w:val="21"/>
          <w:highlight w:val="none"/>
          <w:lang w:eastAsia="en-US"/>
        </w:rPr>
        <w:t>委托任务后应积极主动地与</w:t>
      </w:r>
      <w:r>
        <w:rPr>
          <w:rFonts w:hint="eastAsia"/>
          <w:color w:val="auto"/>
          <w:sz w:val="21"/>
          <w:szCs w:val="21"/>
          <w:highlight w:val="none"/>
          <w:lang w:val="en-US" w:eastAsia="zh-CN"/>
        </w:rPr>
        <w:t>田东县</w:t>
      </w:r>
      <w:r>
        <w:rPr>
          <w:rFonts w:hint="eastAsia"/>
          <w:color w:val="auto"/>
          <w:sz w:val="21"/>
          <w:szCs w:val="21"/>
          <w:highlight w:val="none"/>
          <w:lang w:eastAsia="en-US"/>
        </w:rPr>
        <w:t>财政局联系，落实具体事宜，并安排造价员（造价师）在规定的时间内完成审核工作，并承诺在合同期内不变更主审造价员（师）。</w:t>
      </w:r>
    </w:p>
    <w:p w14:paraId="20F1570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3、乙方应在甲乙双方</w:t>
      </w:r>
      <w:r>
        <w:rPr>
          <w:rFonts w:hint="eastAsia"/>
          <w:color w:val="auto"/>
          <w:sz w:val="21"/>
          <w:szCs w:val="21"/>
          <w:highlight w:val="none"/>
          <w:lang w:eastAsia="zh-CN"/>
        </w:rPr>
        <w:t>签订的</w:t>
      </w:r>
      <w:r>
        <w:rPr>
          <w:rFonts w:hint="eastAsia"/>
          <w:color w:val="auto"/>
          <w:sz w:val="21"/>
          <w:szCs w:val="21"/>
          <w:highlight w:val="none"/>
          <w:lang w:eastAsia="en-US"/>
        </w:rPr>
        <w:t>《工程结算评审服务框架协议合同》规定的时间前完成工程结算审核工作，并按</w:t>
      </w:r>
      <w:r>
        <w:rPr>
          <w:rFonts w:hint="eastAsia"/>
          <w:color w:val="auto"/>
          <w:sz w:val="21"/>
          <w:szCs w:val="21"/>
          <w:highlight w:val="none"/>
          <w:lang w:val="en-US" w:eastAsia="zh-CN"/>
        </w:rPr>
        <w:t>时</w:t>
      </w:r>
      <w:r>
        <w:rPr>
          <w:rFonts w:hint="eastAsia"/>
          <w:color w:val="auto"/>
          <w:sz w:val="21"/>
          <w:szCs w:val="21"/>
          <w:highlight w:val="none"/>
          <w:lang w:eastAsia="en-US"/>
        </w:rPr>
        <w:t>提交工程结算成果及工程量审核底稿。时间原则上按如下规定：结算审核按合同中要求的时间完成（除甲方提供主要资料滞后外），乙方应按甲方要求向甲方提供经甲方稽核通过的结算报告书的电子文档。</w:t>
      </w:r>
    </w:p>
    <w:p w14:paraId="6DDBDD2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4、如乙方在审核过程中发现问题的，应立即通知甲方。</w:t>
      </w:r>
    </w:p>
    <w:p w14:paraId="7E83C46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合同有效期内，甲方认为乙方实际投入的审核人员不足以满足审核任务需要或认为审核人员不称职时，可向乙方发出要求增加或更换（必要时可指定）审核人员的通知，乙方在收到通知后的5天内应增加或更换相应的审核人员，由此产生的费用由乙方自行承担。</w:t>
      </w:r>
    </w:p>
    <w:p w14:paraId="3079956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6、乙方已接受甲方委托审核某工程结算的，不能再为与该工程项目有关的投标人、项目业主或施 工方提供与该工程项目投标、结算有关的服务；如发现乙方有违规情况并经查实的， 甲方有权终止合 同并追究乙方违约责任。</w:t>
      </w:r>
    </w:p>
    <w:p w14:paraId="5235318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7、乙方在审核过程中如需项目业主或承包单位增补资料的，应通甲方索要。</w:t>
      </w:r>
    </w:p>
    <w:p w14:paraId="1CE08C1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8、乙方不得承揽同一个项目的预算控制价编审工作或预算控制价审核工作及前期相关工作又承揽 该项目的结算审核工作。</w:t>
      </w:r>
    </w:p>
    <w:p w14:paraId="7039A70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9、乙方在项目审核工作过程中，必须严格遵守国家法律法规，加强内部监督管理，廉洁自律，严 禁收受利益相关单位和个人的现金、购物卡、各种有价证券及礼品，不得接受利益相关单位的宴请和 娱乐活动。不得私自与利益相关单位就项目审核问题进行交流、商谈。乙方核查审核人员与被审核单 位是否存在利害关系，如有应实行回避。</w:t>
      </w:r>
    </w:p>
    <w:p w14:paraId="18401ED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10、乙方应向甲方提交工程结算成果及工程量审核底稿时必须已完成内部三级审核程序。</w:t>
      </w:r>
    </w:p>
    <w:p w14:paraId="426C5A0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11、乙方必须严格执行</w:t>
      </w:r>
      <w:r>
        <w:rPr>
          <w:rFonts w:hint="eastAsia"/>
          <w:color w:val="auto"/>
          <w:sz w:val="21"/>
          <w:szCs w:val="21"/>
          <w:highlight w:val="none"/>
          <w:lang w:val="en-US" w:eastAsia="zh-CN"/>
        </w:rPr>
        <w:t>田东县</w:t>
      </w:r>
      <w:r>
        <w:rPr>
          <w:rFonts w:hint="eastAsia"/>
          <w:color w:val="auto"/>
          <w:sz w:val="21"/>
          <w:szCs w:val="21"/>
          <w:highlight w:val="none"/>
          <w:lang w:eastAsia="en-US"/>
        </w:rPr>
        <w:t>财政投资审核（结算）协审机构管理暂行办法 。</w:t>
      </w:r>
    </w:p>
    <w:p w14:paraId="2BAF7CE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12、其它约定：</w:t>
      </w:r>
    </w:p>
    <w:p w14:paraId="2CE70BE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（一）入围供应商需遵循具体的执业要求。</w:t>
      </w:r>
    </w:p>
    <w:p w14:paraId="4BCF352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（二）入围供应商需接受结算评审工作专班办公室的监督管理，包括对入围供应商的考评、约谈等。</w:t>
      </w:r>
    </w:p>
    <w:p w14:paraId="7A2E3BA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三）入围供应商接受委托服务后，需签订履职承诺书，内容包含遵守《田东县人民政府关于印发田东县政府投资建设项目中介机构结算审核的监督管理办法（试行）的通知（东政规〔2023〕1号）》文件规定及结算评审工作专班办公室制定的各项工作制度。</w:t>
      </w:r>
    </w:p>
    <w:p w14:paraId="31F31CC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（四）入围供应商拒绝接受结算评审工作专班办公室安排评审任务超过两次的，自动丧失中标供应商资格。</w:t>
      </w:r>
    </w:p>
    <w:p w14:paraId="38E220E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zh-CN"/>
        </w:rPr>
        <w:t>（</w:t>
      </w:r>
      <w:r>
        <w:rPr>
          <w:rFonts w:hint="eastAsia"/>
          <w:color w:val="auto"/>
          <w:sz w:val="21"/>
          <w:szCs w:val="21"/>
          <w:highlight w:val="none"/>
          <w:lang w:val="en-US" w:eastAsia="zh-CN"/>
        </w:rPr>
        <w:t>五</w:t>
      </w:r>
      <w:r>
        <w:rPr>
          <w:rFonts w:hint="eastAsia"/>
          <w:color w:val="auto"/>
          <w:sz w:val="21"/>
          <w:szCs w:val="21"/>
          <w:highlight w:val="none"/>
          <w:lang w:eastAsia="zh-CN"/>
        </w:rPr>
        <w:t>）</w:t>
      </w:r>
      <w:r>
        <w:rPr>
          <w:rFonts w:hint="eastAsia"/>
          <w:color w:val="auto"/>
          <w:sz w:val="21"/>
          <w:szCs w:val="21"/>
          <w:highlight w:val="none"/>
          <w:lang w:eastAsia="en-US"/>
        </w:rPr>
        <w:t>在工程结算审核过程中，如发现乙方派出与甲方对数的非乙方内部的审核人员,</w:t>
      </w:r>
      <w:r>
        <w:rPr>
          <w:rFonts w:hint="eastAsia"/>
          <w:color w:val="auto"/>
          <w:sz w:val="21"/>
          <w:szCs w:val="21"/>
          <w:highlight w:val="none"/>
          <w:lang w:eastAsia="zh-CN"/>
        </w:rPr>
        <w:t>发生达</w:t>
      </w:r>
      <w:r>
        <w:rPr>
          <w:rFonts w:hint="eastAsia"/>
          <w:color w:val="auto"/>
          <w:sz w:val="21"/>
          <w:szCs w:val="21"/>
          <w:highlight w:val="none"/>
          <w:lang w:val="en-US" w:eastAsia="zh-CN"/>
        </w:rPr>
        <w:t>3次的，</w:t>
      </w:r>
      <w:r>
        <w:rPr>
          <w:rFonts w:hint="eastAsia"/>
          <w:color w:val="auto"/>
          <w:sz w:val="21"/>
          <w:szCs w:val="21"/>
          <w:highlight w:val="none"/>
          <w:lang w:eastAsia="en-US"/>
        </w:rPr>
        <w:t>甲方有权取消受托方的拒绝支付委托项目的审核费并</w:t>
      </w:r>
      <w:r>
        <w:rPr>
          <w:rFonts w:hint="eastAsia"/>
          <w:color w:val="auto"/>
          <w:sz w:val="21"/>
          <w:szCs w:val="21"/>
          <w:highlight w:val="none"/>
          <w:lang w:eastAsia="zh-CN"/>
        </w:rPr>
        <w:t>终止</w:t>
      </w:r>
      <w:r>
        <w:rPr>
          <w:rFonts w:hint="eastAsia"/>
          <w:color w:val="auto"/>
          <w:sz w:val="21"/>
          <w:szCs w:val="21"/>
          <w:highlight w:val="none"/>
          <w:lang w:eastAsia="en-US"/>
        </w:rPr>
        <w:t>合同。</w:t>
      </w:r>
    </w:p>
    <w:p w14:paraId="7F73404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十、权利和义务</w:t>
      </w:r>
    </w:p>
    <w:p w14:paraId="2F87FB3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1.甲方的权利、义务。</w:t>
      </w:r>
    </w:p>
    <w:p w14:paraId="5D439CE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（1）有权派出监督人员对乙方的业务开展情况和工作质量、廉政纪律执行情况进行全程监督。</w:t>
      </w:r>
    </w:p>
    <w:p w14:paraId="4F1CD8E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（2）有权随时了解乙方的工作方案和进度并可提出意见和建议。</w:t>
      </w:r>
    </w:p>
    <w:p w14:paraId="3DFC94B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（3）有权要求乙方提供或查阅乙方工作底稿（含电子文档）。</w:t>
      </w:r>
    </w:p>
    <w:p w14:paraId="57D420D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（4）有权合法、正确地使用工程结算审核报告。</w:t>
      </w:r>
    </w:p>
    <w:p w14:paraId="6698C4A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（5）发现乙方有违规违纪问题可单方面解除合同。</w:t>
      </w:r>
    </w:p>
    <w:p w14:paraId="242C159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（6）如乙方与投标人有意串通增大工程量或弄虚作假增加结算额的，经查实甲方有权要求其赔偿 相应的损失，向其主管机关提出取消其资质的建议。</w:t>
      </w:r>
    </w:p>
    <w:p w14:paraId="65CAC3B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（7）有义务向乙方提供或协调乙方取得工程编制所需的材料，协调相关部门和单位配合工作，并 将乙方在过程中遇到的问题及时协调解决。</w:t>
      </w:r>
    </w:p>
    <w:p w14:paraId="00ACCB9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2.乙方的权利、义务。</w:t>
      </w:r>
    </w:p>
    <w:p w14:paraId="4386FF7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（1）有权要求甲方提供项目工程结算审核服务的全部资料。</w:t>
      </w:r>
    </w:p>
    <w:p w14:paraId="32F9506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（2）有权要求甲方帮助协调各有关部门的工作，要求甲方尽可能地支持、配合乙方实施工作。</w:t>
      </w:r>
    </w:p>
    <w:p w14:paraId="2D7ABDA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（3）在工作按要求完成后，有权如期取得本合同约定的服务费。</w:t>
      </w:r>
    </w:p>
    <w:p w14:paraId="4439E4D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（4）有义务根据提供的资料实事求是依法编制，并出具合法的报告。</w:t>
      </w:r>
    </w:p>
    <w:p w14:paraId="0B2D49F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（5）有义务保守执业过程中悉知的甲方的商业秘密。</w:t>
      </w:r>
    </w:p>
    <w:p w14:paraId="3C10180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（6）有义务按合同规定的时间内出具报告。</w:t>
      </w:r>
    </w:p>
    <w:p w14:paraId="5E0F4C1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（7）乙方不得将甲方委托的工作转交第三方完成。</w:t>
      </w:r>
    </w:p>
    <w:p w14:paraId="7A13DA6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（8）有义务妥善保管甲方提供的资料，并在指定工作完成后，完整交回甲方。</w:t>
      </w:r>
    </w:p>
    <w:p w14:paraId="15AC098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十一、违约责任</w:t>
      </w:r>
    </w:p>
    <w:p w14:paraId="0AF0A05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1.甲方违约，造成乙方损失的，应按《中华人民共和国民法典》有关规定承担责任。</w:t>
      </w:r>
    </w:p>
    <w:p w14:paraId="6243841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2.供应商不接受委托方委托的，委托方可清退出入围名单。</w:t>
      </w:r>
    </w:p>
    <w:p w14:paraId="2EAE489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3</w:t>
      </w:r>
      <w:r>
        <w:rPr>
          <w:rFonts w:hint="eastAsia"/>
          <w:color w:val="auto"/>
          <w:sz w:val="21"/>
          <w:szCs w:val="21"/>
          <w:highlight w:val="none"/>
          <w:lang w:eastAsia="en-US"/>
        </w:rPr>
        <w:t>.拟定奖惩办法：按季度或每半年对各服务供应商进行考核，考核内容包括在承接项目期间内的 服务态度、报告书内容缺项或差错（误差率、修改率）、</w:t>
      </w:r>
      <w:r>
        <w:rPr>
          <w:rFonts w:hint="eastAsia"/>
          <w:color w:val="auto"/>
          <w:sz w:val="21"/>
          <w:szCs w:val="21"/>
          <w:highlight w:val="none"/>
          <w:lang w:eastAsia="zh-CN"/>
        </w:rPr>
        <w:t>实效性</w:t>
      </w:r>
      <w:r>
        <w:rPr>
          <w:rFonts w:hint="eastAsia"/>
          <w:color w:val="auto"/>
          <w:sz w:val="21"/>
          <w:szCs w:val="21"/>
          <w:highlight w:val="none"/>
          <w:lang w:eastAsia="en-US"/>
        </w:rPr>
        <w:t>（超时审核或延期审结）、与业主私下联系沟通、技术性差错（影响招标）、违纪违法行为等方面，对各服务供应商进行评价及评比。对评价较差的供应商进行警告、通报、减少工作任务委托量、暂停业务服务工作（同时按照不同程度扣 罚保证金），情况严重的解除代理合同；对评价优秀的供应商，在下阶段的工作任务委托上给予加量的支持，以此奖励。</w:t>
      </w:r>
    </w:p>
    <w:p w14:paraId="72C83DD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十二、不可抗力事件处理</w:t>
      </w:r>
    </w:p>
    <w:p w14:paraId="0DA5209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1．不可抗力事件发生后，应立即通知对方，并附送有关权威机构出具的证明。</w:t>
      </w:r>
    </w:p>
    <w:p w14:paraId="25B55EB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2．不可抗力事件延续 120 天以上，双方应通过友好协商，确定是否继续履行合同。</w:t>
      </w:r>
    </w:p>
    <w:p w14:paraId="4D24FF8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十三、争议解决</w:t>
      </w:r>
    </w:p>
    <w:p w14:paraId="1BA086A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1、如果合同双方在履行本合同过程中发生争议，双方应首先采取友好协商的方式解决该争议。如 协商不成，</w:t>
      </w:r>
      <w:r>
        <w:rPr>
          <w:rFonts w:hint="eastAsia"/>
          <w:color w:val="auto"/>
          <w:sz w:val="21"/>
          <w:szCs w:val="21"/>
          <w:highlight w:val="none"/>
          <w:lang w:eastAsia="zh-CN"/>
        </w:rPr>
        <w:t>双方同意</w:t>
      </w:r>
      <w:r>
        <w:rPr>
          <w:rFonts w:hint="eastAsia"/>
          <w:color w:val="auto"/>
          <w:sz w:val="21"/>
          <w:szCs w:val="21"/>
          <w:highlight w:val="none"/>
          <w:lang w:eastAsia="en-US"/>
        </w:rPr>
        <w:t>向</w:t>
      </w:r>
      <w:r>
        <w:rPr>
          <w:rFonts w:hint="eastAsia"/>
          <w:color w:val="auto"/>
          <w:sz w:val="21"/>
          <w:szCs w:val="21"/>
          <w:highlight w:val="none"/>
          <w:lang w:val="en-US" w:eastAsia="zh-CN"/>
        </w:rPr>
        <w:t>当地</w:t>
      </w:r>
      <w:r>
        <w:rPr>
          <w:rFonts w:hint="eastAsia"/>
          <w:color w:val="auto"/>
          <w:sz w:val="21"/>
          <w:szCs w:val="21"/>
          <w:highlight w:val="none"/>
          <w:lang w:eastAsia="en-US"/>
        </w:rPr>
        <w:t>仲裁委员会提起仲裁，并按其仲裁规则进行仲裁；</w:t>
      </w:r>
    </w:p>
    <w:p w14:paraId="3315C27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2、如对任何争议进行仲裁或向人民法院提起诉讼，除争议事项或争议事项所涉及的条款外，双方 应继续履行本合同项下的其它义务。</w:t>
      </w:r>
    </w:p>
    <w:p w14:paraId="093579B9">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十四、合同的生效、变更与终止</w:t>
      </w:r>
    </w:p>
    <w:p w14:paraId="12880CD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1．协议经双方法定代表人或授权委托代理人签字并加盖单位公章后生效。</w:t>
      </w:r>
    </w:p>
    <w:p w14:paraId="191D32B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2．除《中华人民共和国政府采购法》第50条规定的情形外，本合同一经签订，甲、乙双方不得擅 自变更、中止或终止。</w:t>
      </w:r>
    </w:p>
    <w:p w14:paraId="484AE39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3．当事人一方要求变更或解除协议时，应当在变更或解除协议前 5 个工作日通知对方，因变更或 解除协议使一方遭受损失的，除依法可以免除的责任外，应由责任方负责赔偿。变更或解除协议的通知必须采取书面形式，新的协议未达成之前，原协议仍然有效。</w:t>
      </w:r>
    </w:p>
    <w:p w14:paraId="061465F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4、本协议一式四份， 甲方执二份，乙方执一份，代理机构执一份，具有同等法律效力。</w:t>
      </w:r>
    </w:p>
    <w:p w14:paraId="1475E314">
      <w:pPr>
        <w:pStyle w:val="17"/>
        <w:rPr>
          <w:rFonts w:hint="eastAsia"/>
          <w:color w:val="auto"/>
          <w:highlight w:val="none"/>
        </w:rPr>
      </w:pPr>
    </w:p>
    <w:tbl>
      <w:tblPr>
        <w:tblStyle w:val="45"/>
        <w:tblpPr w:leftFromText="180" w:rightFromText="180" w:vertAnchor="text" w:horzAnchor="margin" w:tblpXSpec="center" w:tblpY="2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F0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0ABDB29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0C00F975">
            <w:pPr>
              <w:snapToGrid w:val="0"/>
              <w:spacing w:line="360" w:lineRule="auto"/>
              <w:rPr>
                <w:rFonts w:hint="eastAsia" w:ascii="宋体" w:hAnsi="宋体" w:eastAsia="宋体" w:cs="宋体"/>
                <w:color w:val="auto"/>
                <w:szCs w:val="21"/>
                <w:highlight w:val="none"/>
              </w:rPr>
            </w:pPr>
          </w:p>
          <w:p w14:paraId="7659FE81">
            <w:pPr>
              <w:snapToGrid w:val="0"/>
              <w:spacing w:line="360" w:lineRule="auto"/>
              <w:rPr>
                <w:rFonts w:hint="eastAsia" w:ascii="宋体" w:hAnsi="宋体" w:eastAsia="宋体" w:cs="宋体"/>
                <w:color w:val="auto"/>
                <w:szCs w:val="21"/>
                <w:highlight w:val="none"/>
              </w:rPr>
            </w:pPr>
          </w:p>
          <w:p w14:paraId="21EF7BD7">
            <w:pPr>
              <w:snapToGrid w:val="0"/>
              <w:spacing w:line="360" w:lineRule="auto"/>
              <w:ind w:firstLine="945" w:firstLineChars="450"/>
              <w:jc w:val="right"/>
              <w:rPr>
                <w:rFonts w:hint="eastAsia" w:ascii="宋体" w:hAnsi="宋体" w:eastAsia="宋体" w:cs="宋体"/>
                <w:color w:val="auto"/>
                <w:szCs w:val="21"/>
                <w:highlight w:val="none"/>
              </w:rPr>
            </w:pPr>
          </w:p>
          <w:p w14:paraId="6797F6DC">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1218B4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337FEB7F">
            <w:pPr>
              <w:snapToGrid w:val="0"/>
              <w:spacing w:line="360" w:lineRule="auto"/>
              <w:rPr>
                <w:rFonts w:hint="eastAsia" w:ascii="宋体" w:hAnsi="宋体" w:eastAsia="宋体" w:cs="宋体"/>
                <w:color w:val="auto"/>
                <w:szCs w:val="21"/>
                <w:highlight w:val="none"/>
              </w:rPr>
            </w:pPr>
          </w:p>
          <w:p w14:paraId="730EE3D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8CD2E3E">
            <w:pPr>
              <w:snapToGrid w:val="0"/>
              <w:spacing w:line="360" w:lineRule="auto"/>
              <w:jc w:val="right"/>
              <w:rPr>
                <w:rFonts w:hint="eastAsia" w:ascii="宋体" w:hAnsi="宋体" w:eastAsia="宋体" w:cs="宋体"/>
                <w:color w:val="auto"/>
                <w:szCs w:val="21"/>
                <w:highlight w:val="none"/>
              </w:rPr>
            </w:pPr>
          </w:p>
          <w:p w14:paraId="38845175">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4EA3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4BC4AE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A66F3D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14:paraId="275E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8615DA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1BC9CA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4C4D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13A2FEA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FC50D1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310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2B1EF16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F36AAA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6E7C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28BAF13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B2C7E7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4245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792F11A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68ECE0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2FE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noWrap w:val="0"/>
            <w:vAlign w:val="center"/>
          </w:tcPr>
          <w:p w14:paraId="0E94644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5A0602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28997C6F">
      <w:pPr>
        <w:snapToGrid w:val="0"/>
        <w:jc w:val="center"/>
        <w:rPr>
          <w:rFonts w:hint="eastAsia" w:ascii="宋体" w:hAnsi="宋体" w:eastAsia="宋体" w:cs="宋体"/>
          <w:b/>
          <w:bCs/>
          <w:color w:val="auto"/>
          <w:sz w:val="32"/>
          <w:szCs w:val="32"/>
          <w:highlight w:val="none"/>
        </w:rPr>
      </w:pPr>
    </w:p>
    <w:p w14:paraId="5E007AC4">
      <w:pPr>
        <w:snapToGrid w:val="0"/>
        <w:spacing w:line="360" w:lineRule="auto"/>
        <w:ind w:left="420" w:hanging="420" w:hangingChars="200"/>
        <w:rPr>
          <w:rFonts w:hint="eastAsia" w:ascii="宋体" w:hAnsi="宋体" w:eastAsia="宋体" w:cs="宋体"/>
          <w:color w:val="auto"/>
          <w:szCs w:val="21"/>
          <w:highlight w:val="none"/>
        </w:rPr>
      </w:pPr>
    </w:p>
    <w:p w14:paraId="309A622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附件：社会中介机构廉洁从业承诺书</w:t>
      </w:r>
    </w:p>
    <w:p w14:paraId="3C0CEC45">
      <w:pPr>
        <w:snapToGrid w:val="0"/>
        <w:spacing w:line="360" w:lineRule="auto"/>
        <w:jc w:val="center"/>
        <w:rPr>
          <w:rFonts w:hint="eastAsia" w:ascii="宋体" w:hAnsi="宋体" w:eastAsia="宋体" w:cs="宋体"/>
          <w:b/>
          <w:color w:val="auto"/>
          <w:szCs w:val="21"/>
          <w:highlight w:val="none"/>
        </w:rPr>
      </w:pPr>
    </w:p>
    <w:p w14:paraId="5B7ABDE4">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社会中介机构廉洁从业承诺书（格式）</w:t>
      </w:r>
    </w:p>
    <w:p w14:paraId="0A3F0725">
      <w:pPr>
        <w:snapToGrid w:val="0"/>
        <w:spacing w:line="360" w:lineRule="auto"/>
        <w:jc w:val="left"/>
        <w:rPr>
          <w:rFonts w:hint="eastAsia" w:ascii="宋体" w:hAnsi="宋体" w:eastAsia="宋体" w:cs="宋体"/>
          <w:color w:val="auto"/>
          <w:szCs w:val="21"/>
          <w:highlight w:val="none"/>
        </w:rPr>
      </w:pPr>
    </w:p>
    <w:p w14:paraId="7950362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我公司将遵守国家有关法律法规和廉政建设责任制规定，并作出如下承诺：</w:t>
      </w:r>
    </w:p>
    <w:p w14:paraId="067AF97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1.向征集人、采购人提供的公司及从业人员登记备案有关证件及资料详实，不弄虚作假；</w:t>
      </w:r>
    </w:p>
    <w:p w14:paraId="3E57B2D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2.概算、预算、控制价审核服务过程中，不得使用未报征集人、采购人登记备案的从业人员；</w:t>
      </w:r>
    </w:p>
    <w:p w14:paraId="1026EA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3.在项目评审过程中，秉承诚实、信用、公平、公正的原则开展工作，发出的各类书面文件均真实、有效；</w:t>
      </w:r>
    </w:p>
    <w:p w14:paraId="233EB1F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4.严格按照现行有关法律、法规和各类规范性文件的要求进行操作，遵守征集人、采购人的有关规定，并接受管理和考核；</w:t>
      </w:r>
    </w:p>
    <w:p w14:paraId="2557B21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5.不采用行贿、欺骗、弄虚作假等不正当手段承接工程概算、预算、控制价</w:t>
      </w:r>
      <w:r>
        <w:rPr>
          <w:rFonts w:hint="eastAsia" w:ascii="Times New Roman" w:hAnsi="Times New Roman" w:eastAsia="宋体" w:cs="Times New Roman"/>
          <w:color w:val="auto"/>
          <w:szCs w:val="21"/>
          <w:highlight w:val="none"/>
          <w:lang w:val="en-US" w:eastAsia="zh-CN"/>
        </w:rPr>
        <w:t>审核</w:t>
      </w:r>
      <w:r>
        <w:rPr>
          <w:rFonts w:hint="default" w:ascii="Times New Roman" w:hAnsi="Times New Roman" w:eastAsia="宋体" w:cs="Times New Roman"/>
          <w:color w:val="auto"/>
          <w:szCs w:val="21"/>
          <w:highlight w:val="none"/>
        </w:rPr>
        <w:t>业务；</w:t>
      </w:r>
    </w:p>
    <w:p w14:paraId="3C9D84B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6.不与采购人或</w:t>
      </w:r>
      <w:r>
        <w:rPr>
          <w:rFonts w:hint="eastAsia"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串通，泄露招标控制价编制定价信息；</w:t>
      </w:r>
    </w:p>
    <w:p w14:paraId="0D6BF3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7.不与建设单位或施工单位串通，有意增大或减少工程量、弄虚作假增加评审额、有意使工程量清单漏项，影响项目评审的客观、公正性；</w:t>
      </w:r>
    </w:p>
    <w:p w14:paraId="34FDE52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8.不向利益相关方请客、送礼及组织</w:t>
      </w:r>
      <w:r>
        <w:rPr>
          <w:rFonts w:hint="eastAsia" w:ascii="Times New Roman" w:hAnsi="Times New Roman" w:eastAsia="宋体" w:cs="Times New Roman"/>
          <w:color w:val="auto"/>
          <w:szCs w:val="21"/>
          <w:highlight w:val="none"/>
          <w:lang w:eastAsia="zh-CN"/>
        </w:rPr>
        <w:t>其他有</w:t>
      </w:r>
      <w:r>
        <w:rPr>
          <w:rFonts w:hint="default" w:ascii="Times New Roman" w:hAnsi="Times New Roman" w:eastAsia="宋体" w:cs="Times New Roman"/>
          <w:color w:val="auto"/>
          <w:szCs w:val="21"/>
          <w:highlight w:val="none"/>
        </w:rPr>
        <w:t>可能影响客观公正评审的活动；</w:t>
      </w:r>
    </w:p>
    <w:p w14:paraId="3DFAB0D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9.不向外界泄露评审工作机密；</w:t>
      </w:r>
    </w:p>
    <w:p w14:paraId="264C7D4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10.不为公司从事具体评审工作当事人的违法违章行为说情、解脱；</w:t>
      </w:r>
    </w:p>
    <w:p w14:paraId="34D0E2C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11.不向建设单位或施工单位等相关单位、人员索要或接受回扣、礼金、有价证券、贵重物品等；</w:t>
      </w:r>
    </w:p>
    <w:p w14:paraId="204F85F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12.不接受相关单位组织的有可能影响项目评审公平、公正的宴请及各类娱乐活动</w:t>
      </w:r>
      <w:r>
        <w:rPr>
          <w:rFonts w:hint="eastAsia" w:ascii="Times New Roman" w:hAnsi="Times New Roman" w:eastAsia="宋体" w:cs="Times New Roman"/>
          <w:color w:val="auto"/>
          <w:szCs w:val="21"/>
          <w:highlight w:val="none"/>
          <w:lang w:eastAsia="zh-CN"/>
        </w:rPr>
        <w:t>；</w:t>
      </w:r>
    </w:p>
    <w:p w14:paraId="159F924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如违背上述承诺，本公司自愿承担相应责任，接受监督管理部门、纪检监察机关或司法机关调查处理。</w:t>
      </w:r>
    </w:p>
    <w:p w14:paraId="02C03A61">
      <w:pPr>
        <w:snapToGrid w:val="0"/>
        <w:spacing w:line="360" w:lineRule="auto"/>
        <w:ind w:firstLine="4216" w:firstLineChars="2000"/>
        <w:jc w:val="left"/>
        <w:rPr>
          <w:rFonts w:hint="eastAsia" w:ascii="宋体" w:hAnsi="宋体" w:eastAsia="宋体" w:cs="宋体"/>
          <w:b/>
          <w:bCs/>
          <w:color w:val="auto"/>
          <w:szCs w:val="21"/>
          <w:highlight w:val="none"/>
        </w:rPr>
      </w:pPr>
    </w:p>
    <w:p w14:paraId="2AE9182A">
      <w:pPr>
        <w:snapToGrid w:val="0"/>
        <w:spacing w:line="360" w:lineRule="auto"/>
        <w:ind w:firstLine="4216" w:firstLineChars="2000"/>
        <w:jc w:val="left"/>
        <w:rPr>
          <w:rFonts w:hint="eastAsia" w:ascii="宋体" w:hAnsi="宋体" w:eastAsia="宋体" w:cs="宋体"/>
          <w:b/>
          <w:bCs/>
          <w:color w:val="auto"/>
          <w:szCs w:val="21"/>
          <w:highlight w:val="none"/>
        </w:rPr>
      </w:pPr>
    </w:p>
    <w:p w14:paraId="53F8859F">
      <w:pPr>
        <w:snapToGrid w:val="0"/>
        <w:spacing w:line="360" w:lineRule="auto"/>
        <w:ind w:firstLine="4216" w:firstLineChars="20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供应商（盖单位公章）：                                     </w:t>
      </w:r>
    </w:p>
    <w:p w14:paraId="18BFFD2F">
      <w:pPr>
        <w:snapToGrid w:val="0"/>
        <w:spacing w:line="360" w:lineRule="auto"/>
        <w:ind w:firstLine="4216" w:firstLineChars="20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法定代表人或其委托代理人（签字或盖章）：                              </w:t>
      </w:r>
    </w:p>
    <w:p w14:paraId="04DFFC9F">
      <w:pPr>
        <w:snapToGrid w:val="0"/>
        <w:spacing w:line="360" w:lineRule="auto"/>
        <w:ind w:firstLine="6114" w:firstLineChars="29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  月  日</w:t>
      </w:r>
    </w:p>
    <w:p w14:paraId="74650F3D">
      <w:pPr>
        <w:snapToGrid w:val="0"/>
        <w:spacing w:line="360" w:lineRule="auto"/>
        <w:jc w:val="left"/>
        <w:rPr>
          <w:rFonts w:hint="eastAsia" w:ascii="宋体" w:hAnsi="宋体" w:eastAsia="宋体" w:cs="宋体"/>
          <w:color w:val="auto"/>
          <w:szCs w:val="21"/>
          <w:highlight w:val="none"/>
        </w:rPr>
      </w:pPr>
    </w:p>
    <w:p w14:paraId="6DBF3D41">
      <w:pPr>
        <w:pStyle w:val="17"/>
        <w:spacing w:before="91" w:line="221" w:lineRule="auto"/>
        <w:ind w:left="5567"/>
        <w:rPr>
          <w:color w:val="auto"/>
          <w:sz w:val="28"/>
          <w:szCs w:val="28"/>
          <w:highlight w:val="none"/>
        </w:rPr>
      </w:pPr>
      <w:r>
        <w:rPr>
          <w:rFonts w:hint="eastAsia" w:ascii="宋体" w:hAnsi="宋体" w:eastAsia="宋体" w:cs="宋体"/>
          <w:b/>
          <w:color w:val="auto"/>
          <w:sz w:val="32"/>
          <w:szCs w:val="32"/>
          <w:highlight w:val="none"/>
        </w:rPr>
        <w:br w:type="page"/>
      </w:r>
      <w:r>
        <w:rPr>
          <w:color w:val="auto"/>
          <w:spacing w:val="-3"/>
          <w:sz w:val="28"/>
          <w:szCs w:val="28"/>
          <w:highlight w:val="none"/>
        </w:rPr>
        <w:t>合同编号：</w:t>
      </w:r>
    </w:p>
    <w:p w14:paraId="4CFF5684">
      <w:pPr>
        <w:pStyle w:val="17"/>
        <w:spacing w:before="250" w:line="223" w:lineRule="auto"/>
        <w:ind w:left="2085" w:firstLine="1307" w:firstLineChars="300"/>
        <w:jc w:val="both"/>
        <w:rPr>
          <w:b/>
          <w:bCs/>
          <w:color w:val="auto"/>
          <w:sz w:val="43"/>
          <w:szCs w:val="43"/>
          <w:highlight w:val="none"/>
        </w:rPr>
      </w:pPr>
      <w:r>
        <w:rPr>
          <w:b/>
          <w:bCs/>
          <w:color w:val="auto"/>
          <w:spacing w:val="2"/>
          <w:sz w:val="43"/>
          <w:szCs w:val="43"/>
          <w:highlight w:val="none"/>
        </w:rPr>
        <w:t>采 购 合</w:t>
      </w:r>
      <w:r>
        <w:rPr>
          <w:b/>
          <w:bCs/>
          <w:color w:val="auto"/>
          <w:spacing w:val="69"/>
          <w:sz w:val="43"/>
          <w:szCs w:val="43"/>
          <w:highlight w:val="none"/>
        </w:rPr>
        <w:t xml:space="preserve"> </w:t>
      </w:r>
      <w:r>
        <w:rPr>
          <w:b/>
          <w:bCs/>
          <w:color w:val="auto"/>
          <w:spacing w:val="2"/>
          <w:sz w:val="43"/>
          <w:szCs w:val="43"/>
          <w:highlight w:val="none"/>
        </w:rPr>
        <w:t>同</w:t>
      </w:r>
    </w:p>
    <w:p w14:paraId="21F07CB4">
      <w:pPr>
        <w:spacing w:line="255" w:lineRule="auto"/>
        <w:rPr>
          <w:rFonts w:ascii="Arial"/>
          <w:color w:val="auto"/>
          <w:sz w:val="21"/>
          <w:highlight w:val="none"/>
        </w:rPr>
      </w:pPr>
    </w:p>
    <w:p w14:paraId="1611D78B">
      <w:pPr>
        <w:spacing w:line="255" w:lineRule="auto"/>
        <w:rPr>
          <w:rFonts w:ascii="Arial"/>
          <w:color w:val="auto"/>
          <w:sz w:val="21"/>
          <w:highlight w:val="none"/>
        </w:rPr>
      </w:pPr>
    </w:p>
    <w:p w14:paraId="4E359EF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田东县财政局</w:t>
      </w:r>
      <w:r>
        <w:rPr>
          <w:rFonts w:hint="eastAsia" w:ascii="宋体" w:hAnsi="宋体" w:eastAsia="宋体" w:cs="宋体"/>
          <w:color w:val="auto"/>
          <w:szCs w:val="21"/>
          <w:highlight w:val="none"/>
          <w:u w:val="single"/>
          <w:lang w:val="en-US" w:eastAsia="zh-CN"/>
        </w:rPr>
        <w:t xml:space="preserve">   </w:t>
      </w:r>
    </w:p>
    <w:p w14:paraId="0133FFA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14:paraId="65C8E38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根据《中华人民共和国民法典》、《中华人民共和国政府采购法》、《政府采购框架协议采购方式管理暂行办法》、《</w:t>
      </w:r>
      <w:r>
        <w:rPr>
          <w:rFonts w:hint="eastAsia" w:cs="Times New Roman"/>
          <w:color w:val="auto"/>
          <w:szCs w:val="21"/>
          <w:highlight w:val="none"/>
          <w:lang w:eastAsia="zh-CN"/>
        </w:rPr>
        <w:t>2025—2027年度田东县政府投资项目竣工结算评审服务</w:t>
      </w:r>
      <w:r>
        <w:rPr>
          <w:rFonts w:hint="default" w:ascii="Times New Roman" w:hAnsi="Times New Roman" w:eastAsia="宋体" w:cs="Times New Roman"/>
          <w:color w:val="auto"/>
          <w:szCs w:val="21"/>
          <w:highlight w:val="none"/>
        </w:rPr>
        <w:t>》及其他有关法律、法规和规章的规定，遵循平等、 自愿、公平和诚实信用原则，双方协商一致，订立本合同。</w:t>
      </w:r>
    </w:p>
    <w:p w14:paraId="5A9A2C4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一、合同内容</w:t>
      </w:r>
    </w:p>
    <w:p w14:paraId="5B9537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甲方委托乙方进行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评审服务工作。</w:t>
      </w:r>
    </w:p>
    <w:p w14:paraId="5869DDE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二、合同时间：</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 xml:space="preserve">至 </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，其中初稿提交时间：</w:t>
      </w:r>
      <w:r>
        <w:rPr>
          <w:rFonts w:hint="eastAsia" w:ascii="宋体" w:hAnsi="宋体" w:eastAsia="宋体" w:cs="宋体"/>
          <w:color w:val="auto"/>
          <w:szCs w:val="21"/>
          <w:highlight w:val="none"/>
          <w:u w:val="single"/>
        </w:rPr>
        <w:t xml:space="preserve">    年     月     </w:t>
      </w:r>
      <w:r>
        <w:rPr>
          <w:rFonts w:hint="eastAsia" w:ascii="宋体" w:hAnsi="宋体" w:eastAsia="宋体" w:cs="宋体"/>
          <w:color w:val="auto"/>
          <w:szCs w:val="21"/>
          <w:highlight w:val="none"/>
        </w:rPr>
        <w:t>日至</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，最终成果提交时间：</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 xml:space="preserve">      年    月     日</w:t>
      </w:r>
      <w:r>
        <w:rPr>
          <w:rFonts w:hint="eastAsia" w:ascii="宋体" w:hAnsi="宋体" w:eastAsia="宋体" w:cs="宋体"/>
          <w:color w:val="auto"/>
          <w:szCs w:val="21"/>
          <w:highlight w:val="none"/>
        </w:rPr>
        <w:t>。如遇到非乙方原因影响审核工作进度的，乙方应及时向甲方报告，经核实后，评审时间相应顺延。</w:t>
      </w:r>
    </w:p>
    <w:p w14:paraId="3F960B4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三、质量要求：</w:t>
      </w:r>
      <w:r>
        <w:rPr>
          <w:rFonts w:hint="eastAsia" w:ascii="宋体" w:hAnsi="宋体" w:eastAsia="宋体" w:cs="宋体"/>
          <w:color w:val="auto"/>
          <w:szCs w:val="21"/>
          <w:highlight w:val="none"/>
        </w:rPr>
        <w:t>符合国家规定的造价咨询服务标准和现行技术规范、规程要求。</w:t>
      </w:r>
    </w:p>
    <w:p w14:paraId="53BAAF8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r>
        <w:rPr>
          <w:rFonts w:hint="eastAsia" w:ascii="宋体" w:hAnsi="宋体" w:eastAsia="宋体" w:cs="宋体"/>
          <w:b/>
          <w:bCs/>
          <w:color w:val="auto"/>
          <w:szCs w:val="21"/>
          <w:highlight w:val="none"/>
          <w:lang w:eastAsia="en-US"/>
        </w:rPr>
        <w:t>评审服务费费率设置、服务费的计算及支付方式</w:t>
      </w:r>
    </w:p>
    <w:p w14:paraId="02FCE493">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1、评审服务费费率设置</w:t>
      </w:r>
    </w:p>
    <w:p w14:paraId="65F4699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评审服务费计算式=1.基本系数（基本计费与绩效计费二选一计费）×2.调整系数×3.审查性质系数×4.（1-偏差费率）</w:t>
      </w:r>
    </w:p>
    <w:p w14:paraId="47106D7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计费完成后，最终结算的评审服务费不高于中标基本费率的两倍，若超过，评审服务费按中标基本费率的两倍付费结算。</w:t>
      </w:r>
    </w:p>
    <w:p w14:paraId="7339AA3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评审服务费执行上限封顶：单个合同的评审服务费最高不超过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w:t>
      </w:r>
      <w:r>
        <w:rPr>
          <w:rFonts w:hint="default" w:ascii="Times New Roman" w:hAnsi="Times New Roman" w:eastAsia="宋体" w:cs="Times New Roman"/>
          <w:b w:val="0"/>
          <w:bCs w:val="0"/>
          <w:color w:val="auto"/>
          <w:kern w:val="2"/>
          <w:sz w:val="21"/>
          <w:szCs w:val="21"/>
          <w:highlight w:val="none"/>
          <w:lang w:val="en-US" w:eastAsia="zh-CN" w:bidi="ar-SA"/>
        </w:rPr>
        <w:t>。一个委托合同包含多个项目的，每个项目单独计算评审服务费，所有项目服务费之和超过</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万元</w:t>
      </w:r>
      <w:r>
        <w:rPr>
          <w:rFonts w:hint="default" w:ascii="Times New Roman" w:hAnsi="Times New Roman" w:eastAsia="宋体" w:cs="Times New Roman"/>
          <w:b w:val="0"/>
          <w:bCs w:val="0"/>
          <w:color w:val="auto"/>
          <w:kern w:val="2"/>
          <w:sz w:val="21"/>
          <w:szCs w:val="21"/>
          <w:highlight w:val="none"/>
          <w:lang w:val="en-US" w:eastAsia="zh-CN" w:bidi="ar-SA"/>
        </w:rPr>
        <w:t>的，按</w:t>
      </w:r>
      <w:r>
        <w:rPr>
          <w:rFonts w:hint="eastAsia" w:cs="Times New Roman"/>
          <w:b w:val="0"/>
          <w:bCs w:val="0"/>
          <w:color w:val="auto"/>
          <w:kern w:val="2"/>
          <w:sz w:val="21"/>
          <w:szCs w:val="21"/>
          <w:highlight w:val="none"/>
          <w:lang w:val="en-US" w:eastAsia="zh-CN" w:bidi="ar-SA"/>
        </w:rPr>
        <w:t>25</w:t>
      </w:r>
      <w:r>
        <w:rPr>
          <w:rFonts w:hint="default" w:ascii="Times New Roman" w:hAnsi="Times New Roman" w:eastAsia="宋体" w:cs="Times New Roman"/>
          <w:b w:val="0"/>
          <w:bCs w:val="0"/>
          <w:color w:val="auto"/>
          <w:kern w:val="2"/>
          <w:sz w:val="21"/>
          <w:szCs w:val="21"/>
          <w:highlight w:val="none"/>
          <w:lang w:val="en-US" w:eastAsia="zh-CN" w:bidi="ar-SA"/>
        </w:rPr>
        <w:t>万</w:t>
      </w:r>
      <w:r>
        <w:rPr>
          <w:rFonts w:hint="default" w:ascii="Times New Roman" w:hAnsi="Times New Roman" w:eastAsia="宋体" w:cs="Times New Roman"/>
          <w:b w:val="0"/>
          <w:bCs w:val="0"/>
          <w:color w:val="auto"/>
          <w:kern w:val="2"/>
          <w:sz w:val="21"/>
          <w:szCs w:val="21"/>
          <w:highlight w:val="none"/>
          <w:lang w:val="en-US" w:eastAsia="zh-CN" w:bidi="ar-SA"/>
        </w:rPr>
        <w:t>元结算。</w:t>
      </w:r>
    </w:p>
    <w:p w14:paraId="1FB352D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评审服务费最低金额：单个合同评审服务费少于1</w:t>
      </w:r>
      <w:r>
        <w:rPr>
          <w:rFonts w:hint="eastAsia" w:cs="Times New Roman"/>
          <w:b w:val="0"/>
          <w:bCs w:val="0"/>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2"/>
          <w:sz w:val="21"/>
          <w:szCs w:val="21"/>
          <w:highlight w:val="none"/>
          <w:lang w:val="en-US" w:eastAsia="zh-CN" w:bidi="ar-SA"/>
        </w:rPr>
        <w:t>00元的，按1</w:t>
      </w:r>
      <w:r>
        <w:rPr>
          <w:rFonts w:hint="eastAsia" w:cs="Times New Roman"/>
          <w:b w:val="0"/>
          <w:bCs w:val="0"/>
          <w:color w:val="auto"/>
          <w:kern w:val="2"/>
          <w:sz w:val="21"/>
          <w:szCs w:val="21"/>
          <w:highlight w:val="none"/>
          <w:lang w:val="en-US" w:eastAsia="zh-CN" w:bidi="ar-SA"/>
        </w:rPr>
        <w:t>0</w:t>
      </w:r>
      <w:r>
        <w:rPr>
          <w:rFonts w:hint="default" w:ascii="Times New Roman" w:hAnsi="Times New Roman" w:eastAsia="宋体" w:cs="Times New Roman"/>
          <w:b w:val="0"/>
          <w:bCs w:val="0"/>
          <w:color w:val="auto"/>
          <w:kern w:val="2"/>
          <w:sz w:val="21"/>
          <w:szCs w:val="21"/>
          <w:highlight w:val="none"/>
          <w:lang w:val="en-US" w:eastAsia="zh-CN" w:bidi="ar-SA"/>
        </w:rPr>
        <w:t>00元计。</w:t>
      </w:r>
    </w:p>
    <w:p w14:paraId="3A75C90C">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按照计算式计算出评审服务费，需与上限封顶费及最低金额对比后，才能进行结算付费。以下是计算式的乘数及被乘数的具体解析：</w:t>
      </w:r>
    </w:p>
    <w:p w14:paraId="4B9F4F17">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（1）</w:t>
      </w:r>
      <w:r>
        <w:rPr>
          <w:rFonts w:hint="default" w:ascii="Times New Roman" w:hAnsi="Times New Roman" w:eastAsia="宋体" w:cs="Times New Roman"/>
          <w:b/>
          <w:bCs/>
          <w:color w:val="auto"/>
          <w:kern w:val="2"/>
          <w:sz w:val="21"/>
          <w:szCs w:val="21"/>
          <w:highlight w:val="none"/>
          <w:lang w:val="en-US" w:eastAsia="zh-CN" w:bidi="ar-SA"/>
        </w:rPr>
        <w:t>基本系数：</w:t>
      </w:r>
    </w:p>
    <w:p w14:paraId="5548F04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采购人将项目安排供应商评审时，按以下方式计算评审服务费：</w:t>
      </w:r>
    </w:p>
    <w:p w14:paraId="3719526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基本计费：项目送审造价x基本费率1.50‰；</w:t>
      </w:r>
    </w:p>
    <w:p w14:paraId="2860154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绩效计费：评审净核减值x绩效费率3.00%；</w:t>
      </w:r>
    </w:p>
    <w:p w14:paraId="190CC8C9">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按基本计费与绩效计费两种计费方式计算的评审服务费，计费时只能选择一种计费标准，可以按较高者计取。</w:t>
      </w:r>
    </w:p>
    <w:p w14:paraId="0456ABE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kern w:val="2"/>
          <w:sz w:val="21"/>
          <w:szCs w:val="21"/>
          <w:highlight w:val="none"/>
          <w:lang w:val="en-US" w:eastAsia="zh-CN" w:bidi="ar-SA"/>
        </w:rPr>
        <w:t>（2）</w:t>
      </w:r>
      <w:r>
        <w:rPr>
          <w:rFonts w:hint="default" w:ascii="Times New Roman" w:hAnsi="Times New Roman" w:eastAsia="宋体" w:cs="Times New Roman"/>
          <w:b/>
          <w:bCs/>
          <w:color w:val="auto"/>
          <w:kern w:val="2"/>
          <w:sz w:val="21"/>
          <w:szCs w:val="21"/>
          <w:highlight w:val="none"/>
          <w:lang w:val="en-US" w:eastAsia="zh-CN" w:bidi="ar-SA"/>
        </w:rPr>
        <w:t>调整系数</w:t>
      </w:r>
      <w:r>
        <w:rPr>
          <w:rFonts w:hint="default" w:ascii="Times New Roman" w:hAnsi="Times New Roman" w:cs="Times New Roman"/>
          <w:b/>
          <w:bCs/>
          <w:color w:val="auto"/>
          <w:kern w:val="2"/>
          <w:sz w:val="21"/>
          <w:szCs w:val="21"/>
          <w:highlight w:val="none"/>
          <w:lang w:val="en-US" w:eastAsia="zh-CN" w:bidi="ar-SA"/>
        </w:rPr>
        <w:t>：</w:t>
      </w:r>
    </w:p>
    <w:p w14:paraId="33A7CF9D">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按单个合同不同送审造价的调整系数：</w:t>
      </w:r>
    </w:p>
    <w:p w14:paraId="75B522EB">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①</w:t>
      </w:r>
      <w:r>
        <w:rPr>
          <w:rFonts w:hint="default" w:ascii="Times New Roman" w:hAnsi="Times New Roman" w:eastAsia="宋体" w:cs="Times New Roman"/>
          <w:b w:val="0"/>
          <w:bCs w:val="0"/>
          <w:color w:val="auto"/>
          <w:kern w:val="2"/>
          <w:sz w:val="21"/>
          <w:szCs w:val="21"/>
          <w:highlight w:val="none"/>
          <w:lang w:val="en-US" w:eastAsia="zh-CN" w:bidi="ar-SA"/>
        </w:rPr>
        <w:t>送审造价500万元以下：1.00;</w:t>
      </w:r>
    </w:p>
    <w:p w14:paraId="093A8916">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②</w:t>
      </w:r>
      <w:r>
        <w:rPr>
          <w:rFonts w:hint="default" w:ascii="Times New Roman" w:hAnsi="Times New Roman" w:eastAsia="宋体" w:cs="Times New Roman"/>
          <w:b w:val="0"/>
          <w:bCs w:val="0"/>
          <w:color w:val="auto"/>
          <w:kern w:val="2"/>
          <w:sz w:val="21"/>
          <w:szCs w:val="21"/>
          <w:highlight w:val="none"/>
          <w:lang w:val="en-US" w:eastAsia="zh-CN" w:bidi="ar-SA"/>
        </w:rPr>
        <w:t>送审造价500万元（含）以上、1000万元以下：0.85；</w:t>
      </w:r>
    </w:p>
    <w:p w14:paraId="085BB100">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③</w:t>
      </w:r>
      <w:r>
        <w:rPr>
          <w:rFonts w:hint="default" w:ascii="Times New Roman" w:hAnsi="Times New Roman" w:eastAsia="宋体" w:cs="Times New Roman"/>
          <w:b w:val="0"/>
          <w:bCs w:val="0"/>
          <w:color w:val="auto"/>
          <w:kern w:val="2"/>
          <w:sz w:val="21"/>
          <w:szCs w:val="21"/>
          <w:highlight w:val="none"/>
          <w:lang w:val="en-US" w:eastAsia="zh-CN" w:bidi="ar-SA"/>
        </w:rPr>
        <w:t>送审造价1000万元（含）以上，5000万元以下：0.75；</w:t>
      </w:r>
    </w:p>
    <w:p w14:paraId="4EE0C162">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④</w:t>
      </w:r>
      <w:r>
        <w:rPr>
          <w:rFonts w:hint="default" w:ascii="Times New Roman" w:hAnsi="Times New Roman" w:eastAsia="宋体" w:cs="Times New Roman"/>
          <w:b w:val="0"/>
          <w:bCs w:val="0"/>
          <w:color w:val="auto"/>
          <w:kern w:val="2"/>
          <w:sz w:val="21"/>
          <w:szCs w:val="21"/>
          <w:highlight w:val="none"/>
          <w:lang w:val="en-US" w:eastAsia="zh-CN" w:bidi="ar-SA"/>
        </w:rPr>
        <w:t>送审造价5000万元（含）以上，1亿元以下：0.60；</w:t>
      </w:r>
    </w:p>
    <w:p w14:paraId="6EDBCEBF">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⑤</w:t>
      </w:r>
      <w:r>
        <w:rPr>
          <w:rFonts w:hint="default" w:ascii="Times New Roman" w:hAnsi="Times New Roman" w:eastAsia="宋体" w:cs="Times New Roman"/>
          <w:b w:val="0"/>
          <w:bCs w:val="0"/>
          <w:color w:val="auto"/>
          <w:kern w:val="2"/>
          <w:sz w:val="21"/>
          <w:szCs w:val="21"/>
          <w:highlight w:val="none"/>
          <w:lang w:val="en-US" w:eastAsia="zh-CN" w:bidi="ar-SA"/>
        </w:rPr>
        <w:t>送审造价1亿元（含）以上，1.5亿元以下：0.50</w:t>
      </w:r>
      <w:r>
        <w:rPr>
          <w:rFonts w:hint="default" w:ascii="Times New Roman" w:hAnsi="Times New Roman" w:cs="Times New Roman"/>
          <w:b w:val="0"/>
          <w:bCs w:val="0"/>
          <w:color w:val="auto"/>
          <w:kern w:val="2"/>
          <w:sz w:val="21"/>
          <w:szCs w:val="21"/>
          <w:highlight w:val="none"/>
          <w:lang w:val="en-US" w:eastAsia="zh-CN" w:bidi="ar-SA"/>
        </w:rPr>
        <w:t>；</w:t>
      </w:r>
    </w:p>
    <w:p w14:paraId="1FF75911">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⑥</w:t>
      </w:r>
      <w:r>
        <w:rPr>
          <w:rFonts w:hint="default" w:ascii="Times New Roman" w:hAnsi="Times New Roman" w:eastAsia="宋体" w:cs="Times New Roman"/>
          <w:b w:val="0"/>
          <w:bCs w:val="0"/>
          <w:color w:val="auto"/>
          <w:kern w:val="2"/>
          <w:sz w:val="21"/>
          <w:szCs w:val="21"/>
          <w:highlight w:val="none"/>
          <w:lang w:val="en-US" w:eastAsia="zh-CN" w:bidi="ar-SA"/>
        </w:rPr>
        <w:t>送审造价1.5亿元（含）以上，2亿元以下：0.45</w:t>
      </w:r>
      <w:r>
        <w:rPr>
          <w:rFonts w:hint="default" w:ascii="Times New Roman" w:hAnsi="Times New Roman" w:cs="Times New Roman"/>
          <w:b w:val="0"/>
          <w:bCs w:val="0"/>
          <w:color w:val="auto"/>
          <w:kern w:val="2"/>
          <w:sz w:val="21"/>
          <w:szCs w:val="21"/>
          <w:highlight w:val="none"/>
          <w:lang w:val="en-US" w:eastAsia="zh-CN" w:bidi="ar-SA"/>
        </w:rPr>
        <w:t>；</w:t>
      </w:r>
    </w:p>
    <w:p w14:paraId="7D74EA53">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⑦</w:t>
      </w:r>
      <w:r>
        <w:rPr>
          <w:rFonts w:hint="default" w:ascii="Times New Roman" w:hAnsi="Times New Roman" w:eastAsia="宋体" w:cs="Times New Roman"/>
          <w:b w:val="0"/>
          <w:bCs w:val="0"/>
          <w:color w:val="auto"/>
          <w:kern w:val="2"/>
          <w:sz w:val="21"/>
          <w:szCs w:val="21"/>
          <w:highlight w:val="none"/>
          <w:lang w:val="en-US" w:eastAsia="zh-CN" w:bidi="ar-SA"/>
        </w:rPr>
        <w:t>送审造价2亿元（含）以上：0.40</w:t>
      </w:r>
      <w:r>
        <w:rPr>
          <w:rFonts w:hint="default" w:ascii="Times New Roman" w:hAnsi="Times New Roman" w:cs="Times New Roman"/>
          <w:b w:val="0"/>
          <w:bCs w:val="0"/>
          <w:color w:val="auto"/>
          <w:kern w:val="2"/>
          <w:sz w:val="21"/>
          <w:szCs w:val="21"/>
          <w:highlight w:val="none"/>
          <w:lang w:val="en-US" w:eastAsia="zh-CN" w:bidi="ar-SA"/>
        </w:rPr>
        <w:t>；</w:t>
      </w:r>
    </w:p>
    <w:p w14:paraId="44D7CA21">
      <w:pPr>
        <w:pStyle w:val="114"/>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Times New Roman" w:hAnsi="Times New Roman" w:cs="Times New Roman"/>
          <w:b/>
          <w:bCs/>
          <w:color w:val="auto"/>
          <w:spacing w:val="8"/>
          <w:highlight w:val="none"/>
          <w:lang w:val="en-US" w:eastAsia="zh-CN"/>
        </w:rPr>
      </w:pP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3</w:t>
      </w:r>
      <w:r>
        <w:rPr>
          <w:rFonts w:hint="default" w:ascii="Times New Roman" w:hAnsi="Times New Roman" w:cs="Times New Roman"/>
          <w:b/>
          <w:bCs/>
          <w:color w:val="auto"/>
          <w:spacing w:val="8"/>
          <w:highlight w:val="none"/>
        </w:rPr>
        <w:t>）</w:t>
      </w:r>
      <w:r>
        <w:rPr>
          <w:rFonts w:hint="default" w:ascii="Times New Roman" w:hAnsi="Times New Roman" w:cs="Times New Roman"/>
          <w:b/>
          <w:bCs/>
          <w:color w:val="auto"/>
          <w:spacing w:val="8"/>
          <w:highlight w:val="none"/>
          <w:lang w:val="en-US" w:eastAsia="zh-CN"/>
        </w:rPr>
        <w:t>审查性质系数：</w:t>
      </w:r>
    </w:p>
    <w:p w14:paraId="7982A7D0">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left"/>
        <w:textAlignment w:val="auto"/>
        <w:rPr>
          <w:rFonts w:hint="default" w:ascii="Times New Roman" w:hAnsi="Times New Roman" w:cs="Times New Roman"/>
          <w:color w:val="auto"/>
          <w:spacing w:val="8"/>
          <w:highlight w:val="none"/>
          <w:lang w:val="en-US" w:eastAsia="zh-CN"/>
        </w:rPr>
      </w:pPr>
      <w:r>
        <w:rPr>
          <w:rFonts w:hint="default" w:ascii="Times New Roman" w:hAnsi="Times New Roman" w:cs="Times New Roman"/>
          <w:color w:val="auto"/>
          <w:spacing w:val="8"/>
          <w:highlight w:val="none"/>
          <w:lang w:val="en-US" w:eastAsia="zh-CN"/>
        </w:rPr>
        <w:t>根据各类工程现场勘察的难易程度、工程量计算的难易程度等，测算项目结算评审难易程度，得出以下工程的审查性质系数：</w:t>
      </w:r>
    </w:p>
    <w:p w14:paraId="6D7314DB">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①</w:t>
      </w:r>
      <w:r>
        <w:rPr>
          <w:rFonts w:hint="default" w:ascii="Times New Roman" w:hAnsi="Times New Roman" w:cs="Times New Roman"/>
          <w:color w:val="auto"/>
          <w:spacing w:val="8"/>
          <w:highlight w:val="none"/>
          <w:lang w:val="en-US" w:eastAsia="zh-CN"/>
        </w:rPr>
        <w:t>房屋建筑工程：1.1</w:t>
      </w:r>
    </w:p>
    <w:p w14:paraId="3B22701A">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②</w:t>
      </w:r>
      <w:r>
        <w:rPr>
          <w:rFonts w:hint="default" w:ascii="Times New Roman" w:hAnsi="Times New Roman" w:cs="Times New Roman"/>
          <w:color w:val="auto"/>
          <w:spacing w:val="8"/>
          <w:highlight w:val="none"/>
          <w:lang w:val="en-US" w:eastAsia="zh-CN"/>
        </w:rPr>
        <w:t>大型水库建筑工程、园林绿化工程：1.2</w:t>
      </w:r>
    </w:p>
    <w:p w14:paraId="69A58FDF">
      <w:pPr>
        <w:pStyle w:val="114"/>
        <w:keepNext w:val="0"/>
        <w:keepLines w:val="0"/>
        <w:pageBreakBefore w:val="0"/>
        <w:widowControl w:val="0"/>
        <w:kinsoku/>
        <w:wordWrap/>
        <w:overflowPunct/>
        <w:topLinePunct w:val="0"/>
        <w:autoSpaceDE/>
        <w:autoSpaceDN/>
        <w:bidi w:val="0"/>
        <w:adjustRightInd/>
        <w:snapToGrid/>
        <w:spacing w:line="360" w:lineRule="auto"/>
        <w:ind w:left="0" w:leftChars="0" w:firstLine="432" w:firstLineChars="200"/>
        <w:jc w:val="both"/>
        <w:textAlignment w:val="auto"/>
        <w:rPr>
          <w:rFonts w:hint="default" w:ascii="Times New Roman" w:hAnsi="Times New Roman" w:cs="Times New Roman"/>
          <w:color w:val="auto"/>
          <w:spacing w:val="8"/>
          <w:highlight w:val="none"/>
          <w:lang w:val="en-US" w:eastAsia="zh-CN"/>
        </w:rPr>
      </w:pPr>
      <w:r>
        <w:rPr>
          <w:rFonts w:hint="eastAsia" w:ascii="Times New Roman" w:hAnsi="Times New Roman" w:cs="Times New Roman"/>
          <w:color w:val="auto"/>
          <w:spacing w:val="8"/>
          <w:highlight w:val="none"/>
          <w:lang w:val="en-US" w:eastAsia="zh-CN"/>
        </w:rPr>
        <w:t>③</w:t>
      </w:r>
      <w:r>
        <w:rPr>
          <w:rFonts w:hint="default" w:ascii="Times New Roman" w:hAnsi="Times New Roman" w:cs="Times New Roman"/>
          <w:color w:val="auto"/>
          <w:spacing w:val="8"/>
          <w:highlight w:val="none"/>
          <w:lang w:val="en-US" w:eastAsia="zh-CN"/>
        </w:rPr>
        <w:t>公路工程：0.8</w:t>
      </w:r>
    </w:p>
    <w:p w14:paraId="4E00884E">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2" w:firstLineChars="200"/>
        <w:textAlignment w:val="auto"/>
        <w:rPr>
          <w:rFonts w:hint="default" w:ascii="Times New Roman" w:hAnsi="Times New Roman" w:cs="Times New Roman"/>
          <w:color w:val="auto"/>
          <w:spacing w:val="8"/>
          <w:highlight w:val="none"/>
          <w:lang w:val="en-US" w:eastAsia="zh-CN"/>
        </w:rPr>
      </w:pPr>
      <w:r>
        <w:rPr>
          <w:rFonts w:hint="eastAsia" w:cs="Times New Roman"/>
          <w:color w:val="auto"/>
          <w:spacing w:val="8"/>
          <w:highlight w:val="none"/>
          <w:lang w:val="en-US" w:eastAsia="zh-CN"/>
        </w:rPr>
        <w:t>④</w:t>
      </w:r>
      <w:r>
        <w:rPr>
          <w:rFonts w:hint="default" w:ascii="Times New Roman" w:hAnsi="Times New Roman" w:cs="Times New Roman"/>
          <w:color w:val="auto"/>
          <w:spacing w:val="8"/>
          <w:highlight w:val="none"/>
          <w:lang w:val="en-US" w:eastAsia="zh-CN"/>
        </w:rPr>
        <w:t>其他工程：1.0</w:t>
      </w:r>
    </w:p>
    <w:p w14:paraId="6D0BA530">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spacing w:val="9"/>
          <w:highlight w:val="none"/>
          <w:lang w:val="en-US" w:eastAsia="zh-CN"/>
        </w:rPr>
      </w:pPr>
      <w:r>
        <w:rPr>
          <w:rFonts w:hint="eastAsia"/>
          <w:b/>
          <w:bCs/>
          <w:color w:val="auto"/>
          <w:spacing w:val="9"/>
          <w:highlight w:val="none"/>
          <w:lang w:val="en-US" w:eastAsia="zh-CN"/>
        </w:rPr>
        <w:t>（4）偏差费率：</w:t>
      </w:r>
    </w:p>
    <w:p w14:paraId="368A112A">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color w:val="auto"/>
          <w:spacing w:val="9"/>
          <w:highlight w:val="none"/>
          <w:lang w:val="en-US" w:eastAsia="zh-CN"/>
        </w:rPr>
      </w:pPr>
      <w:r>
        <w:rPr>
          <w:rFonts w:hint="eastAsia"/>
          <w:b w:val="0"/>
          <w:bCs w:val="0"/>
          <w:color w:val="auto"/>
          <w:spacing w:val="9"/>
          <w:highlight w:val="none"/>
          <w:lang w:val="en-US" w:eastAsia="zh-CN"/>
        </w:rPr>
        <w:t>评审过程中，供应商结算评审初审结果与主审、组长复核有偏差的，根据以下表格的情况核减结算评审服务费：</w:t>
      </w:r>
    </w:p>
    <w:tbl>
      <w:tblPr>
        <w:tblStyle w:val="46"/>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3156"/>
        <w:gridCol w:w="2976"/>
      </w:tblGrid>
      <w:tr w14:paraId="05C1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Align w:val="center"/>
          </w:tcPr>
          <w:p w14:paraId="25692B32">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项目名称</w:t>
            </w:r>
          </w:p>
        </w:tc>
        <w:tc>
          <w:tcPr>
            <w:tcW w:w="3156" w:type="dxa"/>
            <w:vAlign w:val="center"/>
          </w:tcPr>
          <w:p w14:paraId="3EB64727">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供应商初审结果与定案结果的偏差</w:t>
            </w:r>
          </w:p>
        </w:tc>
        <w:tc>
          <w:tcPr>
            <w:tcW w:w="2976" w:type="dxa"/>
            <w:vAlign w:val="center"/>
          </w:tcPr>
          <w:p w14:paraId="301A4F7B">
            <w:pPr>
              <w:pStyle w:val="114"/>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按下表偏差费率核减评审服务费</w:t>
            </w:r>
          </w:p>
        </w:tc>
      </w:tr>
      <w:tr w14:paraId="54E6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7F0FA7B8">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送审造价</w:t>
            </w:r>
            <w:r>
              <w:rPr>
                <w:rFonts w:hint="default" w:ascii="宋体" w:hAnsi="宋体" w:eastAsia="宋体" w:cs="宋体"/>
                <w:b w:val="0"/>
                <w:bCs w:val="0"/>
                <w:color w:val="auto"/>
                <w:spacing w:val="9"/>
                <w:kern w:val="2"/>
                <w:sz w:val="20"/>
                <w:szCs w:val="20"/>
                <w:highlight w:val="none"/>
                <w:lang w:val="en-US" w:eastAsia="zh-CN" w:bidi="ar-SA"/>
              </w:rPr>
              <w:t>≤400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7C93EF7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4</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至6</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607387C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130D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30E0E765">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2A5B8226">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6%以上的</w:t>
            </w:r>
          </w:p>
        </w:tc>
        <w:tc>
          <w:tcPr>
            <w:tcW w:w="2976" w:type="dxa"/>
            <w:vAlign w:val="center"/>
          </w:tcPr>
          <w:p w14:paraId="452E3515">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5551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4EE8FE4F">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400</w:t>
            </w:r>
            <w:r>
              <w:rPr>
                <w:rFonts w:hint="eastAsia" w:ascii="宋体" w:hAnsi="宋体" w:eastAsia="宋体" w:cs="宋体"/>
                <w:b w:val="0"/>
                <w:bCs w:val="0"/>
                <w:color w:val="auto"/>
                <w:spacing w:val="9"/>
                <w:kern w:val="2"/>
                <w:sz w:val="20"/>
                <w:szCs w:val="20"/>
                <w:highlight w:val="none"/>
                <w:lang w:val="en-US" w:eastAsia="zh-CN" w:bidi="ar-SA"/>
              </w:rPr>
              <w:t>万元以上≤送审造价≤</w:t>
            </w:r>
            <w:r>
              <w:rPr>
                <w:rFonts w:hint="default" w:ascii="宋体" w:hAnsi="宋体" w:eastAsia="宋体" w:cs="宋体"/>
                <w:b w:val="0"/>
                <w:bCs w:val="0"/>
                <w:color w:val="auto"/>
                <w:spacing w:val="9"/>
                <w:kern w:val="2"/>
                <w:sz w:val="20"/>
                <w:szCs w:val="20"/>
                <w:highlight w:val="none"/>
                <w:lang w:val="en-US" w:eastAsia="zh-CN" w:bidi="ar-SA"/>
              </w:rPr>
              <w:t>5000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31A2084B">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3%</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至5</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以上的</w:t>
            </w:r>
          </w:p>
        </w:tc>
        <w:tc>
          <w:tcPr>
            <w:tcW w:w="2976" w:type="dxa"/>
            <w:vAlign w:val="center"/>
          </w:tcPr>
          <w:p w14:paraId="1C5E9F1E">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63A7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2F46B1A6">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209A318E">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5%以上的</w:t>
            </w:r>
          </w:p>
        </w:tc>
        <w:tc>
          <w:tcPr>
            <w:tcW w:w="2976" w:type="dxa"/>
            <w:vAlign w:val="center"/>
          </w:tcPr>
          <w:p w14:paraId="60C644E9">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078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6F24077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5000</w:t>
            </w:r>
            <w:r>
              <w:rPr>
                <w:rFonts w:hint="eastAsia" w:ascii="宋体" w:hAnsi="宋体" w:eastAsia="宋体" w:cs="宋体"/>
                <w:b w:val="0"/>
                <w:bCs w:val="0"/>
                <w:color w:val="auto"/>
                <w:spacing w:val="9"/>
                <w:kern w:val="2"/>
                <w:sz w:val="20"/>
                <w:szCs w:val="20"/>
                <w:highlight w:val="none"/>
                <w:lang w:val="en-US" w:eastAsia="zh-CN" w:bidi="ar-SA"/>
              </w:rPr>
              <w:t>万以上≤送审造价≤</w:t>
            </w:r>
            <w:r>
              <w:rPr>
                <w:rFonts w:hint="default" w:ascii="宋体" w:hAnsi="宋体" w:eastAsia="宋体" w:cs="宋体"/>
                <w:b w:val="0"/>
                <w:bCs w:val="0"/>
                <w:color w:val="auto"/>
                <w:spacing w:val="9"/>
                <w:kern w:val="2"/>
                <w:sz w:val="20"/>
                <w:szCs w:val="20"/>
                <w:highlight w:val="none"/>
                <w:lang w:val="en-US" w:eastAsia="zh-CN" w:bidi="ar-SA"/>
              </w:rPr>
              <w:t>10000</w:t>
            </w:r>
            <w:r>
              <w:rPr>
                <w:rFonts w:hint="eastAsia" w:ascii="宋体" w:hAnsi="宋体" w:eastAsia="宋体" w:cs="宋体"/>
                <w:b w:val="0"/>
                <w:bCs w:val="0"/>
                <w:color w:val="auto"/>
                <w:spacing w:val="9"/>
                <w:kern w:val="2"/>
                <w:sz w:val="20"/>
                <w:szCs w:val="20"/>
                <w:highlight w:val="none"/>
                <w:lang w:val="en-US" w:eastAsia="zh-CN" w:bidi="ar-SA"/>
              </w:rPr>
              <w:t>万元的项目</w:t>
            </w:r>
          </w:p>
        </w:tc>
        <w:tc>
          <w:tcPr>
            <w:tcW w:w="3156" w:type="dxa"/>
            <w:vAlign w:val="center"/>
          </w:tcPr>
          <w:p w14:paraId="3688943F">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2%</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至4</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0CB90DFD">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3D60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3943AC0E">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65CC9D04">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4%以上的</w:t>
            </w:r>
          </w:p>
        </w:tc>
        <w:tc>
          <w:tcPr>
            <w:tcW w:w="2976" w:type="dxa"/>
            <w:vAlign w:val="center"/>
          </w:tcPr>
          <w:p w14:paraId="3CF1CF15">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r w14:paraId="2A69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restart"/>
            <w:vAlign w:val="center"/>
          </w:tcPr>
          <w:p w14:paraId="293AAB37">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送审造价</w:t>
            </w:r>
            <w:r>
              <w:rPr>
                <w:rFonts w:hint="default" w:ascii="宋体" w:hAnsi="宋体" w:eastAsia="宋体" w:cs="宋体"/>
                <w:b w:val="0"/>
                <w:bCs w:val="0"/>
                <w:color w:val="auto"/>
                <w:spacing w:val="9"/>
                <w:kern w:val="2"/>
                <w:sz w:val="20"/>
                <w:szCs w:val="20"/>
                <w:highlight w:val="none"/>
                <w:lang w:val="en-US" w:eastAsia="zh-CN" w:bidi="ar-SA"/>
              </w:rPr>
              <w:t>10000</w:t>
            </w:r>
            <w:r>
              <w:rPr>
                <w:rFonts w:hint="eastAsia" w:ascii="宋体" w:hAnsi="宋体" w:eastAsia="宋体" w:cs="宋体"/>
                <w:b w:val="0"/>
                <w:bCs w:val="0"/>
                <w:color w:val="auto"/>
                <w:spacing w:val="9"/>
                <w:kern w:val="2"/>
                <w:sz w:val="20"/>
                <w:szCs w:val="20"/>
                <w:highlight w:val="none"/>
                <w:lang w:val="en-US" w:eastAsia="zh-CN" w:bidi="ar-SA"/>
              </w:rPr>
              <w:t>万元以上的项目</w:t>
            </w:r>
          </w:p>
        </w:tc>
        <w:tc>
          <w:tcPr>
            <w:tcW w:w="3156" w:type="dxa"/>
            <w:vAlign w:val="center"/>
          </w:tcPr>
          <w:p w14:paraId="4A2CFC60">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至3</w:t>
            </w:r>
            <w:r>
              <w:rPr>
                <w:rFonts w:hint="default" w:ascii="宋体" w:hAnsi="宋体" w:eastAsia="宋体" w:cs="宋体"/>
                <w:b w:val="0"/>
                <w:bCs w:val="0"/>
                <w:color w:val="auto"/>
                <w:spacing w:val="9"/>
                <w:kern w:val="2"/>
                <w:sz w:val="20"/>
                <w:szCs w:val="20"/>
                <w:highlight w:val="none"/>
                <w:lang w:val="en-US" w:eastAsia="zh-CN" w:bidi="ar-SA"/>
              </w:rPr>
              <w:t>%</w:t>
            </w:r>
            <w:r>
              <w:rPr>
                <w:rFonts w:hint="eastAsia" w:ascii="宋体" w:hAnsi="宋体" w:cs="宋体"/>
                <w:b w:val="0"/>
                <w:bCs w:val="0"/>
                <w:color w:val="auto"/>
                <w:spacing w:val="9"/>
                <w:kern w:val="2"/>
                <w:sz w:val="20"/>
                <w:szCs w:val="20"/>
                <w:highlight w:val="none"/>
                <w:lang w:val="en-US" w:eastAsia="zh-CN" w:bidi="ar-SA"/>
              </w:rPr>
              <w:t>（</w:t>
            </w:r>
            <w:r>
              <w:rPr>
                <w:rFonts w:hint="eastAsia"/>
                <w:color w:val="auto"/>
                <w:sz w:val="21"/>
                <w:szCs w:val="21"/>
                <w:highlight w:val="none"/>
                <w:lang w:eastAsia="zh-CN"/>
              </w:rPr>
              <w:t>含本数</w:t>
            </w:r>
            <w:r>
              <w:rPr>
                <w:rFonts w:hint="eastAsia" w:ascii="宋体" w:hAnsi="宋体" w:cs="宋体"/>
                <w:b w:val="0"/>
                <w:bCs w:val="0"/>
                <w:color w:val="auto"/>
                <w:spacing w:val="9"/>
                <w:kern w:val="2"/>
                <w:sz w:val="20"/>
                <w:szCs w:val="20"/>
                <w:highlight w:val="none"/>
                <w:lang w:val="en-US" w:eastAsia="zh-CN" w:bidi="ar-SA"/>
              </w:rPr>
              <w:t>）</w:t>
            </w:r>
            <w:r>
              <w:rPr>
                <w:rFonts w:hint="eastAsia" w:ascii="宋体" w:hAnsi="宋体" w:eastAsia="宋体" w:cs="宋体"/>
                <w:b w:val="0"/>
                <w:bCs w:val="0"/>
                <w:color w:val="auto"/>
                <w:spacing w:val="9"/>
                <w:kern w:val="2"/>
                <w:sz w:val="20"/>
                <w:szCs w:val="20"/>
                <w:highlight w:val="none"/>
                <w:lang w:val="en-US" w:eastAsia="zh-CN" w:bidi="ar-SA"/>
              </w:rPr>
              <w:t>以内的</w:t>
            </w:r>
          </w:p>
        </w:tc>
        <w:tc>
          <w:tcPr>
            <w:tcW w:w="2976" w:type="dxa"/>
            <w:vAlign w:val="center"/>
          </w:tcPr>
          <w:p w14:paraId="1490192B">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r>
              <w:rPr>
                <w:rFonts w:hint="default" w:ascii="宋体" w:hAnsi="宋体" w:eastAsia="宋体" w:cs="宋体"/>
                <w:b w:val="0"/>
                <w:bCs w:val="0"/>
                <w:color w:val="auto"/>
                <w:spacing w:val="9"/>
                <w:kern w:val="2"/>
                <w:sz w:val="20"/>
                <w:szCs w:val="20"/>
                <w:highlight w:val="none"/>
                <w:lang w:val="en-US" w:eastAsia="zh-CN" w:bidi="ar-SA"/>
              </w:rPr>
              <w:t>10%</w:t>
            </w:r>
          </w:p>
        </w:tc>
      </w:tr>
      <w:tr w14:paraId="238C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0" w:type="dxa"/>
            <w:vMerge w:val="continue"/>
            <w:vAlign w:val="center"/>
          </w:tcPr>
          <w:p w14:paraId="2A0BC9D1">
            <w:pPr>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pacing w:val="9"/>
                <w:kern w:val="2"/>
                <w:sz w:val="20"/>
                <w:szCs w:val="20"/>
                <w:highlight w:val="none"/>
                <w:lang w:val="en-US" w:eastAsia="zh-CN" w:bidi="ar-SA"/>
              </w:rPr>
            </w:pPr>
          </w:p>
        </w:tc>
        <w:tc>
          <w:tcPr>
            <w:tcW w:w="3156" w:type="dxa"/>
            <w:vAlign w:val="center"/>
          </w:tcPr>
          <w:p w14:paraId="236C2F43">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3%以上的</w:t>
            </w:r>
          </w:p>
        </w:tc>
        <w:tc>
          <w:tcPr>
            <w:tcW w:w="2976" w:type="dxa"/>
            <w:vAlign w:val="center"/>
          </w:tcPr>
          <w:p w14:paraId="7657E42D">
            <w:pPr>
              <w:numPr>
                <w:ilvl w:val="0"/>
                <w:numId w:val="0"/>
              </w:numPr>
              <w:spacing w:beforeLines="0" w:afterLines="0" w:line="360" w:lineRule="auto"/>
              <w:ind w:left="0" w:leftChars="0" w:firstLine="0" w:firstLineChars="0"/>
              <w:jc w:val="center"/>
              <w:rPr>
                <w:rFonts w:hint="default" w:ascii="宋体" w:hAnsi="宋体" w:eastAsia="宋体" w:cs="宋体"/>
                <w:b w:val="0"/>
                <w:bCs w:val="0"/>
                <w:color w:val="auto"/>
                <w:spacing w:val="9"/>
                <w:kern w:val="2"/>
                <w:sz w:val="20"/>
                <w:szCs w:val="20"/>
                <w:highlight w:val="none"/>
                <w:lang w:val="en-US" w:eastAsia="zh-CN" w:bidi="ar-SA"/>
              </w:rPr>
            </w:pPr>
            <w:r>
              <w:rPr>
                <w:rFonts w:hint="eastAsia" w:ascii="宋体" w:hAnsi="宋体" w:eastAsia="宋体" w:cs="宋体"/>
                <w:b w:val="0"/>
                <w:bCs w:val="0"/>
                <w:color w:val="auto"/>
                <w:spacing w:val="9"/>
                <w:kern w:val="2"/>
                <w:sz w:val="20"/>
                <w:szCs w:val="20"/>
                <w:highlight w:val="none"/>
                <w:lang w:val="en-US" w:eastAsia="zh-CN" w:bidi="ar-SA"/>
              </w:rPr>
              <w:t>100%</w:t>
            </w:r>
          </w:p>
        </w:tc>
      </w:tr>
    </w:tbl>
    <w:p w14:paraId="2F4CE7A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p>
    <w:p w14:paraId="6B7FD97F">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对设定的费率报价包括了实施和完成服务所需的劳务费、技术服务费、交通、通讯、办公场地、管理费、税费和利润等费用以及政府性文件规定及合同包含的所有风险、责任等各项应有的费用，合同期内，费率不再调整。</w:t>
      </w:r>
    </w:p>
    <w:p w14:paraId="490C0E5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3、工程评审服务咨询服务费的计算及支付方式：</w:t>
      </w:r>
    </w:p>
    <w:p w14:paraId="4CDFAED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3.</w:t>
      </w:r>
      <w:r>
        <w:rPr>
          <w:rFonts w:hint="eastAsia"/>
          <w:color w:val="auto"/>
          <w:sz w:val="21"/>
          <w:szCs w:val="21"/>
          <w:highlight w:val="none"/>
          <w:lang w:eastAsia="en-US"/>
        </w:rPr>
        <w:t>1、本项目无预付款。</w:t>
      </w:r>
    </w:p>
    <w:p w14:paraId="41CF98C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val="en-US" w:eastAsia="zh-CN"/>
        </w:rPr>
        <w:t>3.</w:t>
      </w:r>
      <w:r>
        <w:rPr>
          <w:rFonts w:hint="eastAsia"/>
          <w:color w:val="auto"/>
          <w:sz w:val="21"/>
          <w:szCs w:val="21"/>
          <w:highlight w:val="none"/>
          <w:lang w:eastAsia="en-US"/>
        </w:rPr>
        <w:t>2、服务费由入围供应商根据结算审核完成情况按半年据实申报，征集人（采购人）审核无误后统一支付。</w:t>
      </w:r>
    </w:p>
    <w:p w14:paraId="3ADDF5DA">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color w:val="auto"/>
          <w:sz w:val="21"/>
          <w:szCs w:val="21"/>
          <w:highlight w:val="none"/>
          <w:lang w:val="en-US" w:eastAsia="zh-CN"/>
        </w:rPr>
      </w:pPr>
      <w:r>
        <w:rPr>
          <w:rFonts w:hint="eastAsia"/>
          <w:color w:val="auto"/>
          <w:sz w:val="21"/>
          <w:szCs w:val="21"/>
          <w:highlight w:val="none"/>
          <w:lang w:eastAsia="en-US"/>
        </w:rPr>
        <w:t>3</w:t>
      </w: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en-US"/>
        </w:rPr>
        <w:t>、合同履行期间，如入围供应商存在违法行为，在政府采购监督管理部门调查期间、被行政处罚 期间，征集人（采购人）可视情况依法终止合同。涉及到所承接项目的结算审核服务费，征集人（采 购人）可延期或拒绝支付服务费。</w:t>
      </w:r>
    </w:p>
    <w:p w14:paraId="12B5D157">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五</w:t>
      </w:r>
      <w:r>
        <w:rPr>
          <w:rFonts w:hint="eastAsia"/>
          <w:b/>
          <w:bCs/>
          <w:color w:val="auto"/>
          <w:sz w:val="21"/>
          <w:szCs w:val="21"/>
          <w:highlight w:val="none"/>
          <w:lang w:eastAsia="en-US"/>
        </w:rPr>
        <w:t>、其他要求</w:t>
      </w:r>
    </w:p>
    <w:p w14:paraId="4DD0BA7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1、乙方是甲方的合作单位，应站在甲方的立场上对甲方安排的项目进行认真、细致、公正</w:t>
      </w:r>
      <w:r>
        <w:rPr>
          <w:rFonts w:hint="eastAsia"/>
          <w:color w:val="auto"/>
          <w:sz w:val="21"/>
          <w:szCs w:val="21"/>
          <w:highlight w:val="none"/>
          <w:lang w:eastAsia="zh-CN"/>
        </w:rPr>
        <w:t>地</w:t>
      </w:r>
      <w:r>
        <w:rPr>
          <w:rFonts w:hint="eastAsia"/>
          <w:color w:val="auto"/>
          <w:sz w:val="21"/>
          <w:szCs w:val="21"/>
          <w:highlight w:val="none"/>
          <w:lang w:eastAsia="en-US"/>
        </w:rPr>
        <w:t>评审。</w:t>
      </w:r>
    </w:p>
    <w:p w14:paraId="02DC1B6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2、乙方不得将甲方安排的评审服务项目转交第三方完成。</w:t>
      </w:r>
    </w:p>
    <w:p w14:paraId="3287963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乙方的评审服务及审核人员在评审过程中，应恪守客观公正、实事求是的原则，确保评审工作的真实完整和准确，保证编制质量。乙方委派的技术负责人和评审服务人员必须与投标时承诺的人员一致（增加不限，但不增加服务报酬）。</w:t>
      </w:r>
    </w:p>
    <w:p w14:paraId="660E4AD3">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4、乙方在接受甲方安排的评审服务项目后应积极主动地与建设单位联系，落实具体事宜，并安排充足的人员在规定的时间内完成评审服务任务。</w:t>
      </w:r>
    </w:p>
    <w:p w14:paraId="366F4BF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5、乙方不得将甲方安排的评审服务项目内容透露给除工程项目业主及财政投资评审中心以外的任何人。</w:t>
      </w:r>
    </w:p>
    <w:p w14:paraId="45093AC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6、乙方已接受甲方安排评审工作时，不能再为该工程项目有关的乙方提供与该工程项目投标有关的服务，如发现并经查实的，甲方有权终止合同并追究违约责任。</w:t>
      </w:r>
    </w:p>
    <w:p w14:paraId="45189C3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7、如建设项目中途作调整，甲方应立即通知乙方；如乙方在服务过程中发现异常情况或问题时， 应立即通知甲方。</w:t>
      </w:r>
    </w:p>
    <w:p w14:paraId="10409B4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8、甲方认为乙方实际投入的咨询人员不足以满足任务需要或认为咨询人员不称职时，可向乙方发出要求增加或更换咨询人员的通知，乙方在收到通知后的5天内应增加或更换相应的咨询人员，由此产生的费用由乙方自行承担。</w:t>
      </w:r>
    </w:p>
    <w:p w14:paraId="17FD745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9</w:t>
      </w:r>
      <w:r>
        <w:rPr>
          <w:rFonts w:hint="eastAsia"/>
          <w:color w:val="auto"/>
          <w:sz w:val="21"/>
          <w:szCs w:val="21"/>
          <w:highlight w:val="none"/>
          <w:lang w:eastAsia="en-US"/>
        </w:rPr>
        <w:t>、审核工程</w:t>
      </w:r>
      <w:r>
        <w:rPr>
          <w:rFonts w:hint="eastAsia"/>
          <w:color w:val="auto"/>
          <w:sz w:val="21"/>
          <w:szCs w:val="21"/>
          <w:highlight w:val="none"/>
          <w:lang w:eastAsia="zh-CN"/>
        </w:rPr>
        <w:t>结</w:t>
      </w:r>
      <w:r>
        <w:rPr>
          <w:rFonts w:hint="eastAsia"/>
          <w:color w:val="auto"/>
          <w:sz w:val="21"/>
          <w:szCs w:val="21"/>
          <w:highlight w:val="none"/>
          <w:lang w:eastAsia="en-US"/>
        </w:rPr>
        <w:t>算，如因工程等其他原因中途需停止审核工作的，甲方应视乙方完成工作量情况来计算审核费，且该项审核费不超过完成整个项目费用的80%</w:t>
      </w:r>
      <w:r>
        <w:rPr>
          <w:rFonts w:hint="eastAsia"/>
          <w:color w:val="auto"/>
          <w:sz w:val="21"/>
          <w:szCs w:val="21"/>
          <w:highlight w:val="none"/>
          <w:lang w:eastAsia="zh-CN"/>
        </w:rPr>
        <w:t>。</w:t>
      </w:r>
    </w:p>
    <w:p w14:paraId="03F2599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0</w:t>
      </w:r>
      <w:r>
        <w:rPr>
          <w:rFonts w:hint="eastAsia"/>
          <w:color w:val="auto"/>
          <w:sz w:val="21"/>
          <w:szCs w:val="21"/>
          <w:highlight w:val="none"/>
        </w:rPr>
        <w:t>、委托造价咨询机构方式：项目建设单位将编制工程项目</w:t>
      </w:r>
      <w:r>
        <w:rPr>
          <w:rFonts w:hint="eastAsia"/>
          <w:color w:val="auto"/>
          <w:sz w:val="21"/>
          <w:szCs w:val="21"/>
          <w:highlight w:val="none"/>
          <w:lang w:eastAsia="zh-CN"/>
        </w:rPr>
        <w:t>竣工结算</w:t>
      </w:r>
      <w:r>
        <w:rPr>
          <w:rFonts w:hint="eastAsia"/>
          <w:color w:val="auto"/>
          <w:sz w:val="21"/>
          <w:szCs w:val="21"/>
          <w:highlight w:val="none"/>
        </w:rPr>
        <w:t>报告所需的材料提交至</w:t>
      </w:r>
      <w:r>
        <w:rPr>
          <w:rFonts w:hint="eastAsia"/>
          <w:color w:val="auto"/>
          <w:sz w:val="21"/>
          <w:szCs w:val="21"/>
          <w:highlight w:val="none"/>
          <w:lang w:eastAsia="zh-CN"/>
        </w:rPr>
        <w:t>田东县政府投资项目竣工结算评审工作专班办公室（以下简称专班办公室）</w:t>
      </w:r>
      <w:r>
        <w:rPr>
          <w:rFonts w:hint="eastAsia"/>
          <w:color w:val="auto"/>
          <w:sz w:val="21"/>
          <w:szCs w:val="21"/>
          <w:highlight w:val="none"/>
        </w:rPr>
        <w:t>审核。经当场审核，材料齐全</w:t>
      </w:r>
      <w:r>
        <w:rPr>
          <w:rFonts w:hint="eastAsia"/>
          <w:color w:val="auto"/>
          <w:sz w:val="21"/>
          <w:szCs w:val="21"/>
          <w:highlight w:val="none"/>
          <w:lang w:eastAsia="zh-CN"/>
        </w:rPr>
        <w:t>且</w:t>
      </w:r>
      <w:r>
        <w:rPr>
          <w:rFonts w:hint="eastAsia"/>
          <w:color w:val="auto"/>
          <w:sz w:val="21"/>
          <w:szCs w:val="21"/>
          <w:highlight w:val="none"/>
        </w:rPr>
        <w:t>符合规范要求的，由</w:t>
      </w:r>
      <w:r>
        <w:rPr>
          <w:rFonts w:hint="eastAsia"/>
          <w:color w:val="auto"/>
          <w:sz w:val="21"/>
          <w:szCs w:val="21"/>
          <w:highlight w:val="none"/>
          <w:lang w:eastAsia="zh-CN"/>
        </w:rPr>
        <w:t>专班办公室</w:t>
      </w:r>
      <w:r>
        <w:rPr>
          <w:rFonts w:hint="eastAsia"/>
          <w:color w:val="auto"/>
          <w:sz w:val="21"/>
          <w:szCs w:val="21"/>
          <w:highlight w:val="none"/>
        </w:rPr>
        <w:t>委托造价咨询机构编制项目工程评审报告，并将评审服务成果报送项目建设单位。评审服务成果应包括纸质版工程评审报告及软件版工程评审报告。</w:t>
      </w:r>
    </w:p>
    <w:p w14:paraId="10BE3B8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w:t>
      </w:r>
      <w:r>
        <w:rPr>
          <w:rFonts w:hint="eastAsia"/>
          <w:color w:val="auto"/>
          <w:sz w:val="21"/>
          <w:szCs w:val="21"/>
          <w:highlight w:val="none"/>
          <w:lang w:eastAsia="zh-CN"/>
        </w:rPr>
        <w:t>财政及审计部门</w:t>
      </w:r>
      <w:r>
        <w:rPr>
          <w:rFonts w:hint="eastAsia"/>
          <w:color w:val="auto"/>
          <w:sz w:val="21"/>
          <w:szCs w:val="21"/>
          <w:highlight w:val="none"/>
        </w:rPr>
        <w:t>对县内外单位进行项目竣工决算或财政专项资金使用情况专项检查，需要以上中标人协助或参与时，中标人应给予大力支持，费用另行商议支付。</w:t>
      </w:r>
    </w:p>
    <w:p w14:paraId="611C89DD">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六</w:t>
      </w:r>
      <w:r>
        <w:rPr>
          <w:rFonts w:hint="eastAsia"/>
          <w:b/>
          <w:bCs/>
          <w:color w:val="auto"/>
          <w:sz w:val="21"/>
          <w:szCs w:val="21"/>
          <w:highlight w:val="none"/>
          <w:lang w:eastAsia="en-US"/>
        </w:rPr>
        <w:t>、质量控制</w:t>
      </w:r>
    </w:p>
    <w:p w14:paraId="6A33605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lang w:eastAsia="en-US"/>
        </w:rPr>
        <w:t>1、乙方要严格遵守国家的</w:t>
      </w:r>
      <w:r>
        <w:rPr>
          <w:rFonts w:hint="eastAsia"/>
          <w:color w:val="auto"/>
          <w:sz w:val="21"/>
          <w:szCs w:val="21"/>
          <w:highlight w:val="none"/>
          <w:lang w:eastAsia="zh-CN"/>
        </w:rPr>
        <w:t>法律法规</w:t>
      </w:r>
      <w:r>
        <w:rPr>
          <w:rFonts w:hint="eastAsia"/>
          <w:color w:val="auto"/>
          <w:sz w:val="21"/>
          <w:szCs w:val="21"/>
          <w:highlight w:val="none"/>
          <w:lang w:eastAsia="en-US"/>
        </w:rPr>
        <w:t>和有关规章制度，严格遵守《工程造价咨询单位行为准则</w:t>
      </w:r>
      <w:r>
        <w:rPr>
          <w:rFonts w:hint="eastAsia"/>
          <w:color w:val="auto"/>
          <w:sz w:val="21"/>
          <w:szCs w:val="21"/>
          <w:highlight w:val="none"/>
          <w:lang w:eastAsia="zh-CN"/>
        </w:rPr>
        <w:t>》《</w:t>
      </w:r>
      <w:r>
        <w:rPr>
          <w:rFonts w:hint="eastAsia"/>
          <w:color w:val="auto"/>
          <w:sz w:val="21"/>
          <w:szCs w:val="21"/>
          <w:highlight w:val="none"/>
          <w:lang w:eastAsia="en-US"/>
        </w:rPr>
        <w:t>造价工程师职业道德行为准则》甲方相关考评办法</w:t>
      </w:r>
      <w:r>
        <w:rPr>
          <w:rFonts w:hint="eastAsia"/>
          <w:color w:val="auto"/>
          <w:sz w:val="21"/>
          <w:szCs w:val="21"/>
          <w:highlight w:val="none"/>
          <w:lang w:eastAsia="zh-CN"/>
        </w:rPr>
        <w:t>。</w:t>
      </w:r>
    </w:p>
    <w:p w14:paraId="33C646B1">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七</w:t>
      </w:r>
      <w:r>
        <w:rPr>
          <w:rFonts w:hint="eastAsia"/>
          <w:b/>
          <w:bCs/>
          <w:color w:val="auto"/>
          <w:sz w:val="21"/>
          <w:szCs w:val="21"/>
          <w:highlight w:val="none"/>
          <w:lang w:eastAsia="en-US"/>
        </w:rPr>
        <w:t>、违约责任</w:t>
      </w:r>
    </w:p>
    <w:p w14:paraId="1EB0A977">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1、乙方如有以下行为之一的，由甲方停止乙方资格并取消其下一次采购的投标资格：</w:t>
      </w:r>
    </w:p>
    <w:p w14:paraId="37727431">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（1）不按要求和承诺提供相关的项目评审服务；</w:t>
      </w:r>
    </w:p>
    <w:p w14:paraId="5DEAD80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lang w:eastAsia="en-US"/>
        </w:rPr>
        <w:t>（2）提供虚假参数和不切合实际的数据，不切实际抬高或降低评审金额、编制工程量清单和招标标底；</w:t>
      </w:r>
    </w:p>
    <w:p w14:paraId="26FC491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（3）串通订立虚假政府采购合同的；</w:t>
      </w:r>
    </w:p>
    <w:p w14:paraId="7A2DF72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（4）擅自将评审项目转包第三方；</w:t>
      </w:r>
    </w:p>
    <w:p w14:paraId="728E68E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（5）不遵守国家的</w:t>
      </w:r>
      <w:r>
        <w:rPr>
          <w:rFonts w:hint="eastAsia"/>
          <w:color w:val="auto"/>
          <w:sz w:val="21"/>
          <w:szCs w:val="21"/>
          <w:highlight w:val="none"/>
          <w:lang w:eastAsia="zh-CN"/>
        </w:rPr>
        <w:t>法律法规</w:t>
      </w:r>
      <w:r>
        <w:rPr>
          <w:rFonts w:hint="eastAsia"/>
          <w:color w:val="auto"/>
          <w:sz w:val="21"/>
          <w:szCs w:val="21"/>
          <w:highlight w:val="none"/>
          <w:lang w:eastAsia="en-US"/>
        </w:rPr>
        <w:t>和有关规章制度，不遵守《工程造价咨询单位行为准则》和《造价工程师职业道德行为准则》，不按甲方的规定作出实质性承诺；</w:t>
      </w:r>
    </w:p>
    <w:p w14:paraId="46AB2956">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（6）参加投标的工程造价咨询单位按照</w:t>
      </w:r>
      <w:r>
        <w:rPr>
          <w:rFonts w:hint="eastAsia"/>
          <w:color w:val="auto"/>
          <w:sz w:val="21"/>
          <w:szCs w:val="21"/>
          <w:highlight w:val="none"/>
          <w:lang w:eastAsia="zh-CN"/>
        </w:rPr>
        <w:t>征集文件</w:t>
      </w:r>
      <w:r>
        <w:rPr>
          <w:rFonts w:hint="eastAsia"/>
          <w:color w:val="auto"/>
          <w:sz w:val="21"/>
          <w:szCs w:val="21"/>
          <w:highlight w:val="none"/>
          <w:lang w:eastAsia="en-US"/>
        </w:rPr>
        <w:t>的约定，虚假提供其机构的相关资质证书和专业人员的资格证书；</w:t>
      </w:r>
    </w:p>
    <w:p w14:paraId="4E6E6965">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（7）有其他违反有关法律法规及本《采购需求》规定的情形的。</w:t>
      </w:r>
    </w:p>
    <w:p w14:paraId="3CA0147C">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rPr>
        <w:t>六</w:t>
      </w:r>
      <w:r>
        <w:rPr>
          <w:rFonts w:hint="eastAsia"/>
          <w:color w:val="auto"/>
          <w:sz w:val="21"/>
          <w:szCs w:val="21"/>
          <w:highlight w:val="none"/>
          <w:lang w:eastAsia="en-US"/>
        </w:rPr>
        <w:t>、不可抗力事件处理</w:t>
      </w:r>
    </w:p>
    <w:p w14:paraId="4CC68E0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1、不可抗力事件发生后，应立即通知对方，并附送有关权威机构出具的证明。</w:t>
      </w:r>
    </w:p>
    <w:p w14:paraId="58BA5B32">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2、不可抗力事件延续120天以上，双方应通过友好协商，确定是否继续履行合同。</w:t>
      </w:r>
    </w:p>
    <w:p w14:paraId="058BD242">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八</w:t>
      </w:r>
      <w:r>
        <w:rPr>
          <w:rFonts w:hint="eastAsia"/>
          <w:b/>
          <w:bCs/>
          <w:color w:val="auto"/>
          <w:sz w:val="21"/>
          <w:szCs w:val="21"/>
          <w:highlight w:val="none"/>
          <w:lang w:eastAsia="en-US"/>
        </w:rPr>
        <w:t>、诉讼</w:t>
      </w:r>
    </w:p>
    <w:p w14:paraId="14B5133D">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双方在执行合同中所发生的一切争议，应通过协商解决。如协商不成，可向合同签订地法院起诉。合同签订地在此约定为</w:t>
      </w:r>
      <w:r>
        <w:rPr>
          <w:rFonts w:hint="eastAsia"/>
          <w:color w:val="auto"/>
          <w:sz w:val="21"/>
          <w:szCs w:val="21"/>
          <w:highlight w:val="none"/>
        </w:rPr>
        <w:t>田东县</w:t>
      </w:r>
      <w:r>
        <w:rPr>
          <w:rFonts w:hint="eastAsia"/>
          <w:color w:val="auto"/>
          <w:sz w:val="21"/>
          <w:szCs w:val="21"/>
          <w:highlight w:val="none"/>
          <w:lang w:eastAsia="en-US"/>
        </w:rPr>
        <w:t>。</w:t>
      </w:r>
    </w:p>
    <w:p w14:paraId="5976DFE1">
      <w:pPr>
        <w:pStyle w:val="1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z w:val="21"/>
          <w:szCs w:val="21"/>
          <w:highlight w:val="none"/>
          <w:lang w:eastAsia="en-US"/>
        </w:rPr>
      </w:pPr>
      <w:r>
        <w:rPr>
          <w:rFonts w:hint="eastAsia"/>
          <w:b/>
          <w:bCs/>
          <w:color w:val="auto"/>
          <w:sz w:val="21"/>
          <w:szCs w:val="21"/>
          <w:highlight w:val="none"/>
          <w:lang w:val="en-US" w:eastAsia="zh-CN"/>
        </w:rPr>
        <w:t>九</w:t>
      </w:r>
      <w:r>
        <w:rPr>
          <w:rFonts w:hint="eastAsia"/>
          <w:b/>
          <w:bCs/>
          <w:color w:val="auto"/>
          <w:sz w:val="21"/>
          <w:szCs w:val="21"/>
          <w:highlight w:val="none"/>
          <w:lang w:eastAsia="en-US"/>
        </w:rPr>
        <w:t>、合同生效及其</w:t>
      </w:r>
      <w:r>
        <w:rPr>
          <w:rFonts w:hint="eastAsia"/>
          <w:b/>
          <w:bCs/>
          <w:color w:val="auto"/>
          <w:sz w:val="21"/>
          <w:szCs w:val="21"/>
          <w:highlight w:val="none"/>
          <w:lang w:eastAsia="zh-CN"/>
        </w:rPr>
        <w:t>他</w:t>
      </w:r>
    </w:p>
    <w:p w14:paraId="0B2A565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1、合同经双方法定代表人或授权委托代理人签字并加盖单位公章后生效。</w:t>
      </w:r>
    </w:p>
    <w:p w14:paraId="48A0CFA4">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2、合同执行中，如需修改或补充合同内容，由双方协商另签署书面修改或补充协议作为主合同不可分割的一部分，并报</w:t>
      </w:r>
      <w:r>
        <w:rPr>
          <w:rFonts w:hint="eastAsia"/>
          <w:color w:val="auto"/>
          <w:sz w:val="21"/>
          <w:szCs w:val="21"/>
          <w:highlight w:val="none"/>
        </w:rPr>
        <w:t>田东县</w:t>
      </w:r>
      <w:r>
        <w:rPr>
          <w:rFonts w:hint="eastAsia"/>
          <w:color w:val="auto"/>
          <w:sz w:val="21"/>
          <w:szCs w:val="21"/>
          <w:highlight w:val="none"/>
          <w:lang w:eastAsia="en-US"/>
        </w:rPr>
        <w:t>财政局核准后方可执行。</w:t>
      </w:r>
    </w:p>
    <w:p w14:paraId="0115E50E">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eastAsia="en-US"/>
        </w:rPr>
      </w:pPr>
      <w:r>
        <w:rPr>
          <w:rFonts w:hint="eastAsia"/>
          <w:color w:val="auto"/>
          <w:sz w:val="21"/>
          <w:szCs w:val="21"/>
          <w:highlight w:val="none"/>
          <w:lang w:eastAsia="en-US"/>
        </w:rPr>
        <w:t>3、当事人一方要求变更或解除合同时，应当在30日前通知对方，因解除合同使一方遭受损失的， 除依法可以免除责任的外，应由责任方负责赔偿。变更或解除合同的通知或协议必须采取书面形式，协议未达成之前，原合同仍然有效。</w:t>
      </w:r>
    </w:p>
    <w:p w14:paraId="409F3916">
      <w:pPr>
        <w:pStyle w:val="17"/>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color w:val="auto"/>
          <w:sz w:val="21"/>
          <w:szCs w:val="21"/>
          <w:highlight w:val="none"/>
          <w:lang w:eastAsia="en-US"/>
        </w:rPr>
      </w:pPr>
      <w:r>
        <w:rPr>
          <w:rFonts w:hint="default" w:ascii="Times New Roman" w:hAnsi="Times New Roman" w:eastAsia="宋体" w:cs="Times New Roman"/>
          <w:color w:val="auto"/>
          <w:kern w:val="2"/>
          <w:sz w:val="21"/>
          <w:szCs w:val="21"/>
          <w:highlight w:val="none"/>
          <w:lang w:val="en-US" w:eastAsia="zh-CN" w:bidi="ar-SA"/>
        </w:rPr>
        <w:t>4.本合同未尽事宜，遵照《中华人民共和国民法典》有关条文执行。</w:t>
      </w:r>
    </w:p>
    <w:p w14:paraId="66490AF0">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32"/>
          <w:szCs w:val="32"/>
          <w:highlight w:val="none"/>
        </w:rPr>
      </w:pPr>
      <w:r>
        <w:rPr>
          <w:rFonts w:hint="eastAsia"/>
          <w:color w:val="auto"/>
          <w:sz w:val="21"/>
          <w:szCs w:val="21"/>
          <w:highlight w:val="none"/>
          <w:lang w:val="en-US" w:eastAsia="zh-CN"/>
        </w:rPr>
        <w:t>5</w:t>
      </w:r>
      <w:r>
        <w:rPr>
          <w:rFonts w:hint="eastAsia"/>
          <w:color w:val="auto"/>
          <w:sz w:val="21"/>
          <w:szCs w:val="21"/>
          <w:highlight w:val="none"/>
          <w:lang w:eastAsia="en-US"/>
        </w:rPr>
        <w:t>、本合同正本一式</w:t>
      </w:r>
      <w:r>
        <w:rPr>
          <w:rFonts w:hint="eastAsia"/>
          <w:color w:val="auto"/>
          <w:sz w:val="21"/>
          <w:szCs w:val="21"/>
          <w:highlight w:val="none"/>
          <w:lang w:eastAsia="zh-CN"/>
        </w:rPr>
        <w:t>两</w:t>
      </w:r>
      <w:r>
        <w:rPr>
          <w:rFonts w:hint="eastAsia"/>
          <w:color w:val="auto"/>
          <w:sz w:val="21"/>
          <w:szCs w:val="21"/>
          <w:highlight w:val="none"/>
          <w:lang w:eastAsia="en-US"/>
        </w:rPr>
        <w:t>份。甲乙双方各执一份。</w:t>
      </w:r>
    </w:p>
    <w:tbl>
      <w:tblPr>
        <w:tblStyle w:val="4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339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F34CCA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5CE92C5A">
            <w:pPr>
              <w:snapToGrid w:val="0"/>
              <w:spacing w:line="360" w:lineRule="auto"/>
              <w:ind w:firstLine="945" w:firstLineChars="450"/>
              <w:jc w:val="right"/>
              <w:rPr>
                <w:rFonts w:hint="eastAsia" w:ascii="宋体" w:hAnsi="宋体" w:eastAsia="宋体" w:cs="宋体"/>
                <w:color w:val="auto"/>
                <w:szCs w:val="21"/>
                <w:highlight w:val="none"/>
              </w:rPr>
            </w:pPr>
          </w:p>
          <w:p w14:paraId="40C2D796">
            <w:pPr>
              <w:snapToGrid w:val="0"/>
              <w:spacing w:line="360" w:lineRule="auto"/>
              <w:ind w:firstLine="945" w:firstLineChars="450"/>
              <w:jc w:val="right"/>
              <w:rPr>
                <w:rFonts w:hint="eastAsia" w:ascii="宋体" w:hAnsi="宋体" w:eastAsia="宋体" w:cs="宋体"/>
                <w:color w:val="auto"/>
                <w:szCs w:val="21"/>
                <w:highlight w:val="none"/>
              </w:rPr>
            </w:pPr>
          </w:p>
          <w:p w14:paraId="31DECEEC">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E61F6C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7A05CFD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52D63DF">
            <w:pPr>
              <w:snapToGrid w:val="0"/>
              <w:spacing w:line="360" w:lineRule="auto"/>
              <w:jc w:val="right"/>
              <w:rPr>
                <w:rFonts w:hint="eastAsia" w:ascii="宋体" w:hAnsi="宋体" w:eastAsia="宋体" w:cs="宋体"/>
                <w:color w:val="auto"/>
                <w:szCs w:val="21"/>
                <w:highlight w:val="none"/>
              </w:rPr>
            </w:pPr>
          </w:p>
          <w:p w14:paraId="57F2766B">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4779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48792C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F82275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14:paraId="285E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FC8DC0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6ABFA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7C4D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65CE59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0330AB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0963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62ABFC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ED2B05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4628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44FCA4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4B7F27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38D1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F81901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110120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3216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F5A57D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BC434C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344BC23C">
      <w:pPr>
        <w:snapToGrid w:val="0"/>
        <w:jc w:val="center"/>
        <w:rPr>
          <w:rFonts w:hint="eastAsia" w:ascii="宋体" w:hAnsi="宋体" w:eastAsia="宋体" w:cs="宋体"/>
          <w:bCs/>
          <w:color w:val="auto"/>
          <w:sz w:val="32"/>
          <w:szCs w:val="32"/>
          <w:highlight w:val="none"/>
        </w:rPr>
      </w:pPr>
    </w:p>
    <w:p w14:paraId="501E7241">
      <w:pPr>
        <w:snapToGrid w:val="0"/>
        <w:jc w:val="center"/>
        <w:rPr>
          <w:rFonts w:hint="eastAsia" w:ascii="宋体" w:hAnsi="宋体" w:eastAsia="宋体" w:cs="宋体"/>
          <w:bCs/>
          <w:color w:val="auto"/>
          <w:sz w:val="32"/>
          <w:szCs w:val="32"/>
          <w:highlight w:val="none"/>
        </w:rPr>
      </w:pPr>
    </w:p>
    <w:p w14:paraId="57253E30">
      <w:pPr>
        <w:snapToGrid w:val="0"/>
        <w:jc w:val="center"/>
        <w:rPr>
          <w:rFonts w:hint="eastAsia" w:ascii="宋体" w:hAnsi="宋体" w:eastAsia="宋体" w:cs="宋体"/>
          <w:bCs/>
          <w:color w:val="auto"/>
          <w:sz w:val="32"/>
          <w:szCs w:val="32"/>
          <w:highlight w:val="none"/>
        </w:rPr>
      </w:pPr>
    </w:p>
    <w:p w14:paraId="4E883B0D">
      <w:pPr>
        <w:pStyle w:val="2"/>
        <w:jc w:val="center"/>
        <w:rPr>
          <w:rFonts w:hint="eastAsia" w:ascii="宋体" w:hAnsi="宋体" w:eastAsia="宋体" w:cs="宋体"/>
          <w:color w:val="auto"/>
          <w:highlight w:val="none"/>
        </w:rPr>
      </w:pPr>
      <w:bookmarkStart w:id="122" w:name="_Toc74323516"/>
    </w:p>
    <w:p w14:paraId="45C9F90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DBD9038">
      <w:pPr>
        <w:pStyle w:val="2"/>
        <w:jc w:val="center"/>
        <w:rPr>
          <w:rFonts w:hint="eastAsia" w:ascii="宋体" w:hAnsi="宋体" w:eastAsia="宋体" w:cs="宋体"/>
          <w:color w:val="auto"/>
          <w:highlight w:val="none"/>
        </w:rPr>
      </w:pPr>
    </w:p>
    <w:p w14:paraId="1FBDD33B">
      <w:pPr>
        <w:pStyle w:val="2"/>
        <w:jc w:val="center"/>
        <w:rPr>
          <w:rFonts w:hint="eastAsia" w:ascii="宋体" w:hAnsi="宋体" w:eastAsia="宋体" w:cs="宋体"/>
          <w:color w:val="auto"/>
          <w:highlight w:val="none"/>
        </w:rPr>
      </w:pPr>
    </w:p>
    <w:p w14:paraId="1695BEDC">
      <w:pPr>
        <w:pStyle w:val="2"/>
        <w:jc w:val="center"/>
        <w:rPr>
          <w:rFonts w:hint="eastAsia" w:ascii="宋体" w:hAnsi="宋体" w:eastAsia="宋体" w:cs="宋体"/>
          <w:color w:val="auto"/>
          <w:highlight w:val="none"/>
        </w:rPr>
      </w:pPr>
    </w:p>
    <w:p w14:paraId="504F0223">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第六章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bookmarkEnd w:id="122"/>
    </w:p>
    <w:p w14:paraId="2E8B2412">
      <w:pPr>
        <w:snapToGrid w:val="0"/>
        <w:spacing w:before="50" w:after="50"/>
        <w:outlineLvl w:val="1"/>
        <w:rPr>
          <w:rFonts w:hint="eastAsia" w:ascii="宋体" w:hAnsi="宋体" w:eastAsia="宋体" w:cs="宋体"/>
          <w:color w:val="auto"/>
          <w:sz w:val="32"/>
          <w:szCs w:val="20"/>
          <w:highlight w:val="none"/>
        </w:rPr>
      </w:pPr>
    </w:p>
    <w:p w14:paraId="2BA8BDB9">
      <w:pPr>
        <w:snapToGrid w:val="0"/>
        <w:spacing w:before="50" w:after="50"/>
        <w:outlineLvl w:val="1"/>
        <w:rPr>
          <w:rFonts w:hint="eastAsia" w:ascii="宋体" w:hAnsi="宋体" w:eastAsia="宋体" w:cs="宋体"/>
          <w:color w:val="auto"/>
          <w:sz w:val="32"/>
          <w:szCs w:val="20"/>
          <w:highlight w:val="none"/>
        </w:rPr>
      </w:pPr>
    </w:p>
    <w:p w14:paraId="1569C535">
      <w:pPr>
        <w:snapToGrid w:val="0"/>
        <w:spacing w:before="50" w:after="50"/>
        <w:outlineLvl w:val="1"/>
        <w:rPr>
          <w:rFonts w:hint="eastAsia" w:ascii="宋体" w:hAnsi="宋体" w:eastAsia="宋体" w:cs="宋体"/>
          <w:color w:val="auto"/>
          <w:sz w:val="32"/>
          <w:szCs w:val="20"/>
          <w:highlight w:val="none"/>
        </w:rPr>
      </w:pPr>
    </w:p>
    <w:p w14:paraId="4457EB58">
      <w:pPr>
        <w:snapToGrid w:val="0"/>
        <w:spacing w:before="50" w:after="50"/>
        <w:outlineLvl w:val="1"/>
        <w:rPr>
          <w:rFonts w:hint="eastAsia" w:ascii="宋体" w:hAnsi="宋体" w:eastAsia="宋体" w:cs="宋体"/>
          <w:color w:val="auto"/>
          <w:sz w:val="32"/>
          <w:szCs w:val="20"/>
          <w:highlight w:val="none"/>
        </w:rPr>
      </w:pPr>
    </w:p>
    <w:p w14:paraId="79179377">
      <w:pPr>
        <w:snapToGrid w:val="0"/>
        <w:spacing w:before="50" w:after="50"/>
        <w:outlineLvl w:val="1"/>
        <w:rPr>
          <w:rFonts w:hint="eastAsia" w:ascii="宋体" w:hAnsi="宋体" w:eastAsia="宋体" w:cs="宋体"/>
          <w:color w:val="auto"/>
          <w:sz w:val="32"/>
          <w:szCs w:val="20"/>
          <w:highlight w:val="none"/>
        </w:rPr>
      </w:pPr>
    </w:p>
    <w:p w14:paraId="2E314AE7">
      <w:pPr>
        <w:snapToGrid w:val="0"/>
        <w:spacing w:before="50" w:after="50"/>
        <w:outlineLvl w:val="1"/>
        <w:rPr>
          <w:rFonts w:hint="eastAsia" w:ascii="宋体" w:hAnsi="宋体" w:eastAsia="宋体" w:cs="宋体"/>
          <w:color w:val="auto"/>
          <w:sz w:val="32"/>
          <w:szCs w:val="20"/>
          <w:highlight w:val="none"/>
        </w:rPr>
      </w:pPr>
    </w:p>
    <w:p w14:paraId="4AD43A3D">
      <w:pPr>
        <w:snapToGrid w:val="0"/>
        <w:spacing w:before="50" w:after="50"/>
        <w:outlineLvl w:val="1"/>
        <w:rPr>
          <w:rFonts w:hint="eastAsia" w:ascii="宋体" w:hAnsi="宋体" w:eastAsia="宋体" w:cs="宋体"/>
          <w:color w:val="auto"/>
          <w:sz w:val="32"/>
          <w:szCs w:val="20"/>
          <w:highlight w:val="none"/>
        </w:rPr>
      </w:pPr>
    </w:p>
    <w:p w14:paraId="7D284162">
      <w:pPr>
        <w:snapToGrid w:val="0"/>
        <w:spacing w:before="50" w:after="50"/>
        <w:outlineLvl w:val="1"/>
        <w:rPr>
          <w:rFonts w:hint="eastAsia" w:ascii="宋体" w:hAnsi="宋体" w:eastAsia="宋体" w:cs="宋体"/>
          <w:color w:val="auto"/>
          <w:sz w:val="32"/>
          <w:szCs w:val="20"/>
          <w:highlight w:val="none"/>
        </w:rPr>
      </w:pPr>
    </w:p>
    <w:p w14:paraId="6DFEE898">
      <w:pPr>
        <w:snapToGrid w:val="0"/>
        <w:spacing w:before="50" w:after="50"/>
        <w:outlineLvl w:val="1"/>
        <w:rPr>
          <w:rFonts w:hint="eastAsia" w:ascii="宋体" w:hAnsi="宋体" w:eastAsia="宋体" w:cs="宋体"/>
          <w:color w:val="auto"/>
          <w:sz w:val="32"/>
          <w:szCs w:val="20"/>
          <w:highlight w:val="none"/>
        </w:rPr>
      </w:pPr>
    </w:p>
    <w:p w14:paraId="29CE380D">
      <w:pPr>
        <w:snapToGrid w:val="0"/>
        <w:spacing w:before="50" w:after="50"/>
        <w:outlineLvl w:val="1"/>
        <w:rPr>
          <w:rFonts w:hint="eastAsia" w:ascii="宋体" w:hAnsi="宋体" w:eastAsia="宋体" w:cs="宋体"/>
          <w:color w:val="auto"/>
          <w:sz w:val="32"/>
          <w:szCs w:val="20"/>
          <w:highlight w:val="none"/>
        </w:rPr>
      </w:pPr>
    </w:p>
    <w:p w14:paraId="7C1E3F30">
      <w:pPr>
        <w:snapToGrid w:val="0"/>
        <w:spacing w:before="50" w:after="50"/>
        <w:outlineLvl w:val="1"/>
        <w:rPr>
          <w:rFonts w:hint="eastAsia" w:ascii="宋体" w:hAnsi="宋体" w:eastAsia="宋体" w:cs="宋体"/>
          <w:color w:val="auto"/>
          <w:sz w:val="32"/>
          <w:szCs w:val="20"/>
          <w:highlight w:val="none"/>
        </w:rPr>
      </w:pPr>
    </w:p>
    <w:p w14:paraId="13C2A565">
      <w:pPr>
        <w:snapToGrid w:val="0"/>
        <w:spacing w:before="50" w:after="50"/>
        <w:outlineLvl w:val="1"/>
        <w:rPr>
          <w:rFonts w:hint="eastAsia" w:ascii="宋体" w:hAnsi="宋体" w:eastAsia="宋体" w:cs="宋体"/>
          <w:color w:val="auto"/>
          <w:sz w:val="32"/>
          <w:szCs w:val="20"/>
          <w:highlight w:val="none"/>
        </w:rPr>
      </w:pPr>
    </w:p>
    <w:p w14:paraId="3C0B1EBD">
      <w:pPr>
        <w:rPr>
          <w:rFonts w:hint="eastAsia" w:ascii="宋体" w:hAnsi="宋体" w:eastAsia="宋体" w:cs="宋体"/>
          <w:b/>
          <w:color w:val="auto"/>
          <w:sz w:val="28"/>
          <w:szCs w:val="28"/>
          <w:highlight w:val="none"/>
        </w:rPr>
      </w:pPr>
      <w:r>
        <w:rPr>
          <w:rFonts w:hint="eastAsia" w:ascii="宋体" w:hAnsi="宋体" w:eastAsia="宋体" w:cs="宋体"/>
          <w:color w:val="auto"/>
          <w:sz w:val="32"/>
          <w:szCs w:val="20"/>
          <w:highlight w:val="none"/>
        </w:rPr>
        <w:br w:type="page"/>
      </w:r>
      <w:bookmarkStart w:id="123" w:name="_Toc19686836"/>
      <w:bookmarkStart w:id="124" w:name="_Toc254970698"/>
      <w:bookmarkStart w:id="125" w:name="_Toc254970557"/>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、报价文件格式</w:t>
      </w:r>
      <w:bookmarkEnd w:id="123"/>
    </w:p>
    <w:p w14:paraId="069D12D2">
      <w:pPr>
        <w:snapToGrid w:val="0"/>
        <w:spacing w:before="120" w:beforeLines="50" w:after="50" w:line="360" w:lineRule="auto"/>
        <w:ind w:left="142"/>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14:paraId="7C290D59">
      <w:pPr>
        <w:snapToGrid w:val="0"/>
        <w:spacing w:before="120"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3E91E310">
      <w:pPr>
        <w:snapToGrid w:val="0"/>
        <w:spacing w:before="120" w:beforeLines="50" w:after="50" w:line="400" w:lineRule="exact"/>
        <w:jc w:val="center"/>
        <w:rPr>
          <w:rFonts w:hint="eastAsia" w:ascii="宋体" w:hAnsi="宋体" w:eastAsia="宋体" w:cs="宋体"/>
          <w:bCs/>
          <w:color w:val="auto"/>
          <w:sz w:val="24"/>
          <w:szCs w:val="20"/>
          <w:highlight w:val="none"/>
        </w:rPr>
      </w:pPr>
    </w:p>
    <w:p w14:paraId="47FB4B26">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电子响应文件</w:t>
      </w:r>
    </w:p>
    <w:p w14:paraId="3409E7E2">
      <w:pPr>
        <w:snapToGrid w:val="0"/>
        <w:spacing w:before="120" w:beforeLines="50" w:after="50" w:line="400" w:lineRule="exact"/>
        <w:jc w:val="both"/>
        <w:rPr>
          <w:rFonts w:hint="eastAsia" w:ascii="宋体" w:hAnsi="宋体" w:eastAsia="宋体" w:cs="宋体"/>
          <w:bCs/>
          <w:color w:val="auto"/>
          <w:sz w:val="24"/>
          <w:szCs w:val="20"/>
          <w:highlight w:val="none"/>
        </w:rPr>
      </w:pPr>
    </w:p>
    <w:p w14:paraId="03693358">
      <w:pPr>
        <w:snapToGrid w:val="0"/>
        <w:spacing w:before="120" w:beforeLines="50" w:after="50" w:line="400" w:lineRule="exact"/>
        <w:jc w:val="center"/>
        <w:rPr>
          <w:rFonts w:hint="eastAsia" w:ascii="宋体" w:hAnsi="宋体" w:eastAsia="宋体" w:cs="宋体"/>
          <w:bCs/>
          <w:color w:val="auto"/>
          <w:sz w:val="24"/>
          <w:szCs w:val="20"/>
          <w:highlight w:val="none"/>
        </w:rPr>
      </w:pPr>
    </w:p>
    <w:p w14:paraId="11A7782C">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价</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件</w:t>
      </w:r>
    </w:p>
    <w:p w14:paraId="3162E05B">
      <w:pPr>
        <w:snapToGrid w:val="0"/>
        <w:spacing w:before="120" w:beforeLines="50" w:after="50" w:line="400" w:lineRule="exact"/>
        <w:rPr>
          <w:rFonts w:hint="eastAsia" w:ascii="宋体" w:hAnsi="宋体" w:eastAsia="宋体" w:cs="宋体"/>
          <w:bCs/>
          <w:color w:val="auto"/>
          <w:sz w:val="24"/>
          <w:szCs w:val="20"/>
          <w:highlight w:val="none"/>
        </w:rPr>
      </w:pPr>
    </w:p>
    <w:p w14:paraId="3A1657D4">
      <w:pPr>
        <w:snapToGrid w:val="0"/>
        <w:spacing w:before="120" w:beforeLines="50" w:after="50" w:line="400" w:lineRule="exact"/>
        <w:rPr>
          <w:rFonts w:hint="eastAsia" w:ascii="宋体" w:hAnsi="宋体" w:eastAsia="宋体" w:cs="宋体"/>
          <w:bCs/>
          <w:color w:val="auto"/>
          <w:sz w:val="24"/>
          <w:szCs w:val="20"/>
          <w:highlight w:val="none"/>
        </w:rPr>
      </w:pPr>
    </w:p>
    <w:p w14:paraId="5EDBDDCD">
      <w:pPr>
        <w:snapToGrid w:val="0"/>
        <w:spacing w:before="120" w:beforeLines="50" w:after="50" w:line="400" w:lineRule="exact"/>
        <w:rPr>
          <w:rFonts w:hint="eastAsia" w:ascii="宋体" w:hAnsi="宋体" w:eastAsia="宋体" w:cs="宋体"/>
          <w:bCs/>
          <w:color w:val="auto"/>
          <w:sz w:val="24"/>
          <w:szCs w:val="20"/>
          <w:highlight w:val="none"/>
        </w:rPr>
      </w:pPr>
    </w:p>
    <w:p w14:paraId="3BFC6623">
      <w:pPr>
        <w:snapToGrid w:val="0"/>
        <w:spacing w:before="120" w:beforeLines="50" w:after="50" w:line="400" w:lineRule="exact"/>
        <w:rPr>
          <w:rFonts w:hint="eastAsia" w:ascii="宋体" w:hAnsi="宋体" w:eastAsia="宋体" w:cs="宋体"/>
          <w:bCs/>
          <w:color w:val="auto"/>
          <w:sz w:val="24"/>
          <w:szCs w:val="20"/>
          <w:highlight w:val="none"/>
        </w:rPr>
      </w:pPr>
    </w:p>
    <w:p w14:paraId="59A1E6A5">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项目名称：</w:t>
      </w:r>
    </w:p>
    <w:p w14:paraId="31622C4A">
      <w:pPr>
        <w:snapToGrid w:val="0"/>
        <w:spacing w:before="120" w:beforeLines="50" w:after="50"/>
        <w:ind w:firstLine="540" w:firstLineChars="225"/>
        <w:rPr>
          <w:rFonts w:hint="eastAsia" w:ascii="宋体" w:hAnsi="宋体" w:eastAsia="宋体" w:cs="宋体"/>
          <w:bCs/>
          <w:color w:val="auto"/>
          <w:sz w:val="24"/>
          <w:highlight w:val="none"/>
        </w:rPr>
      </w:pPr>
    </w:p>
    <w:p w14:paraId="2BC52978">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项目编号：</w:t>
      </w:r>
    </w:p>
    <w:p w14:paraId="23986ABC">
      <w:pPr>
        <w:snapToGrid w:val="0"/>
        <w:spacing w:before="120" w:beforeLines="50" w:after="50"/>
        <w:ind w:firstLine="540" w:firstLineChars="225"/>
        <w:rPr>
          <w:rFonts w:hint="eastAsia" w:ascii="宋体" w:hAnsi="宋体" w:eastAsia="宋体" w:cs="宋体"/>
          <w:bCs/>
          <w:color w:val="auto"/>
          <w:sz w:val="24"/>
          <w:highlight w:val="none"/>
        </w:rPr>
      </w:pPr>
    </w:p>
    <w:p w14:paraId="3917631D">
      <w:pPr>
        <w:snapToGrid w:val="0"/>
        <w:spacing w:before="120" w:beforeLines="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所投分标：</w:t>
      </w:r>
    </w:p>
    <w:p w14:paraId="2FCACDAB">
      <w:pPr>
        <w:pStyle w:val="6"/>
        <w:snapToGrid w:val="0"/>
        <w:spacing w:before="50" w:after="50"/>
        <w:ind w:firstLine="540" w:firstLineChars="225"/>
        <w:rPr>
          <w:rFonts w:hint="eastAsia" w:ascii="宋体" w:hAnsi="宋体" w:eastAsia="宋体" w:cs="宋体"/>
          <w:bCs/>
          <w:color w:val="auto"/>
          <w:sz w:val="24"/>
          <w:szCs w:val="24"/>
          <w:highlight w:val="none"/>
          <w:lang w:eastAsia="zh-CN"/>
        </w:rPr>
      </w:pPr>
    </w:p>
    <w:p w14:paraId="7899378B">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p>
    <w:p w14:paraId="3A1BD7CE">
      <w:pPr>
        <w:pStyle w:val="6"/>
        <w:snapToGrid w:val="0"/>
        <w:spacing w:before="50" w:after="50" w:line="400" w:lineRule="exact"/>
        <w:ind w:firstLine="960" w:firstLineChars="400"/>
        <w:rPr>
          <w:rFonts w:hint="eastAsia" w:ascii="宋体" w:hAnsi="宋体" w:eastAsia="宋体" w:cs="宋体"/>
          <w:bCs/>
          <w:color w:val="auto"/>
          <w:sz w:val="24"/>
          <w:szCs w:val="24"/>
          <w:highlight w:val="none"/>
        </w:rPr>
      </w:pPr>
    </w:p>
    <w:p w14:paraId="77F9BB11">
      <w:pPr>
        <w:snapToGrid w:val="0"/>
        <w:spacing w:before="120" w:beforeLines="50" w:after="50" w:line="40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71A6C23E">
      <w:pPr>
        <w:snapToGrid w:val="0"/>
        <w:spacing w:before="120" w:beforeLines="50" w:after="50" w:line="360" w:lineRule="auto"/>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14:paraId="6292A52E">
      <w:pPr>
        <w:snapToGrid w:val="0"/>
        <w:spacing w:before="50" w:after="120" w:afterLines="50" w:line="360" w:lineRule="auto"/>
        <w:jc w:val="left"/>
        <w:rPr>
          <w:rFonts w:hint="eastAsia" w:ascii="宋体" w:hAnsi="宋体" w:eastAsia="宋体" w:cs="宋体"/>
          <w:b/>
          <w:color w:val="auto"/>
          <w:sz w:val="24"/>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征集文件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提供的材料自行编写目录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部分格式附后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2CA97CEA">
      <w:pPr>
        <w:snapToGrid w:val="0"/>
        <w:spacing w:before="120" w:beforeLines="50" w:after="50"/>
        <w:rPr>
          <w:rFonts w:hint="eastAsia" w:ascii="宋体" w:hAnsi="宋体" w:eastAsia="宋体" w:cs="宋体"/>
          <w:b/>
          <w:color w:val="auto"/>
          <w:sz w:val="24"/>
          <w:highlight w:val="none"/>
        </w:rPr>
      </w:pPr>
    </w:p>
    <w:p w14:paraId="57267CC6">
      <w:pPr>
        <w:snapToGrid w:val="0"/>
        <w:spacing w:before="120" w:beforeLines="50" w:after="50"/>
        <w:rPr>
          <w:rFonts w:hint="eastAsia" w:ascii="宋体" w:hAnsi="宋体" w:eastAsia="宋体" w:cs="宋体"/>
          <w:b/>
          <w:color w:val="auto"/>
          <w:sz w:val="24"/>
          <w:highlight w:val="none"/>
        </w:rPr>
      </w:pPr>
    </w:p>
    <w:p w14:paraId="1542A0AD">
      <w:pPr>
        <w:snapToGrid w:val="0"/>
        <w:spacing w:before="120" w:beforeLines="50" w:after="50"/>
        <w:rPr>
          <w:rFonts w:hint="eastAsia" w:ascii="宋体" w:hAnsi="宋体" w:eastAsia="宋体" w:cs="宋体"/>
          <w:b/>
          <w:color w:val="auto"/>
          <w:sz w:val="24"/>
          <w:highlight w:val="none"/>
        </w:rPr>
      </w:pPr>
    </w:p>
    <w:p w14:paraId="56221246">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14:paraId="6AF0A2C1">
      <w:pPr>
        <w:snapToGrid w:val="0"/>
        <w:spacing w:before="120" w:beforeLines="50" w:after="50" w:line="320" w:lineRule="exact"/>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szCs w:val="30"/>
          <w:highlight w:val="none"/>
        </w:rPr>
        <w:t>投 标 函</w:t>
      </w:r>
    </w:p>
    <w:p w14:paraId="05FFEFD1">
      <w:pPr>
        <w:snapToGrid w:val="0"/>
        <w:spacing w:before="120" w:beforeLines="50" w:after="50" w:line="320" w:lineRule="exact"/>
        <w:jc w:val="center"/>
        <w:rPr>
          <w:rFonts w:hint="eastAsia" w:ascii="宋体" w:hAnsi="宋体" w:eastAsia="宋体" w:cs="宋体"/>
          <w:b/>
          <w:color w:val="auto"/>
          <w:sz w:val="24"/>
          <w:szCs w:val="20"/>
          <w:highlight w:val="none"/>
        </w:rPr>
      </w:pPr>
    </w:p>
    <w:p w14:paraId="1120FAD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（采购代理机构名称）</w:t>
      </w:r>
    </w:p>
    <w:p w14:paraId="286A2F81">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征集公告</w:t>
      </w:r>
      <w:r>
        <w:rPr>
          <w:rFonts w:hint="eastAsia" w:ascii="宋体" w:hAnsi="宋体" w:eastAsia="宋体" w:cs="宋体"/>
          <w:color w:val="auto"/>
          <w:sz w:val="21"/>
          <w:szCs w:val="21"/>
          <w:highlight w:val="none"/>
        </w:rPr>
        <w:t>，签字代表______（姓名）经正式授权并代表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71D6CAE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14:paraId="1B6A742B">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1.我方已详细审查全部“</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”，包括修改文件（如有的话）以及全部参考资料和有关附件，已经了解我方对于</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、采购过程、采购结果有依法进行询问、质疑、投诉的权利及相关渠道和要求。</w:t>
      </w:r>
    </w:p>
    <w:p w14:paraId="6D82551D">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2.我方在</w:t>
      </w:r>
      <w:r>
        <w:rPr>
          <w:rFonts w:hint="default" w:ascii="Times New Roman" w:hAnsi="Times New Roman" w:eastAsia="宋体" w:cs="Times New Roman"/>
          <w:color w:val="auto"/>
          <w:sz w:val="21"/>
          <w:szCs w:val="21"/>
          <w:highlight w:val="none"/>
          <w:lang w:val="en-US" w:eastAsia="zh-CN"/>
        </w:rPr>
        <w:t>响应</w:t>
      </w:r>
      <w:r>
        <w:rPr>
          <w:rFonts w:hint="default" w:ascii="Times New Roman" w:hAnsi="Times New Roman" w:eastAsia="宋体" w:cs="Times New Roman"/>
          <w:color w:val="auto"/>
          <w:sz w:val="21"/>
          <w:szCs w:val="21"/>
          <w:highlight w:val="none"/>
        </w:rPr>
        <w:t>之前已经完全理解并接受</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的各项规定和要求，对</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的合理性、合法性不再有异议。</w:t>
      </w:r>
    </w:p>
    <w:p w14:paraId="3B9B6634">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.如中标，本</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至本项目合同履行完毕止均保持有效，我方将按“</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”及政府采购</w:t>
      </w:r>
      <w:r>
        <w:rPr>
          <w:rFonts w:hint="eastAsia" w:ascii="Times New Roman" w:hAnsi="Times New Roman" w:eastAsia="宋体" w:cs="Times New Roman"/>
          <w:color w:val="auto"/>
          <w:sz w:val="21"/>
          <w:szCs w:val="21"/>
          <w:highlight w:val="none"/>
          <w:lang w:eastAsia="zh-CN"/>
        </w:rPr>
        <w:t>法律法规</w:t>
      </w:r>
      <w:r>
        <w:rPr>
          <w:rFonts w:hint="default" w:ascii="Times New Roman" w:hAnsi="Times New Roman" w:eastAsia="宋体" w:cs="Times New Roman"/>
          <w:color w:val="auto"/>
          <w:sz w:val="21"/>
          <w:szCs w:val="21"/>
          <w:highlight w:val="none"/>
        </w:rPr>
        <w:t>的规定履行合同责任和义务。</w:t>
      </w:r>
    </w:p>
    <w:p w14:paraId="02A75735">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.我方同意按照贵方要求提供与投标有关的一切数据或者资料。</w:t>
      </w:r>
    </w:p>
    <w:p w14:paraId="591EF1D7">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.我方向贵方提交的所有</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、资料都是准确的和真实的。</w:t>
      </w:r>
    </w:p>
    <w:p w14:paraId="5B1AE22C">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以上事项如有虚假或者隐瞒，我方愿意承担一切后果，并不再寻求任何旨在减轻或者免除法律责任的辩解。</w:t>
      </w:r>
    </w:p>
    <w:p w14:paraId="4F9154A1">
      <w:pPr>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default" w:ascii="Times New Roman" w:hAnsi="Times New Roman" w:eastAsia="宋体" w:cs="Times New Roman"/>
          <w:color w:val="auto"/>
          <w:sz w:val="21"/>
          <w:szCs w:val="21"/>
          <w:highlight w:val="none"/>
          <w:lang w:eastAsia="zh-CN"/>
        </w:rPr>
        <w:t>响应文件</w:t>
      </w:r>
      <w:r>
        <w:rPr>
          <w:rFonts w:hint="default" w:ascii="Times New Roman" w:hAnsi="Times New Roman" w:eastAsia="宋体" w:cs="Times New Roman"/>
          <w:color w:val="auto"/>
          <w:sz w:val="21"/>
          <w:szCs w:val="21"/>
          <w:highlight w:val="none"/>
        </w:rPr>
        <w:t>进行注明如下：（两项内容中必须选择一项）</w:t>
      </w:r>
    </w:p>
    <w:p w14:paraId="75E323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75942AD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E2E06B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w:t>
      </w:r>
      <w:r>
        <w:rPr>
          <w:rFonts w:hint="eastAsia" w:ascii="宋体" w:hAnsi="宋体" w:eastAsia="宋体" w:cs="宋体"/>
          <w:color w:val="auto"/>
          <w:sz w:val="21"/>
          <w:szCs w:val="21"/>
          <w:highlight w:val="none"/>
        </w:rPr>
        <w:t>与本投标有关的一切正式往来信函请寄：</w:t>
      </w:r>
    </w:p>
    <w:p w14:paraId="1E5A48A5">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14:paraId="27F5A46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2D6E8D5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756416A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59B92E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银行账号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E64E1D7">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法定代表人或者委托代理人（签字）:___________ </w:t>
      </w:r>
    </w:p>
    <w:p w14:paraId="22439A55">
      <w:pPr>
        <w:pStyle w:val="23"/>
        <w:snapToGrid w:val="0"/>
        <w:spacing w:before="295" w:after="295" w:line="240" w:lineRule="auto"/>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（盖公章）：</w:t>
      </w:r>
    </w:p>
    <w:p w14:paraId="5EC3AD37">
      <w:pPr>
        <w:pStyle w:val="23"/>
        <w:snapToGrid w:val="0"/>
        <w:spacing w:before="295" w:after="295"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4C75944">
      <w:pPr>
        <w:snapToGrid w:val="0"/>
        <w:spacing w:before="120" w:beforeLines="50" w:after="50" w:line="360" w:lineRule="auto"/>
        <w:jc w:val="left"/>
        <w:rPr>
          <w:rFonts w:hint="eastAsia" w:ascii="宋体" w:hAnsi="宋体" w:eastAsia="宋体" w:cs="宋体"/>
          <w:b/>
          <w:color w:val="auto"/>
          <w:sz w:val="24"/>
          <w:szCs w:val="20"/>
          <w:highlight w:val="none"/>
        </w:rPr>
      </w:pPr>
      <w:r>
        <w:rPr>
          <w:rFonts w:hint="eastAsia" w:ascii="宋体" w:hAnsi="宋体" w:eastAsia="宋体" w:cs="宋体"/>
          <w:color w:val="auto"/>
          <w:sz w:val="21"/>
          <w:szCs w:val="21"/>
          <w:highlight w:val="none"/>
          <w:u w:val="single"/>
        </w:rPr>
        <w:br w:type="page"/>
      </w:r>
      <w:r>
        <w:rPr>
          <w:rFonts w:hint="eastAsia" w:ascii="宋体" w:hAnsi="宋体" w:eastAsia="宋体" w:cs="宋体"/>
          <w:b/>
          <w:color w:val="auto"/>
          <w:sz w:val="24"/>
          <w:highlight w:val="none"/>
        </w:rPr>
        <w:t>4. 开标一览表（服务类格式）</w:t>
      </w:r>
    </w:p>
    <w:p w14:paraId="7F59F0CA">
      <w:pPr>
        <w:snapToGrid w:val="0"/>
        <w:spacing w:before="50" w:after="5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14:paraId="25C11283">
      <w:pPr>
        <w:snapToGrid w:val="0"/>
        <w:spacing w:before="50" w:after="50"/>
        <w:jc w:val="center"/>
        <w:rPr>
          <w:rFonts w:hint="eastAsia" w:ascii="宋体" w:hAnsi="宋体" w:eastAsia="宋体" w:cs="宋体"/>
          <w:b/>
          <w:color w:val="auto"/>
          <w:sz w:val="21"/>
          <w:szCs w:val="21"/>
          <w:highlight w:val="none"/>
        </w:rPr>
      </w:pPr>
    </w:p>
    <w:p w14:paraId="40E216D6">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B3FA79C">
      <w:pPr>
        <w:snapToGrid w:val="0"/>
        <w:spacing w:before="50" w:after="50" w:line="36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p>
    <w:p w14:paraId="55477362">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109"/>
        <w:tblW w:w="96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03"/>
        <w:gridCol w:w="981"/>
        <w:gridCol w:w="948"/>
        <w:gridCol w:w="1875"/>
        <w:gridCol w:w="3734"/>
      </w:tblGrid>
      <w:tr w14:paraId="5D08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724" w:type="dxa"/>
            <w:noWrap w:val="0"/>
            <w:vAlign w:val="top"/>
          </w:tcPr>
          <w:p w14:paraId="65677A68">
            <w:pPr>
              <w:pStyle w:val="114"/>
              <w:spacing w:before="265" w:line="230" w:lineRule="auto"/>
              <w:ind w:left="113"/>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序号</w:t>
            </w:r>
          </w:p>
        </w:tc>
        <w:tc>
          <w:tcPr>
            <w:tcW w:w="1403" w:type="dxa"/>
            <w:noWrap w:val="0"/>
            <w:vAlign w:val="top"/>
          </w:tcPr>
          <w:p w14:paraId="2703637E">
            <w:pPr>
              <w:pStyle w:val="114"/>
              <w:spacing w:before="266" w:line="228"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服务名称</w:t>
            </w:r>
          </w:p>
        </w:tc>
        <w:tc>
          <w:tcPr>
            <w:tcW w:w="981" w:type="dxa"/>
            <w:noWrap w:val="0"/>
            <w:vAlign w:val="top"/>
          </w:tcPr>
          <w:p w14:paraId="23F5D96A">
            <w:pPr>
              <w:pStyle w:val="114"/>
              <w:spacing w:before="266" w:line="228"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服务内容</w:t>
            </w:r>
          </w:p>
        </w:tc>
        <w:tc>
          <w:tcPr>
            <w:tcW w:w="948" w:type="dxa"/>
            <w:noWrap w:val="0"/>
            <w:vAlign w:val="top"/>
          </w:tcPr>
          <w:p w14:paraId="3DD60943">
            <w:pPr>
              <w:pStyle w:val="114"/>
              <w:spacing w:before="265" w:line="227"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报价</w:t>
            </w:r>
          </w:p>
        </w:tc>
        <w:tc>
          <w:tcPr>
            <w:tcW w:w="1875" w:type="dxa"/>
            <w:noWrap w:val="0"/>
            <w:vAlign w:val="top"/>
          </w:tcPr>
          <w:p w14:paraId="2DD2A459">
            <w:pPr>
              <w:pStyle w:val="114"/>
              <w:spacing w:before="266" w:line="228" w:lineRule="auto"/>
              <w:ind w:left="114"/>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服务要求（年限）</w:t>
            </w:r>
          </w:p>
        </w:tc>
        <w:tc>
          <w:tcPr>
            <w:tcW w:w="3734" w:type="dxa"/>
            <w:noWrap w:val="0"/>
            <w:vAlign w:val="top"/>
          </w:tcPr>
          <w:p w14:paraId="145477C9">
            <w:pPr>
              <w:pStyle w:val="114"/>
              <w:spacing w:before="265" w:line="23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备注</w:t>
            </w:r>
          </w:p>
        </w:tc>
      </w:tr>
      <w:tr w14:paraId="4C801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jc w:val="center"/>
        </w:trPr>
        <w:tc>
          <w:tcPr>
            <w:tcW w:w="724" w:type="dxa"/>
            <w:noWrap w:val="0"/>
            <w:vAlign w:val="center"/>
          </w:tcPr>
          <w:p w14:paraId="685368C3">
            <w:pPr>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1403" w:type="dxa"/>
            <w:noWrap w:val="0"/>
            <w:vAlign w:val="top"/>
          </w:tcPr>
          <w:p w14:paraId="2AD5D347">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p>
        </w:tc>
        <w:tc>
          <w:tcPr>
            <w:tcW w:w="981" w:type="dxa"/>
            <w:noWrap w:val="0"/>
            <w:vAlign w:val="top"/>
          </w:tcPr>
          <w:p w14:paraId="2F4C813D">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p>
        </w:tc>
        <w:tc>
          <w:tcPr>
            <w:tcW w:w="948" w:type="dxa"/>
            <w:noWrap w:val="0"/>
            <w:vAlign w:val="center"/>
          </w:tcPr>
          <w:p w14:paraId="7C9241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w:t>
            </w:r>
          </w:p>
        </w:tc>
        <w:tc>
          <w:tcPr>
            <w:tcW w:w="1875" w:type="dxa"/>
            <w:noWrap w:val="0"/>
            <w:vAlign w:val="top"/>
          </w:tcPr>
          <w:p w14:paraId="6FAF4E7B">
            <w:pPr>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p>
        </w:tc>
        <w:tc>
          <w:tcPr>
            <w:tcW w:w="3734" w:type="dxa"/>
            <w:noWrap w:val="0"/>
            <w:vAlign w:val="center"/>
          </w:tcPr>
          <w:p w14:paraId="355944AE">
            <w:pPr>
              <w:spacing w:line="36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 报价 (本项目无价格评审，填写内容均为</w:t>
            </w:r>
            <w:r>
              <w:rPr>
                <w:rFonts w:hint="eastAsia" w:cs="Times New Roman"/>
                <w:color w:val="auto"/>
                <w:kern w:val="2"/>
                <w:sz w:val="21"/>
                <w:szCs w:val="21"/>
                <w:highlight w:val="none"/>
                <w:lang w:val="en-US" w:eastAsia="zh-CN" w:bidi="ar-SA"/>
              </w:rPr>
              <w:t>1.5</w:t>
            </w:r>
            <w:r>
              <w:rPr>
                <w:rFonts w:hint="default" w:ascii="Times New Roman" w:hAnsi="Times New Roman" w:eastAsia="宋体" w:cs="Times New Roman"/>
                <w:color w:val="auto"/>
                <w:kern w:val="2"/>
                <w:sz w:val="21"/>
                <w:szCs w:val="21"/>
                <w:highlight w:val="none"/>
                <w:lang w:val="en-US" w:eastAsia="zh-CN" w:bidi="ar-SA"/>
              </w:rPr>
              <w:t xml:space="preserve">) 。 </w:t>
            </w:r>
          </w:p>
          <w:p w14:paraId="68E462C3">
            <w:pPr>
              <w:spacing w:line="36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 xml:space="preserve">2. 若本公司入围，本公司承诺按本项目征集文件规定的计费方式和费率（即最高限 </w:t>
            </w:r>
          </w:p>
          <w:p w14:paraId="7E51E4E4">
            <w:pPr>
              <w:spacing w:line="36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制单价）计费。</w:t>
            </w:r>
          </w:p>
        </w:tc>
      </w:tr>
    </w:tbl>
    <w:p w14:paraId="0E5B2D7D">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28CD73C">
      <w:pPr>
        <w:snapToGrid w:val="0"/>
        <w:spacing w:before="50" w:after="5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注: </w:t>
      </w:r>
    </w:p>
    <w:p w14:paraId="676FAEAE">
      <w:pPr>
        <w:snapToGrid w:val="0"/>
        <w:spacing w:before="50" w:after="50" w:line="360" w:lineRule="auto"/>
        <w:ind w:firstLine="422" w:firstLineChars="20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1、供应商需按本表格式填写，不得自行更改，也不得留空, 如有多分标，按分标分别提供开标一览表，必须加盖供应商有效电子公章，否则其响应作无效标处理。</w:t>
      </w:r>
    </w:p>
    <w:p w14:paraId="1A967412">
      <w:pPr>
        <w:snapToGrid w:val="0"/>
        <w:spacing w:before="50" w:after="50" w:line="360" w:lineRule="auto"/>
        <w:ind w:firstLine="422" w:firstLineChars="200"/>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2、本表如与政采云平台不一致的，以政采云平台为准。</w:t>
      </w:r>
    </w:p>
    <w:p w14:paraId="7D7DB7BD">
      <w:pPr>
        <w:snapToGrid w:val="0"/>
        <w:spacing w:before="50" w:after="50" w:line="360" w:lineRule="auto"/>
        <w:ind w:firstLine="422" w:firstLineChars="200"/>
        <w:jc w:val="left"/>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rPr>
        <w:t>3</w:t>
      </w:r>
      <w:r>
        <w:rPr>
          <w:rFonts w:hint="default" w:ascii="Times New Roman" w:hAnsi="Times New Roman" w:eastAsia="宋体" w:cs="Times New Roman"/>
          <w:b/>
          <w:color w:val="auto"/>
          <w:sz w:val="21"/>
          <w:szCs w:val="21"/>
          <w:highlight w:val="none"/>
        </w:rPr>
        <w:t>、特别提示：采购机构将对项目名称和项目编号，入围供应商名称、地址和入围金额，主要入围标的的名称、服务要求等予以公示。</w:t>
      </w:r>
    </w:p>
    <w:p w14:paraId="65F90282">
      <w:pPr>
        <w:snapToGrid w:val="0"/>
        <w:spacing w:before="50" w:after="50" w:line="360" w:lineRule="auto"/>
        <w:ind w:firstLine="422" w:firstLineChars="2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、若本公司入围，本公司承诺按本项目征集文件规定的计费方式和费率计费。</w:t>
      </w:r>
    </w:p>
    <w:p w14:paraId="4E139A95">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 xml:space="preserve">          </w:t>
      </w:r>
    </w:p>
    <w:p w14:paraId="7892E192">
      <w:pPr>
        <w:snapToGrid w:val="0"/>
        <w:spacing w:before="50" w:after="50" w:line="360" w:lineRule="auto"/>
        <w:ind w:left="-21" w:leftChars="-72" w:right="-817" w:rightChars="-389" w:hanging="130" w:hangingChars="62"/>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p w14:paraId="2A1568F4">
      <w:pPr>
        <w:snapToGrid w:val="0"/>
        <w:spacing w:before="50" w:after="50" w:line="360" w:lineRule="auto"/>
        <w:ind w:left="57" w:leftChars="27" w:right="-817" w:rightChars="-389" w:firstLine="5111" w:firstLineChars="243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eastAsia="zh-CN"/>
        </w:rPr>
        <w:t>供应商名称</w:t>
      </w:r>
      <w:r>
        <w:rPr>
          <w:rFonts w:hint="default" w:ascii="Times New Roman" w:hAnsi="Times New Roman" w:eastAsia="宋体" w:cs="Times New Roman"/>
          <w:color w:val="auto"/>
          <w:sz w:val="21"/>
          <w:szCs w:val="21"/>
          <w:highlight w:val="none"/>
        </w:rPr>
        <w:t xml:space="preserve">（盖公章）：                                </w:t>
      </w:r>
    </w:p>
    <w:p w14:paraId="3EAF24C3">
      <w:pPr>
        <w:snapToGrid w:val="0"/>
        <w:spacing w:before="50" w:after="50" w:line="360" w:lineRule="auto"/>
        <w:ind w:right="-817" w:rightChars="-389" w:firstLine="5250" w:firstLineChars="25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4A5A4326">
      <w:pPr>
        <w:rPr>
          <w:rFonts w:hint="eastAsia" w:ascii="宋体" w:hAnsi="宋体" w:eastAsia="宋体" w:cs="宋体"/>
          <w:b/>
          <w:color w:val="auto"/>
          <w:sz w:val="28"/>
          <w:szCs w:val="28"/>
          <w:highlight w:val="none"/>
        </w:rPr>
      </w:pPr>
      <w:r>
        <w:rPr>
          <w:rFonts w:hint="default" w:ascii="Times New Roman" w:hAnsi="Times New Roman" w:eastAsia="宋体" w:cs="Times New Roman"/>
          <w:b/>
          <w:bCs/>
          <w:color w:val="auto"/>
          <w:sz w:val="21"/>
          <w:szCs w:val="21"/>
          <w:highlight w:val="none"/>
        </w:rPr>
        <w:br w:type="page"/>
      </w:r>
      <w:bookmarkStart w:id="126" w:name="_Toc19686837"/>
      <w:r>
        <w:rPr>
          <w:rFonts w:hint="eastAsia" w:ascii="宋体" w:hAnsi="宋体" w:eastAsia="宋体" w:cs="宋体"/>
          <w:b/>
          <w:color w:val="auto"/>
          <w:sz w:val="28"/>
          <w:szCs w:val="28"/>
          <w:highlight w:val="none"/>
        </w:rPr>
        <w:t>三、资格证明文件格式</w:t>
      </w:r>
      <w:bookmarkEnd w:id="124"/>
      <w:bookmarkEnd w:id="125"/>
      <w:bookmarkEnd w:id="126"/>
    </w:p>
    <w:p w14:paraId="28778E7A">
      <w:pPr>
        <w:numPr>
          <w:ilvl w:val="2"/>
          <w:numId w:val="11"/>
        </w:numPr>
        <w:snapToGrid w:val="0"/>
        <w:spacing w:before="120" w:beforeLines="50" w:after="50" w:line="360" w:lineRule="auto"/>
        <w:ind w:left="0" w:firstLine="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资格证明文件封面格式： </w:t>
      </w:r>
    </w:p>
    <w:p w14:paraId="73C8EA1A">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7AAB34E4">
      <w:pPr>
        <w:snapToGrid w:val="0"/>
        <w:spacing w:before="120" w:beforeLines="50" w:after="50"/>
        <w:rPr>
          <w:rFonts w:hint="eastAsia" w:ascii="宋体" w:hAnsi="宋体" w:eastAsia="宋体" w:cs="宋体"/>
          <w:color w:val="auto"/>
          <w:sz w:val="24"/>
          <w:szCs w:val="20"/>
          <w:highlight w:val="none"/>
        </w:rPr>
      </w:pPr>
    </w:p>
    <w:p w14:paraId="3803F119">
      <w:pPr>
        <w:snapToGrid w:val="0"/>
        <w:spacing w:before="120" w:beforeLines="50" w:after="50" w:line="400" w:lineRule="exact"/>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电子响应文件</w:t>
      </w:r>
    </w:p>
    <w:p w14:paraId="1E26F817">
      <w:pPr>
        <w:snapToGrid w:val="0"/>
        <w:spacing w:before="120" w:beforeLines="50" w:after="50"/>
        <w:rPr>
          <w:rFonts w:hint="eastAsia" w:ascii="宋体" w:hAnsi="宋体" w:eastAsia="宋体" w:cs="宋体"/>
          <w:color w:val="auto"/>
          <w:sz w:val="24"/>
          <w:szCs w:val="20"/>
          <w:highlight w:val="none"/>
        </w:rPr>
      </w:pPr>
    </w:p>
    <w:p w14:paraId="5BC906E6">
      <w:pPr>
        <w:snapToGrid w:val="0"/>
        <w:spacing w:before="120" w:beforeLines="50" w:after="50"/>
        <w:rPr>
          <w:rFonts w:hint="eastAsia" w:ascii="宋体" w:hAnsi="宋体" w:eastAsia="宋体" w:cs="宋体"/>
          <w:color w:val="auto"/>
          <w:sz w:val="24"/>
          <w:szCs w:val="20"/>
          <w:highlight w:val="none"/>
        </w:rPr>
      </w:pPr>
    </w:p>
    <w:p w14:paraId="33AB6DE6">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  格  证  明  文  件</w:t>
      </w:r>
    </w:p>
    <w:p w14:paraId="746E18C0">
      <w:pPr>
        <w:snapToGrid w:val="0"/>
        <w:spacing w:before="120" w:beforeLines="50" w:after="50"/>
        <w:rPr>
          <w:rFonts w:hint="eastAsia" w:ascii="宋体" w:hAnsi="宋体" w:eastAsia="宋体" w:cs="宋体"/>
          <w:bCs/>
          <w:color w:val="auto"/>
          <w:sz w:val="24"/>
          <w:szCs w:val="20"/>
          <w:highlight w:val="none"/>
        </w:rPr>
      </w:pPr>
    </w:p>
    <w:p w14:paraId="1E395288">
      <w:pPr>
        <w:snapToGrid w:val="0"/>
        <w:spacing w:before="120" w:beforeLines="50" w:after="50"/>
        <w:rPr>
          <w:rFonts w:hint="eastAsia" w:ascii="宋体" w:hAnsi="宋体" w:eastAsia="宋体" w:cs="宋体"/>
          <w:bCs/>
          <w:color w:val="auto"/>
          <w:sz w:val="24"/>
          <w:szCs w:val="20"/>
          <w:highlight w:val="none"/>
        </w:rPr>
      </w:pPr>
    </w:p>
    <w:p w14:paraId="63D08648">
      <w:pPr>
        <w:snapToGrid w:val="0"/>
        <w:spacing w:before="120" w:beforeLines="50" w:after="50"/>
        <w:rPr>
          <w:rFonts w:hint="eastAsia" w:ascii="宋体" w:hAnsi="宋体" w:eastAsia="宋体" w:cs="宋体"/>
          <w:bCs/>
          <w:color w:val="auto"/>
          <w:sz w:val="24"/>
          <w:szCs w:val="20"/>
          <w:highlight w:val="none"/>
        </w:rPr>
      </w:pPr>
    </w:p>
    <w:p w14:paraId="2CE1A3FF">
      <w:pPr>
        <w:snapToGrid w:val="0"/>
        <w:spacing w:before="120" w:beforeLines="50" w:after="50"/>
        <w:rPr>
          <w:rFonts w:hint="eastAsia" w:ascii="宋体" w:hAnsi="宋体" w:eastAsia="宋体" w:cs="宋体"/>
          <w:bCs/>
          <w:color w:val="auto"/>
          <w:sz w:val="24"/>
          <w:szCs w:val="20"/>
          <w:highlight w:val="none"/>
        </w:rPr>
      </w:pPr>
    </w:p>
    <w:p w14:paraId="7EF0E8AE">
      <w:pPr>
        <w:snapToGrid w:val="0"/>
        <w:spacing w:before="120" w:beforeLines="50" w:after="50"/>
        <w:rPr>
          <w:rFonts w:hint="eastAsia" w:ascii="宋体" w:hAnsi="宋体" w:eastAsia="宋体" w:cs="宋体"/>
          <w:bCs/>
          <w:color w:val="auto"/>
          <w:sz w:val="24"/>
          <w:szCs w:val="20"/>
          <w:highlight w:val="none"/>
        </w:rPr>
      </w:pPr>
    </w:p>
    <w:p w14:paraId="60E037DD">
      <w:pPr>
        <w:snapToGrid w:val="0"/>
        <w:spacing w:before="120" w:beforeLines="50" w:after="50"/>
        <w:rPr>
          <w:rFonts w:hint="eastAsia" w:ascii="宋体" w:hAnsi="宋体" w:eastAsia="宋体" w:cs="宋体"/>
          <w:bCs/>
          <w:color w:val="auto"/>
          <w:sz w:val="24"/>
          <w:szCs w:val="20"/>
          <w:highlight w:val="none"/>
        </w:rPr>
      </w:pPr>
    </w:p>
    <w:p w14:paraId="421832A6">
      <w:pPr>
        <w:snapToGrid w:val="0"/>
        <w:spacing w:before="120" w:beforeLines="50" w:after="50"/>
        <w:rPr>
          <w:rFonts w:hint="eastAsia" w:ascii="宋体" w:hAnsi="宋体" w:eastAsia="宋体" w:cs="宋体"/>
          <w:bCs/>
          <w:color w:val="auto"/>
          <w:sz w:val="24"/>
          <w:szCs w:val="20"/>
          <w:highlight w:val="none"/>
        </w:rPr>
      </w:pPr>
    </w:p>
    <w:p w14:paraId="0500A4FE">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5BE9864B">
      <w:pPr>
        <w:snapToGrid w:val="0"/>
        <w:spacing w:before="120" w:beforeLines="50" w:after="50"/>
        <w:ind w:firstLine="540" w:firstLineChars="225"/>
        <w:rPr>
          <w:rFonts w:hint="eastAsia" w:ascii="宋体" w:hAnsi="宋体" w:eastAsia="宋体" w:cs="宋体"/>
          <w:bCs/>
          <w:color w:val="auto"/>
          <w:sz w:val="24"/>
          <w:szCs w:val="20"/>
          <w:highlight w:val="none"/>
        </w:rPr>
      </w:pPr>
    </w:p>
    <w:p w14:paraId="6B8DDD5D">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10C9F258">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5F4A4B9">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1D5CD495">
      <w:pPr>
        <w:pStyle w:val="6"/>
        <w:snapToGrid w:val="0"/>
        <w:spacing w:before="50" w:after="50"/>
        <w:ind w:firstLine="540" w:firstLineChars="225"/>
        <w:rPr>
          <w:rFonts w:hint="eastAsia" w:ascii="宋体" w:hAnsi="宋体" w:eastAsia="宋体" w:cs="宋体"/>
          <w:bCs/>
          <w:color w:val="auto"/>
          <w:sz w:val="24"/>
          <w:szCs w:val="24"/>
          <w:highlight w:val="none"/>
        </w:rPr>
      </w:pPr>
    </w:p>
    <w:p w14:paraId="53B32E16">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p>
    <w:p w14:paraId="4B0CE001">
      <w:pPr>
        <w:pStyle w:val="6"/>
        <w:snapToGrid w:val="0"/>
        <w:spacing w:before="50" w:after="50"/>
        <w:ind w:firstLine="540" w:firstLineChars="225"/>
        <w:rPr>
          <w:rFonts w:hint="eastAsia" w:ascii="宋体" w:hAnsi="宋体" w:eastAsia="宋体" w:cs="宋体"/>
          <w:bCs/>
          <w:color w:val="auto"/>
          <w:sz w:val="24"/>
          <w:szCs w:val="24"/>
          <w:highlight w:val="none"/>
        </w:rPr>
      </w:pPr>
    </w:p>
    <w:p w14:paraId="74516AFF">
      <w:pPr>
        <w:pStyle w:val="6"/>
        <w:snapToGrid w:val="0"/>
        <w:spacing w:before="50" w:after="50"/>
        <w:ind w:firstLine="960" w:firstLineChars="400"/>
        <w:rPr>
          <w:rFonts w:hint="eastAsia" w:ascii="宋体" w:hAnsi="宋体" w:eastAsia="宋体" w:cs="宋体"/>
          <w:bCs/>
          <w:color w:val="auto"/>
          <w:sz w:val="24"/>
          <w:szCs w:val="24"/>
          <w:highlight w:val="none"/>
        </w:rPr>
      </w:pPr>
    </w:p>
    <w:p w14:paraId="67717807">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95FB8A6">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07E6C7B4">
      <w:pPr>
        <w:snapToGrid w:val="0"/>
        <w:spacing w:before="120" w:beforeLines="50" w:after="50"/>
        <w:rPr>
          <w:rFonts w:hint="eastAsia" w:ascii="宋体" w:hAnsi="宋体" w:eastAsia="宋体" w:cs="宋体"/>
          <w:color w:val="auto"/>
          <w:sz w:val="24"/>
          <w:szCs w:val="20"/>
          <w:highlight w:val="none"/>
        </w:rPr>
      </w:pPr>
    </w:p>
    <w:p w14:paraId="7FD31E3A">
      <w:pPr>
        <w:numPr>
          <w:ilvl w:val="2"/>
          <w:numId w:val="11"/>
        </w:numPr>
        <w:snapToGrid w:val="0"/>
        <w:spacing w:before="120" w:beforeLines="50" w:after="50" w:line="360" w:lineRule="auto"/>
        <w:ind w:left="0" w:firstLine="0"/>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Times New Roman" w:hAnsi="Times New Roman" w:eastAsia="宋体" w:cs="Times New Roman"/>
          <w:b/>
          <w:color w:val="auto"/>
          <w:sz w:val="24"/>
          <w:highlight w:val="none"/>
        </w:rPr>
        <w:t>资格证明文件目录</w:t>
      </w:r>
    </w:p>
    <w:p w14:paraId="55983DD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征集文件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提供的材料自行编写目录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部分格式附后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514967A5">
      <w:pPr>
        <w:snapToGrid w:val="0"/>
        <w:spacing w:before="50" w:after="120" w:afterLines="50"/>
        <w:jc w:val="left"/>
        <w:rPr>
          <w:rFonts w:hint="eastAsia" w:ascii="宋体" w:hAnsi="宋体" w:eastAsia="宋体" w:cs="宋体"/>
          <w:color w:val="auto"/>
          <w:sz w:val="24"/>
          <w:highlight w:val="none"/>
        </w:rPr>
      </w:pPr>
    </w:p>
    <w:p w14:paraId="768C3CBD">
      <w:pPr>
        <w:snapToGrid w:val="0"/>
        <w:spacing w:before="50" w:after="120" w:afterLines="50"/>
        <w:jc w:val="left"/>
        <w:rPr>
          <w:rFonts w:hint="eastAsia" w:ascii="宋体" w:hAnsi="宋体" w:eastAsia="宋体" w:cs="宋体"/>
          <w:color w:val="auto"/>
          <w:sz w:val="24"/>
          <w:highlight w:val="none"/>
        </w:rPr>
      </w:pPr>
    </w:p>
    <w:p w14:paraId="6005F956">
      <w:pPr>
        <w:numPr>
          <w:ilvl w:val="2"/>
          <w:numId w:val="11"/>
        </w:numPr>
        <w:snapToGrid w:val="0"/>
        <w:spacing w:before="120" w:beforeLines="50" w:after="50"/>
        <w:ind w:lef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8"/>
          <w:szCs w:val="28"/>
          <w:highlight w:val="none"/>
          <w:lang w:eastAsia="zh-CN"/>
        </w:rPr>
        <w:t>供应商</w:t>
      </w:r>
      <w:r>
        <w:rPr>
          <w:rFonts w:hint="default" w:ascii="Times New Roman" w:hAnsi="Times New Roman" w:eastAsia="宋体" w:cs="Times New Roman"/>
          <w:b/>
          <w:color w:val="auto"/>
          <w:sz w:val="28"/>
          <w:szCs w:val="28"/>
          <w:highlight w:val="none"/>
        </w:rPr>
        <w:t>直接控股、管理关系信息表</w:t>
      </w:r>
    </w:p>
    <w:p w14:paraId="5AB228C6">
      <w:pPr>
        <w:snapToGrid w:val="0"/>
        <w:spacing w:before="50" w:after="120" w:afterLines="50"/>
        <w:jc w:val="center"/>
        <w:rPr>
          <w:rFonts w:hint="eastAsia" w:ascii="宋体" w:hAnsi="宋体" w:eastAsia="宋体" w:cs="宋体"/>
          <w:b/>
          <w:color w:val="auto"/>
          <w:sz w:val="28"/>
          <w:szCs w:val="28"/>
          <w:highlight w:val="none"/>
        </w:rPr>
      </w:pPr>
    </w:p>
    <w:p w14:paraId="343DE9FC">
      <w:pPr>
        <w:snapToGrid w:val="0"/>
        <w:spacing w:before="50" w:after="12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直接控股股东信息表</w:t>
      </w:r>
    </w:p>
    <w:tbl>
      <w:tblPr>
        <w:tblStyle w:val="45"/>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1527753">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8ECA478">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257B43">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4BD76B1">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7FA03CE">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75BBC76">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245419EF">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3E378A">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DF9047">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FFB8BD">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10FF6C">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25EBFC">
            <w:pPr>
              <w:spacing w:line="360" w:lineRule="auto"/>
              <w:jc w:val="center"/>
              <w:rPr>
                <w:rFonts w:hint="eastAsia" w:ascii="宋体" w:hAnsi="宋体" w:eastAsia="宋体" w:cs="宋体"/>
                <w:color w:val="auto"/>
                <w:kern w:val="0"/>
                <w:sz w:val="21"/>
                <w:szCs w:val="21"/>
                <w:highlight w:val="none"/>
              </w:rPr>
            </w:pPr>
          </w:p>
        </w:tc>
      </w:tr>
      <w:tr w14:paraId="791D8070">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0198C9">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CEBC52">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1410ED">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C8B4B3">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1BC79A">
            <w:pPr>
              <w:spacing w:line="360" w:lineRule="auto"/>
              <w:jc w:val="center"/>
              <w:rPr>
                <w:rFonts w:hint="eastAsia" w:ascii="宋体" w:hAnsi="宋体" w:eastAsia="宋体" w:cs="宋体"/>
                <w:color w:val="auto"/>
                <w:kern w:val="0"/>
                <w:sz w:val="21"/>
                <w:szCs w:val="21"/>
                <w:highlight w:val="none"/>
              </w:rPr>
            </w:pPr>
          </w:p>
        </w:tc>
      </w:tr>
      <w:tr w14:paraId="472DC8FB">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826A8D">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8F2638">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058C3">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FA52F7">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CEB50B">
            <w:pPr>
              <w:spacing w:line="360" w:lineRule="auto"/>
              <w:jc w:val="center"/>
              <w:rPr>
                <w:rFonts w:hint="eastAsia" w:ascii="宋体" w:hAnsi="宋体" w:eastAsia="宋体" w:cs="宋体"/>
                <w:color w:val="auto"/>
                <w:kern w:val="0"/>
                <w:sz w:val="21"/>
                <w:szCs w:val="21"/>
                <w:highlight w:val="none"/>
              </w:rPr>
            </w:pPr>
          </w:p>
        </w:tc>
      </w:tr>
      <w:tr w14:paraId="6B730637">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61485A">
            <w:pPr>
              <w:spacing w:line="36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42A28A">
            <w:pPr>
              <w:spacing w:line="36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4F8AD6">
            <w:pPr>
              <w:spacing w:line="36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649B38">
            <w:pPr>
              <w:spacing w:line="36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C73398">
            <w:pPr>
              <w:spacing w:line="360" w:lineRule="auto"/>
              <w:jc w:val="center"/>
              <w:rPr>
                <w:rFonts w:hint="eastAsia" w:ascii="宋体" w:hAnsi="宋体" w:eastAsia="宋体" w:cs="宋体"/>
                <w:color w:val="auto"/>
                <w:kern w:val="0"/>
                <w:sz w:val="21"/>
                <w:szCs w:val="21"/>
                <w:highlight w:val="none"/>
              </w:rPr>
            </w:pPr>
          </w:p>
        </w:tc>
      </w:tr>
    </w:tbl>
    <w:p w14:paraId="3C602223">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w:t>
      </w:r>
    </w:p>
    <w:p w14:paraId="2E6759DF">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88CCAF">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2.本表所指的控股关系仅限于直接控股关系，不包括间接的控股关系。公司实际控制人与公司之间的关系不属于本表所指的直接控股关系。</w:t>
      </w:r>
    </w:p>
    <w:p w14:paraId="333391C1">
      <w:pPr>
        <w:snapToGrid w:val="0"/>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3.供应商不存在直接控股股东的，则填“无”。</w:t>
      </w:r>
    </w:p>
    <w:p w14:paraId="2DFAFD93">
      <w:pPr>
        <w:snapToGrid w:val="0"/>
        <w:spacing w:line="360" w:lineRule="auto"/>
        <w:jc w:val="left"/>
        <w:rPr>
          <w:rFonts w:hint="default" w:ascii="Times New Roman" w:hAnsi="Times New Roman" w:eastAsia="宋体" w:cs="Times New Roman"/>
          <w:color w:val="auto"/>
          <w:sz w:val="21"/>
          <w:szCs w:val="21"/>
          <w:highlight w:val="none"/>
        </w:rPr>
      </w:pPr>
    </w:p>
    <w:p w14:paraId="10EFEB86">
      <w:pPr>
        <w:snapToGrid w:val="0"/>
        <w:spacing w:before="120" w:beforeLines="50" w:after="50" w:line="360" w:lineRule="auto"/>
        <w:ind w:right="480" w:firstLine="3990" w:firstLineChars="19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（盖公章）：</w:t>
      </w:r>
    </w:p>
    <w:p w14:paraId="09284CC5">
      <w:pPr>
        <w:snapToGrid w:val="0"/>
        <w:spacing w:before="50" w:after="50" w:line="360" w:lineRule="auto"/>
        <w:ind w:right="-817" w:rightChars="-389" w:firstLine="3780" w:firstLineChars="18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497F5231">
      <w:pPr>
        <w:snapToGrid w:val="0"/>
        <w:spacing w:before="120" w:beforeLines="50" w:after="50" w:line="360" w:lineRule="auto"/>
        <w:ind w:right="480" w:firstLine="5622" w:firstLineChars="2000"/>
        <w:rPr>
          <w:rFonts w:hint="eastAsia" w:ascii="宋体" w:hAnsi="宋体" w:eastAsia="宋体" w:cs="宋体"/>
          <w:b/>
          <w:color w:val="auto"/>
          <w:sz w:val="28"/>
          <w:szCs w:val="28"/>
          <w:highlight w:val="none"/>
        </w:rPr>
      </w:pPr>
    </w:p>
    <w:p w14:paraId="2EC36010">
      <w:pPr>
        <w:pStyle w:val="17"/>
        <w:rPr>
          <w:rFonts w:hint="eastAsia" w:ascii="宋体" w:hAnsi="宋体" w:eastAsia="宋体" w:cs="宋体"/>
          <w:b/>
          <w:color w:val="auto"/>
          <w:sz w:val="28"/>
          <w:szCs w:val="28"/>
          <w:highlight w:val="none"/>
        </w:rPr>
      </w:pPr>
    </w:p>
    <w:p w14:paraId="1690B1DD">
      <w:pPr>
        <w:pStyle w:val="17"/>
        <w:rPr>
          <w:rFonts w:hint="eastAsia" w:ascii="宋体" w:hAnsi="宋体" w:eastAsia="宋体" w:cs="宋体"/>
          <w:b/>
          <w:color w:val="auto"/>
          <w:sz w:val="28"/>
          <w:szCs w:val="28"/>
          <w:highlight w:val="none"/>
        </w:rPr>
      </w:pPr>
    </w:p>
    <w:p w14:paraId="642AF4BC">
      <w:pPr>
        <w:pStyle w:val="17"/>
        <w:rPr>
          <w:rFonts w:hint="eastAsia" w:ascii="宋体" w:hAnsi="宋体" w:eastAsia="宋体" w:cs="宋体"/>
          <w:b/>
          <w:color w:val="auto"/>
          <w:sz w:val="28"/>
          <w:szCs w:val="28"/>
          <w:highlight w:val="none"/>
        </w:rPr>
      </w:pPr>
    </w:p>
    <w:p w14:paraId="0CB4C75B">
      <w:pPr>
        <w:pStyle w:val="17"/>
        <w:rPr>
          <w:rFonts w:hint="eastAsia" w:ascii="宋体" w:hAnsi="宋体" w:eastAsia="宋体" w:cs="宋体"/>
          <w:b/>
          <w:color w:val="auto"/>
          <w:sz w:val="28"/>
          <w:szCs w:val="28"/>
          <w:highlight w:val="none"/>
        </w:rPr>
      </w:pPr>
    </w:p>
    <w:p w14:paraId="2A865064">
      <w:pPr>
        <w:pStyle w:val="17"/>
        <w:rPr>
          <w:rFonts w:hint="eastAsia" w:ascii="宋体" w:hAnsi="宋体" w:eastAsia="宋体" w:cs="宋体"/>
          <w:b/>
          <w:color w:val="auto"/>
          <w:sz w:val="28"/>
          <w:szCs w:val="28"/>
          <w:highlight w:val="none"/>
        </w:rPr>
      </w:pPr>
    </w:p>
    <w:p w14:paraId="5471EA07">
      <w:pPr>
        <w:pStyle w:val="17"/>
        <w:rPr>
          <w:rFonts w:hint="eastAsia" w:ascii="宋体" w:hAnsi="宋体" w:eastAsia="宋体" w:cs="宋体"/>
          <w:b/>
          <w:color w:val="auto"/>
          <w:sz w:val="28"/>
          <w:szCs w:val="28"/>
          <w:highlight w:val="none"/>
        </w:rPr>
      </w:pPr>
    </w:p>
    <w:p w14:paraId="5DBB10B8">
      <w:pPr>
        <w:pStyle w:val="17"/>
        <w:rPr>
          <w:rFonts w:hint="eastAsia" w:ascii="宋体" w:hAnsi="宋体" w:eastAsia="宋体" w:cs="宋体"/>
          <w:b/>
          <w:color w:val="auto"/>
          <w:sz w:val="28"/>
          <w:szCs w:val="28"/>
          <w:highlight w:val="none"/>
        </w:rPr>
      </w:pPr>
    </w:p>
    <w:p w14:paraId="69C2D1DA">
      <w:pPr>
        <w:pStyle w:val="17"/>
        <w:rPr>
          <w:rFonts w:hint="eastAsia" w:ascii="宋体" w:hAnsi="宋体" w:eastAsia="宋体" w:cs="宋体"/>
          <w:b/>
          <w:color w:val="auto"/>
          <w:sz w:val="28"/>
          <w:szCs w:val="28"/>
          <w:highlight w:val="none"/>
        </w:rPr>
      </w:pPr>
    </w:p>
    <w:p w14:paraId="27352117">
      <w:pPr>
        <w:pStyle w:val="17"/>
        <w:rPr>
          <w:rFonts w:hint="eastAsia" w:ascii="宋体" w:hAnsi="宋体" w:eastAsia="宋体" w:cs="宋体"/>
          <w:b/>
          <w:color w:val="auto"/>
          <w:sz w:val="28"/>
          <w:szCs w:val="28"/>
          <w:highlight w:val="none"/>
        </w:rPr>
      </w:pPr>
    </w:p>
    <w:p w14:paraId="2812AB71">
      <w:pPr>
        <w:pStyle w:val="17"/>
        <w:rPr>
          <w:rFonts w:hint="eastAsia" w:ascii="宋体" w:hAnsi="宋体" w:eastAsia="宋体" w:cs="宋体"/>
          <w:b/>
          <w:color w:val="auto"/>
          <w:sz w:val="28"/>
          <w:szCs w:val="28"/>
          <w:highlight w:val="none"/>
        </w:rPr>
      </w:pPr>
    </w:p>
    <w:p w14:paraId="16BF2799">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直接管理关系信息表</w:t>
      </w:r>
    </w:p>
    <w:tbl>
      <w:tblPr>
        <w:tblStyle w:val="45"/>
        <w:tblW w:w="0" w:type="auto"/>
        <w:jc w:val="center"/>
        <w:tblLayout w:type="fixed"/>
        <w:tblCellMar>
          <w:top w:w="0" w:type="dxa"/>
          <w:left w:w="0" w:type="dxa"/>
          <w:bottom w:w="0" w:type="dxa"/>
          <w:right w:w="0" w:type="dxa"/>
        </w:tblCellMar>
      </w:tblPr>
      <w:tblGrid>
        <w:gridCol w:w="1005"/>
        <w:gridCol w:w="2659"/>
        <w:gridCol w:w="3924"/>
        <w:gridCol w:w="2064"/>
      </w:tblGrid>
      <w:tr w14:paraId="7D93E50B">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CB8EDEE">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8BE4623">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EE59E8E">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2F4D6B8">
            <w:pPr>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4B6E0E09">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4A0DB66">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E380853">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434CEEA">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22BE65">
            <w:pPr>
              <w:spacing w:line="360" w:lineRule="auto"/>
              <w:jc w:val="center"/>
              <w:rPr>
                <w:rFonts w:hint="eastAsia" w:ascii="宋体" w:hAnsi="宋体" w:eastAsia="宋体" w:cs="宋体"/>
                <w:color w:val="auto"/>
                <w:kern w:val="0"/>
                <w:sz w:val="21"/>
                <w:szCs w:val="21"/>
                <w:highlight w:val="none"/>
              </w:rPr>
            </w:pPr>
          </w:p>
        </w:tc>
      </w:tr>
      <w:tr w14:paraId="6B79A57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721D3CF">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E582D5">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A132DA1">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9759FAF">
            <w:pPr>
              <w:spacing w:line="360" w:lineRule="auto"/>
              <w:jc w:val="center"/>
              <w:rPr>
                <w:rFonts w:hint="eastAsia" w:ascii="宋体" w:hAnsi="宋体" w:eastAsia="宋体" w:cs="宋体"/>
                <w:color w:val="auto"/>
                <w:kern w:val="0"/>
                <w:sz w:val="21"/>
                <w:szCs w:val="21"/>
                <w:highlight w:val="none"/>
              </w:rPr>
            </w:pPr>
          </w:p>
        </w:tc>
      </w:tr>
      <w:tr w14:paraId="549A9BA9">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5074A0E">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2C4C5DC">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E7AE32">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39B7073">
            <w:pPr>
              <w:spacing w:line="360" w:lineRule="auto"/>
              <w:jc w:val="center"/>
              <w:rPr>
                <w:rFonts w:hint="eastAsia" w:ascii="宋体" w:hAnsi="宋体" w:eastAsia="宋体" w:cs="宋体"/>
                <w:color w:val="auto"/>
                <w:kern w:val="0"/>
                <w:sz w:val="21"/>
                <w:szCs w:val="21"/>
                <w:highlight w:val="none"/>
              </w:rPr>
            </w:pPr>
          </w:p>
        </w:tc>
      </w:tr>
      <w:tr w14:paraId="68ED4921">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FAE459">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16F944E">
            <w:pPr>
              <w:spacing w:line="36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61C1C64">
            <w:pPr>
              <w:spacing w:line="36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C360E59">
            <w:pPr>
              <w:spacing w:line="360" w:lineRule="auto"/>
              <w:jc w:val="center"/>
              <w:rPr>
                <w:rFonts w:hint="eastAsia" w:ascii="宋体" w:hAnsi="宋体" w:eastAsia="宋体" w:cs="宋体"/>
                <w:color w:val="auto"/>
                <w:kern w:val="0"/>
                <w:sz w:val="21"/>
                <w:szCs w:val="21"/>
                <w:highlight w:val="none"/>
              </w:rPr>
            </w:pPr>
          </w:p>
        </w:tc>
      </w:tr>
    </w:tbl>
    <w:p w14:paraId="2873A9F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C5B4DD7">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1.管理关系：是指不具有出资持股关系的其他单位之间存在的管理与被管理关系</w:t>
      </w:r>
      <w:r>
        <w:rPr>
          <w:rFonts w:hint="eastAsia" w:ascii="Times New Roman" w:hAnsi="Times New Roman" w:eastAsia="宋体" w:cs="Times New Roman"/>
          <w:color w:val="auto"/>
          <w:sz w:val="21"/>
          <w:szCs w:val="21"/>
          <w:highlight w:val="none"/>
          <w:lang w:eastAsia="zh-CN"/>
        </w:rPr>
        <w:t>，有</w:t>
      </w:r>
      <w:r>
        <w:rPr>
          <w:rFonts w:hint="default" w:ascii="Times New Roman" w:hAnsi="Times New Roman" w:eastAsia="宋体" w:cs="Times New Roman"/>
          <w:color w:val="auto"/>
          <w:sz w:val="21"/>
          <w:szCs w:val="21"/>
          <w:highlight w:val="none"/>
        </w:rPr>
        <w:t>些上下级关系的事业单位和团体组织。</w:t>
      </w:r>
    </w:p>
    <w:p w14:paraId="0FF5A6D1">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pacing w:val="-6"/>
          <w:sz w:val="21"/>
          <w:szCs w:val="21"/>
          <w:highlight w:val="none"/>
        </w:rPr>
        <w:t>本表所指的管理关系仅限于直接管理关系，不包括间接的管理关系。</w:t>
      </w:r>
    </w:p>
    <w:p w14:paraId="680FA00E">
      <w:pPr>
        <w:snapToGrid w:val="0"/>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3.供应商不存在直接管理关系的，则填“无”。</w:t>
      </w:r>
    </w:p>
    <w:p w14:paraId="11517637">
      <w:pPr>
        <w:snapToGrid w:val="0"/>
        <w:spacing w:line="360" w:lineRule="auto"/>
        <w:jc w:val="left"/>
        <w:rPr>
          <w:rFonts w:hint="eastAsia" w:ascii="宋体" w:hAnsi="宋体" w:eastAsia="宋体" w:cs="宋体"/>
          <w:color w:val="auto"/>
          <w:sz w:val="21"/>
          <w:szCs w:val="21"/>
          <w:highlight w:val="none"/>
        </w:rPr>
      </w:pPr>
    </w:p>
    <w:p w14:paraId="6379C0CD">
      <w:pPr>
        <w:snapToGrid w:val="0"/>
        <w:spacing w:line="360" w:lineRule="auto"/>
        <w:jc w:val="left"/>
        <w:rPr>
          <w:rFonts w:hint="eastAsia" w:ascii="宋体" w:hAnsi="宋体" w:eastAsia="宋体" w:cs="宋体"/>
          <w:color w:val="auto"/>
          <w:sz w:val="21"/>
          <w:szCs w:val="21"/>
          <w:highlight w:val="none"/>
        </w:rPr>
      </w:pPr>
    </w:p>
    <w:p w14:paraId="33DF82B6">
      <w:pPr>
        <w:snapToGrid w:val="0"/>
        <w:spacing w:line="360" w:lineRule="auto"/>
        <w:jc w:val="left"/>
        <w:rPr>
          <w:rFonts w:hint="eastAsia" w:ascii="宋体" w:hAnsi="宋体" w:eastAsia="宋体" w:cs="宋体"/>
          <w:color w:val="auto"/>
          <w:sz w:val="21"/>
          <w:szCs w:val="21"/>
          <w:highlight w:val="none"/>
        </w:rPr>
      </w:pPr>
    </w:p>
    <w:p w14:paraId="19C33814">
      <w:pPr>
        <w:snapToGrid w:val="0"/>
        <w:spacing w:line="360" w:lineRule="auto"/>
        <w:jc w:val="left"/>
        <w:rPr>
          <w:rFonts w:hint="eastAsia" w:ascii="宋体" w:hAnsi="宋体" w:eastAsia="宋体" w:cs="宋体"/>
          <w:color w:val="auto"/>
          <w:sz w:val="21"/>
          <w:szCs w:val="21"/>
          <w:highlight w:val="none"/>
        </w:rPr>
      </w:pPr>
    </w:p>
    <w:p w14:paraId="6869500F">
      <w:pPr>
        <w:snapToGrid w:val="0"/>
        <w:spacing w:before="120" w:beforeLines="50" w:after="50" w:line="360" w:lineRule="auto"/>
        <w:ind w:right="480"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（盖公章）：</w:t>
      </w:r>
    </w:p>
    <w:p w14:paraId="0F94A775">
      <w:pPr>
        <w:snapToGrid w:val="0"/>
        <w:spacing w:before="120" w:beforeLines="50" w:after="50" w:line="360" w:lineRule="auto"/>
        <w:ind w:right="480" w:firstLine="210" w:firstLineChars="1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日期：    年   月   日</w:t>
      </w:r>
    </w:p>
    <w:p w14:paraId="1A127BE2">
      <w:pPr>
        <w:snapToGrid w:val="0"/>
        <w:spacing w:before="50" w:after="120" w:afterLines="50"/>
        <w:jc w:val="left"/>
        <w:rPr>
          <w:rFonts w:hint="eastAsia" w:ascii="宋体" w:hAnsi="宋体" w:eastAsia="宋体" w:cs="宋体"/>
          <w:color w:val="auto"/>
          <w:szCs w:val="21"/>
          <w:highlight w:val="none"/>
        </w:rPr>
      </w:pPr>
    </w:p>
    <w:p w14:paraId="508C66B8">
      <w:pPr>
        <w:snapToGrid w:val="0"/>
        <w:spacing w:before="120" w:beforeLines="50" w:after="50"/>
        <w:jc w:val="left"/>
        <w:rPr>
          <w:rFonts w:hint="eastAsia" w:ascii="宋体" w:hAnsi="宋体" w:eastAsia="宋体" w:cs="宋体"/>
          <w:b/>
          <w:color w:val="auto"/>
          <w:sz w:val="24"/>
          <w:szCs w:val="20"/>
          <w:highlight w:val="none"/>
        </w:rPr>
      </w:pPr>
    </w:p>
    <w:p w14:paraId="6FB2C4D1">
      <w:pPr>
        <w:numPr>
          <w:ilvl w:val="2"/>
          <w:numId w:val="11"/>
        </w:numPr>
        <w:snapToGrid w:val="0"/>
        <w:spacing w:before="120" w:beforeLines="50" w:after="50"/>
        <w:ind w:left="0" w:firstLine="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投标声明</w:t>
      </w:r>
    </w:p>
    <w:p w14:paraId="4B8D70F6">
      <w:pPr>
        <w:snapToGrid w:val="0"/>
        <w:spacing w:before="50" w:after="120" w:afterLines="50"/>
        <w:jc w:val="left"/>
        <w:rPr>
          <w:rFonts w:hint="eastAsia" w:ascii="宋体" w:hAnsi="宋体" w:eastAsia="宋体" w:cs="宋体"/>
          <w:color w:val="auto"/>
          <w:highlight w:val="none"/>
        </w:rPr>
      </w:pPr>
    </w:p>
    <w:p w14:paraId="44A32591">
      <w:pPr>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响应声明</w:t>
      </w:r>
    </w:p>
    <w:p w14:paraId="0E578D9E">
      <w:pPr>
        <w:spacing w:line="360" w:lineRule="auto"/>
        <w:contextualSpacing/>
        <w:rPr>
          <w:rFonts w:hint="eastAsia" w:ascii="宋体" w:hAnsi="宋体" w:eastAsia="宋体" w:cs="宋体"/>
          <w:b/>
          <w:color w:val="auto"/>
          <w:sz w:val="28"/>
          <w:szCs w:val="28"/>
          <w:highlight w:val="none"/>
        </w:rPr>
      </w:pPr>
    </w:p>
    <w:p w14:paraId="7E675DD8">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致：</w:t>
      </w:r>
      <w:r>
        <w:rPr>
          <w:rFonts w:hint="default" w:ascii="Times New Roman" w:hAnsi="Times New Roman" w:eastAsia="宋体" w:cs="Times New Roman"/>
          <w:b w:val="0"/>
          <w:bCs/>
          <w:color w:val="auto"/>
          <w:sz w:val="21"/>
          <w:szCs w:val="21"/>
          <w:highlight w:val="none"/>
          <w:u w:val="single"/>
        </w:rPr>
        <w:t xml:space="preserve">                 </w:t>
      </w:r>
      <w:r>
        <w:rPr>
          <w:rFonts w:hint="default" w:ascii="Times New Roman" w:hAnsi="Times New Roman" w:eastAsia="宋体" w:cs="Times New Roman"/>
          <w:b w:val="0"/>
          <w:bCs/>
          <w:color w:val="auto"/>
          <w:sz w:val="21"/>
          <w:szCs w:val="21"/>
          <w:highlight w:val="none"/>
        </w:rPr>
        <w:t>（采购代理机构名称）</w:t>
      </w:r>
    </w:p>
    <w:p w14:paraId="1A9F506D">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我方愿意参加贵方组织的</w:t>
      </w:r>
      <w:r>
        <w:rPr>
          <w:rFonts w:hint="default" w:ascii="Times New Roman" w:hAnsi="Times New Roman" w:eastAsia="宋体" w:cs="Times New Roman"/>
          <w:b w:val="0"/>
          <w:bCs/>
          <w:color w:val="auto"/>
          <w:sz w:val="21"/>
          <w:szCs w:val="21"/>
          <w:highlight w:val="none"/>
          <w:u w:val="single"/>
        </w:rPr>
        <w:t xml:space="preserve">                   项目名称（项目编号：       ）</w:t>
      </w:r>
      <w:r>
        <w:rPr>
          <w:rFonts w:hint="default" w:ascii="Times New Roman" w:hAnsi="Times New Roman" w:eastAsia="宋体" w:cs="Times New Roman"/>
          <w:b w:val="0"/>
          <w:bCs/>
          <w:color w:val="auto"/>
          <w:sz w:val="21"/>
          <w:szCs w:val="21"/>
          <w:highlight w:val="none"/>
        </w:rPr>
        <w:t>项目的响应，为便于贵方公正、择优地确定供应商，我方就本次响应有关事项郑重声明如下：</w:t>
      </w:r>
    </w:p>
    <w:p w14:paraId="443B8FF5">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1.我方承诺已经具备《中华人民共和国政府采购法》第二十二条中规定的参加政府采购活动的供应商</w:t>
      </w:r>
    </w:p>
    <w:p w14:paraId="4607ED6D">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应当具备的条件：</w:t>
      </w:r>
    </w:p>
    <w:p w14:paraId="1F08D8F8">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（1）具有独立承担民事责任的能力；</w:t>
      </w:r>
    </w:p>
    <w:p w14:paraId="5A1C3DFF">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（2）具有良好的商业信誉和健全的财务会计制度；</w:t>
      </w:r>
    </w:p>
    <w:p w14:paraId="3F831CCD">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（3）具有履行合同所必需的设备和专业技术能力；</w:t>
      </w:r>
    </w:p>
    <w:p w14:paraId="39C490A6">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（4）有依法缴纳税收和社会保障资金的良好记录；</w:t>
      </w:r>
    </w:p>
    <w:p w14:paraId="77A468E1">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（5）参加政府采购活动前三年内，在经营活动中没有重大违法记录；</w:t>
      </w:r>
    </w:p>
    <w:p w14:paraId="54FBAC7E">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（6）法律、行政法规规定的其他条件。</w:t>
      </w:r>
    </w:p>
    <w:p w14:paraId="6CCC37EF">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2. 我方不是采购人的附属机构；不是为本次采购项目提供整体设计、规范编制或</w:t>
      </w:r>
    </w:p>
    <w:p w14:paraId="09DF3C0A">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者项目管理、监理、 检测等服务的供应商；在获知本项目采购信息后，与采购人聘请的为此项目提供咨询服务的公司及其附属机构没有任何联系。</w:t>
      </w:r>
    </w:p>
    <w:p w14:paraId="0E9C3922">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3.经查询，在“信用中国 ”和“ 中国政府采购网 ”网站我方未被列入失信被执行人、重大税收违法案件当事人名单、政府采购严重违法失信行为记录名单。</w:t>
      </w:r>
    </w:p>
    <w:p w14:paraId="66A9A8CC">
      <w:pPr>
        <w:spacing w:line="400" w:lineRule="exact"/>
        <w:contextualSpacing/>
        <w:jc w:val="left"/>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4.以上事项如有虚假或隐瞒，我方愿意承担一切后果，并不再寻求任何旨在减轻或免除法律责任的辩解。</w:t>
      </w:r>
    </w:p>
    <w:p w14:paraId="6AB3AEB4">
      <w:pPr>
        <w:spacing w:line="400" w:lineRule="exact"/>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14:paraId="5D71A1DE">
      <w:pPr>
        <w:spacing w:line="360" w:lineRule="auto"/>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（盖公章）：</w:t>
      </w:r>
      <w:r>
        <w:rPr>
          <w:rFonts w:hint="default" w:ascii="Times New Roman" w:hAnsi="Times New Roman" w:eastAsia="宋体" w:cs="Times New Roman"/>
          <w:color w:val="auto"/>
          <w:sz w:val="21"/>
          <w:szCs w:val="21"/>
          <w:highlight w:val="none"/>
          <w:u w:val="single"/>
        </w:rPr>
        <w:t xml:space="preserve">                </w:t>
      </w:r>
    </w:p>
    <w:p w14:paraId="28A840C2">
      <w:pPr>
        <w:spacing w:line="360" w:lineRule="auto"/>
        <w:ind w:firstLine="4410" w:firstLineChars="2100"/>
        <w:contextualSpacing/>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0F75BF5E">
      <w:pPr>
        <w:spacing w:line="400" w:lineRule="exact"/>
        <w:contextualSpacing/>
        <w:jc w:val="left"/>
        <w:rPr>
          <w:rFonts w:hint="default" w:ascii="Times New Roman" w:hAnsi="Times New Roman" w:eastAsia="宋体" w:cs="Times New Roman"/>
          <w:color w:val="auto"/>
          <w:sz w:val="21"/>
          <w:szCs w:val="21"/>
          <w:highlight w:val="none"/>
        </w:rPr>
      </w:pPr>
    </w:p>
    <w:p w14:paraId="0B632B2B">
      <w:pPr>
        <w:rPr>
          <w:rFonts w:hint="eastAsia" w:ascii="宋体" w:hAnsi="宋体" w:eastAsia="宋体" w:cs="宋体"/>
          <w:b/>
          <w:color w:val="auto"/>
          <w:sz w:val="28"/>
          <w:szCs w:val="28"/>
          <w:highlight w:val="none"/>
        </w:rPr>
      </w:pPr>
      <w:bookmarkStart w:id="127" w:name="_Toc19686838"/>
      <w:r>
        <w:rPr>
          <w:rFonts w:hint="default" w:ascii="Times New Roman" w:hAnsi="Times New Roman" w:eastAsia="宋体" w:cs="Times New Roman"/>
          <w:b/>
          <w:color w:val="auto"/>
          <w:sz w:val="21"/>
          <w:szCs w:val="21"/>
          <w:highlight w:val="none"/>
        </w:rPr>
        <w:br w:type="page"/>
      </w:r>
      <w:r>
        <w:rPr>
          <w:rFonts w:hint="eastAsia" w:ascii="宋体" w:hAnsi="宋体" w:eastAsia="宋体" w:cs="宋体"/>
          <w:b/>
          <w:color w:val="auto"/>
          <w:sz w:val="28"/>
          <w:szCs w:val="28"/>
          <w:highlight w:val="none"/>
        </w:rPr>
        <w:t>四、商务文件格式</w:t>
      </w:r>
      <w:bookmarkEnd w:id="127"/>
    </w:p>
    <w:p w14:paraId="137B8FFF">
      <w:pPr>
        <w:snapToGrid w:val="0"/>
        <w:spacing w:before="120" w:beforeLines="50" w:after="50" w:line="360" w:lineRule="auto"/>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1.商务文件封面格式： </w:t>
      </w:r>
    </w:p>
    <w:p w14:paraId="16EB94B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59724E0E">
      <w:pPr>
        <w:snapToGrid w:val="0"/>
        <w:spacing w:before="120" w:beforeLines="50" w:after="50"/>
        <w:rPr>
          <w:rFonts w:hint="eastAsia" w:ascii="宋体" w:hAnsi="宋体" w:eastAsia="宋体" w:cs="宋体"/>
          <w:color w:val="auto"/>
          <w:sz w:val="24"/>
          <w:szCs w:val="20"/>
          <w:highlight w:val="none"/>
        </w:rPr>
      </w:pPr>
    </w:p>
    <w:p w14:paraId="39D273A3">
      <w:pPr>
        <w:snapToGrid w:val="0"/>
        <w:spacing w:before="120" w:beforeLines="50" w:after="50" w:line="400" w:lineRule="exact"/>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电子响应文件</w:t>
      </w:r>
    </w:p>
    <w:p w14:paraId="07DD5D15">
      <w:pPr>
        <w:snapToGrid w:val="0"/>
        <w:spacing w:before="120" w:beforeLines="50" w:after="50"/>
        <w:rPr>
          <w:rFonts w:hint="eastAsia" w:ascii="宋体" w:hAnsi="宋体" w:eastAsia="宋体" w:cs="宋体"/>
          <w:color w:val="auto"/>
          <w:sz w:val="24"/>
          <w:szCs w:val="20"/>
          <w:highlight w:val="none"/>
        </w:rPr>
      </w:pPr>
    </w:p>
    <w:p w14:paraId="23906AE9">
      <w:pPr>
        <w:snapToGrid w:val="0"/>
        <w:spacing w:before="120" w:beforeLines="50" w:after="50"/>
        <w:rPr>
          <w:rFonts w:hint="eastAsia" w:ascii="宋体" w:hAnsi="宋体" w:eastAsia="宋体" w:cs="宋体"/>
          <w:color w:val="auto"/>
          <w:sz w:val="24"/>
          <w:szCs w:val="20"/>
          <w:highlight w:val="none"/>
        </w:rPr>
      </w:pPr>
    </w:p>
    <w:p w14:paraId="4BF1D53B">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  务  文  件</w:t>
      </w:r>
    </w:p>
    <w:p w14:paraId="492AEB13">
      <w:pPr>
        <w:snapToGrid w:val="0"/>
        <w:spacing w:before="120" w:beforeLines="50" w:after="50"/>
        <w:rPr>
          <w:rFonts w:hint="eastAsia" w:ascii="宋体" w:hAnsi="宋体" w:eastAsia="宋体" w:cs="宋体"/>
          <w:bCs/>
          <w:color w:val="auto"/>
          <w:sz w:val="24"/>
          <w:szCs w:val="20"/>
          <w:highlight w:val="none"/>
        </w:rPr>
      </w:pPr>
    </w:p>
    <w:p w14:paraId="5819A651">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68323EAA">
      <w:pPr>
        <w:snapToGrid w:val="0"/>
        <w:spacing w:before="120" w:beforeLines="50" w:after="50"/>
        <w:ind w:firstLine="540" w:firstLineChars="225"/>
        <w:rPr>
          <w:rFonts w:hint="eastAsia" w:ascii="宋体" w:hAnsi="宋体" w:eastAsia="宋体" w:cs="宋体"/>
          <w:bCs/>
          <w:color w:val="auto"/>
          <w:sz w:val="24"/>
          <w:szCs w:val="20"/>
          <w:highlight w:val="none"/>
        </w:rPr>
      </w:pPr>
    </w:p>
    <w:p w14:paraId="78E2AF84">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414824CB">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507DF315">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名称：</w:t>
      </w:r>
    </w:p>
    <w:p w14:paraId="66E7DED1">
      <w:pPr>
        <w:pStyle w:val="6"/>
        <w:snapToGrid w:val="0"/>
        <w:spacing w:before="50" w:after="50"/>
        <w:ind w:firstLine="540" w:firstLineChars="225"/>
        <w:rPr>
          <w:rFonts w:hint="eastAsia" w:ascii="宋体" w:hAnsi="宋体" w:eastAsia="宋体" w:cs="宋体"/>
          <w:bCs/>
          <w:color w:val="auto"/>
          <w:sz w:val="24"/>
          <w:szCs w:val="24"/>
          <w:highlight w:val="none"/>
        </w:rPr>
      </w:pPr>
    </w:p>
    <w:p w14:paraId="21C0F15E">
      <w:pPr>
        <w:pStyle w:val="6"/>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地址：</w:t>
      </w:r>
    </w:p>
    <w:p w14:paraId="7B4CA419">
      <w:pPr>
        <w:pStyle w:val="6"/>
        <w:snapToGrid w:val="0"/>
        <w:spacing w:before="50" w:after="50"/>
        <w:ind w:firstLine="960" w:firstLineChars="400"/>
        <w:rPr>
          <w:rFonts w:hint="eastAsia" w:ascii="宋体" w:hAnsi="宋体" w:eastAsia="宋体" w:cs="宋体"/>
          <w:bCs/>
          <w:color w:val="auto"/>
          <w:sz w:val="24"/>
          <w:szCs w:val="24"/>
          <w:highlight w:val="none"/>
        </w:rPr>
      </w:pPr>
    </w:p>
    <w:p w14:paraId="2A41C148">
      <w:pPr>
        <w:snapToGrid w:val="0"/>
        <w:spacing w:before="120"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468F82F">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7EF53AF1">
      <w:pPr>
        <w:snapToGrid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 w:val="24"/>
          <w:szCs w:val="20"/>
          <w:highlight w:val="none"/>
        </w:rPr>
        <w:br w:type="page"/>
      </w:r>
      <w:r>
        <w:rPr>
          <w:rFonts w:hint="default" w:ascii="Times New Roman" w:hAnsi="Times New Roman" w:eastAsia="宋体" w:cs="Times New Roman"/>
          <w:b/>
          <w:bCs/>
          <w:color w:val="auto"/>
          <w:sz w:val="24"/>
          <w:highlight w:val="none"/>
        </w:rPr>
        <w:t>2.商务文件目录</w:t>
      </w:r>
    </w:p>
    <w:p w14:paraId="7E37845B">
      <w:pPr>
        <w:snapToGrid w:val="0"/>
        <w:spacing w:before="50" w:after="120" w:afterLines="50" w:line="360" w:lineRule="auto"/>
        <w:ind w:firstLine="48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征集文件</w:t>
      </w:r>
      <w:r>
        <w:rPr>
          <w:rFonts w:hint="eastAsia" w:ascii="宋体" w:hAnsi="宋体" w:eastAsia="宋体" w:cs="宋体"/>
          <w:color w:val="auto"/>
          <w:sz w:val="24"/>
          <w:highlight w:val="none"/>
        </w:rPr>
        <w:t>规定及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提供的材料自行编写目录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部分格式附后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AD592CE">
      <w:pPr>
        <w:snapToGrid w:val="0"/>
        <w:spacing w:before="50" w:after="120" w:afterLines="50"/>
        <w:jc w:val="left"/>
        <w:rPr>
          <w:rFonts w:hint="eastAsia" w:ascii="宋体" w:hAnsi="宋体" w:eastAsia="宋体" w:cs="宋体"/>
          <w:color w:val="auto"/>
          <w:highlight w:val="none"/>
        </w:rPr>
      </w:pPr>
    </w:p>
    <w:p w14:paraId="25D09CB2">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供应商</w:t>
      </w:r>
      <w:r>
        <w:rPr>
          <w:rFonts w:hint="default" w:ascii="Times New Roman" w:hAnsi="Times New Roman" w:eastAsia="宋体" w:cs="Times New Roman"/>
          <w:b/>
          <w:color w:val="auto"/>
          <w:sz w:val="24"/>
          <w:highlight w:val="none"/>
        </w:rPr>
        <w:t>参加本项目无围标串标行为的承诺</w:t>
      </w:r>
    </w:p>
    <w:p w14:paraId="0B1E61F7">
      <w:pPr>
        <w:snapToGrid w:val="0"/>
        <w:spacing w:before="120" w:beforeLines="50" w:after="50"/>
        <w:jc w:val="left"/>
        <w:rPr>
          <w:rFonts w:hint="eastAsia" w:ascii="宋体" w:hAnsi="宋体" w:eastAsia="宋体" w:cs="宋体"/>
          <w:b/>
          <w:color w:val="auto"/>
          <w:sz w:val="24"/>
          <w:highlight w:val="none"/>
        </w:rPr>
      </w:pPr>
    </w:p>
    <w:p w14:paraId="6DA58182">
      <w:pPr>
        <w:snapToGrid w:val="0"/>
        <w:spacing w:before="120" w:beforeLines="50" w:after="50"/>
        <w:ind w:left="420"/>
        <w:jc w:val="center"/>
        <w:rPr>
          <w:rFonts w:hint="eastAsia" w:ascii="宋体" w:hAnsi="宋体" w:eastAsia="宋体" w:cs="宋体"/>
          <w:b/>
          <w:color w:val="auto"/>
          <w:spacing w:val="-17"/>
          <w:sz w:val="32"/>
          <w:szCs w:val="32"/>
          <w:highlight w:val="none"/>
        </w:rPr>
      </w:pPr>
      <w:r>
        <w:rPr>
          <w:rFonts w:hint="eastAsia" w:ascii="宋体" w:hAnsi="宋体" w:eastAsia="宋体" w:cs="宋体"/>
          <w:bCs/>
          <w:color w:val="auto"/>
          <w:spacing w:val="-17"/>
          <w:sz w:val="32"/>
          <w:szCs w:val="32"/>
          <w:highlight w:val="none"/>
          <w:lang w:eastAsia="zh-CN"/>
        </w:rPr>
        <w:t>供应商</w:t>
      </w:r>
      <w:r>
        <w:rPr>
          <w:rFonts w:hint="eastAsia" w:ascii="宋体" w:hAnsi="宋体" w:eastAsia="宋体" w:cs="宋体"/>
          <w:bCs/>
          <w:color w:val="auto"/>
          <w:spacing w:val="-17"/>
          <w:sz w:val="32"/>
          <w:szCs w:val="32"/>
          <w:highlight w:val="none"/>
        </w:rPr>
        <w:t>参加本项目无围标串标行为的承诺函</w:t>
      </w:r>
    </w:p>
    <w:p w14:paraId="6BCC2EE9">
      <w:pPr>
        <w:snapToGrid w:val="0"/>
        <w:spacing w:before="120" w:beforeLines="50" w:after="50"/>
        <w:rPr>
          <w:rFonts w:hint="eastAsia" w:ascii="宋体" w:hAnsi="宋体" w:eastAsia="宋体" w:cs="宋体"/>
          <w:b/>
          <w:color w:val="auto"/>
          <w:sz w:val="24"/>
          <w:highlight w:val="none"/>
        </w:rPr>
      </w:pPr>
    </w:p>
    <w:p w14:paraId="144D6841">
      <w:pPr>
        <w:spacing w:line="400" w:lineRule="exact"/>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14:paraId="4FC765DE">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由同一单位或者个人编制；或者不同供应商报名的 IP 地址一致的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21A46B70">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委托同一单位或者个人办理投标事宜；</w:t>
      </w:r>
    </w:p>
    <w:p w14:paraId="4EDDD43A">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载明的项目管理员为同一个人；</w:t>
      </w:r>
    </w:p>
    <w:p w14:paraId="28B2DA52">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异常一致或者投标报价呈规律性差异；</w:t>
      </w:r>
    </w:p>
    <w:p w14:paraId="473562B4">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相互混装；</w:t>
      </w:r>
    </w:p>
    <w:p w14:paraId="3FEE9CD8">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响应保证金</w:t>
      </w:r>
      <w:r>
        <w:rPr>
          <w:rFonts w:hint="eastAsia" w:ascii="宋体" w:hAnsi="宋体" w:eastAsia="宋体" w:cs="宋体"/>
          <w:color w:val="auto"/>
          <w:sz w:val="21"/>
          <w:szCs w:val="21"/>
          <w:highlight w:val="none"/>
        </w:rPr>
        <w:t>从同一单位或者个人账户转出。</w:t>
      </w:r>
    </w:p>
    <w:p w14:paraId="0DC41AAE">
      <w:pPr>
        <w:spacing w:line="400" w:lineRule="exact"/>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14:paraId="2CA6F6D3">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直接或者间接从</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或者采购代理机构处获得其他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的相关信息并修改其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F426F5F">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或者采购代理机构的授意撤换、修改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14:paraId="5E6C8016">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之间协商报价、技术方案等</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的实质性内容；</w:t>
      </w:r>
    </w:p>
    <w:p w14:paraId="1961D150">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按照该组织要求协同参加政府采购活动；</w:t>
      </w:r>
    </w:p>
    <w:p w14:paraId="789F0B19">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之间事先约定一致抬高或者压低投标报价，或者在</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rPr>
        <w:t>中事先约定轮流以高价位或者低价位中标，或者事先约定由某一特定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中标，然后再参加投标；</w:t>
      </w:r>
    </w:p>
    <w:p w14:paraId="41D28173">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之间商定部分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放弃参加政府采购活动或者放弃中标；</w:t>
      </w:r>
    </w:p>
    <w:p w14:paraId="4A552260">
      <w:pPr>
        <w:spacing w:line="400" w:lineRule="exact"/>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或者采购代理机构之间、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相互之间，为谋求特定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中标或者排斥其他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的其他串通行为。</w:t>
      </w:r>
    </w:p>
    <w:p w14:paraId="4ADC133F">
      <w:pPr>
        <w:spacing w:line="400" w:lineRule="exact"/>
        <w:ind w:firstLine="413" w:firstLineChars="196"/>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14:paraId="492F3F2C">
      <w:pPr>
        <w:pStyle w:val="23"/>
        <w:spacing w:line="400" w:lineRule="exact"/>
        <w:ind w:firstLine="5985" w:firstLineChars="2850"/>
        <w:contextualSpacing/>
        <w:rPr>
          <w:rFonts w:hint="eastAsia" w:ascii="宋体" w:hAnsi="宋体" w:eastAsia="宋体" w:cs="宋体"/>
          <w:color w:val="auto"/>
          <w:sz w:val="21"/>
          <w:szCs w:val="21"/>
          <w:highlight w:val="none"/>
        </w:rPr>
      </w:pPr>
    </w:p>
    <w:p w14:paraId="2ACBCABE">
      <w:pPr>
        <w:pStyle w:val="23"/>
        <w:spacing w:line="400" w:lineRule="exact"/>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名称（公章）</w:t>
      </w:r>
    </w:p>
    <w:p w14:paraId="1086299B">
      <w:pPr>
        <w:pStyle w:val="23"/>
        <w:spacing w:line="40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default" w:ascii="Times New Roman" w:hAnsi="Times New Roman" w:eastAsia="宋体" w:cs="Times New Roman"/>
          <w:color w:val="auto"/>
          <w:sz w:val="21"/>
          <w:szCs w:val="21"/>
          <w:highlight w:val="none"/>
        </w:rPr>
        <w:t>日期：    年   月   日</w:t>
      </w:r>
    </w:p>
    <w:p w14:paraId="3D2C37A6">
      <w:pPr>
        <w:snapToGrid w:val="0"/>
        <w:spacing w:before="120" w:beforeLines="50" w:after="50"/>
        <w:ind w:firstLine="413" w:firstLineChars="196"/>
        <w:jc w:val="left"/>
        <w:rPr>
          <w:rFonts w:hint="eastAsia" w:ascii="宋体" w:hAnsi="宋体" w:eastAsia="宋体" w:cs="宋体"/>
          <w:b/>
          <w:color w:val="auto"/>
          <w:sz w:val="24"/>
          <w:szCs w:val="20"/>
          <w:highlight w:val="none"/>
        </w:rPr>
      </w:pPr>
      <w:r>
        <w:rPr>
          <w:rFonts w:hint="eastAsia" w:ascii="宋体" w:hAnsi="宋体" w:eastAsia="宋体" w:cs="宋体"/>
          <w:b/>
          <w:color w:val="auto"/>
          <w:sz w:val="21"/>
          <w:szCs w:val="21"/>
          <w:highlight w:val="none"/>
        </w:rPr>
        <w:br w:type="page"/>
      </w:r>
      <w:r>
        <w:rPr>
          <w:rFonts w:hint="default" w:ascii="Times New Roman" w:hAnsi="Times New Roman" w:eastAsia="宋体" w:cs="Times New Roman"/>
          <w:b/>
          <w:color w:val="auto"/>
          <w:sz w:val="24"/>
          <w:highlight w:val="none"/>
        </w:rPr>
        <w:t>4.法定代表人身份证明</w:t>
      </w:r>
    </w:p>
    <w:p w14:paraId="313D98D4">
      <w:pPr>
        <w:spacing w:before="240" w:beforeLines="100" w:after="120" w:afterLines="50"/>
        <w:ind w:left="540"/>
        <w:jc w:val="center"/>
        <w:rPr>
          <w:rFonts w:hint="eastAsia" w:ascii="宋体" w:hAnsi="宋体" w:eastAsia="宋体" w:cs="宋体"/>
          <w:b/>
          <w:color w:val="auto"/>
          <w:sz w:val="32"/>
          <w:szCs w:val="32"/>
          <w:highlight w:val="none"/>
        </w:rPr>
      </w:pPr>
    </w:p>
    <w:p w14:paraId="36D5FE60">
      <w:pPr>
        <w:spacing w:before="240" w:beforeLines="100" w:after="120" w:afterLines="50"/>
        <w:ind w:left="54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法定代表人身份证明</w:t>
      </w:r>
    </w:p>
    <w:p w14:paraId="093D8787">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12E1DEF6">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36F99D37">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00559469">
      <w:pPr>
        <w:spacing w:line="500" w:lineRule="exact"/>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F9F50C5">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B076807">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的法定代表人。</w:t>
      </w:r>
    </w:p>
    <w:p w14:paraId="5C4C3980">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2D2435FC">
      <w:pPr>
        <w:spacing w:line="500" w:lineRule="exact"/>
        <w:ind w:left="540"/>
        <w:rPr>
          <w:rFonts w:hint="eastAsia" w:ascii="宋体" w:hAnsi="宋体" w:eastAsia="宋体" w:cs="宋体"/>
          <w:color w:val="auto"/>
          <w:sz w:val="21"/>
          <w:szCs w:val="21"/>
          <w:highlight w:val="none"/>
        </w:rPr>
      </w:pPr>
    </w:p>
    <w:p w14:paraId="1D80D8B1">
      <w:pPr>
        <w:spacing w:line="500" w:lineRule="exact"/>
        <w:ind w:left="540"/>
        <w:rPr>
          <w:rFonts w:hint="eastAsia" w:ascii="宋体" w:hAnsi="宋体" w:eastAsia="宋体" w:cs="宋体"/>
          <w:color w:val="auto"/>
          <w:sz w:val="21"/>
          <w:szCs w:val="21"/>
          <w:highlight w:val="none"/>
        </w:rPr>
      </w:pPr>
    </w:p>
    <w:p w14:paraId="1A354FCF">
      <w:pPr>
        <w:spacing w:line="500" w:lineRule="exact"/>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64BEA8FD">
      <w:pPr>
        <w:spacing w:line="500" w:lineRule="exact"/>
        <w:ind w:left="540"/>
        <w:rPr>
          <w:rFonts w:hint="eastAsia" w:ascii="宋体" w:hAnsi="宋体" w:eastAsia="宋体" w:cs="宋体"/>
          <w:color w:val="auto"/>
          <w:sz w:val="21"/>
          <w:szCs w:val="21"/>
          <w:highlight w:val="none"/>
        </w:rPr>
      </w:pPr>
    </w:p>
    <w:p w14:paraId="2C5EC396">
      <w:pPr>
        <w:spacing w:line="500" w:lineRule="exact"/>
        <w:ind w:left="5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名称（公章）</w:t>
      </w:r>
    </w:p>
    <w:p w14:paraId="4F3B90F0">
      <w:pPr>
        <w:snapToGrid w:val="0"/>
        <w:spacing w:before="120" w:beforeLines="50" w:after="50"/>
        <w:jc w:val="center"/>
        <w:rPr>
          <w:rFonts w:hint="eastAsia" w:ascii="宋体" w:hAnsi="宋体" w:eastAsia="宋体" w:cs="宋体"/>
          <w:b/>
          <w:color w:val="auto"/>
          <w:sz w:val="21"/>
          <w:szCs w:val="21"/>
          <w:highlight w:val="none"/>
        </w:rPr>
      </w:pP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日期：    年   月   日</w:t>
      </w:r>
    </w:p>
    <w:p w14:paraId="72DD7604">
      <w:pPr>
        <w:snapToGrid w:val="0"/>
        <w:spacing w:before="120"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5.授权委托书格式</w:t>
      </w:r>
    </w:p>
    <w:p w14:paraId="1FBA335C">
      <w:pPr>
        <w:snapToGrid w:val="0"/>
        <w:spacing w:before="120" w:beforeLines="50" w:after="50"/>
        <w:jc w:val="center"/>
        <w:rPr>
          <w:rFonts w:hint="eastAsia" w:ascii="宋体" w:hAnsi="宋体" w:eastAsia="宋体" w:cs="宋体"/>
          <w:b/>
          <w:color w:val="auto"/>
          <w:sz w:val="44"/>
          <w:szCs w:val="44"/>
          <w:highlight w:val="none"/>
        </w:rPr>
      </w:pPr>
    </w:p>
    <w:p w14:paraId="1BB6145E">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授权委托书</w:t>
      </w:r>
    </w:p>
    <w:p w14:paraId="35F8C524">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（非联合体投标格式）</w:t>
      </w:r>
    </w:p>
    <w:p w14:paraId="70AD7A42">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（如有委托时）</w:t>
      </w:r>
    </w:p>
    <w:p w14:paraId="280237B5">
      <w:pPr>
        <w:snapToGrid w:val="0"/>
        <w:spacing w:before="120" w:beforeLines="50" w:after="50"/>
        <w:jc w:val="center"/>
        <w:rPr>
          <w:rFonts w:hint="eastAsia" w:ascii="宋体" w:hAnsi="宋体" w:eastAsia="宋体" w:cs="宋体"/>
          <w:b/>
          <w:color w:val="auto"/>
          <w:sz w:val="24"/>
          <w:highlight w:val="none"/>
        </w:rPr>
      </w:pPr>
    </w:p>
    <w:p w14:paraId="39D0C5C1">
      <w:pPr>
        <w:spacing w:line="360" w:lineRule="auto"/>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lang w:eastAsia="zh-CN"/>
        </w:rPr>
        <w:t>征集人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w:t>
      </w:r>
    </w:p>
    <w:p w14:paraId="05B8A0AC">
      <w:pPr>
        <w:spacing w:line="360" w:lineRule="auto"/>
        <w:ind w:firstLine="495" w:firstLineChars="23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名称）的法定代表人，现授权委托</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项目的投标活动，并代表我方全权办理针对上述项目的所有采购程序和环节的具体事务和签署相关文件。</w:t>
      </w:r>
    </w:p>
    <w:p w14:paraId="0A47524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14:paraId="1C48B73E">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14:paraId="69B1B227">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3100EE35">
      <w:pPr>
        <w:spacing w:line="36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14:paraId="43D59E1A">
      <w:pPr>
        <w:spacing w:line="360" w:lineRule="auto"/>
        <w:contextualSpacing/>
        <w:rPr>
          <w:rFonts w:hint="eastAsia" w:ascii="宋体" w:hAnsi="宋体" w:eastAsia="宋体" w:cs="宋体"/>
          <w:color w:val="auto"/>
          <w:sz w:val="21"/>
          <w:szCs w:val="21"/>
          <w:highlight w:val="none"/>
        </w:rPr>
      </w:pPr>
    </w:p>
    <w:p w14:paraId="057D0833">
      <w:pPr>
        <w:spacing w:line="36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法定代表人（签字或者盖章）：</w:t>
      </w:r>
      <w:r>
        <w:rPr>
          <w:rFonts w:hint="eastAsia" w:ascii="宋体" w:hAnsi="宋体" w:eastAsia="宋体" w:cs="宋体"/>
          <w:color w:val="auto"/>
          <w:sz w:val="21"/>
          <w:szCs w:val="21"/>
          <w:highlight w:val="none"/>
          <w:u w:val="single"/>
        </w:rPr>
        <w:t xml:space="preserve">              </w:t>
      </w:r>
    </w:p>
    <w:p w14:paraId="08F634DD">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53B2422">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（盖公章）：</w:t>
      </w:r>
    </w:p>
    <w:p w14:paraId="283BB401">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日期：    年   月   日</w:t>
      </w:r>
    </w:p>
    <w:p w14:paraId="032DF6FF">
      <w:pPr>
        <w:spacing w:line="360" w:lineRule="auto"/>
        <w:contextualSpacing/>
        <w:rPr>
          <w:rFonts w:hint="eastAsia" w:ascii="宋体" w:hAnsi="宋体" w:eastAsia="宋体" w:cs="宋体"/>
          <w:color w:val="auto"/>
          <w:sz w:val="21"/>
          <w:szCs w:val="21"/>
          <w:highlight w:val="none"/>
        </w:rPr>
      </w:pPr>
    </w:p>
    <w:p w14:paraId="5D0A3B4F">
      <w:pPr>
        <w:spacing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bookmarkStart w:id="128" w:name="_Hlk65852305"/>
    </w:p>
    <w:p w14:paraId="0F87DD6A">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1.法定代表人和委托代理人必须在授权委托书上亲笔签名，不得使用印章、签名章或者其他电子制版签名代替，否则作无效响应处理；</w:t>
      </w:r>
    </w:p>
    <w:p w14:paraId="486ED67C">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2.供应商为其他组织时，本征集文件规定的法定代表人指负责人。本征集文件所称负责人是指参加响应的其他组织营业执照上的负责人。</w:t>
      </w:r>
    </w:p>
    <w:bookmarkEnd w:id="128"/>
    <w:p w14:paraId="6E11571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01830DA">
      <w:pPr>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highlight w:val="none"/>
        </w:rPr>
        <w:t>6.商务要求偏离表格式</w:t>
      </w:r>
    </w:p>
    <w:p w14:paraId="2AEA7C9C">
      <w:pPr>
        <w:snapToGrid w:val="0"/>
        <w:spacing w:before="50"/>
        <w:jc w:val="left"/>
        <w:rPr>
          <w:rFonts w:hint="eastAsia" w:ascii="宋体" w:hAnsi="宋体" w:eastAsia="宋体" w:cs="宋体"/>
          <w:color w:val="auto"/>
          <w:sz w:val="24"/>
          <w:highlight w:val="none"/>
          <w:u w:val="single"/>
        </w:rPr>
      </w:pPr>
    </w:p>
    <w:p w14:paraId="248CDD95">
      <w:pPr>
        <w:keepNext w:val="0"/>
        <w:keepLines w:val="0"/>
        <w:pageBreakBefore w:val="0"/>
        <w:widowControl w:val="0"/>
        <w:kinsoku/>
        <w:wordWrap/>
        <w:overflowPunct/>
        <w:topLinePunct w:val="0"/>
        <w:autoSpaceDE/>
        <w:autoSpaceDN/>
        <w:bidi w:val="0"/>
        <w:adjustRightInd/>
        <w:snapToGrid w:val="0"/>
        <w:spacing w:before="50" w:line="360" w:lineRule="auto"/>
        <w:ind w:firstLine="420" w:firstLineChars="200"/>
        <w:jc w:val="left"/>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none"/>
        </w:rPr>
        <w:t>请逐条对应本项目征集文件第二章“服务需求一览表 ”中“商务条款 ”的要求，详细填写相应的具体内容。“偏离说明 ”一栏应当选择“正偏离 ”、“负偏离 ”或“无偏离 ”进行填写。</w:t>
      </w: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159"/>
        <w:gridCol w:w="3057"/>
        <w:gridCol w:w="1915"/>
      </w:tblGrid>
      <w:tr w14:paraId="4CE11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4D49C612">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2159" w:type="dxa"/>
            <w:tcBorders>
              <w:top w:val="single" w:color="auto" w:sz="4" w:space="0"/>
              <w:left w:val="single" w:color="auto" w:sz="4" w:space="0"/>
              <w:bottom w:val="single" w:color="auto" w:sz="4" w:space="0"/>
              <w:right w:val="single" w:color="auto" w:sz="4" w:space="0"/>
            </w:tcBorders>
            <w:noWrap w:val="0"/>
            <w:vAlign w:val="top"/>
          </w:tcPr>
          <w:p w14:paraId="15A0BB23">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商务要求</w:t>
            </w:r>
          </w:p>
        </w:tc>
        <w:tc>
          <w:tcPr>
            <w:tcW w:w="3057" w:type="dxa"/>
            <w:tcBorders>
              <w:top w:val="single" w:color="auto" w:sz="4" w:space="0"/>
              <w:left w:val="single" w:color="auto" w:sz="4" w:space="0"/>
              <w:bottom w:val="single" w:color="auto" w:sz="4" w:space="0"/>
              <w:right w:val="single" w:color="auto" w:sz="4" w:space="0"/>
            </w:tcBorders>
            <w:noWrap w:val="0"/>
            <w:vAlign w:val="top"/>
          </w:tcPr>
          <w:p w14:paraId="7C967A87">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响应文件承诺的商务条款</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F71858A">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偏离说明</w:t>
            </w:r>
          </w:p>
        </w:tc>
      </w:tr>
      <w:tr w14:paraId="16CD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8251B4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466235B5">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300C09C9">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3CE2107D">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178E0272">
            <w:pPr>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57" w:type="dxa"/>
            <w:tcBorders>
              <w:top w:val="single" w:color="auto" w:sz="4" w:space="0"/>
              <w:left w:val="single" w:color="auto" w:sz="4" w:space="0"/>
              <w:bottom w:val="single" w:color="auto" w:sz="4" w:space="0"/>
              <w:right w:val="single" w:color="auto" w:sz="4" w:space="0"/>
            </w:tcBorders>
            <w:noWrap w:val="0"/>
            <w:vAlign w:val="top"/>
          </w:tcPr>
          <w:p w14:paraId="12105B38">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6BEFE69E">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6838AA0E">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7976F9EC">
            <w:pPr>
              <w:snapToGrid w:val="0"/>
              <w:spacing w:before="120" w:beforeLines="5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FB414DA">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正偏离或无偏离</w:t>
            </w:r>
          </w:p>
        </w:tc>
      </w:tr>
      <w:tr w14:paraId="657DD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03CC25C9">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68955A66">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43E729D6">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0D2294EB">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35AA600E">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3057" w:type="dxa"/>
            <w:tcBorders>
              <w:top w:val="single" w:color="auto" w:sz="4" w:space="0"/>
              <w:left w:val="single" w:color="auto" w:sz="4" w:space="0"/>
              <w:bottom w:val="single" w:color="auto" w:sz="4" w:space="0"/>
              <w:right w:val="single" w:color="auto" w:sz="4" w:space="0"/>
            </w:tcBorders>
            <w:noWrap w:val="0"/>
            <w:vAlign w:val="top"/>
          </w:tcPr>
          <w:p w14:paraId="180E4DA7">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w:t>
            </w:r>
          </w:p>
          <w:p w14:paraId="11714F30">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w:t>
            </w:r>
          </w:p>
          <w:p w14:paraId="7DC2C2B7">
            <w:pPr>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w:t>
            </w:r>
          </w:p>
          <w:p w14:paraId="6B8FBAFF">
            <w:pPr>
              <w:snapToGrid w:val="0"/>
              <w:spacing w:before="120" w:beforeLines="50"/>
              <w:ind w:left="43"/>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BC06410">
            <w:pPr>
              <w:snapToGrid w:val="0"/>
              <w:spacing w:before="120" w:beforeLines="50"/>
              <w:ind w:left="43"/>
              <w:jc w:val="center"/>
              <w:rPr>
                <w:rFonts w:hint="default" w:ascii="Times New Roman" w:hAnsi="Times New Roman" w:eastAsia="宋体" w:cs="Times New Roman"/>
                <w:color w:val="auto"/>
                <w:sz w:val="21"/>
                <w:szCs w:val="21"/>
                <w:highlight w:val="none"/>
              </w:rPr>
            </w:pPr>
          </w:p>
        </w:tc>
      </w:tr>
      <w:tr w14:paraId="37241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664B3FB1">
            <w:pPr>
              <w:snapToGrid w:val="0"/>
              <w:spacing w:before="120" w:beforeLine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159" w:type="dxa"/>
            <w:tcBorders>
              <w:top w:val="single" w:color="auto" w:sz="4" w:space="0"/>
              <w:left w:val="single" w:color="auto" w:sz="4" w:space="0"/>
              <w:bottom w:val="single" w:color="auto" w:sz="4" w:space="0"/>
              <w:right w:val="single" w:color="auto" w:sz="4" w:space="0"/>
            </w:tcBorders>
            <w:noWrap w:val="0"/>
            <w:vAlign w:val="top"/>
          </w:tcPr>
          <w:p w14:paraId="5BF089F0">
            <w:pPr>
              <w:snapToGrid w:val="0"/>
              <w:spacing w:before="120" w:beforeLines="50"/>
              <w:jc w:val="center"/>
              <w:rPr>
                <w:rFonts w:hint="default" w:ascii="Times New Roman" w:hAnsi="Times New Roman" w:eastAsia="宋体" w:cs="Times New Roman"/>
                <w:color w:val="auto"/>
                <w:sz w:val="21"/>
                <w:szCs w:val="21"/>
                <w:highlight w:val="none"/>
              </w:rPr>
            </w:pPr>
          </w:p>
        </w:tc>
        <w:tc>
          <w:tcPr>
            <w:tcW w:w="3057" w:type="dxa"/>
            <w:tcBorders>
              <w:top w:val="single" w:color="auto" w:sz="4" w:space="0"/>
              <w:left w:val="single" w:color="auto" w:sz="4" w:space="0"/>
              <w:bottom w:val="single" w:color="auto" w:sz="4" w:space="0"/>
              <w:right w:val="single" w:color="auto" w:sz="4" w:space="0"/>
            </w:tcBorders>
            <w:noWrap w:val="0"/>
            <w:vAlign w:val="top"/>
          </w:tcPr>
          <w:p w14:paraId="4C8C1B5F">
            <w:pPr>
              <w:snapToGrid w:val="0"/>
              <w:spacing w:before="120" w:beforeLines="50"/>
              <w:jc w:val="center"/>
              <w:rPr>
                <w:rFonts w:hint="default" w:ascii="Times New Roman" w:hAnsi="Times New Roman" w:eastAsia="宋体" w:cs="Times New Roman"/>
                <w:color w:val="auto"/>
                <w:sz w:val="21"/>
                <w:szCs w:val="21"/>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03D6A6ED">
            <w:pPr>
              <w:snapToGrid w:val="0"/>
              <w:spacing w:before="120" w:beforeLines="50"/>
              <w:jc w:val="center"/>
              <w:rPr>
                <w:rFonts w:hint="default" w:ascii="Times New Roman" w:hAnsi="Times New Roman" w:eastAsia="宋体" w:cs="Times New Roman"/>
                <w:color w:val="auto"/>
                <w:sz w:val="21"/>
                <w:szCs w:val="21"/>
                <w:highlight w:val="none"/>
              </w:rPr>
            </w:pPr>
          </w:p>
        </w:tc>
      </w:tr>
    </w:tbl>
    <w:p w14:paraId="70F4C2B0">
      <w:pPr>
        <w:pStyle w:val="1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w:t>
      </w:r>
    </w:p>
    <w:p w14:paraId="59D8EFE1">
      <w:pPr>
        <w:pStyle w:val="18"/>
        <w:spacing w:line="52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说明：应对照</w:t>
      </w:r>
      <w:r>
        <w:rPr>
          <w:rFonts w:hint="default" w:ascii="Times New Roman" w:hAnsi="Times New Roman" w:eastAsia="宋体" w:cs="Times New Roman"/>
          <w:color w:val="auto"/>
          <w:sz w:val="21"/>
          <w:szCs w:val="21"/>
          <w:highlight w:val="none"/>
          <w:lang w:eastAsia="zh-CN"/>
        </w:rPr>
        <w:t>征集文件</w:t>
      </w:r>
      <w:r>
        <w:rPr>
          <w:rFonts w:hint="default" w:ascii="Times New Roman" w:hAnsi="Times New Roman" w:eastAsia="宋体" w:cs="Times New Roman"/>
          <w:color w:val="auto"/>
          <w:sz w:val="21"/>
          <w:szCs w:val="21"/>
          <w:highlight w:val="none"/>
        </w:rPr>
        <w:t>“第二章 采购需求”中的商务要求逐条明确的响应，并作出偏离说明。</w:t>
      </w:r>
    </w:p>
    <w:p w14:paraId="6187D5F0">
      <w:pPr>
        <w:pStyle w:val="16"/>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r>
        <w:rPr>
          <w:rFonts w:hint="default" w:ascii="Times New Roman" w:hAnsi="Times New Roman" w:eastAsia="宋体" w:cs="Times New Roman"/>
          <w:b w:val="0"/>
          <w:bCs w:val="0"/>
          <w:color w:val="auto"/>
          <w:sz w:val="21"/>
          <w:szCs w:val="21"/>
          <w:highlight w:val="none"/>
          <w:lang w:eastAsia="zh-CN"/>
        </w:rPr>
        <w:t>供应商</w:t>
      </w:r>
      <w:r>
        <w:rPr>
          <w:rFonts w:hint="default" w:ascii="Times New Roman" w:hAnsi="Times New Roman" w:eastAsia="宋体" w:cs="Times New Roman"/>
          <w:b w:val="0"/>
          <w:bCs w:val="0"/>
          <w:color w:val="auto"/>
          <w:sz w:val="21"/>
          <w:szCs w:val="21"/>
          <w:highlight w:val="none"/>
        </w:rPr>
        <w:t>应根据自身的承诺，对照</w:t>
      </w:r>
      <w:r>
        <w:rPr>
          <w:rFonts w:hint="default" w:ascii="Times New Roman" w:hAnsi="Times New Roman" w:eastAsia="宋体" w:cs="Times New Roman"/>
          <w:b w:val="0"/>
          <w:bCs w:val="0"/>
          <w:color w:val="auto"/>
          <w:sz w:val="21"/>
          <w:szCs w:val="21"/>
          <w:highlight w:val="none"/>
          <w:lang w:eastAsia="zh-CN"/>
        </w:rPr>
        <w:t>征集文件</w:t>
      </w:r>
      <w:r>
        <w:rPr>
          <w:rFonts w:hint="default" w:ascii="Times New Roman" w:hAnsi="Times New Roman" w:eastAsia="宋体" w:cs="Times New Roman"/>
          <w:b w:val="0"/>
          <w:bCs w:val="0"/>
          <w:color w:val="auto"/>
          <w:sz w:val="21"/>
          <w:szCs w:val="21"/>
          <w:highlight w:val="none"/>
        </w:rPr>
        <w:t>要求在“偏离说明”中注明“</w:t>
      </w:r>
      <w:r>
        <w:rPr>
          <w:rFonts w:hint="default" w:ascii="Times New Roman" w:hAnsi="Times New Roman" w:eastAsia="宋体" w:cs="Times New Roman"/>
          <w:color w:val="auto"/>
          <w:sz w:val="21"/>
          <w:szCs w:val="21"/>
          <w:highlight w:val="none"/>
        </w:rPr>
        <w:t>正偏离</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color w:val="auto"/>
          <w:sz w:val="21"/>
          <w:szCs w:val="21"/>
          <w:highlight w:val="none"/>
        </w:rPr>
        <w:t>负偏离</w:t>
      </w:r>
      <w:r>
        <w:rPr>
          <w:rFonts w:hint="default" w:ascii="Times New Roman" w:hAnsi="Times New Roman" w:eastAsia="宋体" w:cs="Times New Roman"/>
          <w:b w:val="0"/>
          <w:bCs w:val="0"/>
          <w:color w:val="auto"/>
          <w:sz w:val="21"/>
          <w:szCs w:val="21"/>
          <w:highlight w:val="none"/>
        </w:rPr>
        <w:t>”或者“</w:t>
      </w:r>
      <w:r>
        <w:rPr>
          <w:rFonts w:hint="default" w:ascii="Times New Roman" w:hAnsi="Times New Roman" w:eastAsia="宋体" w:cs="Times New Roman"/>
          <w:color w:val="auto"/>
          <w:sz w:val="21"/>
          <w:szCs w:val="21"/>
          <w:highlight w:val="none"/>
        </w:rPr>
        <w:t>无偏离</w:t>
      </w:r>
      <w:r>
        <w:rPr>
          <w:rFonts w:hint="default" w:ascii="Times New Roman" w:hAnsi="Times New Roman" w:eastAsia="宋体" w:cs="Times New Roman"/>
          <w:b w:val="0"/>
          <w:bCs w:val="0"/>
          <w:color w:val="auto"/>
          <w:sz w:val="21"/>
          <w:szCs w:val="21"/>
          <w:highlight w:val="none"/>
        </w:rPr>
        <w:t>”。既不属于“</w:t>
      </w:r>
      <w:r>
        <w:rPr>
          <w:rFonts w:hint="default" w:ascii="Times New Roman" w:hAnsi="Times New Roman" w:eastAsia="宋体" w:cs="Times New Roman"/>
          <w:color w:val="auto"/>
          <w:sz w:val="21"/>
          <w:szCs w:val="21"/>
          <w:highlight w:val="none"/>
        </w:rPr>
        <w:t>正偏离</w:t>
      </w:r>
      <w:r>
        <w:rPr>
          <w:rFonts w:hint="default" w:ascii="Times New Roman" w:hAnsi="Times New Roman" w:eastAsia="宋体" w:cs="Times New Roman"/>
          <w:b w:val="0"/>
          <w:bCs w:val="0"/>
          <w:color w:val="auto"/>
          <w:sz w:val="21"/>
          <w:szCs w:val="21"/>
          <w:highlight w:val="none"/>
        </w:rPr>
        <w:t>”也不属于“</w:t>
      </w:r>
      <w:r>
        <w:rPr>
          <w:rFonts w:hint="default" w:ascii="Times New Roman" w:hAnsi="Times New Roman" w:eastAsia="宋体" w:cs="Times New Roman"/>
          <w:color w:val="auto"/>
          <w:sz w:val="21"/>
          <w:szCs w:val="21"/>
          <w:highlight w:val="none"/>
        </w:rPr>
        <w:t>负偏离</w:t>
      </w:r>
      <w:r>
        <w:rPr>
          <w:rFonts w:hint="default" w:ascii="Times New Roman" w:hAnsi="Times New Roman" w:eastAsia="宋体" w:cs="Times New Roman"/>
          <w:b w:val="0"/>
          <w:bCs w:val="0"/>
          <w:color w:val="auto"/>
          <w:sz w:val="21"/>
          <w:szCs w:val="21"/>
          <w:highlight w:val="none"/>
        </w:rPr>
        <w:t>”即为“</w:t>
      </w:r>
      <w:r>
        <w:rPr>
          <w:rFonts w:hint="default" w:ascii="Times New Roman" w:hAnsi="Times New Roman" w:eastAsia="宋体" w:cs="Times New Roman"/>
          <w:color w:val="auto"/>
          <w:sz w:val="21"/>
          <w:szCs w:val="21"/>
          <w:highlight w:val="none"/>
        </w:rPr>
        <w:t>无偏离</w:t>
      </w:r>
      <w:r>
        <w:rPr>
          <w:rFonts w:hint="default" w:ascii="Times New Roman" w:hAnsi="Times New Roman" w:eastAsia="宋体" w:cs="Times New Roman"/>
          <w:b w:val="0"/>
          <w:bCs w:val="0"/>
          <w:color w:val="auto"/>
          <w:sz w:val="21"/>
          <w:szCs w:val="21"/>
          <w:highlight w:val="none"/>
        </w:rPr>
        <w:t>”。</w:t>
      </w:r>
    </w:p>
    <w:p w14:paraId="6220E060">
      <w:pPr>
        <w:pStyle w:val="16"/>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3.如果征集文件需求为小于或大于某个数值标准时，响应文件承诺不得直接复制征集文件需求，响应文件承诺内容应当写明响应货物具体参数或商务响应承诺的具体数值，否则按响应无效处理。</w:t>
      </w:r>
    </w:p>
    <w:p w14:paraId="5C7897CA">
      <w:pPr>
        <w:pStyle w:val="16"/>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4.当响应文件的商务内容低于征集文件要求时，供应商应当如实写明“负偏离 ”，否则视为虚假应标。</w:t>
      </w:r>
    </w:p>
    <w:p w14:paraId="51D39E26">
      <w:pPr>
        <w:snapToGrid w:val="0"/>
        <w:spacing w:before="50" w:after="50"/>
        <w:rPr>
          <w:rFonts w:hint="default" w:ascii="Times New Roman" w:hAnsi="Times New Roman" w:eastAsia="宋体" w:cs="Times New Roman"/>
          <w:color w:val="auto"/>
          <w:sz w:val="21"/>
          <w:szCs w:val="21"/>
          <w:highlight w:val="none"/>
        </w:rPr>
      </w:pPr>
    </w:p>
    <w:p w14:paraId="7130CBD1">
      <w:pPr>
        <w:snapToGrid w:val="0"/>
        <w:spacing w:before="50" w:after="50"/>
        <w:rPr>
          <w:rFonts w:hint="default" w:ascii="Times New Roman" w:hAnsi="Times New Roman" w:eastAsia="宋体" w:cs="Times New Roman"/>
          <w:color w:val="auto"/>
          <w:sz w:val="21"/>
          <w:szCs w:val="21"/>
          <w:highlight w:val="none"/>
        </w:rPr>
      </w:pPr>
    </w:p>
    <w:p w14:paraId="535866F1">
      <w:pPr>
        <w:snapToGrid w:val="0"/>
        <w:spacing w:before="120" w:beforeLines="50"/>
        <w:rPr>
          <w:rFonts w:hint="default" w:ascii="Times New Roman" w:hAnsi="Times New Roman" w:eastAsia="宋体" w:cs="Times New Roman"/>
          <w:color w:val="auto"/>
          <w:spacing w:val="20"/>
          <w:sz w:val="21"/>
          <w:szCs w:val="21"/>
          <w:highlight w:val="none"/>
        </w:rPr>
      </w:pPr>
      <w:r>
        <w:rPr>
          <w:rFonts w:hint="default" w:ascii="Times New Roman" w:hAnsi="Times New Roman" w:eastAsia="宋体" w:cs="Times New Roman"/>
          <w:color w:val="auto"/>
          <w:spacing w:val="20"/>
          <w:sz w:val="21"/>
          <w:szCs w:val="21"/>
          <w:highlight w:val="none"/>
          <w:lang w:eastAsia="zh-CN"/>
        </w:rPr>
        <w:t>供应商</w:t>
      </w:r>
      <w:r>
        <w:rPr>
          <w:rFonts w:hint="default" w:ascii="Times New Roman" w:hAnsi="Times New Roman" w:eastAsia="宋体" w:cs="Times New Roman"/>
          <w:color w:val="auto"/>
          <w:spacing w:val="20"/>
          <w:sz w:val="21"/>
          <w:szCs w:val="21"/>
          <w:highlight w:val="none"/>
        </w:rPr>
        <w:t>盖公章：</w:t>
      </w:r>
      <w:r>
        <w:rPr>
          <w:rFonts w:hint="default" w:ascii="Times New Roman" w:hAnsi="Times New Roman" w:eastAsia="宋体" w:cs="Times New Roman"/>
          <w:color w:val="auto"/>
          <w:spacing w:val="20"/>
          <w:sz w:val="21"/>
          <w:szCs w:val="21"/>
          <w:highlight w:val="none"/>
          <w:u w:val="single"/>
        </w:rPr>
        <w:t xml:space="preserve">            </w:t>
      </w:r>
      <w:r>
        <w:rPr>
          <w:rFonts w:hint="default" w:ascii="Times New Roman" w:hAnsi="Times New Roman" w:eastAsia="宋体" w:cs="Times New Roman"/>
          <w:color w:val="auto"/>
          <w:spacing w:val="20"/>
          <w:sz w:val="21"/>
          <w:szCs w:val="21"/>
          <w:highlight w:val="none"/>
        </w:rPr>
        <w:t xml:space="preserve">   </w:t>
      </w:r>
    </w:p>
    <w:p w14:paraId="6D040A4C">
      <w:pPr>
        <w:snapToGrid w:val="0"/>
        <w:spacing w:before="120" w:beforeLines="50"/>
        <w:rPr>
          <w:rFonts w:hint="eastAsia" w:ascii="宋体" w:hAnsi="宋体" w:eastAsia="宋体" w:cs="宋体"/>
          <w:color w:val="auto"/>
          <w:sz w:val="24"/>
          <w:szCs w:val="20"/>
          <w:highlight w:val="none"/>
        </w:rPr>
      </w:pPr>
      <w:r>
        <w:rPr>
          <w:rFonts w:hint="default" w:ascii="Times New Roman" w:hAnsi="Times New Roman" w:eastAsia="宋体" w:cs="Times New Roman"/>
          <w:color w:val="auto"/>
          <w:sz w:val="21"/>
          <w:szCs w:val="21"/>
          <w:highlight w:val="none"/>
        </w:rPr>
        <w:t>日期：    年   月   日</w:t>
      </w:r>
    </w:p>
    <w:p w14:paraId="6383D810">
      <w:pPr>
        <w:snapToGrid w:val="0"/>
        <w:spacing w:before="120" w:beforeLines="50" w:after="50"/>
        <w:jc w:val="left"/>
        <w:rPr>
          <w:rFonts w:hint="eastAsia" w:ascii="宋体" w:hAnsi="宋体" w:eastAsia="宋体" w:cs="宋体"/>
          <w:color w:val="auto"/>
          <w:sz w:val="24"/>
          <w:szCs w:val="20"/>
          <w:highlight w:val="none"/>
        </w:rPr>
        <w:sectPr>
          <w:footerReference r:id="rId14" w:type="first"/>
          <w:headerReference r:id="rId11" w:type="default"/>
          <w:footerReference r:id="rId12" w:type="default"/>
          <w:footerReference r:id="rId13" w:type="even"/>
          <w:pgSz w:w="11906" w:h="16838"/>
          <w:pgMar w:top="1440" w:right="1797" w:bottom="1440" w:left="1797" w:header="851" w:footer="992" w:gutter="0"/>
          <w:pgNumType w:fmt="decimal"/>
          <w:cols w:space="720" w:num="1"/>
          <w:docGrid w:linePitch="312" w:charSpace="0"/>
        </w:sectPr>
      </w:pPr>
    </w:p>
    <w:p w14:paraId="34173B6B">
      <w:pPr>
        <w:snapToGrid w:val="0"/>
        <w:spacing w:before="120" w:beforeLines="50" w:after="5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w:t>
      </w:r>
      <w:r>
        <w:rPr>
          <w:rFonts w:hint="default" w:ascii="Times New Roman" w:hAnsi="Times New Roman" w:eastAsia="宋体" w:cs="Times New Roman"/>
          <w:b/>
          <w:color w:val="auto"/>
          <w:sz w:val="24"/>
          <w:highlight w:val="none"/>
          <w:lang w:eastAsia="zh-CN"/>
        </w:rPr>
        <w:t>供应商</w:t>
      </w:r>
      <w:r>
        <w:rPr>
          <w:rFonts w:hint="default" w:ascii="Times New Roman" w:hAnsi="Times New Roman" w:eastAsia="宋体" w:cs="Times New Roman"/>
          <w:b/>
          <w:color w:val="auto"/>
          <w:sz w:val="24"/>
          <w:highlight w:val="none"/>
        </w:rPr>
        <w:t>业绩证明材料</w:t>
      </w:r>
    </w:p>
    <w:p w14:paraId="0AF6B623">
      <w:pPr>
        <w:pStyle w:val="33"/>
        <w:snapToGrid w:val="0"/>
        <w:ind w:left="480" w:hanging="480"/>
        <w:rPr>
          <w:rFonts w:hint="eastAsia" w:ascii="宋体" w:hAnsi="宋体" w:eastAsia="宋体" w:cs="宋体"/>
          <w:color w:val="auto"/>
          <w:sz w:val="21"/>
          <w:szCs w:val="21"/>
          <w:highlight w:val="none"/>
        </w:rPr>
      </w:pPr>
    </w:p>
    <w:p w14:paraId="0F905B83">
      <w:pPr>
        <w:pStyle w:val="33"/>
        <w:snapToGrid w:val="0"/>
        <w:ind w:left="480" w:hanging="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业绩情况一览表格式：</w:t>
      </w:r>
    </w:p>
    <w:tbl>
      <w:tblPr>
        <w:tblStyle w:val="45"/>
        <w:tblW w:w="509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6"/>
        <w:gridCol w:w="1164"/>
        <w:gridCol w:w="1370"/>
        <w:gridCol w:w="816"/>
        <w:gridCol w:w="590"/>
        <w:gridCol w:w="1018"/>
        <w:gridCol w:w="840"/>
        <w:gridCol w:w="1032"/>
        <w:gridCol w:w="1260"/>
      </w:tblGrid>
      <w:tr w14:paraId="23311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trPr>
        <w:tc>
          <w:tcPr>
            <w:tcW w:w="343" w:type="pct"/>
            <w:tcBorders>
              <w:top w:val="single" w:color="auto" w:sz="4" w:space="0"/>
              <w:left w:val="single" w:color="auto" w:sz="4" w:space="0"/>
              <w:bottom w:val="single" w:color="auto" w:sz="4" w:space="0"/>
              <w:right w:val="single" w:color="auto" w:sz="4" w:space="0"/>
            </w:tcBorders>
            <w:noWrap w:val="0"/>
            <w:vAlign w:val="center"/>
          </w:tcPr>
          <w:p w14:paraId="09BB4F7D">
            <w:pPr>
              <w:snapToGrid w:val="0"/>
              <w:spacing w:line="2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序号</w:t>
            </w:r>
          </w:p>
        </w:tc>
        <w:tc>
          <w:tcPr>
            <w:tcW w:w="670" w:type="pct"/>
            <w:tcBorders>
              <w:top w:val="single" w:color="auto" w:sz="4" w:space="0"/>
              <w:left w:val="single" w:color="auto" w:sz="4" w:space="0"/>
              <w:bottom w:val="single" w:color="auto" w:sz="4" w:space="0"/>
              <w:right w:val="single" w:color="auto" w:sz="4" w:space="0"/>
            </w:tcBorders>
            <w:noWrap w:val="0"/>
            <w:vAlign w:val="center"/>
          </w:tcPr>
          <w:p w14:paraId="27118308">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委托单位（财政、审计部门）</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D0586CE">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项目类型（土建、水利、交通、市政...）</w:t>
            </w:r>
          </w:p>
        </w:tc>
        <w:tc>
          <w:tcPr>
            <w:tcW w:w="469" w:type="pct"/>
            <w:tcBorders>
              <w:top w:val="single" w:color="auto" w:sz="4" w:space="0"/>
              <w:left w:val="single" w:color="auto" w:sz="4" w:space="0"/>
              <w:right w:val="single" w:color="auto" w:sz="4" w:space="0"/>
            </w:tcBorders>
            <w:noWrap w:val="0"/>
            <w:vAlign w:val="center"/>
          </w:tcPr>
          <w:p w14:paraId="3A08B899">
            <w:pPr>
              <w:snapToGrid w:val="0"/>
              <w:spacing w:line="24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项目建设单位名称</w:t>
            </w:r>
          </w:p>
        </w:tc>
        <w:tc>
          <w:tcPr>
            <w:tcW w:w="339" w:type="pct"/>
            <w:tcBorders>
              <w:top w:val="single" w:color="auto" w:sz="4" w:space="0"/>
              <w:left w:val="single" w:color="auto" w:sz="4" w:space="0"/>
              <w:bottom w:val="single" w:color="auto" w:sz="4" w:space="0"/>
              <w:right w:val="single" w:color="auto" w:sz="4" w:space="0"/>
            </w:tcBorders>
            <w:noWrap w:val="0"/>
            <w:vAlign w:val="center"/>
          </w:tcPr>
          <w:p w14:paraId="0CD507E5">
            <w:pPr>
              <w:snapToGrid w:val="0"/>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委托时间</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63D8F453">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评审结论书或审定表/单时间</w:t>
            </w:r>
          </w:p>
        </w:tc>
        <w:tc>
          <w:tcPr>
            <w:tcW w:w="483" w:type="pct"/>
            <w:tcBorders>
              <w:top w:val="single" w:color="auto" w:sz="4" w:space="0"/>
              <w:left w:val="single" w:color="auto" w:sz="4" w:space="0"/>
              <w:bottom w:val="single" w:color="auto" w:sz="4" w:space="0"/>
              <w:right w:val="single" w:color="auto" w:sz="4" w:space="0"/>
            </w:tcBorders>
            <w:noWrap w:val="0"/>
            <w:vAlign w:val="center"/>
          </w:tcPr>
          <w:p w14:paraId="11007AE1">
            <w:pPr>
              <w:snapToGrid w:val="0"/>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项目含本次拟派评审人员姓名</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6050A591">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项目审定总价（元）</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546B739F">
            <w:pPr>
              <w:snapToGrid w:val="0"/>
              <w:spacing w:line="2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评审定案净减值（元）</w:t>
            </w:r>
          </w:p>
        </w:tc>
      </w:tr>
      <w:tr w14:paraId="20DB1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43" w:type="pct"/>
            <w:tcBorders>
              <w:top w:val="single" w:color="auto" w:sz="4" w:space="0"/>
              <w:left w:val="single" w:color="auto" w:sz="4" w:space="0"/>
              <w:bottom w:val="single" w:color="auto" w:sz="4" w:space="0"/>
              <w:right w:val="single" w:color="auto" w:sz="4" w:space="0"/>
            </w:tcBorders>
            <w:noWrap w:val="0"/>
            <w:vAlign w:val="top"/>
          </w:tcPr>
          <w:p w14:paraId="09587793">
            <w:pPr>
              <w:snapToGrid w:val="0"/>
              <w:spacing w:line="24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60A9C6BD">
            <w:pPr>
              <w:snapToGrid w:val="0"/>
              <w:spacing w:line="24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1F914E28">
            <w:pPr>
              <w:snapToGrid w:val="0"/>
              <w:spacing w:line="24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389477EE">
            <w:pPr>
              <w:snapToGrid w:val="0"/>
              <w:spacing w:line="24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2CA21872">
            <w:pPr>
              <w:snapToGrid w:val="0"/>
              <w:spacing w:line="24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0F63C139">
            <w:pPr>
              <w:snapToGrid w:val="0"/>
              <w:spacing w:line="24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75D9C737">
            <w:pPr>
              <w:snapToGrid w:val="0"/>
              <w:spacing w:line="24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27578AB9">
            <w:pPr>
              <w:snapToGrid w:val="0"/>
              <w:spacing w:line="24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3E95BD0A">
            <w:pPr>
              <w:snapToGrid w:val="0"/>
              <w:spacing w:line="240" w:lineRule="exact"/>
              <w:jc w:val="left"/>
              <w:rPr>
                <w:rFonts w:hint="eastAsia" w:ascii="宋体" w:hAnsi="宋体" w:eastAsia="宋体" w:cs="宋体"/>
                <w:color w:val="auto"/>
                <w:sz w:val="21"/>
                <w:szCs w:val="21"/>
                <w:highlight w:val="none"/>
              </w:rPr>
            </w:pPr>
          </w:p>
        </w:tc>
      </w:tr>
      <w:tr w14:paraId="6CA95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0"/>
            <w:vAlign w:val="top"/>
          </w:tcPr>
          <w:p w14:paraId="6DF42A7A">
            <w:pPr>
              <w:snapToGrid w:val="0"/>
              <w:spacing w:before="50" w:after="120" w:afterLines="50" w:line="40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0F81F51D">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6A727AA3">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468B16AC">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21691DD7">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7AAABAA9">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743EF49D">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64B431C2">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364015A4">
            <w:pPr>
              <w:snapToGrid w:val="0"/>
              <w:spacing w:before="50" w:after="120" w:afterLines="50" w:line="400" w:lineRule="exact"/>
              <w:jc w:val="left"/>
              <w:rPr>
                <w:rFonts w:hint="eastAsia" w:ascii="宋体" w:hAnsi="宋体" w:eastAsia="宋体" w:cs="宋体"/>
                <w:color w:val="auto"/>
                <w:sz w:val="21"/>
                <w:szCs w:val="21"/>
                <w:highlight w:val="none"/>
              </w:rPr>
            </w:pPr>
          </w:p>
        </w:tc>
      </w:tr>
      <w:tr w14:paraId="684F4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43" w:type="pct"/>
            <w:tcBorders>
              <w:top w:val="single" w:color="auto" w:sz="4" w:space="0"/>
              <w:left w:val="single" w:color="auto" w:sz="4" w:space="0"/>
              <w:bottom w:val="single" w:color="auto" w:sz="4" w:space="0"/>
              <w:right w:val="single" w:color="auto" w:sz="4" w:space="0"/>
            </w:tcBorders>
            <w:noWrap w:val="0"/>
            <w:vAlign w:val="top"/>
          </w:tcPr>
          <w:p w14:paraId="1D4334F8">
            <w:pPr>
              <w:snapToGrid w:val="0"/>
              <w:spacing w:before="50" w:after="120" w:afterLines="50" w:line="40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492C7623">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0AE740C6">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12D86AC3">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194635B4">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0483E804">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5C3224F3">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177AC82E">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079C5368">
            <w:pPr>
              <w:snapToGrid w:val="0"/>
              <w:spacing w:before="50" w:after="120" w:afterLines="50" w:line="400" w:lineRule="exact"/>
              <w:jc w:val="left"/>
              <w:rPr>
                <w:rFonts w:hint="eastAsia" w:ascii="宋体" w:hAnsi="宋体" w:eastAsia="宋体" w:cs="宋体"/>
                <w:color w:val="auto"/>
                <w:sz w:val="21"/>
                <w:szCs w:val="21"/>
                <w:highlight w:val="none"/>
              </w:rPr>
            </w:pPr>
          </w:p>
        </w:tc>
      </w:tr>
      <w:tr w14:paraId="3A9AE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0"/>
            <w:vAlign w:val="top"/>
          </w:tcPr>
          <w:p w14:paraId="38E4EC70">
            <w:pPr>
              <w:snapToGrid w:val="0"/>
              <w:spacing w:before="50" w:after="120" w:afterLines="50" w:line="400" w:lineRule="exact"/>
              <w:jc w:val="left"/>
              <w:rPr>
                <w:rFonts w:hint="eastAsia" w:ascii="宋体" w:hAnsi="宋体" w:eastAsia="宋体" w:cs="宋体"/>
                <w:color w:val="auto"/>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noWrap w:val="0"/>
            <w:vAlign w:val="top"/>
          </w:tcPr>
          <w:p w14:paraId="556974CA">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78F8CEDB">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5F1C46A3">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434F165E">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3DFD8882">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1D90638F">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7055AC37">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7042A1EA">
            <w:pPr>
              <w:snapToGrid w:val="0"/>
              <w:spacing w:before="50" w:after="120" w:afterLines="50" w:line="400" w:lineRule="exact"/>
              <w:jc w:val="left"/>
              <w:rPr>
                <w:rFonts w:hint="eastAsia" w:ascii="宋体" w:hAnsi="宋体" w:eastAsia="宋体" w:cs="宋体"/>
                <w:color w:val="auto"/>
                <w:sz w:val="21"/>
                <w:szCs w:val="21"/>
                <w:highlight w:val="none"/>
              </w:rPr>
            </w:pPr>
          </w:p>
        </w:tc>
      </w:tr>
      <w:tr w14:paraId="31779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 w:type="pct"/>
            <w:tcBorders>
              <w:top w:val="single" w:color="auto" w:sz="4" w:space="0"/>
              <w:left w:val="single" w:color="auto" w:sz="4" w:space="0"/>
              <w:bottom w:val="single" w:color="auto" w:sz="4" w:space="0"/>
              <w:right w:val="single" w:color="auto" w:sz="4" w:space="0"/>
            </w:tcBorders>
            <w:noWrap w:val="0"/>
            <w:vAlign w:val="top"/>
          </w:tcPr>
          <w:p w14:paraId="39538FF8">
            <w:pPr>
              <w:snapToGrid w:val="0"/>
              <w:spacing w:before="50" w:after="120" w:afterLines="50"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670" w:type="pct"/>
            <w:tcBorders>
              <w:top w:val="single" w:color="auto" w:sz="4" w:space="0"/>
              <w:left w:val="single" w:color="auto" w:sz="4" w:space="0"/>
              <w:bottom w:val="single" w:color="auto" w:sz="4" w:space="0"/>
              <w:right w:val="single" w:color="auto" w:sz="4" w:space="0"/>
            </w:tcBorders>
            <w:noWrap w:val="0"/>
            <w:vAlign w:val="top"/>
          </w:tcPr>
          <w:p w14:paraId="255ACCE0">
            <w:pPr>
              <w:snapToGrid w:val="0"/>
              <w:spacing w:before="50" w:after="120" w:afterLines="50" w:line="400" w:lineRule="exact"/>
              <w:jc w:val="left"/>
              <w:rPr>
                <w:rFonts w:hint="eastAsia" w:ascii="宋体" w:hAnsi="宋体" w:eastAsia="宋体" w:cs="宋体"/>
                <w:color w:val="auto"/>
                <w:sz w:val="21"/>
                <w:szCs w:val="21"/>
                <w:highlight w:val="none"/>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2922F49">
            <w:pPr>
              <w:snapToGrid w:val="0"/>
              <w:spacing w:before="50" w:after="120" w:afterLines="50" w:line="400" w:lineRule="exact"/>
              <w:jc w:val="left"/>
              <w:rPr>
                <w:rFonts w:hint="eastAsia" w:ascii="宋体" w:hAnsi="宋体" w:eastAsia="宋体" w:cs="宋体"/>
                <w:color w:val="auto"/>
                <w:sz w:val="21"/>
                <w:szCs w:val="21"/>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35A00F38">
            <w:pPr>
              <w:snapToGrid w:val="0"/>
              <w:spacing w:before="50" w:after="120" w:afterLines="50" w:line="400" w:lineRule="exact"/>
              <w:jc w:val="left"/>
              <w:rPr>
                <w:rFonts w:hint="eastAsia" w:ascii="宋体" w:hAnsi="宋体" w:eastAsia="宋体" w:cs="宋体"/>
                <w:color w:val="auto"/>
                <w:sz w:val="21"/>
                <w:szCs w:val="21"/>
                <w:highlight w:val="none"/>
              </w:rPr>
            </w:pPr>
          </w:p>
        </w:tc>
        <w:tc>
          <w:tcPr>
            <w:tcW w:w="339" w:type="pct"/>
            <w:tcBorders>
              <w:top w:val="single" w:color="auto" w:sz="4" w:space="0"/>
              <w:left w:val="single" w:color="auto" w:sz="4" w:space="0"/>
              <w:bottom w:val="single" w:color="auto" w:sz="4" w:space="0"/>
              <w:right w:val="single" w:color="auto" w:sz="4" w:space="0"/>
            </w:tcBorders>
            <w:noWrap w:val="0"/>
            <w:vAlign w:val="top"/>
          </w:tcPr>
          <w:p w14:paraId="44541C30">
            <w:pPr>
              <w:snapToGrid w:val="0"/>
              <w:spacing w:before="50" w:after="120" w:afterLines="50" w:line="400" w:lineRule="exact"/>
              <w:jc w:val="left"/>
              <w:rPr>
                <w:rFonts w:hint="eastAsia" w:ascii="宋体" w:hAnsi="宋体" w:eastAsia="宋体" w:cs="宋体"/>
                <w:color w:val="auto"/>
                <w:sz w:val="21"/>
                <w:szCs w:val="21"/>
                <w:highlight w:val="none"/>
              </w:rPr>
            </w:pPr>
          </w:p>
        </w:tc>
        <w:tc>
          <w:tcPr>
            <w:tcW w:w="586" w:type="pct"/>
            <w:tcBorders>
              <w:top w:val="single" w:color="auto" w:sz="4" w:space="0"/>
              <w:left w:val="single" w:color="auto" w:sz="4" w:space="0"/>
              <w:bottom w:val="single" w:color="auto" w:sz="4" w:space="0"/>
              <w:right w:val="single" w:color="auto" w:sz="4" w:space="0"/>
            </w:tcBorders>
            <w:noWrap w:val="0"/>
            <w:vAlign w:val="top"/>
          </w:tcPr>
          <w:p w14:paraId="30C614FB">
            <w:pPr>
              <w:snapToGrid w:val="0"/>
              <w:spacing w:before="50" w:after="120" w:afterLines="50" w:line="400" w:lineRule="exact"/>
              <w:jc w:val="left"/>
              <w:rPr>
                <w:rFonts w:hint="eastAsia" w:ascii="宋体" w:hAnsi="宋体" w:eastAsia="宋体" w:cs="宋体"/>
                <w:color w:val="auto"/>
                <w:sz w:val="21"/>
                <w:szCs w:val="21"/>
                <w:highlight w:val="none"/>
              </w:rPr>
            </w:pPr>
          </w:p>
        </w:tc>
        <w:tc>
          <w:tcPr>
            <w:tcW w:w="483" w:type="pct"/>
            <w:tcBorders>
              <w:top w:val="single" w:color="auto" w:sz="4" w:space="0"/>
              <w:left w:val="single" w:color="auto" w:sz="4" w:space="0"/>
              <w:bottom w:val="single" w:color="auto" w:sz="4" w:space="0"/>
              <w:right w:val="single" w:color="auto" w:sz="4" w:space="0"/>
            </w:tcBorders>
            <w:noWrap w:val="0"/>
            <w:vAlign w:val="top"/>
          </w:tcPr>
          <w:p w14:paraId="1A03262B">
            <w:pPr>
              <w:snapToGrid w:val="0"/>
              <w:spacing w:before="50" w:after="120" w:afterLines="50" w:line="400" w:lineRule="exact"/>
              <w:jc w:val="left"/>
              <w:rPr>
                <w:rFonts w:hint="eastAsia" w:ascii="宋体" w:hAnsi="宋体" w:eastAsia="宋体" w:cs="宋体"/>
                <w:color w:val="auto"/>
                <w:sz w:val="21"/>
                <w:szCs w:val="21"/>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top"/>
          </w:tcPr>
          <w:p w14:paraId="046597D6">
            <w:pPr>
              <w:snapToGrid w:val="0"/>
              <w:spacing w:before="50" w:after="120" w:afterLines="50" w:line="400" w:lineRule="exact"/>
              <w:jc w:val="left"/>
              <w:rPr>
                <w:rFonts w:hint="eastAsia" w:ascii="宋体" w:hAnsi="宋体" w:eastAsia="宋体" w:cs="宋体"/>
                <w:color w:val="auto"/>
                <w:sz w:val="21"/>
                <w:szCs w:val="21"/>
                <w:highlight w:val="none"/>
              </w:rPr>
            </w:pPr>
          </w:p>
        </w:tc>
        <w:tc>
          <w:tcPr>
            <w:tcW w:w="725" w:type="pct"/>
            <w:tcBorders>
              <w:top w:val="single" w:color="auto" w:sz="4" w:space="0"/>
              <w:left w:val="single" w:color="auto" w:sz="4" w:space="0"/>
              <w:bottom w:val="single" w:color="auto" w:sz="4" w:space="0"/>
              <w:right w:val="single" w:color="auto" w:sz="4" w:space="0"/>
            </w:tcBorders>
            <w:noWrap w:val="0"/>
            <w:vAlign w:val="top"/>
          </w:tcPr>
          <w:p w14:paraId="1276CBD6">
            <w:pPr>
              <w:snapToGrid w:val="0"/>
              <w:spacing w:before="50" w:after="120" w:afterLines="50" w:line="400" w:lineRule="exact"/>
              <w:jc w:val="left"/>
              <w:rPr>
                <w:rFonts w:hint="eastAsia" w:ascii="宋体" w:hAnsi="宋体" w:eastAsia="宋体" w:cs="宋体"/>
                <w:color w:val="auto"/>
                <w:sz w:val="21"/>
                <w:szCs w:val="21"/>
                <w:highlight w:val="none"/>
              </w:rPr>
            </w:pPr>
          </w:p>
        </w:tc>
      </w:tr>
    </w:tbl>
    <w:p w14:paraId="2F708C76">
      <w:pPr>
        <w:pStyle w:val="14"/>
        <w:spacing w:before="0" w:after="0" w:line="360" w:lineRule="auto"/>
        <w:contextualSpacing/>
        <w:rPr>
          <w:rFonts w:hint="eastAsia" w:ascii="宋体" w:hAnsi="宋体" w:eastAsia="宋体" w:cs="宋体"/>
          <w:color w:val="auto"/>
          <w:sz w:val="21"/>
          <w:szCs w:val="21"/>
          <w:highlight w:val="none"/>
        </w:rPr>
      </w:pPr>
    </w:p>
    <w:p w14:paraId="56E36FF5">
      <w:pPr>
        <w:pStyle w:val="14"/>
        <w:spacing w:before="0" w:after="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AF45378">
      <w:pPr>
        <w:pStyle w:val="14"/>
        <w:spacing w:before="0" w:after="0"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根据评标标准具体要求附业绩证明材料。</w:t>
      </w:r>
    </w:p>
    <w:p w14:paraId="75B48FD5">
      <w:pPr>
        <w:spacing w:line="360" w:lineRule="auto"/>
        <w:ind w:right="480"/>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2.业绩项目含本次拟派评审人员参与的承诺函(格式自拟)。</w:t>
      </w:r>
    </w:p>
    <w:p w14:paraId="4982BC0C">
      <w:pPr>
        <w:spacing w:line="360" w:lineRule="auto"/>
        <w:ind w:right="480"/>
        <w:contextualSpacing/>
        <w:jc w:val="left"/>
        <w:rPr>
          <w:rFonts w:hint="eastAsia" w:ascii="宋体" w:hAnsi="宋体" w:eastAsia="宋体" w:cs="宋体"/>
          <w:color w:val="auto"/>
          <w:sz w:val="21"/>
          <w:szCs w:val="21"/>
          <w:highlight w:val="none"/>
          <w:lang w:eastAsia="zh-CN"/>
        </w:rPr>
      </w:pPr>
    </w:p>
    <w:p w14:paraId="22496571">
      <w:pPr>
        <w:spacing w:line="360" w:lineRule="auto"/>
        <w:ind w:right="480"/>
        <w:contextualSpacing/>
        <w:jc w:val="left"/>
        <w:rPr>
          <w:rFonts w:hint="eastAsia" w:ascii="宋体" w:hAnsi="宋体" w:eastAsia="宋体" w:cs="宋体"/>
          <w:color w:val="auto"/>
          <w:sz w:val="21"/>
          <w:szCs w:val="21"/>
          <w:highlight w:val="none"/>
          <w:lang w:eastAsia="zh-CN"/>
        </w:rPr>
      </w:pPr>
    </w:p>
    <w:p w14:paraId="33CBBD8A">
      <w:pPr>
        <w:spacing w:line="360" w:lineRule="auto"/>
        <w:ind w:right="48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（盖公章）：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default" w:ascii="Times New Roman" w:hAnsi="Times New Roman" w:eastAsia="宋体" w:cs="Times New Roman"/>
          <w:color w:val="auto"/>
          <w:sz w:val="21"/>
          <w:szCs w:val="21"/>
          <w:highlight w:val="none"/>
        </w:rPr>
        <w:t>日期：    年   月   日</w:t>
      </w:r>
    </w:p>
    <w:p w14:paraId="7319FD59">
      <w:pPr>
        <w:snapToGrid w:val="0"/>
        <w:spacing w:before="50"/>
        <w:ind w:firstLine="480" w:firstLineChars="200"/>
        <w:jc w:val="left"/>
        <w:rPr>
          <w:rFonts w:hint="eastAsia" w:ascii="宋体" w:hAnsi="宋体" w:eastAsia="宋体" w:cs="宋体"/>
          <w:color w:val="auto"/>
          <w:sz w:val="24"/>
          <w:szCs w:val="20"/>
          <w:highlight w:val="none"/>
        </w:rPr>
      </w:pPr>
    </w:p>
    <w:p w14:paraId="61A6800E">
      <w:pPr>
        <w:snapToGrid w:val="0"/>
        <w:spacing w:before="50"/>
        <w:jc w:val="left"/>
        <w:rPr>
          <w:rFonts w:hint="eastAsia" w:ascii="宋体" w:hAnsi="宋体" w:eastAsia="宋体" w:cs="宋体"/>
          <w:color w:val="auto"/>
          <w:sz w:val="24"/>
          <w:highlight w:val="none"/>
        </w:rPr>
      </w:pPr>
    </w:p>
    <w:p w14:paraId="45C4FABD">
      <w:pPr>
        <w:snapToGrid w:val="0"/>
        <w:spacing w:before="120" w:beforeLines="50"/>
        <w:rPr>
          <w:rFonts w:hint="eastAsia" w:ascii="宋体" w:hAnsi="宋体" w:eastAsia="宋体" w:cs="宋体"/>
          <w:color w:val="auto"/>
          <w:sz w:val="24"/>
          <w:szCs w:val="20"/>
          <w:highlight w:val="none"/>
        </w:rPr>
        <w:sectPr>
          <w:pgSz w:w="11906" w:h="16838"/>
          <w:pgMar w:top="1440" w:right="1797" w:bottom="1440" w:left="1797" w:header="851" w:footer="992" w:gutter="0"/>
          <w:pgNumType w:fmt="decimal"/>
          <w:cols w:space="720" w:num="1"/>
          <w:docGrid w:linePitch="312" w:charSpace="0"/>
        </w:sectPr>
      </w:pPr>
    </w:p>
    <w:p w14:paraId="7BB1ABCB">
      <w:pPr>
        <w:rPr>
          <w:rFonts w:hint="eastAsia" w:ascii="宋体" w:hAnsi="宋体" w:eastAsia="宋体" w:cs="宋体"/>
          <w:b/>
          <w:color w:val="auto"/>
          <w:sz w:val="28"/>
          <w:szCs w:val="28"/>
          <w:highlight w:val="none"/>
        </w:rPr>
      </w:pPr>
      <w:bookmarkStart w:id="129" w:name="_Toc19686839"/>
      <w:r>
        <w:rPr>
          <w:rFonts w:hint="eastAsia" w:ascii="宋体" w:hAnsi="宋体" w:eastAsia="宋体" w:cs="宋体"/>
          <w:b/>
          <w:color w:val="auto"/>
          <w:sz w:val="28"/>
          <w:szCs w:val="28"/>
          <w:highlight w:val="none"/>
        </w:rPr>
        <w:t>五、技术文件格式</w:t>
      </w:r>
      <w:bookmarkEnd w:id="129"/>
    </w:p>
    <w:p w14:paraId="0AC16491">
      <w:pPr>
        <w:snapToGrid w:val="0"/>
        <w:spacing w:before="120" w:beforeLines="50" w:after="50"/>
        <w:ind w:left="142"/>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 xml:space="preserve">1. 技术文件封面格式： </w:t>
      </w:r>
    </w:p>
    <w:p w14:paraId="68B4551B">
      <w:pPr>
        <w:snapToGrid w:val="0"/>
        <w:spacing w:before="120" w:beforeLines="50" w:after="50"/>
        <w:rPr>
          <w:rFonts w:hint="default" w:ascii="宋体" w:hAnsi="宋体" w:eastAsia="宋体" w:cs="宋体"/>
          <w:b/>
          <w:bCs/>
          <w:color w:val="auto"/>
          <w:sz w:val="32"/>
          <w:szCs w:val="20"/>
          <w:highlight w:val="none"/>
          <w:lang w:val="en-US" w:eastAsia="zh-CN"/>
        </w:rPr>
      </w:pPr>
      <w:r>
        <w:rPr>
          <w:rFonts w:hint="default" w:ascii="Times New Roman" w:hAnsi="Times New Roman" w:eastAsia="宋体" w:cs="Times New Roman"/>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cs="宋体"/>
          <w:b/>
          <w:bCs/>
          <w:color w:val="auto"/>
          <w:highlight w:val="none"/>
          <w:lang w:val="en-US" w:eastAsia="zh-CN"/>
        </w:rPr>
        <w:t xml:space="preserve">      </w:t>
      </w:r>
    </w:p>
    <w:p w14:paraId="6188C3AF">
      <w:pPr>
        <w:snapToGrid w:val="0"/>
        <w:spacing w:before="120" w:beforeLines="50" w:after="50"/>
        <w:rPr>
          <w:rFonts w:hint="eastAsia" w:ascii="宋体" w:hAnsi="宋体" w:eastAsia="宋体" w:cs="宋体"/>
          <w:color w:val="auto"/>
          <w:sz w:val="24"/>
          <w:szCs w:val="20"/>
          <w:highlight w:val="none"/>
        </w:rPr>
      </w:pPr>
    </w:p>
    <w:p w14:paraId="16C34843">
      <w:pPr>
        <w:snapToGrid w:val="0"/>
        <w:spacing w:before="120" w:beforeLines="50" w:after="50" w:line="400" w:lineRule="exact"/>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电子响应文件</w:t>
      </w:r>
    </w:p>
    <w:p w14:paraId="3303E18D">
      <w:pPr>
        <w:snapToGrid w:val="0"/>
        <w:spacing w:before="120" w:beforeLines="50" w:after="50"/>
        <w:rPr>
          <w:rFonts w:hint="eastAsia" w:ascii="宋体" w:hAnsi="宋体" w:eastAsia="宋体" w:cs="宋体"/>
          <w:color w:val="auto"/>
          <w:sz w:val="24"/>
          <w:szCs w:val="20"/>
          <w:highlight w:val="none"/>
        </w:rPr>
      </w:pPr>
    </w:p>
    <w:p w14:paraId="08AB0B59">
      <w:pPr>
        <w:snapToGrid w:val="0"/>
        <w:spacing w:before="120" w:beforeLines="50" w:after="50"/>
        <w:rPr>
          <w:rFonts w:hint="eastAsia" w:ascii="宋体" w:hAnsi="宋体" w:eastAsia="宋体" w:cs="宋体"/>
          <w:color w:val="auto"/>
          <w:sz w:val="24"/>
          <w:szCs w:val="20"/>
          <w:highlight w:val="none"/>
        </w:rPr>
      </w:pPr>
    </w:p>
    <w:p w14:paraId="3F64A458">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  术  文  件</w:t>
      </w:r>
    </w:p>
    <w:p w14:paraId="3508921E">
      <w:pPr>
        <w:snapToGrid w:val="0"/>
        <w:spacing w:before="120" w:beforeLines="50" w:after="50"/>
        <w:rPr>
          <w:rFonts w:hint="eastAsia" w:ascii="宋体" w:hAnsi="宋体" w:eastAsia="宋体" w:cs="宋体"/>
          <w:bCs/>
          <w:color w:val="auto"/>
          <w:sz w:val="24"/>
          <w:szCs w:val="20"/>
          <w:highlight w:val="none"/>
        </w:rPr>
      </w:pPr>
    </w:p>
    <w:p w14:paraId="658055FF">
      <w:pPr>
        <w:snapToGrid w:val="0"/>
        <w:spacing w:before="120"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14:paraId="11EF559F">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17B76730">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0A5C39CD">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名称：</w:t>
      </w:r>
    </w:p>
    <w:p w14:paraId="2EA0D5AB">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AF62232">
      <w:pPr>
        <w:snapToGrid w:val="0"/>
        <w:spacing w:before="120" w:beforeLines="50" w:after="50"/>
        <w:ind w:firstLine="645"/>
        <w:jc w:val="center"/>
        <w:rPr>
          <w:rFonts w:hint="eastAsia" w:ascii="宋体" w:hAnsi="宋体" w:eastAsia="宋体" w:cs="宋体"/>
          <w:color w:val="auto"/>
          <w:sz w:val="24"/>
          <w:szCs w:val="20"/>
          <w:highlight w:val="none"/>
        </w:rPr>
      </w:pPr>
    </w:p>
    <w:p w14:paraId="2665B353">
      <w:pPr>
        <w:snapToGrid w:val="0"/>
        <w:spacing w:before="120" w:beforeLines="50" w:after="50"/>
        <w:ind w:left="14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default" w:ascii="Times New Roman" w:hAnsi="Times New Roman" w:eastAsia="宋体" w:cs="Times New Roman"/>
          <w:b/>
          <w:bCs/>
          <w:color w:val="auto"/>
          <w:sz w:val="24"/>
          <w:highlight w:val="none"/>
        </w:rPr>
        <w:t>2.技术文件目录</w:t>
      </w:r>
    </w:p>
    <w:p w14:paraId="1B1C1A23">
      <w:pPr>
        <w:snapToGrid w:val="0"/>
        <w:spacing w:before="50" w:after="120" w:afterLines="50" w:line="280" w:lineRule="exact"/>
        <w:ind w:left="283" w:leftChars="135"/>
        <w:jc w:val="left"/>
        <w:rPr>
          <w:rFonts w:hint="eastAsia" w:ascii="宋体" w:hAnsi="宋体" w:eastAsia="宋体" w:cs="宋体"/>
          <w:color w:val="auto"/>
          <w:sz w:val="24"/>
          <w:szCs w:val="20"/>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征集文件</w:t>
      </w:r>
      <w:r>
        <w:rPr>
          <w:rFonts w:hint="eastAsia" w:ascii="宋体" w:hAnsi="宋体" w:eastAsia="宋体" w:cs="宋体"/>
          <w:color w:val="auto"/>
          <w:szCs w:val="21"/>
          <w:highlight w:val="none"/>
        </w:rPr>
        <w:t>规定及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提供的材料自行编写目录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部分格式附后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AEA3924">
      <w:pPr>
        <w:snapToGrid w:val="0"/>
        <w:spacing w:before="120" w:beforeLines="50" w:after="50"/>
        <w:jc w:val="left"/>
        <w:rPr>
          <w:rFonts w:hint="eastAsia" w:ascii="宋体" w:hAnsi="宋体" w:eastAsia="宋体" w:cs="宋体"/>
          <w:b/>
          <w:color w:val="auto"/>
          <w:sz w:val="24"/>
          <w:highlight w:val="none"/>
        </w:rPr>
      </w:pPr>
    </w:p>
    <w:p w14:paraId="44F1B12A">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3.技术要求偏离表格式</w:t>
      </w:r>
    </w:p>
    <w:p w14:paraId="59ADC8CD">
      <w:pPr>
        <w:snapToGrid w:val="0"/>
        <w:spacing w:before="120" w:beforeLines="50" w:after="50"/>
        <w:ind w:left="142"/>
        <w:jc w:val="left"/>
        <w:rPr>
          <w:rFonts w:hint="eastAsia" w:ascii="宋体" w:hAnsi="宋体" w:eastAsia="宋体" w:cs="宋体"/>
          <w:b/>
          <w:color w:val="auto"/>
          <w:sz w:val="24"/>
          <w:highlight w:val="none"/>
        </w:rPr>
      </w:pPr>
    </w:p>
    <w:p w14:paraId="497CD1EA">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技术要求偏离表</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214C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1B7751D3">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项号</w:t>
            </w:r>
          </w:p>
        </w:tc>
        <w:tc>
          <w:tcPr>
            <w:tcW w:w="2143" w:type="dxa"/>
            <w:noWrap w:val="0"/>
            <w:vAlign w:val="center"/>
          </w:tcPr>
          <w:p w14:paraId="1C7346AE">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标的的名称</w:t>
            </w:r>
          </w:p>
        </w:tc>
        <w:tc>
          <w:tcPr>
            <w:tcW w:w="1834" w:type="dxa"/>
            <w:noWrap w:val="0"/>
            <w:vAlign w:val="center"/>
          </w:tcPr>
          <w:p w14:paraId="19867F19">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技术要求</w:t>
            </w:r>
          </w:p>
        </w:tc>
        <w:tc>
          <w:tcPr>
            <w:tcW w:w="2181" w:type="dxa"/>
            <w:noWrap w:val="0"/>
            <w:vAlign w:val="center"/>
          </w:tcPr>
          <w:p w14:paraId="099B6881">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投标响应</w:t>
            </w:r>
          </w:p>
        </w:tc>
        <w:tc>
          <w:tcPr>
            <w:tcW w:w="1934" w:type="dxa"/>
            <w:noWrap w:val="0"/>
            <w:vAlign w:val="center"/>
          </w:tcPr>
          <w:p w14:paraId="32027143">
            <w:pPr>
              <w:pStyle w:val="23"/>
              <w:spacing w:line="40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偏离说明</w:t>
            </w:r>
          </w:p>
        </w:tc>
      </w:tr>
      <w:tr w14:paraId="36D7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39D176B">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2143" w:type="dxa"/>
            <w:noWrap w:val="0"/>
            <w:vAlign w:val="center"/>
          </w:tcPr>
          <w:p w14:paraId="511AE3F4">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1834" w:type="dxa"/>
            <w:noWrap w:val="0"/>
            <w:vAlign w:val="center"/>
          </w:tcPr>
          <w:p w14:paraId="3C9EE546">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2181" w:type="dxa"/>
            <w:noWrap w:val="0"/>
            <w:vAlign w:val="center"/>
          </w:tcPr>
          <w:p w14:paraId="286BCD36">
            <w:pPr>
              <w:pStyle w:val="23"/>
              <w:spacing w:line="600" w:lineRule="exact"/>
              <w:jc w:val="center"/>
              <w:rPr>
                <w:rFonts w:hint="eastAsia" w:ascii="宋体" w:hAnsi="宋体" w:eastAsia="宋体" w:cs="宋体"/>
                <w:color w:val="auto"/>
                <w:kern w:val="2"/>
                <w:sz w:val="21"/>
                <w:szCs w:val="21"/>
                <w:highlight w:val="none"/>
                <w:lang w:val="en-US" w:eastAsia="zh-CN"/>
              </w:rPr>
            </w:pPr>
          </w:p>
        </w:tc>
        <w:tc>
          <w:tcPr>
            <w:tcW w:w="1934" w:type="dxa"/>
            <w:noWrap w:val="0"/>
            <w:vAlign w:val="center"/>
          </w:tcPr>
          <w:p w14:paraId="3D3B2F54">
            <w:pPr>
              <w:pStyle w:val="23"/>
              <w:spacing w:line="600" w:lineRule="exact"/>
              <w:jc w:val="center"/>
              <w:rPr>
                <w:rFonts w:hint="eastAsia" w:ascii="宋体" w:hAnsi="宋体" w:eastAsia="宋体" w:cs="宋体"/>
                <w:color w:val="auto"/>
                <w:kern w:val="2"/>
                <w:sz w:val="21"/>
                <w:szCs w:val="21"/>
                <w:highlight w:val="none"/>
                <w:lang w:val="en-US" w:eastAsia="zh-CN"/>
              </w:rPr>
            </w:pPr>
          </w:p>
        </w:tc>
      </w:tr>
      <w:tr w14:paraId="134D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7C3BD37">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227BC32D">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0D8E78B3">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70A61CBC">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36675422">
            <w:pPr>
              <w:pStyle w:val="23"/>
              <w:spacing w:line="600" w:lineRule="exact"/>
              <w:rPr>
                <w:rFonts w:hint="eastAsia" w:ascii="宋体" w:hAnsi="宋体" w:eastAsia="宋体" w:cs="宋体"/>
                <w:color w:val="auto"/>
                <w:kern w:val="2"/>
                <w:sz w:val="21"/>
                <w:szCs w:val="21"/>
                <w:highlight w:val="none"/>
                <w:lang w:val="en-US" w:eastAsia="zh-CN"/>
              </w:rPr>
            </w:pPr>
          </w:p>
        </w:tc>
      </w:tr>
      <w:tr w14:paraId="3AEC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904E93D">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3F35CAB1">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14672F06">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70CEE41F">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029BEEBB">
            <w:pPr>
              <w:pStyle w:val="23"/>
              <w:spacing w:line="600" w:lineRule="exact"/>
              <w:rPr>
                <w:rFonts w:hint="eastAsia" w:ascii="宋体" w:hAnsi="宋体" w:eastAsia="宋体" w:cs="宋体"/>
                <w:color w:val="auto"/>
                <w:kern w:val="2"/>
                <w:sz w:val="21"/>
                <w:szCs w:val="21"/>
                <w:highlight w:val="none"/>
                <w:lang w:val="en-US" w:eastAsia="zh-CN"/>
              </w:rPr>
            </w:pPr>
          </w:p>
        </w:tc>
      </w:tr>
      <w:tr w14:paraId="4275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0E453CB">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7EB38AC1">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040166C9">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68D7B4F6">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4E9F4DBA">
            <w:pPr>
              <w:pStyle w:val="23"/>
              <w:spacing w:line="600" w:lineRule="exact"/>
              <w:rPr>
                <w:rFonts w:hint="eastAsia" w:ascii="宋体" w:hAnsi="宋体" w:eastAsia="宋体" w:cs="宋体"/>
                <w:color w:val="auto"/>
                <w:kern w:val="2"/>
                <w:sz w:val="21"/>
                <w:szCs w:val="21"/>
                <w:highlight w:val="none"/>
                <w:lang w:val="en-US" w:eastAsia="zh-CN"/>
              </w:rPr>
            </w:pPr>
          </w:p>
        </w:tc>
      </w:tr>
      <w:tr w14:paraId="7C23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5DA9874">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10E4BFAD">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66233428">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4A7739FC">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5D85ED8F">
            <w:pPr>
              <w:pStyle w:val="23"/>
              <w:spacing w:line="600" w:lineRule="exact"/>
              <w:rPr>
                <w:rFonts w:hint="eastAsia" w:ascii="宋体" w:hAnsi="宋体" w:eastAsia="宋体" w:cs="宋体"/>
                <w:color w:val="auto"/>
                <w:kern w:val="2"/>
                <w:sz w:val="21"/>
                <w:szCs w:val="21"/>
                <w:highlight w:val="none"/>
                <w:lang w:val="en-US" w:eastAsia="zh-CN"/>
              </w:rPr>
            </w:pPr>
          </w:p>
        </w:tc>
      </w:tr>
      <w:tr w14:paraId="38CD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34CE83F">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765C5D45">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6472D4B6">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2E02B095">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7DCA3A2E">
            <w:pPr>
              <w:pStyle w:val="23"/>
              <w:spacing w:line="600" w:lineRule="exact"/>
              <w:rPr>
                <w:rFonts w:hint="eastAsia" w:ascii="宋体" w:hAnsi="宋体" w:eastAsia="宋体" w:cs="宋体"/>
                <w:color w:val="auto"/>
                <w:kern w:val="2"/>
                <w:sz w:val="21"/>
                <w:szCs w:val="21"/>
                <w:highlight w:val="none"/>
                <w:lang w:val="en-US" w:eastAsia="zh-CN"/>
              </w:rPr>
            </w:pPr>
          </w:p>
        </w:tc>
      </w:tr>
      <w:tr w14:paraId="68F5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41328CF">
            <w:pPr>
              <w:pStyle w:val="23"/>
              <w:spacing w:line="600" w:lineRule="exact"/>
              <w:rPr>
                <w:rFonts w:hint="eastAsia" w:ascii="宋体" w:hAnsi="宋体" w:eastAsia="宋体" w:cs="宋体"/>
                <w:color w:val="auto"/>
                <w:kern w:val="2"/>
                <w:sz w:val="21"/>
                <w:szCs w:val="21"/>
                <w:highlight w:val="none"/>
                <w:lang w:val="en-US" w:eastAsia="zh-CN"/>
              </w:rPr>
            </w:pPr>
          </w:p>
        </w:tc>
        <w:tc>
          <w:tcPr>
            <w:tcW w:w="2143" w:type="dxa"/>
            <w:noWrap w:val="0"/>
            <w:vAlign w:val="top"/>
          </w:tcPr>
          <w:p w14:paraId="1F18FC1F">
            <w:pPr>
              <w:pStyle w:val="23"/>
              <w:spacing w:line="600" w:lineRule="exact"/>
              <w:rPr>
                <w:rFonts w:hint="eastAsia" w:ascii="宋体" w:hAnsi="宋体" w:eastAsia="宋体" w:cs="宋体"/>
                <w:color w:val="auto"/>
                <w:kern w:val="2"/>
                <w:sz w:val="21"/>
                <w:szCs w:val="21"/>
                <w:highlight w:val="none"/>
                <w:lang w:val="en-US" w:eastAsia="zh-CN"/>
              </w:rPr>
            </w:pPr>
          </w:p>
        </w:tc>
        <w:tc>
          <w:tcPr>
            <w:tcW w:w="1834" w:type="dxa"/>
            <w:noWrap w:val="0"/>
            <w:vAlign w:val="top"/>
          </w:tcPr>
          <w:p w14:paraId="1272B33C">
            <w:pPr>
              <w:pStyle w:val="23"/>
              <w:spacing w:line="600" w:lineRule="exact"/>
              <w:rPr>
                <w:rFonts w:hint="eastAsia" w:ascii="宋体" w:hAnsi="宋体" w:eastAsia="宋体" w:cs="宋体"/>
                <w:color w:val="auto"/>
                <w:kern w:val="2"/>
                <w:sz w:val="21"/>
                <w:szCs w:val="21"/>
                <w:highlight w:val="none"/>
                <w:lang w:val="en-US" w:eastAsia="zh-CN"/>
              </w:rPr>
            </w:pPr>
          </w:p>
        </w:tc>
        <w:tc>
          <w:tcPr>
            <w:tcW w:w="2181" w:type="dxa"/>
            <w:noWrap w:val="0"/>
            <w:vAlign w:val="top"/>
          </w:tcPr>
          <w:p w14:paraId="11E925AC">
            <w:pPr>
              <w:pStyle w:val="23"/>
              <w:spacing w:line="600" w:lineRule="exact"/>
              <w:rPr>
                <w:rFonts w:hint="eastAsia" w:ascii="宋体" w:hAnsi="宋体" w:eastAsia="宋体" w:cs="宋体"/>
                <w:color w:val="auto"/>
                <w:kern w:val="2"/>
                <w:sz w:val="21"/>
                <w:szCs w:val="21"/>
                <w:highlight w:val="none"/>
                <w:lang w:val="en-US" w:eastAsia="zh-CN"/>
              </w:rPr>
            </w:pPr>
          </w:p>
        </w:tc>
        <w:tc>
          <w:tcPr>
            <w:tcW w:w="1934" w:type="dxa"/>
            <w:noWrap w:val="0"/>
            <w:vAlign w:val="top"/>
          </w:tcPr>
          <w:p w14:paraId="749520D8">
            <w:pPr>
              <w:pStyle w:val="23"/>
              <w:spacing w:line="600" w:lineRule="exact"/>
              <w:rPr>
                <w:rFonts w:hint="eastAsia" w:ascii="宋体" w:hAnsi="宋体" w:eastAsia="宋体" w:cs="宋体"/>
                <w:color w:val="auto"/>
                <w:kern w:val="2"/>
                <w:sz w:val="21"/>
                <w:szCs w:val="21"/>
                <w:highlight w:val="none"/>
                <w:lang w:val="en-US" w:eastAsia="zh-CN"/>
              </w:rPr>
            </w:pPr>
          </w:p>
        </w:tc>
      </w:tr>
    </w:tbl>
    <w:p w14:paraId="20A784A1">
      <w:pPr>
        <w:pStyle w:val="16"/>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E324428">
      <w:pPr>
        <w:pStyle w:val="18"/>
        <w:spacing w:line="36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“第二章 采购需求”中的技术要求逐条作明确的投标响应，并作出偏离说明。</w:t>
      </w:r>
    </w:p>
    <w:p w14:paraId="05638518">
      <w:pPr>
        <w:pStyle w:val="16"/>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应根据自身的承诺，对照</w:t>
      </w:r>
      <w:r>
        <w:rPr>
          <w:rFonts w:hint="eastAsia" w:ascii="宋体" w:hAnsi="宋体" w:eastAsia="宋体" w:cs="宋体"/>
          <w:b w:val="0"/>
          <w:bCs w:val="0"/>
          <w:color w:val="auto"/>
          <w:sz w:val="21"/>
          <w:szCs w:val="21"/>
          <w:highlight w:val="none"/>
          <w:lang w:eastAsia="zh-CN"/>
        </w:rPr>
        <w:t>征集文件</w:t>
      </w:r>
      <w:r>
        <w:rPr>
          <w:rFonts w:hint="eastAsia" w:ascii="宋体" w:hAnsi="宋体" w:eastAsia="宋体" w:cs="宋体"/>
          <w:b w:val="0"/>
          <w:bCs w:val="0"/>
          <w:color w:val="auto"/>
          <w:sz w:val="21"/>
          <w:szCs w:val="21"/>
          <w:highlight w:val="none"/>
        </w:rPr>
        <w:t>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14:paraId="574EDC05">
      <w:pPr>
        <w:pStyle w:val="16"/>
        <w:spacing w:line="360" w:lineRule="auto"/>
        <w:contextualSpacing/>
        <w:rPr>
          <w:rFonts w:hint="eastAsia" w:ascii="宋体" w:hAnsi="宋体" w:eastAsia="宋体" w:cs="宋体"/>
          <w:color w:val="auto"/>
          <w:spacing w:val="20"/>
          <w:sz w:val="21"/>
          <w:szCs w:val="21"/>
          <w:highlight w:val="none"/>
        </w:rPr>
      </w:pPr>
    </w:p>
    <w:p w14:paraId="4D2EF2B6">
      <w:pPr>
        <w:spacing w:line="360" w:lineRule="auto"/>
        <w:ind w:firstLine="3500" w:firstLineChars="1400"/>
        <w:contextualSpacing/>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lang w:eastAsia="zh-CN"/>
        </w:rPr>
        <w:t>供应商</w:t>
      </w:r>
      <w:r>
        <w:rPr>
          <w:rFonts w:hint="eastAsia" w:ascii="宋体" w:hAnsi="宋体" w:eastAsia="宋体" w:cs="宋体"/>
          <w:color w:val="auto"/>
          <w:spacing w:val="20"/>
          <w:sz w:val="21"/>
          <w:szCs w:val="21"/>
          <w:highlight w:val="none"/>
        </w:rPr>
        <w:t>（盖公章）：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14:paraId="1F7E24F8">
      <w:pPr>
        <w:spacing w:line="360" w:lineRule="auto"/>
        <w:ind w:firstLine="3570" w:firstLineChars="1700"/>
        <w:contextualSpacing/>
        <w:rPr>
          <w:rFonts w:hint="eastAsia" w:ascii="宋体" w:hAnsi="宋体" w:eastAsia="宋体" w:cs="宋体"/>
          <w:color w:val="auto"/>
          <w:sz w:val="24"/>
          <w:szCs w:val="20"/>
          <w:highlight w:val="none"/>
          <w:lang w:val="en-US" w:eastAsia="zh-CN"/>
        </w:rPr>
      </w:pPr>
      <w:r>
        <w:rPr>
          <w:rFonts w:hint="default" w:ascii="Times New Roman" w:hAnsi="Times New Roman" w:eastAsia="宋体" w:cs="Times New Roman"/>
          <w:color w:val="auto"/>
          <w:sz w:val="21"/>
          <w:szCs w:val="21"/>
          <w:highlight w:val="none"/>
        </w:rPr>
        <w:t>日期：    年   月   日</w:t>
      </w:r>
      <w:r>
        <w:rPr>
          <w:rFonts w:hint="eastAsia" w:ascii="Times New Roman" w:hAnsi="Times New Roman" w:eastAsia="宋体" w:cs="Times New Roman"/>
          <w:color w:val="auto"/>
          <w:sz w:val="21"/>
          <w:szCs w:val="21"/>
          <w:highlight w:val="none"/>
          <w:lang w:val="en-US" w:eastAsia="zh-CN"/>
        </w:rPr>
        <w:t xml:space="preserve"> </w:t>
      </w:r>
    </w:p>
    <w:p w14:paraId="35FEE0FA">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rPr>
        <w:t>4.项目实施人员一览表格式</w:t>
      </w:r>
    </w:p>
    <w:p w14:paraId="4195C306">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463BFBDE">
      <w:pPr>
        <w:pStyle w:val="23"/>
        <w:rPr>
          <w:rFonts w:hint="eastAsia" w:ascii="宋体" w:hAnsi="宋体" w:eastAsia="宋体" w:cs="宋体"/>
          <w:b/>
          <w:bCs/>
          <w:color w:val="auto"/>
          <w:sz w:val="21"/>
          <w:szCs w:val="21"/>
          <w:highlight w:val="none"/>
        </w:rPr>
      </w:pPr>
    </w:p>
    <w:p w14:paraId="4D89A22B">
      <w:pPr>
        <w:pStyle w:val="23"/>
        <w:rPr>
          <w:rFonts w:hint="eastAsia" w:ascii="宋体" w:hAnsi="宋体" w:eastAsia="宋体" w:cs="宋体"/>
          <w:b/>
          <w:color w:val="auto"/>
          <w:sz w:val="32"/>
          <w:szCs w:val="32"/>
          <w:highlight w:val="none"/>
        </w:rPr>
      </w:pPr>
      <w:r>
        <w:rPr>
          <w:rFonts w:hint="eastAsia" w:ascii="宋体" w:hAnsi="宋体" w:eastAsia="宋体" w:cs="宋体"/>
          <w:b/>
          <w:bCs/>
          <w:color w:val="auto"/>
          <w:sz w:val="21"/>
          <w:szCs w:val="21"/>
          <w:highlight w:val="none"/>
        </w:rPr>
        <w:t>附表A:本项目</w:t>
      </w:r>
      <w:r>
        <w:rPr>
          <w:rFonts w:hint="eastAsia" w:ascii="宋体" w:hAnsi="宋体" w:eastAsia="宋体" w:cs="宋体"/>
          <w:b/>
          <w:bCs/>
          <w:color w:val="auto"/>
          <w:sz w:val="21"/>
          <w:szCs w:val="21"/>
          <w:highlight w:val="none"/>
          <w:lang w:val="en-US" w:eastAsia="zh-CN"/>
        </w:rPr>
        <w:t>拟投入评审人员</w:t>
      </w:r>
      <w:r>
        <w:rPr>
          <w:rFonts w:hint="eastAsia" w:ascii="宋体" w:hAnsi="宋体" w:eastAsia="宋体" w:cs="宋体"/>
          <w:b/>
          <w:bCs/>
          <w:color w:val="auto"/>
          <w:sz w:val="21"/>
          <w:szCs w:val="21"/>
          <w:highlight w:val="none"/>
        </w:rPr>
        <w:t>情况表</w:t>
      </w:r>
    </w:p>
    <w:tbl>
      <w:tblPr>
        <w:tblStyle w:val="109"/>
        <w:tblW w:w="9455"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1331"/>
        <w:gridCol w:w="1805"/>
        <w:gridCol w:w="1279"/>
        <w:gridCol w:w="2356"/>
        <w:gridCol w:w="1275"/>
      </w:tblGrid>
      <w:tr w14:paraId="307F5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1409" w:type="dxa"/>
            <w:vAlign w:val="top"/>
          </w:tcPr>
          <w:p w14:paraId="2DD577F6">
            <w:pPr>
              <w:spacing w:line="467" w:lineRule="auto"/>
              <w:jc w:val="both"/>
              <w:rPr>
                <w:rFonts w:ascii="Arial"/>
                <w:color w:val="auto"/>
                <w:sz w:val="21"/>
                <w:highlight w:val="none"/>
              </w:rPr>
            </w:pPr>
          </w:p>
          <w:p w14:paraId="1F97B8E9">
            <w:pPr>
              <w:pStyle w:val="114"/>
              <w:spacing w:before="68" w:line="222" w:lineRule="auto"/>
              <w:jc w:val="center"/>
              <w:rPr>
                <w:color w:val="auto"/>
                <w:highlight w:val="none"/>
              </w:rPr>
            </w:pPr>
            <w:r>
              <w:rPr>
                <w:color w:val="auto"/>
                <w:spacing w:val="-2"/>
                <w:highlight w:val="none"/>
              </w:rPr>
              <w:t>序号</w:t>
            </w:r>
          </w:p>
        </w:tc>
        <w:tc>
          <w:tcPr>
            <w:tcW w:w="1331" w:type="dxa"/>
            <w:vAlign w:val="top"/>
          </w:tcPr>
          <w:p w14:paraId="0889515F">
            <w:pPr>
              <w:spacing w:line="466" w:lineRule="auto"/>
              <w:jc w:val="both"/>
              <w:rPr>
                <w:rFonts w:ascii="Arial"/>
                <w:color w:val="auto"/>
                <w:sz w:val="21"/>
                <w:highlight w:val="none"/>
              </w:rPr>
            </w:pPr>
          </w:p>
          <w:p w14:paraId="6D27ED21">
            <w:pPr>
              <w:pStyle w:val="114"/>
              <w:spacing w:before="69" w:line="221" w:lineRule="auto"/>
              <w:ind w:left="459"/>
              <w:jc w:val="both"/>
              <w:rPr>
                <w:color w:val="auto"/>
                <w:highlight w:val="none"/>
              </w:rPr>
            </w:pPr>
            <w:r>
              <w:rPr>
                <w:color w:val="auto"/>
                <w:spacing w:val="-2"/>
                <w:highlight w:val="none"/>
              </w:rPr>
              <w:t>姓名</w:t>
            </w:r>
          </w:p>
        </w:tc>
        <w:tc>
          <w:tcPr>
            <w:tcW w:w="1805" w:type="dxa"/>
            <w:vAlign w:val="top"/>
          </w:tcPr>
          <w:p w14:paraId="2CE93009">
            <w:pPr>
              <w:spacing w:line="270" w:lineRule="auto"/>
              <w:jc w:val="both"/>
              <w:rPr>
                <w:rFonts w:ascii="Arial"/>
                <w:color w:val="auto"/>
                <w:sz w:val="21"/>
                <w:highlight w:val="none"/>
              </w:rPr>
            </w:pPr>
          </w:p>
          <w:p w14:paraId="641C4059">
            <w:pPr>
              <w:pStyle w:val="114"/>
              <w:spacing w:before="68" w:line="332" w:lineRule="auto"/>
              <w:ind w:left="178" w:right="162" w:hanging="7"/>
              <w:jc w:val="both"/>
              <w:rPr>
                <w:color w:val="auto"/>
                <w:highlight w:val="none"/>
              </w:rPr>
            </w:pPr>
            <w:r>
              <w:rPr>
                <w:color w:val="auto"/>
                <w:spacing w:val="-1"/>
                <w:highlight w:val="none"/>
              </w:rPr>
              <w:t>造价工程师资格</w:t>
            </w:r>
            <w:r>
              <w:rPr>
                <w:color w:val="auto"/>
                <w:spacing w:val="2"/>
                <w:highlight w:val="none"/>
              </w:rPr>
              <w:t xml:space="preserve"> </w:t>
            </w:r>
            <w:r>
              <w:rPr>
                <w:color w:val="auto"/>
                <w:spacing w:val="-4"/>
                <w:highlight w:val="none"/>
              </w:rPr>
              <w:t>（一级、二级）</w:t>
            </w:r>
          </w:p>
        </w:tc>
        <w:tc>
          <w:tcPr>
            <w:tcW w:w="1279" w:type="dxa"/>
            <w:vAlign w:val="top"/>
          </w:tcPr>
          <w:p w14:paraId="54906A34">
            <w:pPr>
              <w:spacing w:line="295" w:lineRule="auto"/>
              <w:jc w:val="both"/>
              <w:rPr>
                <w:rFonts w:ascii="Arial"/>
                <w:color w:val="auto"/>
                <w:sz w:val="21"/>
                <w:highlight w:val="none"/>
              </w:rPr>
            </w:pPr>
          </w:p>
          <w:p w14:paraId="48225429">
            <w:pPr>
              <w:pStyle w:val="114"/>
              <w:spacing w:before="68" w:line="223" w:lineRule="auto"/>
              <w:jc w:val="center"/>
              <w:rPr>
                <w:color w:val="auto"/>
                <w:spacing w:val="-2"/>
                <w:highlight w:val="none"/>
              </w:rPr>
            </w:pPr>
            <w:r>
              <w:rPr>
                <w:color w:val="auto"/>
                <w:spacing w:val="-2"/>
                <w:highlight w:val="none"/>
              </w:rPr>
              <w:t>职称</w:t>
            </w:r>
          </w:p>
          <w:p w14:paraId="56C6A890">
            <w:pPr>
              <w:pStyle w:val="114"/>
              <w:spacing w:before="68" w:line="223" w:lineRule="auto"/>
              <w:jc w:val="both"/>
              <w:rPr>
                <w:color w:val="auto"/>
                <w:highlight w:val="none"/>
              </w:rPr>
            </w:pPr>
            <w:r>
              <w:rPr>
                <w:color w:val="auto"/>
                <w:spacing w:val="-4"/>
                <w:highlight w:val="none"/>
              </w:rPr>
              <w:t>（中级、高级）</w:t>
            </w:r>
          </w:p>
        </w:tc>
        <w:tc>
          <w:tcPr>
            <w:tcW w:w="2356" w:type="dxa"/>
            <w:vAlign w:val="top"/>
          </w:tcPr>
          <w:p w14:paraId="667F9FDA">
            <w:pPr>
              <w:spacing w:line="431" w:lineRule="auto"/>
              <w:jc w:val="both"/>
              <w:rPr>
                <w:rFonts w:ascii="Arial"/>
                <w:color w:val="auto"/>
                <w:sz w:val="21"/>
                <w:highlight w:val="none"/>
              </w:rPr>
            </w:pPr>
          </w:p>
          <w:p w14:paraId="7675F966">
            <w:pPr>
              <w:pStyle w:val="114"/>
              <w:spacing w:before="69" w:line="221" w:lineRule="auto"/>
              <w:jc w:val="center"/>
              <w:rPr>
                <w:color w:val="auto"/>
                <w:highlight w:val="none"/>
              </w:rPr>
            </w:pPr>
            <w:r>
              <w:rPr>
                <w:color w:val="auto"/>
                <w:spacing w:val="-2"/>
                <w:highlight w:val="none"/>
              </w:rPr>
              <w:t>从业经验</w:t>
            </w:r>
          </w:p>
        </w:tc>
        <w:tc>
          <w:tcPr>
            <w:tcW w:w="1275" w:type="dxa"/>
            <w:vAlign w:val="center"/>
          </w:tcPr>
          <w:p w14:paraId="609469EC">
            <w:pPr>
              <w:pStyle w:val="114"/>
              <w:spacing w:before="153" w:line="221" w:lineRule="auto"/>
              <w:jc w:val="center"/>
              <w:rPr>
                <w:color w:val="auto"/>
                <w:highlight w:val="none"/>
              </w:rPr>
            </w:pPr>
            <w:r>
              <w:rPr>
                <w:color w:val="auto"/>
                <w:spacing w:val="-2"/>
                <w:highlight w:val="none"/>
              </w:rPr>
              <w:t>证件页码</w:t>
            </w:r>
          </w:p>
        </w:tc>
      </w:tr>
      <w:tr w14:paraId="54804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409" w:type="dxa"/>
            <w:vAlign w:val="top"/>
          </w:tcPr>
          <w:p w14:paraId="2E10859F">
            <w:pPr>
              <w:jc w:val="both"/>
              <w:rPr>
                <w:rFonts w:ascii="Arial"/>
                <w:color w:val="auto"/>
                <w:sz w:val="21"/>
                <w:highlight w:val="none"/>
              </w:rPr>
            </w:pPr>
          </w:p>
        </w:tc>
        <w:tc>
          <w:tcPr>
            <w:tcW w:w="1331" w:type="dxa"/>
            <w:vAlign w:val="top"/>
          </w:tcPr>
          <w:p w14:paraId="5E3D4AFE">
            <w:pPr>
              <w:jc w:val="both"/>
              <w:rPr>
                <w:rFonts w:ascii="Arial"/>
                <w:color w:val="auto"/>
                <w:sz w:val="21"/>
                <w:highlight w:val="none"/>
              </w:rPr>
            </w:pPr>
          </w:p>
        </w:tc>
        <w:tc>
          <w:tcPr>
            <w:tcW w:w="1805" w:type="dxa"/>
            <w:vAlign w:val="top"/>
          </w:tcPr>
          <w:p w14:paraId="14D4E3A7">
            <w:pPr>
              <w:jc w:val="both"/>
              <w:rPr>
                <w:rFonts w:ascii="Arial"/>
                <w:color w:val="auto"/>
                <w:sz w:val="21"/>
                <w:highlight w:val="none"/>
              </w:rPr>
            </w:pPr>
          </w:p>
        </w:tc>
        <w:tc>
          <w:tcPr>
            <w:tcW w:w="1279" w:type="dxa"/>
            <w:vAlign w:val="top"/>
          </w:tcPr>
          <w:p w14:paraId="4B38F2A3">
            <w:pPr>
              <w:jc w:val="both"/>
              <w:rPr>
                <w:rFonts w:ascii="Arial"/>
                <w:color w:val="auto"/>
                <w:sz w:val="21"/>
                <w:highlight w:val="none"/>
              </w:rPr>
            </w:pPr>
          </w:p>
        </w:tc>
        <w:tc>
          <w:tcPr>
            <w:tcW w:w="2356" w:type="dxa"/>
            <w:vAlign w:val="top"/>
          </w:tcPr>
          <w:p w14:paraId="1F14B33B">
            <w:pPr>
              <w:pStyle w:val="114"/>
              <w:spacing w:before="151" w:line="330" w:lineRule="auto"/>
              <w:ind w:left="117" w:right="129" w:hanging="2"/>
              <w:jc w:val="both"/>
              <w:rPr>
                <w:color w:val="auto"/>
                <w:highlight w:val="none"/>
              </w:rPr>
            </w:pPr>
            <w:r>
              <w:rPr>
                <w:color w:val="auto"/>
                <w:spacing w:val="-2"/>
                <w:highlight w:val="none"/>
              </w:rPr>
              <w:t>注册造价师</w:t>
            </w:r>
            <w:r>
              <w:rPr>
                <w:color w:val="auto"/>
                <w:spacing w:val="-2"/>
                <w:highlight w:val="none"/>
                <w:u w:val="single" w:color="auto"/>
              </w:rPr>
              <w:t xml:space="preserve">   </w:t>
            </w:r>
            <w:r>
              <w:rPr>
                <w:color w:val="auto"/>
                <w:spacing w:val="-94"/>
                <w:highlight w:val="none"/>
              </w:rPr>
              <w:t xml:space="preserve"> </w:t>
            </w:r>
            <w:r>
              <w:rPr>
                <w:color w:val="auto"/>
                <w:spacing w:val="-2"/>
                <w:highlight w:val="none"/>
              </w:rPr>
              <w:t>年或造价员</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r>
              <w:rPr>
                <w:color w:val="auto"/>
                <w:spacing w:val="-90"/>
                <w:highlight w:val="none"/>
              </w:rPr>
              <w:t xml:space="preserve"> </w:t>
            </w:r>
            <w:r>
              <w:rPr>
                <w:color w:val="auto"/>
                <w:spacing w:val="-2"/>
                <w:highlight w:val="none"/>
              </w:rPr>
              <w:t>年</w:t>
            </w:r>
            <w:r>
              <w:rPr>
                <w:color w:val="auto"/>
                <w:spacing w:val="17"/>
                <w:highlight w:val="none"/>
              </w:rPr>
              <w:t>从事工程造价咨</w:t>
            </w:r>
            <w:r>
              <w:rPr>
                <w:color w:val="auto"/>
                <w:spacing w:val="-2"/>
                <w:highlight w:val="none"/>
              </w:rPr>
              <w:t>询工作</w:t>
            </w:r>
            <w:r>
              <w:rPr>
                <w:color w:val="auto"/>
                <w:spacing w:val="52"/>
                <w:highlight w:val="none"/>
                <w:u w:val="single" w:color="auto"/>
              </w:rPr>
              <w:t xml:space="preserve">  </w:t>
            </w:r>
            <w:r>
              <w:rPr>
                <w:color w:val="auto"/>
                <w:spacing w:val="-95"/>
                <w:highlight w:val="none"/>
              </w:rPr>
              <w:t xml:space="preserve"> </w:t>
            </w:r>
            <w:r>
              <w:rPr>
                <w:color w:val="auto"/>
                <w:spacing w:val="-2"/>
                <w:highlight w:val="none"/>
              </w:rPr>
              <w:t>年</w:t>
            </w:r>
          </w:p>
        </w:tc>
        <w:tc>
          <w:tcPr>
            <w:tcW w:w="1275" w:type="dxa"/>
            <w:vAlign w:val="top"/>
          </w:tcPr>
          <w:p w14:paraId="5AFA9E41">
            <w:pPr>
              <w:jc w:val="both"/>
              <w:rPr>
                <w:rFonts w:ascii="Arial"/>
                <w:color w:val="auto"/>
                <w:sz w:val="21"/>
                <w:highlight w:val="none"/>
              </w:rPr>
            </w:pPr>
          </w:p>
        </w:tc>
      </w:tr>
      <w:tr w14:paraId="2FC53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409" w:type="dxa"/>
            <w:vAlign w:val="top"/>
          </w:tcPr>
          <w:p w14:paraId="69649F66">
            <w:pPr>
              <w:jc w:val="both"/>
              <w:rPr>
                <w:rFonts w:ascii="Arial"/>
                <w:color w:val="auto"/>
                <w:sz w:val="21"/>
                <w:highlight w:val="none"/>
              </w:rPr>
            </w:pPr>
          </w:p>
        </w:tc>
        <w:tc>
          <w:tcPr>
            <w:tcW w:w="1331" w:type="dxa"/>
            <w:vAlign w:val="top"/>
          </w:tcPr>
          <w:p w14:paraId="368DF5C6">
            <w:pPr>
              <w:jc w:val="both"/>
              <w:rPr>
                <w:rFonts w:ascii="Arial"/>
                <w:color w:val="auto"/>
                <w:sz w:val="21"/>
                <w:highlight w:val="none"/>
              </w:rPr>
            </w:pPr>
          </w:p>
        </w:tc>
        <w:tc>
          <w:tcPr>
            <w:tcW w:w="1805" w:type="dxa"/>
            <w:vAlign w:val="top"/>
          </w:tcPr>
          <w:p w14:paraId="6378DCCB">
            <w:pPr>
              <w:jc w:val="both"/>
              <w:rPr>
                <w:rFonts w:ascii="Arial"/>
                <w:color w:val="auto"/>
                <w:sz w:val="21"/>
                <w:highlight w:val="none"/>
              </w:rPr>
            </w:pPr>
          </w:p>
        </w:tc>
        <w:tc>
          <w:tcPr>
            <w:tcW w:w="1279" w:type="dxa"/>
            <w:vAlign w:val="top"/>
          </w:tcPr>
          <w:p w14:paraId="6799627F">
            <w:pPr>
              <w:jc w:val="both"/>
              <w:rPr>
                <w:rFonts w:ascii="Arial"/>
                <w:color w:val="auto"/>
                <w:sz w:val="21"/>
                <w:highlight w:val="none"/>
              </w:rPr>
            </w:pPr>
          </w:p>
        </w:tc>
        <w:tc>
          <w:tcPr>
            <w:tcW w:w="2356" w:type="dxa"/>
            <w:vAlign w:val="top"/>
          </w:tcPr>
          <w:p w14:paraId="52A837EE">
            <w:pPr>
              <w:jc w:val="both"/>
              <w:rPr>
                <w:rFonts w:ascii="Arial"/>
                <w:color w:val="auto"/>
                <w:sz w:val="21"/>
                <w:highlight w:val="none"/>
              </w:rPr>
            </w:pPr>
          </w:p>
        </w:tc>
        <w:tc>
          <w:tcPr>
            <w:tcW w:w="1275" w:type="dxa"/>
            <w:vAlign w:val="top"/>
          </w:tcPr>
          <w:p w14:paraId="200DFCCC">
            <w:pPr>
              <w:jc w:val="both"/>
              <w:rPr>
                <w:rFonts w:ascii="Arial"/>
                <w:color w:val="auto"/>
                <w:sz w:val="21"/>
                <w:highlight w:val="none"/>
              </w:rPr>
            </w:pPr>
          </w:p>
        </w:tc>
      </w:tr>
      <w:tr w14:paraId="24F2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09" w:type="dxa"/>
            <w:vAlign w:val="top"/>
          </w:tcPr>
          <w:p w14:paraId="148AB7B3">
            <w:pPr>
              <w:jc w:val="both"/>
              <w:rPr>
                <w:rFonts w:ascii="Arial"/>
                <w:color w:val="auto"/>
                <w:sz w:val="21"/>
                <w:highlight w:val="none"/>
              </w:rPr>
            </w:pPr>
          </w:p>
        </w:tc>
        <w:tc>
          <w:tcPr>
            <w:tcW w:w="1331" w:type="dxa"/>
            <w:vAlign w:val="top"/>
          </w:tcPr>
          <w:p w14:paraId="590CC156">
            <w:pPr>
              <w:jc w:val="both"/>
              <w:rPr>
                <w:rFonts w:ascii="Arial"/>
                <w:color w:val="auto"/>
                <w:sz w:val="21"/>
                <w:highlight w:val="none"/>
              </w:rPr>
            </w:pPr>
          </w:p>
        </w:tc>
        <w:tc>
          <w:tcPr>
            <w:tcW w:w="1805" w:type="dxa"/>
            <w:vAlign w:val="top"/>
          </w:tcPr>
          <w:p w14:paraId="49513F17">
            <w:pPr>
              <w:jc w:val="both"/>
              <w:rPr>
                <w:rFonts w:ascii="Arial"/>
                <w:color w:val="auto"/>
                <w:sz w:val="21"/>
                <w:highlight w:val="none"/>
              </w:rPr>
            </w:pPr>
          </w:p>
        </w:tc>
        <w:tc>
          <w:tcPr>
            <w:tcW w:w="1279" w:type="dxa"/>
            <w:vAlign w:val="top"/>
          </w:tcPr>
          <w:p w14:paraId="015E0468">
            <w:pPr>
              <w:jc w:val="both"/>
              <w:rPr>
                <w:rFonts w:ascii="Arial"/>
                <w:color w:val="auto"/>
                <w:sz w:val="21"/>
                <w:highlight w:val="none"/>
              </w:rPr>
            </w:pPr>
          </w:p>
        </w:tc>
        <w:tc>
          <w:tcPr>
            <w:tcW w:w="2356" w:type="dxa"/>
            <w:vAlign w:val="top"/>
          </w:tcPr>
          <w:p w14:paraId="54445776">
            <w:pPr>
              <w:jc w:val="both"/>
              <w:rPr>
                <w:rFonts w:ascii="Arial"/>
                <w:color w:val="auto"/>
                <w:sz w:val="21"/>
                <w:highlight w:val="none"/>
              </w:rPr>
            </w:pPr>
          </w:p>
        </w:tc>
        <w:tc>
          <w:tcPr>
            <w:tcW w:w="1275" w:type="dxa"/>
            <w:vAlign w:val="top"/>
          </w:tcPr>
          <w:p w14:paraId="03774730">
            <w:pPr>
              <w:jc w:val="both"/>
              <w:rPr>
                <w:rFonts w:ascii="Arial"/>
                <w:color w:val="auto"/>
                <w:sz w:val="21"/>
                <w:highlight w:val="none"/>
              </w:rPr>
            </w:pPr>
          </w:p>
        </w:tc>
      </w:tr>
      <w:tr w14:paraId="3A7B5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409" w:type="dxa"/>
            <w:vAlign w:val="top"/>
          </w:tcPr>
          <w:p w14:paraId="556F2691">
            <w:pPr>
              <w:jc w:val="both"/>
              <w:rPr>
                <w:rFonts w:ascii="Arial"/>
                <w:color w:val="auto"/>
                <w:sz w:val="21"/>
                <w:highlight w:val="none"/>
              </w:rPr>
            </w:pPr>
          </w:p>
        </w:tc>
        <w:tc>
          <w:tcPr>
            <w:tcW w:w="1331" w:type="dxa"/>
            <w:vAlign w:val="top"/>
          </w:tcPr>
          <w:p w14:paraId="088D720E">
            <w:pPr>
              <w:jc w:val="both"/>
              <w:rPr>
                <w:rFonts w:ascii="Arial"/>
                <w:color w:val="auto"/>
                <w:sz w:val="21"/>
                <w:highlight w:val="none"/>
              </w:rPr>
            </w:pPr>
          </w:p>
        </w:tc>
        <w:tc>
          <w:tcPr>
            <w:tcW w:w="1805" w:type="dxa"/>
            <w:vAlign w:val="top"/>
          </w:tcPr>
          <w:p w14:paraId="4AE80B0F">
            <w:pPr>
              <w:jc w:val="both"/>
              <w:rPr>
                <w:rFonts w:ascii="Arial"/>
                <w:color w:val="auto"/>
                <w:sz w:val="21"/>
                <w:highlight w:val="none"/>
              </w:rPr>
            </w:pPr>
          </w:p>
        </w:tc>
        <w:tc>
          <w:tcPr>
            <w:tcW w:w="1279" w:type="dxa"/>
            <w:vAlign w:val="top"/>
          </w:tcPr>
          <w:p w14:paraId="47F10B7D">
            <w:pPr>
              <w:jc w:val="both"/>
              <w:rPr>
                <w:rFonts w:ascii="Arial"/>
                <w:color w:val="auto"/>
                <w:sz w:val="21"/>
                <w:highlight w:val="none"/>
              </w:rPr>
            </w:pPr>
          </w:p>
        </w:tc>
        <w:tc>
          <w:tcPr>
            <w:tcW w:w="2356" w:type="dxa"/>
            <w:vAlign w:val="top"/>
          </w:tcPr>
          <w:p w14:paraId="163D0D1F">
            <w:pPr>
              <w:jc w:val="both"/>
              <w:rPr>
                <w:rFonts w:ascii="Arial"/>
                <w:color w:val="auto"/>
                <w:sz w:val="21"/>
                <w:highlight w:val="none"/>
              </w:rPr>
            </w:pPr>
          </w:p>
        </w:tc>
        <w:tc>
          <w:tcPr>
            <w:tcW w:w="1275" w:type="dxa"/>
            <w:vAlign w:val="top"/>
          </w:tcPr>
          <w:p w14:paraId="55763321">
            <w:pPr>
              <w:jc w:val="both"/>
              <w:rPr>
                <w:rFonts w:ascii="Arial"/>
                <w:color w:val="auto"/>
                <w:sz w:val="21"/>
                <w:highlight w:val="none"/>
              </w:rPr>
            </w:pPr>
          </w:p>
        </w:tc>
      </w:tr>
    </w:tbl>
    <w:p w14:paraId="6300A371">
      <w:pPr>
        <w:spacing w:line="360" w:lineRule="auto"/>
        <w:contextualSpacing/>
        <w:jc w:val="left"/>
        <w:rPr>
          <w:rFonts w:hint="eastAsia"/>
          <w:b/>
          <w:bCs/>
          <w:color w:val="auto"/>
          <w:sz w:val="21"/>
          <w:szCs w:val="21"/>
          <w:highlight w:val="none"/>
          <w:lang w:eastAsia="zh-CN"/>
        </w:rPr>
      </w:pPr>
      <w:r>
        <w:rPr>
          <w:rFonts w:hint="eastAsia" w:ascii="宋体" w:hAnsi="宋体" w:eastAsia="宋体" w:cs="宋体"/>
          <w:b/>
          <w:bCs/>
          <w:color w:val="auto"/>
          <w:sz w:val="21"/>
          <w:szCs w:val="21"/>
          <w:highlight w:val="none"/>
        </w:rPr>
        <w:t>注：人员证明材料按评分标准要求提供</w:t>
      </w:r>
      <w:r>
        <w:rPr>
          <w:b/>
          <w:bCs/>
          <w:color w:val="auto"/>
          <w:sz w:val="21"/>
          <w:szCs w:val="21"/>
          <w:highlight w:val="none"/>
        </w:rPr>
        <w:t>并注明所在响应技术文件页码</w:t>
      </w:r>
      <w:r>
        <w:rPr>
          <w:rFonts w:hint="eastAsia"/>
          <w:b/>
          <w:bCs/>
          <w:color w:val="auto"/>
          <w:sz w:val="21"/>
          <w:szCs w:val="21"/>
          <w:highlight w:val="none"/>
          <w:lang w:eastAsia="zh-CN"/>
        </w:rPr>
        <w:t>。</w:t>
      </w:r>
    </w:p>
    <w:p w14:paraId="1F018620">
      <w:pPr>
        <w:snapToGrid w:val="0"/>
        <w:spacing w:before="50" w:after="120" w:afterLines="50"/>
        <w:jc w:val="left"/>
        <w:rPr>
          <w:rFonts w:hint="default" w:ascii="Times New Roman" w:hAnsi="Times New Roman" w:eastAsia="宋体" w:cs="Times New Roman"/>
          <w:b/>
          <w:bCs/>
          <w:color w:val="auto"/>
          <w:sz w:val="21"/>
          <w:szCs w:val="21"/>
          <w:highlight w:val="none"/>
          <w:lang w:eastAsia="zh-CN"/>
        </w:rPr>
      </w:pPr>
    </w:p>
    <w:p w14:paraId="2301700B">
      <w:pPr>
        <w:snapToGrid w:val="0"/>
        <w:spacing w:before="50" w:after="120" w:afterLines="50"/>
        <w:jc w:val="left"/>
        <w:rPr>
          <w:rFonts w:hint="default" w:ascii="Times New Roman" w:hAnsi="Times New Roman" w:eastAsia="宋体" w:cs="Times New Roman"/>
          <w:b/>
          <w:bCs/>
          <w:color w:val="auto"/>
          <w:sz w:val="21"/>
          <w:szCs w:val="21"/>
          <w:highlight w:val="none"/>
          <w:lang w:eastAsia="zh-CN"/>
        </w:rPr>
      </w:pPr>
    </w:p>
    <w:p w14:paraId="41B86FBC">
      <w:pPr>
        <w:spacing w:line="360" w:lineRule="auto"/>
        <w:ind w:firstLine="3500" w:firstLineChars="1400"/>
        <w:contextualSpacing/>
        <w:rPr>
          <w:rFonts w:hint="default" w:ascii="Times New Roman" w:hAnsi="Times New Roman" w:eastAsia="宋体" w:cs="Times New Roman"/>
          <w:color w:val="auto"/>
          <w:spacing w:val="20"/>
          <w:sz w:val="21"/>
          <w:szCs w:val="21"/>
          <w:highlight w:val="none"/>
        </w:rPr>
      </w:pPr>
      <w:r>
        <w:rPr>
          <w:rFonts w:hint="default" w:ascii="Times New Roman" w:hAnsi="Times New Roman" w:eastAsia="宋体" w:cs="Times New Roman"/>
          <w:color w:val="auto"/>
          <w:spacing w:val="20"/>
          <w:sz w:val="21"/>
          <w:szCs w:val="21"/>
          <w:highlight w:val="none"/>
          <w:lang w:eastAsia="zh-CN"/>
        </w:rPr>
        <w:t>供应商</w:t>
      </w:r>
      <w:r>
        <w:rPr>
          <w:rFonts w:hint="default" w:ascii="Times New Roman" w:hAnsi="Times New Roman" w:eastAsia="宋体" w:cs="Times New Roman"/>
          <w:color w:val="auto"/>
          <w:spacing w:val="20"/>
          <w:sz w:val="21"/>
          <w:szCs w:val="21"/>
          <w:highlight w:val="none"/>
        </w:rPr>
        <w:t>（盖公章）：</w:t>
      </w:r>
      <w:r>
        <w:rPr>
          <w:rFonts w:hint="default" w:ascii="Times New Roman" w:hAnsi="Times New Roman" w:eastAsia="宋体" w:cs="Times New Roman"/>
          <w:color w:val="auto"/>
          <w:spacing w:val="20"/>
          <w:sz w:val="21"/>
          <w:szCs w:val="21"/>
          <w:highlight w:val="none"/>
          <w:u w:val="single"/>
        </w:rPr>
        <w:t xml:space="preserve">            </w:t>
      </w:r>
      <w:r>
        <w:rPr>
          <w:rFonts w:hint="default" w:ascii="Times New Roman" w:hAnsi="Times New Roman" w:eastAsia="宋体" w:cs="Times New Roman"/>
          <w:color w:val="auto"/>
          <w:spacing w:val="20"/>
          <w:sz w:val="21"/>
          <w:szCs w:val="21"/>
          <w:highlight w:val="none"/>
        </w:rPr>
        <w:t xml:space="preserve">              </w:t>
      </w:r>
    </w:p>
    <w:p w14:paraId="37987425">
      <w:pPr>
        <w:ind w:firstLine="3570" w:firstLineChars="17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    年   月   日</w:t>
      </w:r>
    </w:p>
    <w:p w14:paraId="47130052">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br w:type="page"/>
      </w:r>
    </w:p>
    <w:p w14:paraId="426C32B0">
      <w:pPr>
        <w:numPr>
          <w:ilvl w:val="2"/>
          <w:numId w:val="11"/>
        </w:numPr>
        <w:ind w:left="0" w:leftChars="0" w:firstLine="0" w:firstLineChars="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供应商承诺函</w:t>
      </w:r>
    </w:p>
    <w:p w14:paraId="6126F492">
      <w:pPr>
        <w:numPr>
          <w:ilvl w:val="0"/>
          <w:numId w:val="0"/>
        </w:numPr>
        <w:ind w:leftChars="0"/>
        <w:rPr>
          <w:rFonts w:hint="default" w:ascii="Times New Roman" w:hAnsi="Times New Roman" w:eastAsia="宋体" w:cs="Times New Roman"/>
          <w:b/>
          <w:color w:val="auto"/>
          <w:sz w:val="24"/>
          <w:highlight w:val="none"/>
        </w:rPr>
      </w:pPr>
    </w:p>
    <w:p w14:paraId="7736ADF5">
      <w:pPr>
        <w:pStyle w:val="3"/>
        <w:bidi w:val="0"/>
        <w:jc w:val="center"/>
        <w:rPr>
          <w:rFonts w:hint="eastAsia"/>
          <w:color w:val="auto"/>
          <w:highlight w:val="none"/>
          <w:lang w:val="en-US" w:eastAsia="zh-CN"/>
        </w:rPr>
      </w:pPr>
      <w:r>
        <w:rPr>
          <w:color w:val="auto"/>
          <w:highlight w:val="none"/>
        </w:rPr>
        <w:t>供应商承诺函</w:t>
      </w:r>
    </w:p>
    <w:p w14:paraId="09DBE473">
      <w:pPr>
        <w:spacing w:before="69" w:line="220" w:lineRule="auto"/>
        <w:ind w:left="11"/>
        <w:rPr>
          <w:rFonts w:hint="eastAsia" w:ascii="宋体" w:hAnsi="宋体" w:eastAsia="宋体" w:cs="宋体"/>
          <w:color w:val="auto"/>
          <w:sz w:val="21"/>
          <w:szCs w:val="21"/>
          <w:highlight w:val="none"/>
          <w:lang w:val="en-US" w:eastAsia="zh-CN"/>
        </w:rPr>
      </w:pPr>
    </w:p>
    <w:p w14:paraId="69D5DA6C">
      <w:pPr>
        <w:spacing w:before="69" w:line="220" w:lineRule="auto"/>
        <w:ind w:left="1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我公司</w:t>
      </w:r>
      <w:r>
        <w:rPr>
          <w:rFonts w:ascii="宋体" w:hAnsi="宋体" w:eastAsia="宋体" w:cs="宋体"/>
          <w:color w:val="auto"/>
          <w:sz w:val="21"/>
          <w:szCs w:val="21"/>
          <w:highlight w:val="none"/>
        </w:rPr>
        <w:t>对征集文件的要求充</w:t>
      </w:r>
      <w:r>
        <w:rPr>
          <w:rFonts w:ascii="宋体" w:hAnsi="宋体" w:eastAsia="宋体" w:cs="宋体"/>
          <w:color w:val="auto"/>
          <w:spacing w:val="-1"/>
          <w:sz w:val="21"/>
          <w:szCs w:val="21"/>
          <w:highlight w:val="none"/>
        </w:rPr>
        <w:t>分知悉，现郑重承诺如下：</w:t>
      </w:r>
    </w:p>
    <w:p w14:paraId="011FF095">
      <w:pPr>
        <w:spacing w:before="309" w:line="478" w:lineRule="auto"/>
        <w:ind w:left="10" w:firstLine="652"/>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宋体" w:hAnsi="宋体" w:eastAsia="宋体" w:cs="宋体"/>
          <w:color w:val="auto"/>
          <w:spacing w:val="-1"/>
          <w:sz w:val="21"/>
          <w:szCs w:val="21"/>
          <w:highlight w:val="none"/>
        </w:rPr>
        <w:t>、我公司（单位）严格按照征集文件要求编制响应文件，承</w:t>
      </w:r>
      <w:r>
        <w:rPr>
          <w:rFonts w:ascii="宋体" w:hAnsi="宋体" w:eastAsia="宋体" w:cs="宋体"/>
          <w:color w:val="auto"/>
          <w:spacing w:val="-2"/>
          <w:sz w:val="21"/>
          <w:szCs w:val="21"/>
          <w:highlight w:val="none"/>
        </w:rPr>
        <w:t>诺提供的响应文件中所有内容、资料均真实、有效，并承担相应的法律责任。</w:t>
      </w:r>
    </w:p>
    <w:p w14:paraId="6338073C">
      <w:pPr>
        <w:spacing w:before="31" w:line="488" w:lineRule="auto"/>
        <w:ind w:right="74" w:firstLine="642"/>
        <w:jc w:val="both"/>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2</w:t>
      </w:r>
      <w:r>
        <w:rPr>
          <w:rFonts w:ascii="Times New Roman" w:hAnsi="Times New Roman" w:eastAsia="Times New Roman" w:cs="Times New Roman"/>
          <w:color w:val="auto"/>
          <w:spacing w:val="-13"/>
          <w:sz w:val="21"/>
          <w:szCs w:val="21"/>
          <w:highlight w:val="none"/>
        </w:rPr>
        <w:t xml:space="preserve"> </w:t>
      </w:r>
      <w:r>
        <w:rPr>
          <w:rFonts w:ascii="宋体" w:hAnsi="宋体" w:eastAsia="宋体" w:cs="宋体"/>
          <w:color w:val="auto"/>
          <w:spacing w:val="-1"/>
          <w:sz w:val="21"/>
          <w:szCs w:val="21"/>
          <w:highlight w:val="none"/>
        </w:rPr>
        <w:t>、我公司（单位）拟投入本项目人员均为本公司（单位）在职员工</w:t>
      </w:r>
      <w:r>
        <w:rPr>
          <w:rFonts w:ascii="宋体" w:hAnsi="宋体" w:eastAsia="宋体" w:cs="宋体"/>
          <w:color w:val="auto"/>
          <w:sz w:val="21"/>
          <w:szCs w:val="21"/>
          <w:highlight w:val="none"/>
        </w:rPr>
        <w:t>。其中，从业经验取得注册造价师或造</w:t>
      </w:r>
      <w:r>
        <w:rPr>
          <w:rFonts w:ascii="宋体" w:hAnsi="宋体" w:eastAsia="宋体" w:cs="宋体"/>
          <w:color w:val="auto"/>
          <w:spacing w:val="-1"/>
          <w:sz w:val="21"/>
          <w:szCs w:val="21"/>
          <w:highlight w:val="none"/>
        </w:rPr>
        <w:t>价员资格</w:t>
      </w:r>
      <w:r>
        <w:rPr>
          <w:rFonts w:ascii="宋体" w:hAnsi="宋体" w:eastAsia="宋体" w:cs="宋体"/>
          <w:color w:val="auto"/>
          <w:spacing w:val="-42"/>
          <w:sz w:val="21"/>
          <w:szCs w:val="21"/>
          <w:highlight w:val="none"/>
        </w:rPr>
        <w:t xml:space="preserve"> </w:t>
      </w:r>
      <w:r>
        <w:rPr>
          <w:rFonts w:ascii="Times New Roman" w:hAnsi="Times New Roman" w:eastAsia="Times New Roman" w:cs="Times New Roman"/>
          <w:color w:val="auto"/>
          <w:spacing w:val="-1"/>
          <w:sz w:val="21"/>
          <w:szCs w:val="21"/>
          <w:highlight w:val="none"/>
        </w:rPr>
        <w:t xml:space="preserve">5 </w:t>
      </w:r>
      <w:r>
        <w:rPr>
          <w:rFonts w:ascii="宋体" w:hAnsi="宋体" w:eastAsia="宋体" w:cs="宋体"/>
          <w:color w:val="auto"/>
          <w:spacing w:val="-1"/>
          <w:sz w:val="21"/>
          <w:szCs w:val="21"/>
          <w:highlight w:val="none"/>
        </w:rPr>
        <w:t>年及以上，且</w:t>
      </w:r>
      <w:r>
        <w:rPr>
          <w:rFonts w:ascii="宋体" w:hAnsi="宋体" w:eastAsia="宋体" w:cs="宋体"/>
          <w:color w:val="auto"/>
          <w:spacing w:val="-3"/>
          <w:sz w:val="21"/>
          <w:szCs w:val="21"/>
          <w:highlight w:val="none"/>
        </w:rPr>
        <w:t>从事工程造价咨询工作</w:t>
      </w:r>
      <w:r>
        <w:rPr>
          <w:rFonts w:ascii="宋体" w:hAnsi="宋体" w:eastAsia="宋体" w:cs="宋体"/>
          <w:color w:val="auto"/>
          <w:spacing w:val="-31"/>
          <w:sz w:val="21"/>
          <w:szCs w:val="21"/>
          <w:highlight w:val="none"/>
        </w:rPr>
        <w:t xml:space="preserve"> </w:t>
      </w:r>
      <w:r>
        <w:rPr>
          <w:rFonts w:ascii="Times New Roman" w:hAnsi="Times New Roman" w:eastAsia="Times New Roman" w:cs="Times New Roman"/>
          <w:color w:val="auto"/>
          <w:spacing w:val="-3"/>
          <w:sz w:val="21"/>
          <w:szCs w:val="21"/>
          <w:highlight w:val="none"/>
        </w:rPr>
        <w:t xml:space="preserve">8 </w:t>
      </w:r>
      <w:r>
        <w:rPr>
          <w:rFonts w:ascii="宋体" w:hAnsi="宋体" w:eastAsia="宋体" w:cs="宋体"/>
          <w:color w:val="auto"/>
          <w:spacing w:val="-3"/>
          <w:sz w:val="21"/>
          <w:szCs w:val="21"/>
          <w:highlight w:val="none"/>
        </w:rPr>
        <w:t>年及以上经验的共有</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 xml:space="preserve"> </w:t>
      </w:r>
      <w:r>
        <w:rPr>
          <w:rFonts w:ascii="宋体" w:hAnsi="宋体" w:eastAsia="宋体" w:cs="宋体"/>
          <w:color w:val="auto"/>
          <w:spacing w:val="-95"/>
          <w:sz w:val="21"/>
          <w:szCs w:val="21"/>
          <w:highlight w:val="none"/>
        </w:rPr>
        <w:t xml:space="preserve"> </w:t>
      </w:r>
      <w:r>
        <w:rPr>
          <w:rFonts w:ascii="宋体" w:hAnsi="宋体" w:eastAsia="宋体" w:cs="宋体"/>
          <w:color w:val="auto"/>
          <w:spacing w:val="-3"/>
          <w:sz w:val="21"/>
          <w:szCs w:val="21"/>
          <w:highlight w:val="none"/>
        </w:rPr>
        <w:t>人。</w:t>
      </w:r>
    </w:p>
    <w:p w14:paraId="430C3109">
      <w:pPr>
        <w:spacing w:before="31" w:line="483" w:lineRule="auto"/>
        <w:ind w:left="2" w:right="83" w:firstLine="64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3</w:t>
      </w:r>
      <w:r>
        <w:rPr>
          <w:rFonts w:ascii="宋体" w:hAnsi="宋体" w:eastAsia="宋体" w:cs="宋体"/>
          <w:color w:val="auto"/>
          <w:sz w:val="21"/>
          <w:szCs w:val="21"/>
          <w:highlight w:val="none"/>
        </w:rPr>
        <w:t>、我公司（单位）如有提供虚假材料谋取入围或者合同成交的情形，愿意接受</w:t>
      </w:r>
      <w:r>
        <w:rPr>
          <w:rFonts w:ascii="宋体" w:hAnsi="宋体" w:eastAsia="宋体" w:cs="宋体"/>
          <w:color w:val="auto"/>
          <w:spacing w:val="-1"/>
          <w:sz w:val="21"/>
          <w:szCs w:val="21"/>
          <w:highlight w:val="none"/>
        </w:rPr>
        <w:t>征集人取消</w:t>
      </w:r>
      <w:r>
        <w:rPr>
          <w:rFonts w:ascii="宋体" w:hAnsi="宋体" w:eastAsia="宋体" w:cs="宋体"/>
          <w:color w:val="auto"/>
          <w:sz w:val="21"/>
          <w:szCs w:val="21"/>
          <w:highlight w:val="none"/>
        </w:rPr>
        <w:t>本公司（单位）入围资格，解除或终止与本公司（单位）签订的框架协议及合同，并依照政</w:t>
      </w:r>
      <w:r>
        <w:rPr>
          <w:rFonts w:ascii="宋体" w:hAnsi="宋体" w:eastAsia="宋体" w:cs="宋体"/>
          <w:color w:val="auto"/>
          <w:spacing w:val="-1"/>
          <w:sz w:val="21"/>
          <w:szCs w:val="21"/>
          <w:highlight w:val="none"/>
        </w:rPr>
        <w:t>府采购法等有关法律、行政法规追究本公司（单位）法律责任。</w:t>
      </w:r>
    </w:p>
    <w:p w14:paraId="36F3119D">
      <w:pPr>
        <w:spacing w:before="33" w:line="478" w:lineRule="auto"/>
        <w:ind w:left="1" w:right="185" w:firstLine="640"/>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4</w:t>
      </w:r>
      <w:r>
        <w:rPr>
          <w:rFonts w:ascii="宋体" w:hAnsi="宋体" w:eastAsia="宋体" w:cs="宋体"/>
          <w:color w:val="auto"/>
          <w:sz w:val="21"/>
          <w:szCs w:val="21"/>
          <w:highlight w:val="none"/>
        </w:rPr>
        <w:t>、本公司（单位）若违反《政府采购框架协议采购方式管理暂行办法</w:t>
      </w:r>
      <w:r>
        <w:rPr>
          <w:rFonts w:ascii="宋体" w:hAnsi="宋体" w:eastAsia="宋体" w:cs="宋体"/>
          <w:color w:val="auto"/>
          <w:spacing w:val="-1"/>
          <w:sz w:val="21"/>
          <w:szCs w:val="21"/>
          <w:highlight w:val="none"/>
        </w:rPr>
        <w:t>》规定，给他人造成</w:t>
      </w:r>
      <w:r>
        <w:rPr>
          <w:rFonts w:ascii="宋体" w:hAnsi="宋体" w:eastAsia="宋体" w:cs="宋体"/>
          <w:color w:val="auto"/>
          <w:sz w:val="21"/>
          <w:szCs w:val="21"/>
          <w:highlight w:val="none"/>
        </w:rPr>
        <w:t>损失的，相关当事人可依法提起诉讼，由本公司（单位）承担赔偿</w:t>
      </w:r>
      <w:r>
        <w:rPr>
          <w:rFonts w:ascii="宋体" w:hAnsi="宋体" w:eastAsia="宋体" w:cs="宋体"/>
          <w:color w:val="auto"/>
          <w:spacing w:val="-1"/>
          <w:sz w:val="21"/>
          <w:szCs w:val="21"/>
          <w:highlight w:val="none"/>
        </w:rPr>
        <w:t>责任。</w:t>
      </w:r>
    </w:p>
    <w:p w14:paraId="1D9F0085">
      <w:pPr>
        <w:spacing w:before="32" w:line="480" w:lineRule="auto"/>
        <w:ind w:left="17" w:right="119" w:firstLine="630"/>
        <w:rPr>
          <w:rFonts w:ascii="宋体" w:hAnsi="宋体" w:eastAsia="宋体" w:cs="宋体"/>
          <w:color w:val="auto"/>
          <w:spacing w:val="-3"/>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0"/>
          <w:sz w:val="21"/>
          <w:szCs w:val="21"/>
          <w:highlight w:val="none"/>
        </w:rPr>
        <w:t xml:space="preserve"> </w:t>
      </w:r>
      <w:r>
        <w:rPr>
          <w:rFonts w:ascii="宋体" w:hAnsi="宋体" w:eastAsia="宋体" w:cs="宋体"/>
          <w:color w:val="auto"/>
          <w:spacing w:val="-3"/>
          <w:sz w:val="21"/>
          <w:szCs w:val="21"/>
          <w:highlight w:val="none"/>
        </w:rPr>
        <w:t>、本公司（单位）承接财政、审计部门投资评审业务期间，未发生</w:t>
      </w:r>
      <w:r>
        <w:rPr>
          <w:rFonts w:ascii="宋体" w:hAnsi="宋体" w:eastAsia="宋体" w:cs="宋体"/>
          <w:color w:val="auto"/>
          <w:spacing w:val="-2"/>
          <w:sz w:val="21"/>
          <w:szCs w:val="21"/>
          <w:highlight w:val="none"/>
        </w:rPr>
        <w:t>因质量</w:t>
      </w:r>
      <w:r>
        <w:rPr>
          <w:rFonts w:ascii="宋体" w:hAnsi="宋体" w:eastAsia="宋体" w:cs="宋体"/>
          <w:color w:val="auto"/>
          <w:spacing w:val="-3"/>
          <w:sz w:val="21"/>
          <w:szCs w:val="21"/>
          <w:highlight w:val="none"/>
        </w:rPr>
        <w:t>问题</w:t>
      </w:r>
      <w:r>
        <w:rPr>
          <w:rFonts w:hint="eastAsia" w:ascii="宋体" w:hAnsi="宋体" w:cs="宋体"/>
          <w:color w:val="auto"/>
          <w:spacing w:val="-3"/>
          <w:sz w:val="21"/>
          <w:szCs w:val="21"/>
          <w:highlight w:val="none"/>
          <w:lang w:val="en-US" w:eastAsia="zh-CN"/>
        </w:rPr>
        <w:t>或</w:t>
      </w:r>
      <w:r>
        <w:rPr>
          <w:rFonts w:hint="eastAsia" w:ascii="宋体" w:hAnsi="宋体" w:eastAsia="宋体" w:cs="宋体"/>
          <w:color w:val="auto"/>
          <w:spacing w:val="-3"/>
          <w:sz w:val="21"/>
          <w:szCs w:val="21"/>
          <w:highlight w:val="none"/>
          <w:lang w:eastAsia="zh-CN"/>
        </w:rPr>
        <w:t>其出具的结算报告失实导致超付工程款问题产生诉讼情况</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被终止合作业务的情形。</w:t>
      </w:r>
    </w:p>
    <w:p w14:paraId="09F6A2C0">
      <w:pPr>
        <w:numPr>
          <w:ilvl w:val="0"/>
          <w:numId w:val="0"/>
        </w:numPr>
        <w:ind w:leftChars="0"/>
        <w:rPr>
          <w:rFonts w:hint="default" w:ascii="Times New Roman" w:hAnsi="Times New Roman" w:eastAsia="宋体" w:cs="Times New Roman"/>
          <w:b/>
          <w:color w:val="auto"/>
          <w:sz w:val="24"/>
          <w:highlight w:val="none"/>
        </w:rPr>
      </w:pPr>
    </w:p>
    <w:p w14:paraId="2F6BC48E">
      <w:pPr>
        <w:ind w:firstLine="3708" w:firstLineChars="1800"/>
        <w:rPr>
          <w:rFonts w:ascii="宋体" w:hAnsi="宋体" w:eastAsia="宋体" w:cs="宋体"/>
          <w:color w:val="auto"/>
          <w:spacing w:val="-3"/>
          <w:sz w:val="21"/>
          <w:szCs w:val="21"/>
          <w:highlight w:val="none"/>
        </w:rPr>
      </w:pPr>
      <w:r>
        <w:rPr>
          <w:rFonts w:ascii="宋体" w:hAnsi="宋体" w:eastAsia="宋体" w:cs="宋体"/>
          <w:color w:val="auto"/>
          <w:spacing w:val="-2"/>
          <w:sz w:val="21"/>
          <w:szCs w:val="21"/>
          <w:highlight w:val="none"/>
        </w:rPr>
        <w:t>供应商名称</w:t>
      </w:r>
      <w:r>
        <w:rPr>
          <w:rFonts w:hint="eastAsia" w:ascii="Times New Roman" w:hAnsi="Times New Roman" w:eastAsia="宋体" w:cs="Times New Roman"/>
          <w:color w:val="auto"/>
          <w:spacing w:val="-2"/>
          <w:sz w:val="21"/>
          <w:szCs w:val="21"/>
          <w:highlight w:val="none"/>
          <w:lang w:eastAsia="zh-CN"/>
        </w:rPr>
        <w:t>（</w:t>
      </w:r>
      <w:r>
        <w:rPr>
          <w:rFonts w:ascii="宋体" w:hAnsi="宋体" w:eastAsia="宋体" w:cs="宋体"/>
          <w:color w:val="auto"/>
          <w:spacing w:val="-2"/>
          <w:sz w:val="21"/>
          <w:szCs w:val="21"/>
          <w:highlight w:val="none"/>
        </w:rPr>
        <w:t>电子签章</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r>
        <w:rPr>
          <w:rFonts w:ascii="宋体" w:hAnsi="宋体" w:eastAsia="宋体" w:cs="宋体"/>
          <w:color w:val="auto"/>
          <w:spacing w:val="-66"/>
          <w:sz w:val="21"/>
          <w:szCs w:val="21"/>
          <w:highlight w:val="none"/>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 xml:space="preserve">            </w:t>
      </w:r>
      <w:r>
        <w:rPr>
          <w:rFonts w:ascii="宋体" w:hAnsi="宋体" w:eastAsia="宋体" w:cs="宋体"/>
          <w:color w:val="auto"/>
          <w:spacing w:val="-3"/>
          <w:sz w:val="21"/>
          <w:szCs w:val="21"/>
          <w:highlight w:val="none"/>
        </w:rPr>
        <w:t xml:space="preserve"> </w:t>
      </w:r>
    </w:p>
    <w:p w14:paraId="6A583FC0">
      <w:pPr>
        <w:rPr>
          <w:rFonts w:ascii="宋体" w:hAnsi="宋体" w:eastAsia="宋体" w:cs="宋体"/>
          <w:color w:val="auto"/>
          <w:spacing w:val="-3"/>
          <w:sz w:val="21"/>
          <w:szCs w:val="21"/>
          <w:highlight w:val="none"/>
        </w:rPr>
      </w:pPr>
    </w:p>
    <w:p w14:paraId="3C4CCD02">
      <w:pPr>
        <w:ind w:firstLine="5304" w:firstLineChars="2600"/>
        <w:rPr>
          <w:rFonts w:hint="eastAsia" w:ascii="宋体" w:hAnsi="宋体" w:eastAsia="宋体" w:cs="宋体"/>
          <w:b/>
          <w:color w:val="auto"/>
          <w:sz w:val="28"/>
          <w:szCs w:val="28"/>
          <w:highlight w:val="none"/>
        </w:rPr>
      </w:pPr>
      <w:r>
        <w:rPr>
          <w:rFonts w:ascii="宋体" w:hAnsi="宋体" w:eastAsia="宋体" w:cs="宋体"/>
          <w:color w:val="auto"/>
          <w:spacing w:val="-3"/>
          <w:sz w:val="21"/>
          <w:szCs w:val="21"/>
          <w:highlight w:val="none"/>
        </w:rPr>
        <w:t>日</w:t>
      </w:r>
      <w:r>
        <w:rPr>
          <w:rFonts w:ascii="宋体" w:hAnsi="宋体" w:eastAsia="宋体" w:cs="宋体"/>
          <w:color w:val="auto"/>
          <w:spacing w:val="98"/>
          <w:sz w:val="21"/>
          <w:szCs w:val="21"/>
          <w:highlight w:val="none"/>
        </w:rPr>
        <w:t xml:space="preserve"> </w:t>
      </w:r>
      <w:r>
        <w:rPr>
          <w:rFonts w:ascii="宋体" w:hAnsi="宋体" w:eastAsia="宋体" w:cs="宋体"/>
          <w:color w:val="auto"/>
          <w:spacing w:val="-3"/>
          <w:sz w:val="21"/>
          <w:szCs w:val="21"/>
          <w:highlight w:val="none"/>
        </w:rPr>
        <w:t>期：</w:t>
      </w:r>
      <w:r>
        <w:rPr>
          <w:rFonts w:ascii="宋体" w:hAnsi="宋体" w:eastAsia="宋体" w:cs="宋体"/>
          <w:color w:val="auto"/>
          <w:spacing w:val="-36"/>
          <w:sz w:val="21"/>
          <w:szCs w:val="21"/>
          <w:highlight w:val="none"/>
        </w:rPr>
        <w:t xml:space="preserve"> </w:t>
      </w:r>
      <w:r>
        <w:rPr>
          <w:rFonts w:ascii="宋体" w:hAnsi="宋体" w:eastAsia="宋体" w:cs="宋体"/>
          <w:color w:val="auto"/>
          <w:sz w:val="21"/>
          <w:szCs w:val="21"/>
          <w:highlight w:val="none"/>
          <w:u w:val="single" w:color="auto"/>
        </w:rPr>
        <w:t xml:space="preserve">                 </w:t>
      </w:r>
      <w:r>
        <w:rPr>
          <w:rFonts w:hint="eastAsia" w:ascii="宋体" w:hAnsi="宋体" w:eastAsia="宋体" w:cs="宋体"/>
          <w:b/>
          <w:bCs/>
          <w:color w:val="auto"/>
          <w:sz w:val="24"/>
          <w:highlight w:val="none"/>
        </w:rPr>
        <w:br w:type="page"/>
      </w:r>
      <w:bookmarkStart w:id="130" w:name="_Toc19686840"/>
      <w:r>
        <w:rPr>
          <w:rFonts w:hint="eastAsia" w:ascii="宋体" w:hAnsi="宋体" w:eastAsia="宋体" w:cs="宋体"/>
          <w:b/>
          <w:color w:val="auto"/>
          <w:sz w:val="28"/>
          <w:szCs w:val="28"/>
          <w:highlight w:val="none"/>
        </w:rPr>
        <w:t>六、其他文书、文件格式</w:t>
      </w:r>
      <w:bookmarkEnd w:id="130"/>
    </w:p>
    <w:p w14:paraId="23C4FC29">
      <w:pPr>
        <w:spacing w:before="120" w:beforeLines="50" w:after="120" w:afterLines="50" w:line="400" w:lineRule="exact"/>
        <w:rPr>
          <w:rFonts w:hint="eastAsia" w:ascii="宋体" w:hAnsi="宋体" w:eastAsia="宋体" w:cs="宋体"/>
          <w:color w:val="auto"/>
          <w:sz w:val="24"/>
          <w:highlight w:val="none"/>
        </w:rPr>
      </w:pPr>
    </w:p>
    <w:p w14:paraId="71FC919E">
      <w:pPr>
        <w:snapToGrid w:val="0"/>
        <w:spacing w:before="120" w:beforeLines="50" w:after="50"/>
        <w:jc w:val="left"/>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.中小企业声明函格式</w:t>
      </w:r>
    </w:p>
    <w:p w14:paraId="64E0CB6E">
      <w:pPr>
        <w:rPr>
          <w:rFonts w:hint="eastAsia" w:ascii="宋体" w:hAnsi="宋体" w:eastAsia="宋体" w:cs="宋体"/>
          <w:color w:val="auto"/>
          <w:highlight w:val="none"/>
        </w:rPr>
      </w:pPr>
    </w:p>
    <w:p w14:paraId="2E52CF62">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中小企业声明函（服务）</w:t>
      </w:r>
    </w:p>
    <w:p w14:paraId="1A6517D2">
      <w:pPr>
        <w:spacing w:before="2" w:line="500" w:lineRule="exact"/>
        <w:rPr>
          <w:rFonts w:hint="eastAsia" w:ascii="宋体" w:hAnsi="宋体" w:eastAsia="宋体" w:cs="宋体"/>
          <w:b/>
          <w:bCs/>
          <w:color w:val="auto"/>
          <w:sz w:val="24"/>
          <w:highlight w:val="none"/>
        </w:rPr>
      </w:pPr>
    </w:p>
    <w:p w14:paraId="4ABF92F1">
      <w:pPr>
        <w:pStyle w:val="17"/>
        <w:spacing w:line="500" w:lineRule="exact"/>
        <w:ind w:right="142"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本公司（联合体）郑重声明，根据《政府采购促进中小企业发展管理办法》（财库﹝2020﹞46号）的规定，本公司（联合体）参加</w:t>
      </w:r>
      <w:r>
        <w:rPr>
          <w:rFonts w:hint="default" w:ascii="Times New Roman" w:hAnsi="Times New Roman" w:eastAsia="宋体" w:cs="Times New Roman"/>
          <w:color w:val="auto"/>
          <w:sz w:val="21"/>
          <w:szCs w:val="21"/>
          <w:highlight w:val="none"/>
          <w:u w:val="single"/>
        </w:rPr>
        <w:t>（单位名称）</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u w:val="single"/>
        </w:rPr>
        <w:t>（项目名称）</w:t>
      </w:r>
      <w:r>
        <w:rPr>
          <w:rFonts w:hint="default" w:ascii="Times New Roman" w:hAnsi="Times New Roman" w:eastAsia="宋体" w:cs="Times New Roman"/>
          <w:color w:val="auto"/>
          <w:sz w:val="21"/>
          <w:szCs w:val="21"/>
          <w:highlight w:val="none"/>
        </w:rPr>
        <w:t>采购活动，服务全部由符合政策要求的中小企业承接。相关企业（含联合体中的中小企业、签订分包意向协议的中小企业）的具体情况如下：</w:t>
      </w:r>
    </w:p>
    <w:p w14:paraId="16BE5648">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u w:val="single"/>
        </w:rPr>
        <w:t>（标的名称）</w:t>
      </w:r>
      <w:r>
        <w:rPr>
          <w:rFonts w:hint="default" w:ascii="Times New Roman" w:hAnsi="Times New Roman" w:eastAsia="宋体" w:cs="Times New Roman"/>
          <w:color w:val="auto"/>
          <w:sz w:val="21"/>
          <w:szCs w:val="21"/>
          <w:highlight w:val="none"/>
        </w:rPr>
        <w:t>，属于</w:t>
      </w:r>
      <w:r>
        <w:rPr>
          <w:rFonts w:hint="default" w:ascii="Times New Roman" w:hAnsi="Times New Roman" w:eastAsia="宋体" w:cs="Times New Roman"/>
          <w:color w:val="auto"/>
          <w:sz w:val="21"/>
          <w:szCs w:val="21"/>
          <w:highlight w:val="none"/>
          <w:u w:val="single"/>
        </w:rPr>
        <w:t>（采购文件中明确的所属行业）</w:t>
      </w:r>
      <w:r>
        <w:rPr>
          <w:rFonts w:hint="default" w:ascii="Times New Roman" w:hAnsi="Times New Roman" w:eastAsia="宋体" w:cs="Times New Roman"/>
          <w:color w:val="auto"/>
          <w:sz w:val="21"/>
          <w:szCs w:val="21"/>
          <w:highlight w:val="none"/>
        </w:rPr>
        <w:t>；承接企业为</w:t>
      </w:r>
      <w:r>
        <w:rPr>
          <w:rFonts w:hint="default" w:ascii="Times New Roman" w:hAnsi="Times New Roman" w:eastAsia="宋体" w:cs="Times New Roman"/>
          <w:color w:val="auto"/>
          <w:sz w:val="21"/>
          <w:szCs w:val="21"/>
          <w:highlight w:val="none"/>
          <w:u w:val="single"/>
        </w:rPr>
        <w:t>（企业名称）</w:t>
      </w:r>
      <w:r>
        <w:rPr>
          <w:rFonts w:hint="default" w:ascii="Times New Roman" w:hAnsi="Times New Roman" w:eastAsia="宋体" w:cs="Times New Roman"/>
          <w:color w:val="auto"/>
          <w:sz w:val="21"/>
          <w:szCs w:val="21"/>
          <w:highlight w:val="none"/>
        </w:rPr>
        <w:t>，从业人员</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万元，属于</w:t>
      </w:r>
      <w:r>
        <w:rPr>
          <w:rFonts w:hint="default" w:ascii="Times New Roman" w:hAnsi="Times New Roman" w:eastAsia="宋体" w:cs="Times New Roman"/>
          <w:color w:val="auto"/>
          <w:sz w:val="21"/>
          <w:szCs w:val="21"/>
          <w:highlight w:val="none"/>
          <w:u w:val="single"/>
        </w:rPr>
        <w:t>（中型企业、小型企业、微型企业）</w:t>
      </w:r>
      <w:r>
        <w:rPr>
          <w:rFonts w:hint="default" w:ascii="Times New Roman" w:hAnsi="Times New Roman" w:eastAsia="宋体" w:cs="Times New Roman"/>
          <w:color w:val="auto"/>
          <w:sz w:val="21"/>
          <w:szCs w:val="21"/>
          <w:highlight w:val="none"/>
        </w:rPr>
        <w:t>；</w:t>
      </w:r>
    </w:p>
    <w:p w14:paraId="2BE4D5CF">
      <w:pPr>
        <w:tabs>
          <w:tab w:val="left" w:pos="1065"/>
          <w:tab w:val="left" w:pos="4262"/>
          <w:tab w:val="left" w:pos="6477"/>
        </w:tabs>
        <w:spacing w:before="20" w:line="500" w:lineRule="exact"/>
        <w:ind w:right="84" w:firstLine="600" w:firstLineChars="286"/>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u w:val="single"/>
        </w:rPr>
        <w:t>（标的名称）</w:t>
      </w:r>
      <w:r>
        <w:rPr>
          <w:rFonts w:hint="default" w:ascii="Times New Roman" w:hAnsi="Times New Roman" w:eastAsia="宋体" w:cs="Times New Roman"/>
          <w:color w:val="auto"/>
          <w:sz w:val="21"/>
          <w:szCs w:val="21"/>
          <w:highlight w:val="none"/>
        </w:rPr>
        <w:t>，属于</w:t>
      </w:r>
      <w:r>
        <w:rPr>
          <w:rFonts w:hint="default" w:ascii="Times New Roman" w:hAnsi="Times New Roman" w:eastAsia="宋体" w:cs="Times New Roman"/>
          <w:color w:val="auto"/>
          <w:sz w:val="21"/>
          <w:szCs w:val="21"/>
          <w:highlight w:val="none"/>
          <w:u w:val="single"/>
        </w:rPr>
        <w:t>（采购文件中明确的所属行业）</w:t>
      </w:r>
      <w:r>
        <w:rPr>
          <w:rFonts w:hint="default" w:ascii="Times New Roman" w:hAnsi="Times New Roman" w:eastAsia="宋体" w:cs="Times New Roman"/>
          <w:color w:val="auto"/>
          <w:sz w:val="21"/>
          <w:szCs w:val="21"/>
          <w:highlight w:val="none"/>
        </w:rPr>
        <w:t>；承接企业为</w:t>
      </w:r>
      <w:r>
        <w:rPr>
          <w:rFonts w:hint="default" w:ascii="Times New Roman" w:hAnsi="Times New Roman" w:eastAsia="宋体" w:cs="Times New Roman"/>
          <w:color w:val="auto"/>
          <w:sz w:val="21"/>
          <w:szCs w:val="21"/>
          <w:highlight w:val="none"/>
          <w:u w:val="single"/>
        </w:rPr>
        <w:t>（企业名称）</w:t>
      </w:r>
      <w:r>
        <w:rPr>
          <w:rFonts w:hint="default" w:ascii="Times New Roman" w:hAnsi="Times New Roman" w:eastAsia="宋体" w:cs="Times New Roman"/>
          <w:color w:val="auto"/>
          <w:sz w:val="21"/>
          <w:szCs w:val="21"/>
          <w:highlight w:val="none"/>
        </w:rPr>
        <w:t>，从业人员</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万元，属于</w:t>
      </w:r>
      <w:r>
        <w:rPr>
          <w:rFonts w:hint="default" w:ascii="Times New Roman" w:hAnsi="Times New Roman" w:eastAsia="宋体" w:cs="Times New Roman"/>
          <w:color w:val="auto"/>
          <w:sz w:val="21"/>
          <w:szCs w:val="21"/>
          <w:highlight w:val="none"/>
          <w:u w:val="single"/>
        </w:rPr>
        <w:t>（中型企业、小型企业、微型企业）</w:t>
      </w:r>
      <w:r>
        <w:rPr>
          <w:rFonts w:hint="default" w:ascii="Times New Roman" w:hAnsi="Times New Roman" w:eastAsia="宋体" w:cs="Times New Roman"/>
          <w:color w:val="auto"/>
          <w:sz w:val="21"/>
          <w:szCs w:val="21"/>
          <w:highlight w:val="none"/>
        </w:rPr>
        <w:t>；</w:t>
      </w:r>
    </w:p>
    <w:p w14:paraId="1257BFC2">
      <w:pPr>
        <w:pStyle w:val="17"/>
        <w:spacing w:before="34" w:line="500" w:lineRule="exact"/>
        <w:ind w:left="765" w:right="142" w:hanging="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14:paraId="4BD935D5">
      <w:pPr>
        <w:pStyle w:val="17"/>
        <w:spacing w:before="34" w:line="500" w:lineRule="exact"/>
        <w:ind w:right="142"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以上企业，不属于大企业的分支机构，不存在控股股东为大企业的情形，也不存在与大企业的负责人为同一人的情形。</w:t>
      </w:r>
    </w:p>
    <w:p w14:paraId="21BD0FF3">
      <w:pPr>
        <w:pStyle w:val="17"/>
        <w:spacing w:before="34" w:line="500" w:lineRule="exact"/>
        <w:ind w:right="142"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本企业对上述声明内容的真实性负责。如有虚假，将依法承担相应责任。</w:t>
      </w:r>
    </w:p>
    <w:p w14:paraId="5076B6F3">
      <w:pPr>
        <w:pStyle w:val="17"/>
        <w:spacing w:before="56" w:line="500" w:lineRule="exact"/>
        <w:ind w:left="3960" w:right="180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企业名称（章）： </w:t>
      </w:r>
    </w:p>
    <w:p w14:paraId="591FA62A">
      <w:pPr>
        <w:pStyle w:val="17"/>
        <w:spacing w:before="56" w:line="500" w:lineRule="exact"/>
        <w:ind w:left="3960" w:right="180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 期：</w:t>
      </w:r>
    </w:p>
    <w:p w14:paraId="7DBBA53A">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 xml:space="preserve"> </w:t>
      </w:r>
    </w:p>
    <w:p w14:paraId="4226EA2F">
      <w:pPr>
        <w:spacing w:line="360" w:lineRule="auto"/>
        <w:rPr>
          <w:rFonts w:hint="eastAsia" w:ascii="宋体" w:hAnsi="宋体" w:eastAsia="宋体" w:cs="宋体"/>
          <w:b/>
          <w:color w:val="auto"/>
          <w:sz w:val="24"/>
          <w:highlight w:val="none"/>
        </w:rPr>
      </w:pPr>
      <w:r>
        <w:rPr>
          <w:rFonts w:hint="default" w:ascii="Times New Roman" w:hAnsi="Times New Roman" w:eastAsia="宋体" w:cs="Times New Roman"/>
          <w:color w:val="auto"/>
          <w:sz w:val="21"/>
          <w:szCs w:val="21"/>
          <w:highlight w:val="none"/>
        </w:rPr>
        <w:t>注：享受《政府采购促进中小企业发展管理办法》（财库〔2020〕46号）规定的中小企业扶持政策的，</w:t>
      </w:r>
      <w:r>
        <w:rPr>
          <w:rFonts w:hint="default" w:ascii="Times New Roman" w:hAnsi="Times New Roman" w:eastAsia="宋体" w:cs="Times New Roman"/>
          <w:color w:val="auto"/>
          <w:sz w:val="21"/>
          <w:szCs w:val="21"/>
          <w:highlight w:val="none"/>
          <w:lang w:eastAsia="zh-CN"/>
        </w:rPr>
        <w:t>征集人</w:t>
      </w:r>
      <w:r>
        <w:rPr>
          <w:rFonts w:hint="default" w:ascii="Times New Roman" w:hAnsi="Times New Roman" w:eastAsia="宋体" w:cs="Times New Roman"/>
          <w:color w:val="auto"/>
          <w:sz w:val="21"/>
          <w:szCs w:val="21"/>
          <w:highlight w:val="none"/>
        </w:rPr>
        <w:t>、采购代理机构应当随中标结果公开中标供应商的《中小企业声明函》。从业人员、营业收入、资产总额填报上一年度数据，无上一年度数据的新成立企业可不填报。</w:t>
      </w:r>
      <w:r>
        <w:rPr>
          <w:rFonts w:hint="default" w:ascii="Times New Roman" w:hAnsi="Times New Roman" w:eastAsia="宋体" w:cs="Times New Roman"/>
          <w:color w:val="auto"/>
          <w:sz w:val="21"/>
          <w:szCs w:val="21"/>
          <w:highlight w:val="none"/>
        </w:rPr>
        <w:br w:type="page"/>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.残疾人福利性单位声明函格式</w:t>
      </w:r>
    </w:p>
    <w:p w14:paraId="719D39C0">
      <w:pPr>
        <w:spacing w:line="588" w:lineRule="exact"/>
        <w:jc w:val="center"/>
        <w:rPr>
          <w:rFonts w:hint="eastAsia" w:ascii="宋体" w:hAnsi="宋体" w:eastAsia="宋体" w:cs="宋体"/>
          <w:b/>
          <w:color w:val="auto"/>
          <w:spacing w:val="6"/>
          <w:sz w:val="32"/>
          <w:szCs w:val="32"/>
          <w:highlight w:val="none"/>
        </w:rPr>
      </w:pPr>
      <w:bookmarkStart w:id="131" w:name="OLE_LINK14"/>
      <w:bookmarkStart w:id="132" w:name="OLE_LINK13"/>
    </w:p>
    <w:p w14:paraId="21D59E14">
      <w:pPr>
        <w:spacing w:line="588" w:lineRule="exact"/>
        <w:jc w:val="center"/>
        <w:rPr>
          <w:rFonts w:hint="eastAsia" w:ascii="宋体" w:hAnsi="宋体" w:eastAsia="宋体" w:cs="宋体"/>
          <w:bCs/>
          <w:color w:val="auto"/>
          <w:spacing w:val="6"/>
          <w:sz w:val="32"/>
          <w:szCs w:val="32"/>
          <w:highlight w:val="none"/>
        </w:rPr>
      </w:pPr>
      <w:r>
        <w:rPr>
          <w:rFonts w:hint="eastAsia" w:ascii="宋体" w:hAnsi="宋体" w:eastAsia="宋体" w:cs="宋体"/>
          <w:bCs/>
          <w:color w:val="auto"/>
          <w:spacing w:val="6"/>
          <w:sz w:val="32"/>
          <w:szCs w:val="32"/>
          <w:highlight w:val="none"/>
        </w:rPr>
        <w:t>残疾人福利性单位声明函</w:t>
      </w:r>
    </w:p>
    <w:bookmarkEnd w:id="131"/>
    <w:bookmarkEnd w:id="132"/>
    <w:p w14:paraId="62202C94">
      <w:pPr>
        <w:spacing w:line="588" w:lineRule="exact"/>
        <w:rPr>
          <w:rFonts w:hint="eastAsia" w:ascii="宋体" w:hAnsi="宋体" w:eastAsia="宋体" w:cs="宋体"/>
          <w:b/>
          <w:color w:val="auto"/>
          <w:spacing w:val="6"/>
          <w:sz w:val="30"/>
          <w:szCs w:val="30"/>
          <w:highlight w:val="none"/>
        </w:rPr>
      </w:pPr>
    </w:p>
    <w:p w14:paraId="0A31F740">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本单位郑重声明，根据《财政部 民政部 中国残疾人联合会关于促进残疾人就业政府采购政策的通知》（财库</w:t>
      </w:r>
      <w:r>
        <w:rPr>
          <w:rFonts w:hint="eastAsia" w:ascii="Times New Roman" w:hAnsi="Times New Roman" w:eastAsia="宋体" w:cs="Times New Roman"/>
          <w:color w:val="auto"/>
          <w:spacing w:val="6"/>
          <w:sz w:val="21"/>
          <w:szCs w:val="21"/>
          <w:highlight w:val="none"/>
          <w:lang w:eastAsia="zh-CN"/>
        </w:rPr>
        <w:t>〔2017〕141号</w:t>
      </w:r>
      <w:r>
        <w:rPr>
          <w:rFonts w:hint="default" w:ascii="Times New Roman" w:hAnsi="Times New Roman" w:eastAsia="宋体" w:cs="Times New Roman"/>
          <w:color w:val="auto"/>
          <w:spacing w:val="6"/>
          <w:sz w:val="21"/>
          <w:szCs w:val="21"/>
          <w:highlight w:val="none"/>
        </w:rPr>
        <w:t>）的规定，本单位为符合条件的残疾人福利性单位，且本单位参加______单位的______项目采购活动提供本单位制造的货物（由本单位承担工程/提供服务），或者提供其他残</w:t>
      </w:r>
      <w:r>
        <w:rPr>
          <w:rFonts w:hint="default" w:ascii="Times New Roman" w:hAnsi="Times New Roman" w:eastAsia="宋体" w:cs="Times New Roman"/>
          <w:color w:val="auto"/>
          <w:spacing w:val="-6"/>
          <w:sz w:val="21"/>
          <w:szCs w:val="21"/>
          <w:highlight w:val="none"/>
        </w:rPr>
        <w:t>疾人福利性单位制造的货物（不包括使用非残疾人福利性单位注册商标的货物）。</w:t>
      </w:r>
    </w:p>
    <w:p w14:paraId="4B4912AC">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本单位对上述声明的真实性负责。如有虚假，将依法承担相应责任。</w:t>
      </w:r>
    </w:p>
    <w:p w14:paraId="1E529DDD">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p>
    <w:p w14:paraId="17BF9388">
      <w:pPr>
        <w:spacing w:line="360" w:lineRule="auto"/>
        <w:ind w:firstLine="444" w:firstLineChars="200"/>
        <w:contextualSpacing/>
        <w:rPr>
          <w:rFonts w:hint="default" w:ascii="Times New Roman" w:hAnsi="Times New Roman" w:eastAsia="宋体" w:cs="Times New Roman"/>
          <w:color w:val="auto"/>
          <w:spacing w:val="6"/>
          <w:sz w:val="21"/>
          <w:szCs w:val="21"/>
          <w:highlight w:val="none"/>
        </w:rPr>
      </w:pPr>
    </w:p>
    <w:p w14:paraId="2DEB300E">
      <w:pPr>
        <w:tabs>
          <w:tab w:val="left" w:pos="4860"/>
        </w:tabs>
        <w:spacing w:line="360" w:lineRule="auto"/>
        <w:ind w:right="1560" w:firstLine="444" w:firstLineChars="200"/>
        <w:contextualSpacing/>
        <w:jc w:val="center"/>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单位名称（盖公章）：</w:t>
      </w:r>
    </w:p>
    <w:p w14:paraId="5010C3D4">
      <w:pPr>
        <w:tabs>
          <w:tab w:val="left" w:pos="4860"/>
        </w:tabs>
        <w:spacing w:line="360" w:lineRule="auto"/>
        <w:ind w:right="1560" w:firstLine="2664" w:firstLineChars="1200"/>
        <w:contextualSpacing/>
        <w:jc w:val="both"/>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日  期：</w:t>
      </w:r>
    </w:p>
    <w:p w14:paraId="6047A72A">
      <w:pPr>
        <w:spacing w:line="360" w:lineRule="auto"/>
        <w:contextualSpacing/>
        <w:rPr>
          <w:rFonts w:hint="eastAsia" w:ascii="宋体" w:hAnsi="宋体" w:eastAsia="宋体" w:cs="宋体"/>
          <w:color w:val="auto"/>
          <w:sz w:val="24"/>
          <w:highlight w:val="none"/>
        </w:rPr>
      </w:pPr>
    </w:p>
    <w:p w14:paraId="24E8E0DB">
      <w:pPr>
        <w:spacing w:line="360" w:lineRule="auto"/>
        <w:contextualSpacing/>
        <w:rPr>
          <w:rFonts w:hint="eastAsia" w:ascii="宋体" w:hAnsi="宋体" w:eastAsia="宋体" w:cs="宋体"/>
          <w:color w:val="auto"/>
          <w:sz w:val="24"/>
          <w:highlight w:val="none"/>
        </w:rPr>
      </w:pPr>
    </w:p>
    <w:p w14:paraId="42B12BFA">
      <w:pPr>
        <w:spacing w:line="360" w:lineRule="auto"/>
        <w:contextualSpacing/>
        <w:rPr>
          <w:rFonts w:hint="eastAsia" w:ascii="宋体" w:hAnsi="宋体" w:eastAsia="宋体" w:cs="宋体"/>
          <w:color w:val="auto"/>
          <w:sz w:val="24"/>
          <w:highlight w:val="none"/>
        </w:rPr>
      </w:pPr>
    </w:p>
    <w:p w14:paraId="114D0562">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或者采购代理机构在公告中标结果时，同时公告其《残疾人福利性单位声明函》，接受社会监督。</w:t>
      </w:r>
    </w:p>
    <w:p w14:paraId="47C5011A">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default" w:ascii="Times New Roman" w:hAnsi="Times New Roman" w:eastAsia="宋体" w:cs="Times New Roman"/>
          <w:b/>
          <w:color w:val="auto"/>
          <w:sz w:val="24"/>
          <w:highlight w:val="none"/>
          <w:lang w:val="en-US" w:eastAsia="zh-CN"/>
        </w:rPr>
        <w:t>3</w:t>
      </w:r>
      <w:r>
        <w:rPr>
          <w:rFonts w:hint="default" w:ascii="Times New Roman" w:hAnsi="Times New Roman" w:eastAsia="宋体" w:cs="Times New Roman"/>
          <w:b/>
          <w:color w:val="auto"/>
          <w:sz w:val="24"/>
          <w:highlight w:val="none"/>
        </w:rPr>
        <w:t>.质疑函（格式）</w:t>
      </w:r>
    </w:p>
    <w:p w14:paraId="25E07B0B">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质疑函（格式）</w:t>
      </w:r>
    </w:p>
    <w:p w14:paraId="2A11A629">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7F6E7747">
      <w:pPr>
        <w:pStyle w:val="2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FBC968">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CE284E7">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E5CE316">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0C8D4113">
      <w:pPr>
        <w:pStyle w:val="23"/>
        <w:snapToGri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4400710D">
      <w:pPr>
        <w:pStyle w:val="23"/>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989A981">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0B6DF8DB">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0C00A257">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634063DE">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名称：</w:t>
      </w:r>
      <w:r>
        <w:rPr>
          <w:rFonts w:hint="eastAsia" w:ascii="宋体" w:hAnsi="宋体" w:eastAsia="宋体" w:cs="宋体"/>
          <w:bCs/>
          <w:color w:val="auto"/>
          <w:sz w:val="21"/>
          <w:szCs w:val="21"/>
          <w:highlight w:val="none"/>
          <w:u w:val="single"/>
        </w:rPr>
        <w:t xml:space="preserve">                                         </w:t>
      </w:r>
    </w:p>
    <w:p w14:paraId="39DD3D67">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5884B2AB">
      <w:pPr>
        <w:pStyle w:val="23"/>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获取日期：</w:t>
      </w:r>
      <w:r>
        <w:rPr>
          <w:rFonts w:hint="eastAsia" w:ascii="宋体" w:hAnsi="宋体" w:eastAsia="宋体" w:cs="宋体"/>
          <w:bCs/>
          <w:color w:val="auto"/>
          <w:sz w:val="21"/>
          <w:szCs w:val="21"/>
          <w:highlight w:val="none"/>
          <w:u w:val="single"/>
        </w:rPr>
        <w:t xml:space="preserve">                                   </w:t>
      </w:r>
    </w:p>
    <w:p w14:paraId="75B46BC3">
      <w:pPr>
        <w:pStyle w:val="23"/>
        <w:spacing w:line="36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58A3E884">
      <w:pPr>
        <w:pStyle w:val="23"/>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□中标结果   </w:t>
      </w:r>
    </w:p>
    <w:p w14:paraId="39B5189B">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0AA87649">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r>
        <w:rPr>
          <w:rFonts w:hint="default" w:ascii="Times New Roman" w:hAnsi="Times New Roman" w:eastAsia="宋体" w:cs="Times New Roman"/>
          <w:color w:val="auto"/>
          <w:sz w:val="21"/>
          <w:szCs w:val="21"/>
          <w:highlight w:val="none"/>
        </w:rPr>
        <w:t>1：</w:t>
      </w:r>
      <w:r>
        <w:rPr>
          <w:rFonts w:hint="eastAsia" w:ascii="宋体" w:hAnsi="宋体" w:eastAsia="宋体" w:cs="宋体"/>
          <w:bCs/>
          <w:color w:val="auto"/>
          <w:sz w:val="21"/>
          <w:szCs w:val="21"/>
          <w:highlight w:val="none"/>
          <w:u w:val="single"/>
        </w:rPr>
        <w:t xml:space="preserve">                                                                    </w:t>
      </w:r>
    </w:p>
    <w:p w14:paraId="1E79C4AF">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5AE6BF0F">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0BF675F5">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r>
        <w:rPr>
          <w:rFonts w:hint="default" w:ascii="Times New Roman" w:hAnsi="Times New Roman" w:eastAsia="宋体" w:cs="Times New Roman"/>
          <w:color w:val="auto"/>
          <w:sz w:val="21"/>
          <w:szCs w:val="21"/>
          <w:highlight w:val="none"/>
        </w:rPr>
        <w:t>2</w:t>
      </w:r>
    </w:p>
    <w:p w14:paraId="1FB6C0EA">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455BD601">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65272424">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0638E3BF">
      <w:pPr>
        <w:pStyle w:val="23"/>
        <w:spacing w:line="360" w:lineRule="auto"/>
        <w:ind w:left="25" w:leftChars="12" w:firstLine="308" w:firstLineChars="147"/>
        <w:rPr>
          <w:rFonts w:hint="eastAsia" w:ascii="宋体" w:hAnsi="宋体" w:eastAsia="宋体" w:cs="宋体"/>
          <w:color w:val="auto"/>
          <w:sz w:val="21"/>
          <w:szCs w:val="21"/>
          <w:highlight w:val="none"/>
        </w:rPr>
      </w:pPr>
    </w:p>
    <w:p w14:paraId="785988A0">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4B06ED0B">
      <w:pPr>
        <w:pStyle w:val="23"/>
        <w:spacing w:line="360" w:lineRule="auto"/>
        <w:ind w:left="25" w:leftChars="12" w:firstLine="308" w:firstLineChars="147"/>
        <w:rPr>
          <w:rFonts w:hint="eastAsia" w:ascii="宋体" w:hAnsi="宋体" w:eastAsia="宋体" w:cs="宋体"/>
          <w:color w:val="auto"/>
          <w:sz w:val="21"/>
          <w:szCs w:val="21"/>
          <w:highlight w:val="none"/>
        </w:rPr>
      </w:pPr>
    </w:p>
    <w:p w14:paraId="02CC2E6E">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C536DB9">
      <w:pPr>
        <w:pStyle w:val="23"/>
        <w:snapToGrid w:val="0"/>
        <w:spacing w:line="360" w:lineRule="auto"/>
        <w:rPr>
          <w:rFonts w:hint="eastAsia" w:ascii="宋体" w:hAnsi="宋体" w:eastAsia="宋体" w:cs="宋体"/>
          <w:b/>
          <w:color w:val="auto"/>
          <w:sz w:val="21"/>
          <w:szCs w:val="21"/>
          <w:highlight w:val="none"/>
        </w:rPr>
      </w:pPr>
    </w:p>
    <w:p w14:paraId="50CEFEE2">
      <w:pPr>
        <w:pStyle w:val="23"/>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7E5376DF">
      <w:pPr>
        <w:pStyle w:val="23"/>
        <w:spacing w:line="36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0240FA40">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0496D8">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12B0D04B">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188BBBA2">
      <w:pPr>
        <w:pStyle w:val="23"/>
        <w:spacing w:line="36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75D46D03">
      <w:pPr>
        <w:spacing w:line="460" w:lineRule="exact"/>
        <w:rPr>
          <w:rFonts w:hint="eastAsia" w:ascii="宋体" w:hAnsi="宋体" w:eastAsia="宋体" w:cs="宋体"/>
          <w:color w:val="auto"/>
          <w:sz w:val="21"/>
          <w:szCs w:val="21"/>
          <w:highlight w:val="none"/>
        </w:rPr>
      </w:pPr>
    </w:p>
    <w:p w14:paraId="5F5F5F50">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default"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.投诉书（格式）</w:t>
      </w:r>
    </w:p>
    <w:p w14:paraId="7E0C3D8C">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投诉书（格式）</w:t>
      </w:r>
    </w:p>
    <w:p w14:paraId="329876ED">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59D4E29E">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6670177">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4290859">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3997B33F">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9E1222C">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856D712">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40B9DC18">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B07CA31">
      <w:pPr>
        <w:pStyle w:val="23"/>
        <w:snapToGrid w:val="0"/>
        <w:spacing w:line="360" w:lineRule="auto"/>
        <w:ind w:firstLine="420" w:firstLineChars="200"/>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被投诉人1：</w:t>
      </w:r>
    </w:p>
    <w:p w14:paraId="28743EE7">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4BC93C77">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90BD8C3">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2C9C9FE4">
      <w:pPr>
        <w:pStyle w:val="23"/>
        <w:snapToGrid w:val="0"/>
        <w:spacing w:line="360" w:lineRule="auto"/>
        <w:ind w:firstLine="420" w:firstLineChars="200"/>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被投诉人2：</w:t>
      </w:r>
    </w:p>
    <w:p w14:paraId="7533B004">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7F59DBE8">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1DFA3840">
      <w:pPr>
        <w:pStyle w:val="23"/>
        <w:snapToGrid w:val="0"/>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00D9D92F">
      <w:pPr>
        <w:pStyle w:val="23"/>
        <w:snapToGrid w:val="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C872D66">
      <w:pPr>
        <w:pStyle w:val="23"/>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258B347E">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53B3D8F9">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78AE6613">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名称：</w:t>
      </w:r>
      <w:r>
        <w:rPr>
          <w:rFonts w:hint="eastAsia" w:ascii="宋体" w:hAnsi="宋体" w:eastAsia="宋体" w:cs="宋体"/>
          <w:bCs/>
          <w:color w:val="auto"/>
          <w:sz w:val="21"/>
          <w:szCs w:val="21"/>
          <w:highlight w:val="none"/>
          <w:u w:val="single"/>
        </w:rPr>
        <w:t xml:space="preserve">                                                                        </w:t>
      </w:r>
    </w:p>
    <w:p w14:paraId="18C58F45">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0CDB8942">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eastAsia="zh-CN"/>
        </w:rPr>
        <w:t>征集文件</w:t>
      </w:r>
      <w:r>
        <w:rPr>
          <w:rFonts w:hint="eastAsia" w:ascii="宋体" w:hAnsi="宋体" w:eastAsia="宋体" w:cs="宋体"/>
          <w:bCs/>
          <w:color w:val="auto"/>
          <w:sz w:val="21"/>
          <w:szCs w:val="21"/>
          <w:highlight w:val="none"/>
        </w:rPr>
        <w:t>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2A1202A4">
      <w:pPr>
        <w:pStyle w:val="23"/>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3329E18D">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16ADD4F7">
      <w:pPr>
        <w:pStyle w:val="23"/>
        <w:spacing w:line="360" w:lineRule="auto"/>
        <w:ind w:left="25" w:leftChars="1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6BB44EFE">
      <w:pPr>
        <w:pStyle w:val="23"/>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34EB05E">
      <w:pPr>
        <w:pStyle w:val="23"/>
        <w:spacing w:line="36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C2CCD91">
      <w:pPr>
        <w:pStyle w:val="2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lang w:eastAsia="zh-CN"/>
        </w:rPr>
        <w:t>征集人</w:t>
      </w:r>
      <w:r>
        <w:rPr>
          <w:rFonts w:hint="eastAsia" w:ascii="宋体" w:hAnsi="宋体" w:eastAsia="宋体" w:cs="宋体"/>
          <w:bCs/>
          <w:color w:val="auto"/>
          <w:sz w:val="21"/>
          <w:szCs w:val="21"/>
          <w:highlight w:val="none"/>
          <w:u w:val="single"/>
        </w:rPr>
        <w:t>/代理机构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6961DC99">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21300A6F">
      <w:pPr>
        <w:pStyle w:val="23"/>
        <w:spacing w:line="36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5483B8DC">
      <w:pPr>
        <w:pStyle w:val="23"/>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5E42FC9C">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6CFDAFAC">
      <w:pPr>
        <w:pStyle w:val="23"/>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B844842">
      <w:pPr>
        <w:pStyle w:val="23"/>
        <w:spacing w:line="36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4CB49EB">
      <w:pPr>
        <w:pStyle w:val="23"/>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44E4A99C">
      <w:pPr>
        <w:pStyle w:val="23"/>
        <w:spacing w:line="36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4C53E701">
      <w:pPr>
        <w:pStyle w:val="23"/>
        <w:spacing w:line="36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03F63975">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20B8C2C7">
      <w:pPr>
        <w:pStyle w:val="23"/>
        <w:spacing w:line="360" w:lineRule="auto"/>
        <w:ind w:left="25" w:leftChars="12" w:firstLine="308" w:firstLineChars="147"/>
        <w:rPr>
          <w:rFonts w:hint="eastAsia" w:ascii="宋体" w:hAnsi="宋体" w:eastAsia="宋体" w:cs="宋体"/>
          <w:color w:val="auto"/>
          <w:sz w:val="21"/>
          <w:szCs w:val="21"/>
          <w:highlight w:val="none"/>
        </w:rPr>
      </w:pPr>
    </w:p>
    <w:p w14:paraId="383E1A27">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086DB481">
      <w:pPr>
        <w:pStyle w:val="23"/>
        <w:spacing w:line="360" w:lineRule="auto"/>
        <w:ind w:left="25" w:leftChars="12" w:firstLine="308" w:firstLineChars="147"/>
        <w:rPr>
          <w:rFonts w:hint="eastAsia" w:ascii="宋体" w:hAnsi="宋体" w:eastAsia="宋体" w:cs="宋体"/>
          <w:color w:val="auto"/>
          <w:sz w:val="21"/>
          <w:szCs w:val="21"/>
          <w:highlight w:val="none"/>
        </w:rPr>
      </w:pPr>
    </w:p>
    <w:p w14:paraId="77368964">
      <w:pPr>
        <w:pStyle w:val="23"/>
        <w:spacing w:line="36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D5B46E4">
      <w:pPr>
        <w:pStyle w:val="23"/>
        <w:spacing w:line="36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
          <w:color w:val="auto"/>
          <w:sz w:val="21"/>
          <w:szCs w:val="21"/>
          <w:highlight w:val="none"/>
        </w:rPr>
        <w:t>说明：</w:t>
      </w:r>
    </w:p>
    <w:p w14:paraId="255CE9B7">
      <w:pPr>
        <w:pStyle w:val="23"/>
        <w:spacing w:line="360" w:lineRule="auto"/>
        <w:ind w:left="25" w:leftChars="12" w:firstLine="310" w:firstLineChars="147"/>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rPr>
        <w:t>1.投诉人提起投诉时，应当提交投诉书和必要的证明材料，并按照被投诉人和与投诉事项有关的供应商数量提供投诉书副本</w:t>
      </w:r>
      <w:r>
        <w:rPr>
          <w:rFonts w:hint="default" w:ascii="Times New Roman" w:hAnsi="Times New Roman" w:eastAsia="宋体" w:cs="Times New Roman"/>
          <w:b/>
          <w:bCs/>
          <w:color w:val="auto"/>
          <w:sz w:val="21"/>
          <w:szCs w:val="21"/>
          <w:highlight w:val="none"/>
        </w:rPr>
        <w:t>。</w:t>
      </w:r>
    </w:p>
    <w:p w14:paraId="68BE48C1">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82019C">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3.投诉书应简要列明质疑事项，质疑函、质疑答复等作为附件材料提供。</w:t>
      </w:r>
    </w:p>
    <w:p w14:paraId="35409A77">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4.投诉书的投诉事项应具体、明确，并有必要的事实依据和法律依据。</w:t>
      </w:r>
    </w:p>
    <w:p w14:paraId="2A5B9917">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5.投诉书的投诉请求应与投诉事项相关。</w:t>
      </w:r>
    </w:p>
    <w:p w14:paraId="0E219CD0">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6.投诉人为法人或者其他组织的，投诉书应由法定代表人、主要负责人，或者其授权代表签字或者盖章，并加盖公章。</w:t>
      </w:r>
    </w:p>
    <w:p w14:paraId="1AA72165">
      <w:pPr>
        <w:widowControl/>
        <w:spacing w:line="330" w:lineRule="atLeast"/>
        <w:jc w:val="center"/>
        <w:rPr>
          <w:rFonts w:hint="eastAsia" w:ascii="方正小标宋_GBK" w:hAnsi="宋体" w:eastAsia="方正小标宋_GBK" w:cs="宋体"/>
          <w:color w:val="auto"/>
          <w:kern w:val="0"/>
          <w:sz w:val="36"/>
          <w:szCs w:val="32"/>
          <w:highlight w:val="none"/>
        </w:rPr>
      </w:pPr>
      <w:r>
        <w:rPr>
          <w:rFonts w:hint="default" w:ascii="Times New Roman" w:hAnsi="Times New Roman" w:eastAsia="宋体" w:cs="Times New Roman"/>
          <w:b/>
          <w:color w:val="auto"/>
          <w:sz w:val="21"/>
          <w:szCs w:val="21"/>
          <w:highlight w:val="none"/>
        </w:rPr>
        <w:br w:type="page"/>
      </w:r>
      <w:r>
        <w:rPr>
          <w:rFonts w:hint="eastAsia" w:ascii="方正小标宋_GBK" w:hAnsi="宋体" w:eastAsia="方正小标宋_GBK" w:cs="宋体"/>
          <w:color w:val="auto"/>
          <w:kern w:val="0"/>
          <w:sz w:val="36"/>
          <w:szCs w:val="32"/>
          <w:highlight w:val="none"/>
        </w:rPr>
        <w:t>大中小微型企业划分标准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45C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03EFCC12">
            <w:pPr>
              <w:widowControl/>
              <w:spacing w:line="240" w:lineRule="exact"/>
              <w:jc w:val="center"/>
              <w:rPr>
                <w:rFonts w:hint="default" w:ascii="Times New Roman" w:hAnsi="Times New Roman" w:cs="Times New Roman"/>
                <w:b/>
                <w:bCs/>
                <w:color w:val="auto"/>
                <w:kern w:val="0"/>
                <w:sz w:val="18"/>
                <w:szCs w:val="21"/>
                <w:highlight w:val="none"/>
              </w:rPr>
            </w:pPr>
            <w:r>
              <w:rPr>
                <w:rFonts w:hint="default" w:ascii="Times New Roman" w:hAnsi="Times New Roman" w:cs="Times New Roman"/>
                <w:b/>
                <w:bCs/>
                <w:color w:val="auto"/>
                <w:kern w:val="0"/>
                <w:sz w:val="18"/>
                <w:szCs w:val="21"/>
                <w:highlight w:val="none"/>
              </w:rPr>
              <w:t>行业名称</w:t>
            </w:r>
          </w:p>
        </w:tc>
        <w:tc>
          <w:tcPr>
            <w:tcW w:w="1369" w:type="dxa"/>
            <w:noWrap w:val="0"/>
            <w:vAlign w:val="center"/>
          </w:tcPr>
          <w:p w14:paraId="36690039">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指标名称</w:t>
            </w:r>
          </w:p>
        </w:tc>
        <w:tc>
          <w:tcPr>
            <w:tcW w:w="709" w:type="dxa"/>
            <w:noWrap w:val="0"/>
            <w:vAlign w:val="center"/>
          </w:tcPr>
          <w:p w14:paraId="3FD21C9B">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计量</w:t>
            </w:r>
          </w:p>
          <w:p w14:paraId="4C1B2F44">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单位</w:t>
            </w:r>
          </w:p>
        </w:tc>
        <w:tc>
          <w:tcPr>
            <w:tcW w:w="1125" w:type="dxa"/>
            <w:noWrap w:val="0"/>
            <w:vAlign w:val="center"/>
          </w:tcPr>
          <w:p w14:paraId="672A837D">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大型</w:t>
            </w:r>
          </w:p>
        </w:tc>
        <w:tc>
          <w:tcPr>
            <w:tcW w:w="1701" w:type="dxa"/>
            <w:noWrap w:val="0"/>
            <w:vAlign w:val="center"/>
          </w:tcPr>
          <w:p w14:paraId="5EA6D379">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中型</w:t>
            </w:r>
          </w:p>
        </w:tc>
        <w:tc>
          <w:tcPr>
            <w:tcW w:w="1426" w:type="dxa"/>
            <w:noWrap w:val="0"/>
            <w:vAlign w:val="center"/>
          </w:tcPr>
          <w:p w14:paraId="3BE705F4">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小型</w:t>
            </w:r>
          </w:p>
        </w:tc>
        <w:tc>
          <w:tcPr>
            <w:tcW w:w="992" w:type="dxa"/>
            <w:noWrap w:val="0"/>
            <w:vAlign w:val="center"/>
          </w:tcPr>
          <w:p w14:paraId="50629A72">
            <w:pPr>
              <w:widowControl/>
              <w:jc w:val="center"/>
              <w:rPr>
                <w:rFonts w:hint="default" w:ascii="Times New Roman" w:hAnsi="Times New Roman" w:cs="Times New Roman"/>
                <w:b/>
                <w:bCs/>
                <w:color w:val="auto"/>
                <w:kern w:val="0"/>
                <w:sz w:val="18"/>
                <w:szCs w:val="18"/>
                <w:highlight w:val="none"/>
              </w:rPr>
            </w:pPr>
            <w:r>
              <w:rPr>
                <w:rFonts w:hint="default" w:ascii="Times New Roman" w:hAnsi="Times New Roman" w:cs="Times New Roman"/>
                <w:b/>
                <w:bCs/>
                <w:color w:val="auto"/>
                <w:kern w:val="0"/>
                <w:sz w:val="18"/>
                <w:szCs w:val="18"/>
                <w:highlight w:val="none"/>
              </w:rPr>
              <w:t>微型</w:t>
            </w:r>
          </w:p>
        </w:tc>
      </w:tr>
      <w:tr w14:paraId="1437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B283F0A">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农、林、牧、渔业</w:t>
            </w:r>
          </w:p>
        </w:tc>
        <w:tc>
          <w:tcPr>
            <w:tcW w:w="1369" w:type="dxa"/>
            <w:noWrap w:val="0"/>
            <w:vAlign w:val="center"/>
          </w:tcPr>
          <w:p w14:paraId="33A3343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28DFA70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0921311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Y≥20000</w:t>
            </w:r>
          </w:p>
        </w:tc>
        <w:tc>
          <w:tcPr>
            <w:tcW w:w="1701" w:type="dxa"/>
            <w:noWrap w:val="0"/>
            <w:vAlign w:val="center"/>
          </w:tcPr>
          <w:p w14:paraId="097CCF8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500≤Y＜20000</w:t>
            </w:r>
          </w:p>
        </w:tc>
        <w:tc>
          <w:tcPr>
            <w:tcW w:w="1426" w:type="dxa"/>
            <w:noWrap w:val="0"/>
            <w:vAlign w:val="center"/>
          </w:tcPr>
          <w:p w14:paraId="210E292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50≤Y＜500</w:t>
            </w:r>
          </w:p>
        </w:tc>
        <w:tc>
          <w:tcPr>
            <w:tcW w:w="992" w:type="dxa"/>
            <w:noWrap w:val="0"/>
            <w:vAlign w:val="center"/>
          </w:tcPr>
          <w:p w14:paraId="2B2B3B5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w:t>
            </w:r>
          </w:p>
        </w:tc>
      </w:tr>
      <w:tr w14:paraId="66FA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355F8EA">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工业 *</w:t>
            </w:r>
          </w:p>
        </w:tc>
        <w:tc>
          <w:tcPr>
            <w:tcW w:w="1369" w:type="dxa"/>
            <w:noWrap w:val="0"/>
            <w:vAlign w:val="center"/>
          </w:tcPr>
          <w:p w14:paraId="0EE6E3C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6C57594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2683E4B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61D963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1EC7A25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20≤X＜300</w:t>
            </w:r>
          </w:p>
        </w:tc>
        <w:tc>
          <w:tcPr>
            <w:tcW w:w="992" w:type="dxa"/>
            <w:noWrap w:val="0"/>
            <w:vAlign w:val="center"/>
          </w:tcPr>
          <w:p w14:paraId="523A5B2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664C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201C527">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97C4B9E">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6FACF4F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0D7395A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Y≥40000</w:t>
            </w:r>
          </w:p>
        </w:tc>
        <w:tc>
          <w:tcPr>
            <w:tcW w:w="1701" w:type="dxa"/>
            <w:noWrap w:val="0"/>
            <w:vAlign w:val="center"/>
          </w:tcPr>
          <w:p w14:paraId="6647C30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2000≤Y＜40000</w:t>
            </w:r>
          </w:p>
        </w:tc>
        <w:tc>
          <w:tcPr>
            <w:tcW w:w="1426" w:type="dxa"/>
            <w:noWrap w:val="0"/>
            <w:vAlign w:val="center"/>
          </w:tcPr>
          <w:p w14:paraId="0280A15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300≤Y＜2000</w:t>
            </w:r>
          </w:p>
        </w:tc>
        <w:tc>
          <w:tcPr>
            <w:tcW w:w="992" w:type="dxa"/>
            <w:noWrap w:val="0"/>
            <w:vAlign w:val="center"/>
          </w:tcPr>
          <w:p w14:paraId="1E85A97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w:t>
            </w:r>
          </w:p>
        </w:tc>
      </w:tr>
      <w:tr w14:paraId="3ECB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A6A69D">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建筑业</w:t>
            </w:r>
          </w:p>
        </w:tc>
        <w:tc>
          <w:tcPr>
            <w:tcW w:w="1369" w:type="dxa"/>
            <w:noWrap w:val="0"/>
            <w:vAlign w:val="center"/>
          </w:tcPr>
          <w:p w14:paraId="6FC77B4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5EC7A72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5423C37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Y≥80000</w:t>
            </w:r>
          </w:p>
        </w:tc>
        <w:tc>
          <w:tcPr>
            <w:tcW w:w="1701" w:type="dxa"/>
            <w:noWrap w:val="0"/>
            <w:vAlign w:val="center"/>
          </w:tcPr>
          <w:p w14:paraId="7FCF7D5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6000≤Y＜80000</w:t>
            </w:r>
          </w:p>
        </w:tc>
        <w:tc>
          <w:tcPr>
            <w:tcW w:w="1426" w:type="dxa"/>
            <w:noWrap w:val="0"/>
            <w:vAlign w:val="center"/>
          </w:tcPr>
          <w:p w14:paraId="13F5822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300≤Y＜6000</w:t>
            </w:r>
          </w:p>
        </w:tc>
        <w:tc>
          <w:tcPr>
            <w:tcW w:w="992" w:type="dxa"/>
            <w:noWrap w:val="0"/>
            <w:vAlign w:val="center"/>
          </w:tcPr>
          <w:p w14:paraId="64341D0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w:t>
            </w:r>
          </w:p>
        </w:tc>
      </w:tr>
      <w:tr w14:paraId="0EC9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331563">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516254F6">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资产总额(Z)</w:t>
            </w:r>
          </w:p>
        </w:tc>
        <w:tc>
          <w:tcPr>
            <w:tcW w:w="709" w:type="dxa"/>
            <w:noWrap w:val="0"/>
            <w:vAlign w:val="center"/>
          </w:tcPr>
          <w:p w14:paraId="70F2201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5DD1C0E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Z≥80000</w:t>
            </w:r>
          </w:p>
        </w:tc>
        <w:tc>
          <w:tcPr>
            <w:tcW w:w="1701" w:type="dxa"/>
            <w:noWrap w:val="0"/>
            <w:vAlign w:val="center"/>
          </w:tcPr>
          <w:p w14:paraId="7A128D8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5000≤Z＜80000</w:t>
            </w:r>
          </w:p>
        </w:tc>
        <w:tc>
          <w:tcPr>
            <w:tcW w:w="1426" w:type="dxa"/>
            <w:noWrap w:val="0"/>
            <w:vAlign w:val="center"/>
          </w:tcPr>
          <w:p w14:paraId="6D27624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300≤Z＜5000</w:t>
            </w:r>
          </w:p>
        </w:tc>
        <w:tc>
          <w:tcPr>
            <w:tcW w:w="992" w:type="dxa"/>
            <w:noWrap w:val="0"/>
            <w:vAlign w:val="center"/>
          </w:tcPr>
          <w:p w14:paraId="5F2C26D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Z＜300</w:t>
            </w:r>
          </w:p>
        </w:tc>
      </w:tr>
      <w:tr w14:paraId="5497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C23914F">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批发业</w:t>
            </w:r>
          </w:p>
        </w:tc>
        <w:tc>
          <w:tcPr>
            <w:tcW w:w="1369" w:type="dxa"/>
            <w:noWrap w:val="0"/>
            <w:vAlign w:val="center"/>
          </w:tcPr>
          <w:p w14:paraId="2BD6CF2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5ED41BA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30F6B3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X≥200</w:t>
            </w:r>
          </w:p>
        </w:tc>
        <w:tc>
          <w:tcPr>
            <w:tcW w:w="1701" w:type="dxa"/>
            <w:noWrap w:val="0"/>
            <w:vAlign w:val="center"/>
          </w:tcPr>
          <w:p w14:paraId="6DDA754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20≤X＜200</w:t>
            </w:r>
          </w:p>
        </w:tc>
        <w:tc>
          <w:tcPr>
            <w:tcW w:w="1426" w:type="dxa"/>
            <w:noWrap w:val="0"/>
            <w:vAlign w:val="center"/>
          </w:tcPr>
          <w:p w14:paraId="222119E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5≤X＜20</w:t>
            </w:r>
          </w:p>
        </w:tc>
        <w:tc>
          <w:tcPr>
            <w:tcW w:w="992" w:type="dxa"/>
            <w:noWrap w:val="0"/>
            <w:vAlign w:val="center"/>
          </w:tcPr>
          <w:p w14:paraId="73C0C4E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X＜5</w:t>
            </w:r>
          </w:p>
        </w:tc>
      </w:tr>
      <w:tr w14:paraId="7736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29AE26">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9FE36C8">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0E4B6C4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736745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Y≥40000</w:t>
            </w:r>
          </w:p>
        </w:tc>
        <w:tc>
          <w:tcPr>
            <w:tcW w:w="1701" w:type="dxa"/>
            <w:noWrap w:val="0"/>
            <w:vAlign w:val="center"/>
          </w:tcPr>
          <w:p w14:paraId="271FF84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5000≤Y＜40000</w:t>
            </w:r>
          </w:p>
        </w:tc>
        <w:tc>
          <w:tcPr>
            <w:tcW w:w="1426" w:type="dxa"/>
            <w:noWrap w:val="0"/>
            <w:vAlign w:val="center"/>
          </w:tcPr>
          <w:p w14:paraId="471112B9">
            <w:pPr>
              <w:widowControl/>
              <w:ind w:left="-1" w:leftChars="-1" w:hanging="1"/>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1000≤Y＜5000</w:t>
            </w:r>
          </w:p>
        </w:tc>
        <w:tc>
          <w:tcPr>
            <w:tcW w:w="992" w:type="dxa"/>
            <w:noWrap w:val="0"/>
            <w:vAlign w:val="center"/>
          </w:tcPr>
          <w:p w14:paraId="7B75F90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w:t>
            </w:r>
          </w:p>
        </w:tc>
      </w:tr>
      <w:tr w14:paraId="06A8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8BE9B5">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零售业</w:t>
            </w:r>
          </w:p>
        </w:tc>
        <w:tc>
          <w:tcPr>
            <w:tcW w:w="1369" w:type="dxa"/>
            <w:noWrap w:val="0"/>
            <w:vAlign w:val="center"/>
          </w:tcPr>
          <w:p w14:paraId="35401DF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29169BB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2C40F29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582CF51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50≤X＜300</w:t>
            </w:r>
          </w:p>
        </w:tc>
        <w:tc>
          <w:tcPr>
            <w:tcW w:w="1426" w:type="dxa"/>
            <w:noWrap w:val="0"/>
            <w:vAlign w:val="center"/>
          </w:tcPr>
          <w:p w14:paraId="756CD22D">
            <w:pPr>
              <w:widowControl/>
              <w:ind w:left="-1" w:leftChars="-1" w:hanging="1"/>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10≤X＜50 </w:t>
            </w:r>
          </w:p>
        </w:tc>
        <w:tc>
          <w:tcPr>
            <w:tcW w:w="992" w:type="dxa"/>
            <w:noWrap w:val="0"/>
            <w:vAlign w:val="center"/>
          </w:tcPr>
          <w:p w14:paraId="5DC86DA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25FB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9DA461">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53D36E04">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1B2708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3EDF8D8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Y≥20000</w:t>
            </w:r>
          </w:p>
        </w:tc>
        <w:tc>
          <w:tcPr>
            <w:tcW w:w="1701" w:type="dxa"/>
            <w:noWrap w:val="0"/>
            <w:vAlign w:val="center"/>
          </w:tcPr>
          <w:p w14:paraId="083E116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500≤Y＜20000</w:t>
            </w:r>
          </w:p>
        </w:tc>
        <w:tc>
          <w:tcPr>
            <w:tcW w:w="1426" w:type="dxa"/>
            <w:noWrap w:val="0"/>
            <w:vAlign w:val="center"/>
          </w:tcPr>
          <w:p w14:paraId="452C8C61">
            <w:pPr>
              <w:widowControl/>
              <w:ind w:left="-1" w:leftChars="-1" w:hanging="1"/>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100≤Y＜500 </w:t>
            </w:r>
          </w:p>
        </w:tc>
        <w:tc>
          <w:tcPr>
            <w:tcW w:w="992" w:type="dxa"/>
            <w:noWrap w:val="0"/>
            <w:vAlign w:val="center"/>
          </w:tcPr>
          <w:p w14:paraId="2B77EC2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5D15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1C54990">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交通运输业 *</w:t>
            </w:r>
          </w:p>
        </w:tc>
        <w:tc>
          <w:tcPr>
            <w:tcW w:w="1369" w:type="dxa"/>
            <w:noWrap w:val="0"/>
            <w:vAlign w:val="center"/>
          </w:tcPr>
          <w:p w14:paraId="4531C28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0A39181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3CBE1B7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511A25F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243C25B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20≤X＜300</w:t>
            </w:r>
          </w:p>
        </w:tc>
        <w:tc>
          <w:tcPr>
            <w:tcW w:w="992" w:type="dxa"/>
            <w:noWrap w:val="0"/>
            <w:vAlign w:val="center"/>
          </w:tcPr>
          <w:p w14:paraId="6FDB895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3D7A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2A67DA">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1F7BFDDB">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2E06DA2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11FC2E3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Y≥30000</w:t>
            </w:r>
          </w:p>
        </w:tc>
        <w:tc>
          <w:tcPr>
            <w:tcW w:w="1701" w:type="dxa"/>
            <w:noWrap w:val="0"/>
            <w:vAlign w:val="center"/>
          </w:tcPr>
          <w:p w14:paraId="4060521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3000≤Y＜30000</w:t>
            </w:r>
          </w:p>
        </w:tc>
        <w:tc>
          <w:tcPr>
            <w:tcW w:w="1426" w:type="dxa"/>
            <w:noWrap w:val="0"/>
            <w:vAlign w:val="center"/>
          </w:tcPr>
          <w:p w14:paraId="29305C5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200≤Y＜3000</w:t>
            </w:r>
          </w:p>
        </w:tc>
        <w:tc>
          <w:tcPr>
            <w:tcW w:w="992" w:type="dxa"/>
            <w:noWrap w:val="0"/>
            <w:vAlign w:val="center"/>
          </w:tcPr>
          <w:p w14:paraId="5E44930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w:t>
            </w:r>
          </w:p>
        </w:tc>
      </w:tr>
      <w:tr w14:paraId="0906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416EBA">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仓储业*</w:t>
            </w:r>
          </w:p>
        </w:tc>
        <w:tc>
          <w:tcPr>
            <w:tcW w:w="1369" w:type="dxa"/>
            <w:noWrap w:val="0"/>
            <w:vAlign w:val="center"/>
          </w:tcPr>
          <w:p w14:paraId="4311278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607E72A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EA8CC3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X≥200</w:t>
            </w:r>
          </w:p>
        </w:tc>
        <w:tc>
          <w:tcPr>
            <w:tcW w:w="1701" w:type="dxa"/>
            <w:noWrap w:val="0"/>
            <w:vAlign w:val="center"/>
          </w:tcPr>
          <w:p w14:paraId="7339FBF6">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100≤X＜200</w:t>
            </w:r>
          </w:p>
        </w:tc>
        <w:tc>
          <w:tcPr>
            <w:tcW w:w="1426" w:type="dxa"/>
            <w:noWrap w:val="0"/>
            <w:vAlign w:val="center"/>
          </w:tcPr>
          <w:p w14:paraId="72D37F5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20≤X＜100</w:t>
            </w:r>
          </w:p>
        </w:tc>
        <w:tc>
          <w:tcPr>
            <w:tcW w:w="992" w:type="dxa"/>
            <w:noWrap w:val="0"/>
            <w:vAlign w:val="center"/>
          </w:tcPr>
          <w:p w14:paraId="6BB0C49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71C7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B7E00B1">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F0D92B5">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5CF6FFE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3266A86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Y≥30000</w:t>
            </w:r>
          </w:p>
        </w:tc>
        <w:tc>
          <w:tcPr>
            <w:tcW w:w="1701" w:type="dxa"/>
            <w:noWrap w:val="0"/>
            <w:vAlign w:val="center"/>
          </w:tcPr>
          <w:p w14:paraId="72CFB81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1000≤Y＜30000</w:t>
            </w:r>
          </w:p>
        </w:tc>
        <w:tc>
          <w:tcPr>
            <w:tcW w:w="1426" w:type="dxa"/>
            <w:noWrap w:val="0"/>
            <w:vAlign w:val="center"/>
          </w:tcPr>
          <w:p w14:paraId="4315B6B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100≤Y＜1000</w:t>
            </w:r>
          </w:p>
        </w:tc>
        <w:tc>
          <w:tcPr>
            <w:tcW w:w="992" w:type="dxa"/>
            <w:noWrap w:val="0"/>
            <w:vAlign w:val="center"/>
          </w:tcPr>
          <w:p w14:paraId="4745AAC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1B7C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422963">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邮政业</w:t>
            </w:r>
          </w:p>
        </w:tc>
        <w:tc>
          <w:tcPr>
            <w:tcW w:w="1369" w:type="dxa"/>
            <w:noWrap w:val="0"/>
            <w:vAlign w:val="center"/>
          </w:tcPr>
          <w:p w14:paraId="552B1D1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29D17EC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7880D1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636EB67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4FD37A2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20≤X＜300</w:t>
            </w:r>
          </w:p>
        </w:tc>
        <w:tc>
          <w:tcPr>
            <w:tcW w:w="992" w:type="dxa"/>
            <w:noWrap w:val="0"/>
            <w:vAlign w:val="center"/>
          </w:tcPr>
          <w:p w14:paraId="49AC2E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w:t>
            </w:r>
          </w:p>
        </w:tc>
      </w:tr>
      <w:tr w14:paraId="0E66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965DEDE">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78205C1E">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3AF7BE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1C5AA1E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Y≥30000</w:t>
            </w:r>
          </w:p>
        </w:tc>
        <w:tc>
          <w:tcPr>
            <w:tcW w:w="1701" w:type="dxa"/>
            <w:noWrap w:val="0"/>
            <w:vAlign w:val="center"/>
          </w:tcPr>
          <w:p w14:paraId="153BD4D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2000≤Y＜30000</w:t>
            </w:r>
          </w:p>
        </w:tc>
        <w:tc>
          <w:tcPr>
            <w:tcW w:w="1426" w:type="dxa"/>
            <w:noWrap w:val="0"/>
            <w:vAlign w:val="center"/>
          </w:tcPr>
          <w:p w14:paraId="289D83F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100≤Y＜2000</w:t>
            </w:r>
          </w:p>
        </w:tc>
        <w:tc>
          <w:tcPr>
            <w:tcW w:w="992" w:type="dxa"/>
            <w:noWrap w:val="0"/>
            <w:vAlign w:val="center"/>
          </w:tcPr>
          <w:p w14:paraId="4B7CEB2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6F8B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70C5796">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住宿业</w:t>
            </w:r>
          </w:p>
        </w:tc>
        <w:tc>
          <w:tcPr>
            <w:tcW w:w="1369" w:type="dxa"/>
            <w:noWrap w:val="0"/>
            <w:vAlign w:val="center"/>
          </w:tcPr>
          <w:p w14:paraId="4D92513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4F3E1D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2037183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367460CC">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6BA9CDB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48DE13A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73CC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2D3A95A">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2C0F418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CB0F2E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7C1E5F4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w:t>
            </w:r>
          </w:p>
        </w:tc>
        <w:tc>
          <w:tcPr>
            <w:tcW w:w="1701" w:type="dxa"/>
            <w:noWrap w:val="0"/>
            <w:vAlign w:val="center"/>
          </w:tcPr>
          <w:p w14:paraId="777AB8D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2000≤Y＜10000</w:t>
            </w:r>
          </w:p>
        </w:tc>
        <w:tc>
          <w:tcPr>
            <w:tcW w:w="1426" w:type="dxa"/>
            <w:noWrap w:val="0"/>
            <w:vAlign w:val="center"/>
          </w:tcPr>
          <w:p w14:paraId="3BC3FE1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100≤Y＜2000</w:t>
            </w:r>
          </w:p>
        </w:tc>
        <w:tc>
          <w:tcPr>
            <w:tcW w:w="992" w:type="dxa"/>
            <w:noWrap w:val="0"/>
            <w:vAlign w:val="center"/>
          </w:tcPr>
          <w:p w14:paraId="5A1254A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0EBB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623D3FC">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餐饮业</w:t>
            </w:r>
          </w:p>
        </w:tc>
        <w:tc>
          <w:tcPr>
            <w:tcW w:w="1369" w:type="dxa"/>
            <w:noWrap w:val="0"/>
            <w:vAlign w:val="center"/>
          </w:tcPr>
          <w:p w14:paraId="6B6C931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68D0A4B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0A4A86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405A9DB2">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316E309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5D505B0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3CA6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AEC0C65">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76CFCC4F">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505ED1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3943971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w:t>
            </w:r>
          </w:p>
        </w:tc>
        <w:tc>
          <w:tcPr>
            <w:tcW w:w="1701" w:type="dxa"/>
            <w:noWrap w:val="0"/>
            <w:vAlign w:val="center"/>
          </w:tcPr>
          <w:p w14:paraId="547792A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2000≤Y＜10000</w:t>
            </w:r>
          </w:p>
        </w:tc>
        <w:tc>
          <w:tcPr>
            <w:tcW w:w="1426" w:type="dxa"/>
            <w:noWrap w:val="0"/>
            <w:vAlign w:val="center"/>
          </w:tcPr>
          <w:p w14:paraId="29EBA80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100≤Y＜2000</w:t>
            </w:r>
          </w:p>
        </w:tc>
        <w:tc>
          <w:tcPr>
            <w:tcW w:w="992" w:type="dxa"/>
            <w:noWrap w:val="0"/>
            <w:vAlign w:val="center"/>
          </w:tcPr>
          <w:p w14:paraId="72E3DE5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16D9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845F92">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信息传输业 *</w:t>
            </w:r>
          </w:p>
        </w:tc>
        <w:tc>
          <w:tcPr>
            <w:tcW w:w="1369" w:type="dxa"/>
            <w:noWrap w:val="0"/>
            <w:vAlign w:val="center"/>
          </w:tcPr>
          <w:p w14:paraId="4BC3FE5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709B45E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120E559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X≥2000</w:t>
            </w:r>
          </w:p>
        </w:tc>
        <w:tc>
          <w:tcPr>
            <w:tcW w:w="1701" w:type="dxa"/>
            <w:noWrap w:val="0"/>
            <w:vAlign w:val="center"/>
          </w:tcPr>
          <w:p w14:paraId="6578357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100≤X＜2000</w:t>
            </w:r>
          </w:p>
        </w:tc>
        <w:tc>
          <w:tcPr>
            <w:tcW w:w="1426" w:type="dxa"/>
            <w:noWrap w:val="0"/>
            <w:vAlign w:val="center"/>
          </w:tcPr>
          <w:p w14:paraId="2343654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53F05EC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4EB5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8CA32B">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05DF26B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3FD1A7D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8D01A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Y≥100000</w:t>
            </w:r>
          </w:p>
        </w:tc>
        <w:tc>
          <w:tcPr>
            <w:tcW w:w="1701" w:type="dxa"/>
            <w:noWrap w:val="0"/>
            <w:vAlign w:val="center"/>
          </w:tcPr>
          <w:p w14:paraId="6563DFC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1000≤Y＜100000</w:t>
            </w:r>
          </w:p>
        </w:tc>
        <w:tc>
          <w:tcPr>
            <w:tcW w:w="1426" w:type="dxa"/>
            <w:noWrap w:val="0"/>
            <w:vAlign w:val="center"/>
          </w:tcPr>
          <w:p w14:paraId="6F30627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100≤Y＜1000</w:t>
            </w:r>
          </w:p>
        </w:tc>
        <w:tc>
          <w:tcPr>
            <w:tcW w:w="992" w:type="dxa"/>
            <w:noWrap w:val="0"/>
            <w:vAlign w:val="center"/>
          </w:tcPr>
          <w:p w14:paraId="7357D10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7CB1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E53035E">
            <w:pPr>
              <w:widowControl/>
              <w:spacing w:line="240" w:lineRule="exact"/>
              <w:jc w:val="left"/>
              <w:rPr>
                <w:rFonts w:hint="default" w:ascii="Times New Roman" w:hAnsi="Times New Roman" w:cs="Times New Roman"/>
                <w:color w:val="auto"/>
                <w:spacing w:val="-12"/>
                <w:kern w:val="0"/>
                <w:sz w:val="18"/>
                <w:szCs w:val="18"/>
                <w:highlight w:val="none"/>
              </w:rPr>
            </w:pPr>
            <w:r>
              <w:rPr>
                <w:rFonts w:hint="default" w:ascii="Times New Roman" w:hAnsi="Times New Roman" w:cs="Times New Roman"/>
                <w:color w:val="auto"/>
                <w:spacing w:val="-12"/>
                <w:kern w:val="0"/>
                <w:sz w:val="18"/>
                <w:szCs w:val="18"/>
                <w:highlight w:val="none"/>
              </w:rPr>
              <w:t>软件和信息技术服</w:t>
            </w:r>
            <w:r>
              <w:rPr>
                <w:rFonts w:hint="default" w:ascii="Times New Roman" w:hAnsi="Times New Roman" w:cs="Times New Roman"/>
                <w:color w:val="auto"/>
                <w:kern w:val="0"/>
                <w:sz w:val="18"/>
                <w:szCs w:val="18"/>
                <w:highlight w:val="none"/>
              </w:rPr>
              <w:t>务业</w:t>
            </w:r>
          </w:p>
        </w:tc>
        <w:tc>
          <w:tcPr>
            <w:tcW w:w="1369" w:type="dxa"/>
            <w:noWrap w:val="0"/>
            <w:vAlign w:val="center"/>
          </w:tcPr>
          <w:p w14:paraId="3767E4F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1ACE608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7A1CECC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5EE2AA1B">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3E4CABC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560C1E0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2152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5B0EE2B">
            <w:pPr>
              <w:widowControl/>
              <w:jc w:val="left"/>
              <w:rPr>
                <w:rFonts w:hint="default" w:ascii="Times New Roman" w:hAnsi="Times New Roman" w:cs="Times New Roman"/>
                <w:color w:val="auto"/>
                <w:spacing w:val="-12"/>
                <w:kern w:val="0"/>
                <w:sz w:val="18"/>
                <w:szCs w:val="18"/>
                <w:highlight w:val="none"/>
              </w:rPr>
            </w:pPr>
          </w:p>
        </w:tc>
        <w:tc>
          <w:tcPr>
            <w:tcW w:w="1369" w:type="dxa"/>
            <w:noWrap w:val="0"/>
            <w:vAlign w:val="center"/>
          </w:tcPr>
          <w:p w14:paraId="6BBD90D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0305892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9AAE73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Y≥10000</w:t>
            </w:r>
          </w:p>
        </w:tc>
        <w:tc>
          <w:tcPr>
            <w:tcW w:w="1701" w:type="dxa"/>
            <w:noWrap w:val="0"/>
            <w:vAlign w:val="center"/>
          </w:tcPr>
          <w:p w14:paraId="134B163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1000≤Y＜10000</w:t>
            </w:r>
          </w:p>
        </w:tc>
        <w:tc>
          <w:tcPr>
            <w:tcW w:w="1426" w:type="dxa"/>
            <w:noWrap w:val="0"/>
            <w:vAlign w:val="center"/>
          </w:tcPr>
          <w:p w14:paraId="708D445B">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50≤Y＜1000</w:t>
            </w:r>
          </w:p>
        </w:tc>
        <w:tc>
          <w:tcPr>
            <w:tcW w:w="992" w:type="dxa"/>
            <w:noWrap w:val="0"/>
            <w:vAlign w:val="center"/>
          </w:tcPr>
          <w:p w14:paraId="60B5839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w:t>
            </w:r>
          </w:p>
        </w:tc>
      </w:tr>
      <w:tr w14:paraId="4749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39A023D">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房地产开发经营</w:t>
            </w:r>
          </w:p>
        </w:tc>
        <w:tc>
          <w:tcPr>
            <w:tcW w:w="1369" w:type="dxa"/>
            <w:noWrap w:val="0"/>
            <w:vAlign w:val="center"/>
          </w:tcPr>
          <w:p w14:paraId="7E75FA9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48415CE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788BC02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Y≥200000</w:t>
            </w:r>
          </w:p>
        </w:tc>
        <w:tc>
          <w:tcPr>
            <w:tcW w:w="1701" w:type="dxa"/>
            <w:noWrap w:val="0"/>
            <w:vAlign w:val="center"/>
          </w:tcPr>
          <w:p w14:paraId="4CF0B9B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1000≤Y＜200000</w:t>
            </w:r>
          </w:p>
        </w:tc>
        <w:tc>
          <w:tcPr>
            <w:tcW w:w="1426" w:type="dxa"/>
            <w:noWrap w:val="0"/>
            <w:vAlign w:val="center"/>
          </w:tcPr>
          <w:p w14:paraId="1DD504BD">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100≤Y＜1000</w:t>
            </w:r>
          </w:p>
        </w:tc>
        <w:tc>
          <w:tcPr>
            <w:tcW w:w="992" w:type="dxa"/>
            <w:noWrap w:val="0"/>
            <w:vAlign w:val="center"/>
          </w:tcPr>
          <w:p w14:paraId="1B4CCCE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Y＜100</w:t>
            </w:r>
          </w:p>
        </w:tc>
      </w:tr>
      <w:tr w14:paraId="6D4E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F99A2AB">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4975F342">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资产总额(Z)</w:t>
            </w:r>
          </w:p>
        </w:tc>
        <w:tc>
          <w:tcPr>
            <w:tcW w:w="709" w:type="dxa"/>
            <w:noWrap w:val="0"/>
            <w:vAlign w:val="center"/>
          </w:tcPr>
          <w:p w14:paraId="5403767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6154ACF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Z≥10000</w:t>
            </w:r>
          </w:p>
        </w:tc>
        <w:tc>
          <w:tcPr>
            <w:tcW w:w="1701" w:type="dxa"/>
            <w:noWrap w:val="0"/>
            <w:vAlign w:val="center"/>
          </w:tcPr>
          <w:p w14:paraId="7D29811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5000≤Z＜10000</w:t>
            </w:r>
          </w:p>
        </w:tc>
        <w:tc>
          <w:tcPr>
            <w:tcW w:w="1426" w:type="dxa"/>
            <w:noWrap w:val="0"/>
            <w:vAlign w:val="center"/>
          </w:tcPr>
          <w:p w14:paraId="06C79D4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2000≤Z＜5000   </w:t>
            </w:r>
          </w:p>
        </w:tc>
        <w:tc>
          <w:tcPr>
            <w:tcW w:w="992" w:type="dxa"/>
            <w:noWrap w:val="0"/>
            <w:vAlign w:val="center"/>
          </w:tcPr>
          <w:p w14:paraId="6253F80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Z＜2000</w:t>
            </w:r>
          </w:p>
        </w:tc>
      </w:tr>
      <w:tr w14:paraId="7743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B1C684B">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物业管理</w:t>
            </w:r>
          </w:p>
        </w:tc>
        <w:tc>
          <w:tcPr>
            <w:tcW w:w="1369" w:type="dxa"/>
            <w:noWrap w:val="0"/>
            <w:vAlign w:val="center"/>
          </w:tcPr>
          <w:p w14:paraId="5898977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7FAF1A62">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02B574B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X≥1000</w:t>
            </w:r>
          </w:p>
        </w:tc>
        <w:tc>
          <w:tcPr>
            <w:tcW w:w="1701" w:type="dxa"/>
            <w:noWrap w:val="0"/>
            <w:vAlign w:val="center"/>
          </w:tcPr>
          <w:p w14:paraId="7B1DC39E">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300≤X＜1000</w:t>
            </w:r>
          </w:p>
        </w:tc>
        <w:tc>
          <w:tcPr>
            <w:tcW w:w="1426" w:type="dxa"/>
            <w:noWrap w:val="0"/>
            <w:vAlign w:val="center"/>
          </w:tcPr>
          <w:p w14:paraId="5D7E7C79">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992" w:type="dxa"/>
            <w:noWrap w:val="0"/>
            <w:vAlign w:val="center"/>
          </w:tcPr>
          <w:p w14:paraId="4DC4B2D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X＜100</w:t>
            </w:r>
          </w:p>
        </w:tc>
      </w:tr>
      <w:tr w14:paraId="29C0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4B7287E">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37154D29">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营业收入(Y)</w:t>
            </w:r>
          </w:p>
        </w:tc>
        <w:tc>
          <w:tcPr>
            <w:tcW w:w="709" w:type="dxa"/>
            <w:noWrap w:val="0"/>
            <w:vAlign w:val="center"/>
          </w:tcPr>
          <w:p w14:paraId="2751C29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44D0BBFF">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Y≥5000</w:t>
            </w:r>
          </w:p>
        </w:tc>
        <w:tc>
          <w:tcPr>
            <w:tcW w:w="1701" w:type="dxa"/>
            <w:noWrap w:val="0"/>
            <w:vAlign w:val="center"/>
          </w:tcPr>
          <w:p w14:paraId="27CA0F23">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1000≤Y＜5000 </w:t>
            </w:r>
          </w:p>
        </w:tc>
        <w:tc>
          <w:tcPr>
            <w:tcW w:w="1426" w:type="dxa"/>
            <w:noWrap w:val="0"/>
            <w:vAlign w:val="center"/>
          </w:tcPr>
          <w:p w14:paraId="35B4CF6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500≤Y＜1000</w:t>
            </w:r>
          </w:p>
        </w:tc>
        <w:tc>
          <w:tcPr>
            <w:tcW w:w="992" w:type="dxa"/>
            <w:noWrap w:val="0"/>
            <w:vAlign w:val="center"/>
          </w:tcPr>
          <w:p w14:paraId="7D063CA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Y＜500</w:t>
            </w:r>
          </w:p>
        </w:tc>
      </w:tr>
      <w:tr w14:paraId="108A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0CCFB3B">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租赁和商务服务业</w:t>
            </w:r>
          </w:p>
        </w:tc>
        <w:tc>
          <w:tcPr>
            <w:tcW w:w="1369" w:type="dxa"/>
            <w:noWrap w:val="0"/>
            <w:vAlign w:val="center"/>
          </w:tcPr>
          <w:p w14:paraId="12057B2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297938DC">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56C61C1A">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36C293C9">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39446370">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686EBEC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r w14:paraId="3157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89D04C7">
            <w:pPr>
              <w:widowControl/>
              <w:jc w:val="left"/>
              <w:rPr>
                <w:rFonts w:hint="default" w:ascii="Times New Roman" w:hAnsi="Times New Roman" w:cs="Times New Roman"/>
                <w:color w:val="auto"/>
                <w:kern w:val="0"/>
                <w:sz w:val="18"/>
                <w:szCs w:val="18"/>
                <w:highlight w:val="none"/>
              </w:rPr>
            </w:pPr>
          </w:p>
        </w:tc>
        <w:tc>
          <w:tcPr>
            <w:tcW w:w="1369" w:type="dxa"/>
            <w:noWrap w:val="0"/>
            <w:vAlign w:val="center"/>
          </w:tcPr>
          <w:p w14:paraId="1788CFB0">
            <w:pPr>
              <w:widowControl/>
              <w:spacing w:line="240" w:lineRule="exact"/>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资产总额(Z)</w:t>
            </w:r>
          </w:p>
        </w:tc>
        <w:tc>
          <w:tcPr>
            <w:tcW w:w="709" w:type="dxa"/>
            <w:noWrap w:val="0"/>
            <w:vAlign w:val="center"/>
          </w:tcPr>
          <w:p w14:paraId="6A437E33">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万元</w:t>
            </w:r>
          </w:p>
        </w:tc>
        <w:tc>
          <w:tcPr>
            <w:tcW w:w="1125" w:type="dxa"/>
            <w:noWrap w:val="0"/>
            <w:vAlign w:val="center"/>
          </w:tcPr>
          <w:p w14:paraId="1FF18A15">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Z≥120000</w:t>
            </w:r>
          </w:p>
        </w:tc>
        <w:tc>
          <w:tcPr>
            <w:tcW w:w="1701" w:type="dxa"/>
            <w:noWrap w:val="0"/>
            <w:vAlign w:val="center"/>
          </w:tcPr>
          <w:p w14:paraId="08A22C8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8000≤Z＜120000</w:t>
            </w:r>
          </w:p>
        </w:tc>
        <w:tc>
          <w:tcPr>
            <w:tcW w:w="1426" w:type="dxa"/>
            <w:noWrap w:val="0"/>
            <w:vAlign w:val="center"/>
          </w:tcPr>
          <w:p w14:paraId="72A401B7">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100≤Z＜8000</w:t>
            </w:r>
          </w:p>
        </w:tc>
        <w:tc>
          <w:tcPr>
            <w:tcW w:w="992" w:type="dxa"/>
            <w:noWrap w:val="0"/>
            <w:vAlign w:val="center"/>
          </w:tcPr>
          <w:p w14:paraId="74C67AD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Z＜100</w:t>
            </w:r>
          </w:p>
        </w:tc>
      </w:tr>
      <w:tr w14:paraId="536B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D2F3B5B">
            <w:pPr>
              <w:widowControl/>
              <w:spacing w:line="24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其他未列明行业 *</w:t>
            </w:r>
          </w:p>
        </w:tc>
        <w:tc>
          <w:tcPr>
            <w:tcW w:w="1369" w:type="dxa"/>
            <w:noWrap w:val="0"/>
            <w:vAlign w:val="center"/>
          </w:tcPr>
          <w:p w14:paraId="6B4D4E51">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从业人员(X)</w:t>
            </w:r>
          </w:p>
        </w:tc>
        <w:tc>
          <w:tcPr>
            <w:tcW w:w="709" w:type="dxa"/>
            <w:noWrap w:val="0"/>
            <w:vAlign w:val="center"/>
          </w:tcPr>
          <w:p w14:paraId="78E06F0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人</w:t>
            </w:r>
          </w:p>
        </w:tc>
        <w:tc>
          <w:tcPr>
            <w:tcW w:w="1125" w:type="dxa"/>
            <w:noWrap w:val="0"/>
            <w:vAlign w:val="center"/>
          </w:tcPr>
          <w:p w14:paraId="4EC6D798">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X≥300</w:t>
            </w:r>
          </w:p>
        </w:tc>
        <w:tc>
          <w:tcPr>
            <w:tcW w:w="1701" w:type="dxa"/>
            <w:noWrap w:val="0"/>
            <w:vAlign w:val="center"/>
          </w:tcPr>
          <w:p w14:paraId="7419611B">
            <w:pPr>
              <w:widowControl/>
              <w:ind w:left="1" w:leftChars="-51" w:hanging="108" w:hangingChars="60"/>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100≤X＜300 </w:t>
            </w:r>
          </w:p>
        </w:tc>
        <w:tc>
          <w:tcPr>
            <w:tcW w:w="1426" w:type="dxa"/>
            <w:noWrap w:val="0"/>
            <w:vAlign w:val="center"/>
          </w:tcPr>
          <w:p w14:paraId="69C4D774">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xml:space="preserve"> 10≤X＜100</w:t>
            </w:r>
          </w:p>
        </w:tc>
        <w:tc>
          <w:tcPr>
            <w:tcW w:w="992" w:type="dxa"/>
            <w:noWrap w:val="0"/>
            <w:vAlign w:val="center"/>
          </w:tcPr>
          <w:p w14:paraId="763BC2D6">
            <w:pPr>
              <w:widowControl/>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X＜10</w:t>
            </w:r>
          </w:p>
        </w:tc>
      </w:tr>
    </w:tbl>
    <w:p w14:paraId="1C3CFFE1">
      <w:pPr>
        <w:pStyle w:val="23"/>
        <w:spacing w:line="360" w:lineRule="auto"/>
        <w:ind w:left="25" w:leftChars="12" w:firstLine="310" w:firstLineChars="147"/>
        <w:rPr>
          <w:rFonts w:hint="default" w:ascii="Times New Roman" w:hAnsi="Times New Roman" w:eastAsia="宋体" w:cs="Times New Roman"/>
          <w:b/>
          <w:color w:val="auto"/>
          <w:sz w:val="21"/>
          <w:szCs w:val="21"/>
          <w:highlight w:val="none"/>
        </w:rPr>
      </w:pPr>
    </w:p>
    <w:sectPr>
      <w:footerReference r:id="rId18" w:type="first"/>
      <w:headerReference r:id="rId15" w:type="default"/>
      <w:footerReference r:id="rId16" w:type="default"/>
      <w:footerReference r:id="rId17" w:type="even"/>
      <w:pgSz w:w="11906" w:h="16838"/>
      <w:pgMar w:top="1134" w:right="1503" w:bottom="1559" w:left="167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F5A59B-6FF0-4584-98B0-DDDE5551DF3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onder Arial">
    <w:panose1 w:val="00000500000000000000"/>
    <w:charset w:val="00"/>
    <w:family w:val="auto"/>
    <w:pitch w:val="default"/>
    <w:sig w:usb0="00000003" w:usb1="00000000" w:usb2="00000000" w:usb3="00000000" w:csb0="00000011" w:csb1="00000000"/>
  </w:font>
  <w:font w:name="Candara">
    <w:panose1 w:val="020E0502030303020204"/>
    <w:charset w:val="00"/>
    <w:family w:val="auto"/>
    <w:pitch w:val="default"/>
    <w:sig w:usb0="A00002EF" w:usb1="4000A44B" w:usb2="00000000" w:usb3="00000000" w:csb0="2000019F" w:csb1="00000000"/>
  </w:font>
  <w:font w:name="方正小标宋_GBK">
    <w:panose1 w:val="02000000000000000000"/>
    <w:charset w:val="7A"/>
    <w:family w:val="script"/>
    <w:pitch w:val="default"/>
    <w:sig w:usb0="A00002BF" w:usb1="38CF7CFA" w:usb2="00082016" w:usb3="00000000" w:csb0="00040001" w:csb1="00000000"/>
    <w:embedRegular r:id="rId2" w:fontKey="{A8BDF7AA-21CD-4C54-B6E7-BBF4495DB8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6862">
    <w:pPr>
      <w:spacing w:line="173" w:lineRule="auto"/>
      <w:ind w:left="413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1439">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14:paraId="62016FB6">
    <w:pPr>
      <w:pStyle w:val="29"/>
      <w:ind w:right="360"/>
      <w:jc w:val="both"/>
      <w:rPr>
        <w:rFonts w:hint="eastAsia"/>
      </w:rPr>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40C3">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FC5A1">
                          <w:pPr>
                            <w:pStyle w:val="29"/>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J0DlQ4QEAAMEDAAAOAAAA&#10;AAAAAAEAIAAAAB4BAABkcnMvZTJvRG9jLnhtbFBLBQYAAAAABgAGAFkBAABxBQAAAAA=&#10;">
              <v:fill on="f" focussize="0,0"/>
              <v:stroke on="f"/>
              <v:imagedata o:title=""/>
              <o:lock v:ext="edit" aspectratio="f"/>
              <v:textbox inset="0mm,0mm,0mm,0mm" style="mso-fit-shape-to-text:t;">
                <w:txbxContent>
                  <w:p w14:paraId="557FC5A1">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79907175">
    <w:pPr>
      <w:pStyle w:val="2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6799">
    <w:pPr>
      <w:pStyle w:val="29"/>
      <w:framePr w:wrap="around" w:vAnchor="text" w:hAnchor="margin" w:xAlign="center" w:y="1"/>
      <w:rPr>
        <w:rStyle w:val="50"/>
      </w:rPr>
    </w:pPr>
    <w:r>
      <w:fldChar w:fldCharType="begin"/>
    </w:r>
    <w:r>
      <w:rPr>
        <w:rStyle w:val="50"/>
      </w:rPr>
      <w:instrText xml:space="preserve">PAGE  </w:instrText>
    </w:r>
    <w:r>
      <w:fldChar w:fldCharType="end"/>
    </w:r>
  </w:p>
  <w:p w14:paraId="3871C727">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31C1">
    <w:pPr>
      <w:pStyle w:val="29"/>
      <w:ind w:right="360"/>
      <w:jc w:val="both"/>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3428B3">
                          <w:pPr>
                            <w:pStyle w:val="29"/>
                          </w:pPr>
                          <w:r>
                            <w:fldChar w:fldCharType="begin"/>
                          </w:r>
                          <w:r>
                            <w:instrText xml:space="preserve"> PAGE  \* MERGEFORMAT </w:instrText>
                          </w:r>
                          <w:r>
                            <w:fldChar w:fldCharType="separate"/>
                          </w:r>
                          <w:r>
                            <w:t>73</w:t>
                          </w:r>
                          <w:r>
                            <w:fldChar w:fldCharType="end"/>
                          </w:r>
                        </w:p>
                      </w:txbxContent>
                    </wps:txbx>
                    <wps:bodyPr vert="horz" wrap="none" lIns="0" tIns="0" rIns="0" bIns="0" anchor="t" anchorCtr="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6MswOEBAADBAwAADgAAAGRycy9lMm9Eb2MueG1srVPNjtMwEL4j8Q6W&#10;7zRph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W/4swJSwM///h+/vn7/Osb&#10;m5evF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ToyzA4QEAAMEDAAAOAAAA&#10;AAAAAAEAIAAAAB4BAABkcnMvZTJvRG9jLnhtbFBLBQYAAAAABgAGAFkBAABxBQAAAAA=&#10;">
              <v:fill on="f" focussize="0,0"/>
              <v:stroke on="f"/>
              <v:imagedata o:title=""/>
              <o:lock v:ext="edit" aspectratio="f"/>
              <v:textbox inset="0mm,0mm,0mm,0mm" style="mso-fit-shape-to-text:t;">
                <w:txbxContent>
                  <w:p w14:paraId="6E3428B3">
                    <w:pPr>
                      <w:pStyle w:val="2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A963">
    <w:pPr>
      <w:spacing w:line="173"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56443">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jEdRuIBAADBAwAADgAA&#10;AAAAAAABACAAAAAeAQAAZHJzL2Uyb0RvYy54bWxQSwUGAAAAAAYABgBZAQAAcgUAAAAA&#10;">
              <v:fill on="f" focussize="0,0"/>
              <v:stroke on="f"/>
              <v:imagedata o:title=""/>
              <o:lock v:ext="edit" aspectratio="f"/>
              <v:textbox inset="0mm,0mm,0mm,0mm" style="mso-fit-shape-to-text:t;">
                <w:txbxContent>
                  <w:p w14:paraId="41056443">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76A2">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4F77FF">
                          <w:pPr>
                            <w:pStyle w:val="29"/>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II1uEBAADBAwAADgAAAGRycy9lMm9Eb2MueG1srVPNjtMwEL4j8Q6W&#10;7zRpk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VfcOaEpYGff3w///x9/vWN&#10;zcv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YQgjW4QEAAMEDAAAOAAAA&#10;AAAAAAEAIAAAAB4BAABkcnMvZTJvRG9jLnhtbFBLBQYAAAAABgAGAFkBAABxBQAAAAA=&#10;">
              <v:fill on="f" focussize="0,0"/>
              <v:stroke on="f"/>
              <v:imagedata o:title=""/>
              <o:lock v:ext="edit" aspectratio="f"/>
              <v:textbox inset="0mm,0mm,0mm,0mm" style="mso-fit-shape-to-text:t;">
                <w:txbxContent>
                  <w:p w14:paraId="364F77FF">
                    <w:pPr>
                      <w:pStyle w:val="29"/>
                    </w:pPr>
                    <w:r>
                      <w:fldChar w:fldCharType="begin"/>
                    </w:r>
                    <w:r>
                      <w:instrText xml:space="preserve"> PAGE  \* MERGEFORMAT </w:instrText>
                    </w:r>
                    <w:r>
                      <w:fldChar w:fldCharType="separate"/>
                    </w:r>
                    <w:r>
                      <w:t>5</w:t>
                    </w:r>
                    <w:r>
                      <w:fldChar w:fldCharType="end"/>
                    </w:r>
                  </w:p>
                </w:txbxContent>
              </v:textbox>
            </v:shape>
          </w:pict>
        </mc:Fallback>
      </mc:AlternateContent>
    </w:r>
  </w:p>
  <w:p w14:paraId="6423F41C">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DB02">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6F019">
                          <w:pPr>
                            <w:pStyle w:val="29"/>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ukwSm4QEAAMEDAAAOAAAA&#10;AAAAAAEAIAAAAB4BAABkcnMvZTJvRG9jLnhtbFBLBQYAAAAABgAGAFkBAABxBQAAAAA=&#10;">
              <v:fill on="f" focussize="0,0"/>
              <v:stroke on="f"/>
              <v:imagedata o:title=""/>
              <o:lock v:ext="edit" aspectratio="f"/>
              <v:textbox inset="0mm,0mm,0mm,0mm" style="mso-fit-shape-to-text:t;">
                <w:txbxContent>
                  <w:p w14:paraId="0866F019">
                    <w:pPr>
                      <w:pStyle w:val="29"/>
                    </w:pPr>
                    <w:r>
                      <w:fldChar w:fldCharType="begin"/>
                    </w:r>
                    <w:r>
                      <w:instrText xml:space="preserve"> PAGE  \* MERGEFORMAT </w:instrText>
                    </w:r>
                    <w:r>
                      <w:fldChar w:fldCharType="separate"/>
                    </w:r>
                    <w:r>
                      <w:t>4</w:t>
                    </w:r>
                    <w:r>
                      <w:fldChar w:fldCharType="end"/>
                    </w:r>
                  </w:p>
                </w:txbxContent>
              </v:textbox>
            </v:shape>
          </w:pict>
        </mc:Fallback>
      </mc:AlternateContent>
    </w:r>
  </w:p>
  <w:p w14:paraId="427483C8">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E7D5">
    <w:pPr>
      <w:tabs>
        <w:tab w:val="left" w:pos="4949"/>
      </w:tabs>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21A0D">
                          <w:pPr>
                            <w:pStyle w:val="29"/>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HhzuABAADBAwAADgAAAGRycy9lMm9Eb2MueG1srVPNjtMwEL4j8Q6W&#10;7zRphVCp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p7E5YGvj518/z77/nPz/Y&#10;vHz5OinUBVhR4k2gVOzf+p72ZvIDORPxvok2/YkSozjpe7roq3pkMl1aLpbLkkKSYtOB8Iu76yEC&#10;vlfesmRUPNIAs67i+BFwSJ1SUjXnr7UxeYjG/ecgzOQpUu9Dj8nCftePhHa+PhEfeglUp/XxO2cd&#10;7UHFHa09Z+aDI5nTykxGnIzdZAgn6WLFkbPBfIfDah1C1Ps2L1tqCsKbA1KnmUBqY6g9dkeTzRKM&#10;W5hW599zzrp7eZ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B4c7gAQAAwQMAAA4AAAAA&#10;AAAAAQAgAAAAHgEAAGRycy9lMm9Eb2MueG1sUEsFBgAAAAAGAAYAWQEAAHAFAAAAAA==&#10;">
              <v:fill on="f" focussize="0,0"/>
              <v:stroke on="f"/>
              <v:imagedata o:title=""/>
              <o:lock v:ext="edit" aspectratio="f"/>
              <v:textbox inset="0mm,0mm,0mm,0mm" style="mso-fit-shape-to-text:t;">
                <w:txbxContent>
                  <w:p w14:paraId="12921A0D">
                    <w:pPr>
                      <w:pStyle w:val="29"/>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2DBD">
    <w:pPr>
      <w:tabs>
        <w:tab w:val="left" w:pos="5018"/>
      </w:tabs>
      <w:spacing w:line="176" w:lineRule="auto"/>
      <w:ind w:left="4556"/>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E919CB">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73zio98BAADBAwAADgAAAAAA&#10;AAABACAAAAAeAQAAZHJzL2Uyb0RvYy54bWxQSwUGAAAAAAYABgBZAQAAbwUAAAAA&#10;">
              <v:fill on="f" focussize="0,0"/>
              <v:stroke on="f"/>
              <v:imagedata o:title=""/>
              <o:lock v:ext="edit" aspectratio="f"/>
              <v:textbox inset="0mm,0mm,0mm,0mm" style="mso-fit-shape-to-text:t;">
                <w:txbxContent>
                  <w:p w14:paraId="63E919CB">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96F0">
    <w:pPr>
      <w:tabs>
        <w:tab w:val="left" w:pos="5018"/>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FD393">
                          <w:pPr>
                            <w:pStyle w:val="29"/>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3CDwy4QEAAMEDAAAOAAAA&#10;AAAAAAEAIAAAAB4BAABkcnMvZTJvRG9jLnhtbFBLBQYAAAAABgAGAFkBAABxBQAAAAA=&#10;">
              <v:fill on="f" focussize="0,0"/>
              <v:stroke on="f"/>
              <v:imagedata o:title=""/>
              <o:lock v:ext="edit" aspectratio="f"/>
              <v:textbox inset="0mm,0mm,0mm,0mm" style="mso-fit-shape-to-text:t;">
                <w:txbxContent>
                  <w:p w14:paraId="30AFD393">
                    <w:pPr>
                      <w:pStyle w:val="2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EC4E3">
    <w:pPr>
      <w:pStyle w:val="2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BAF108">
                          <w:pPr>
                            <w:pStyle w:val="29"/>
                          </w:pPr>
                          <w:r>
                            <w:fldChar w:fldCharType="begin"/>
                          </w:r>
                          <w:r>
                            <w:instrText xml:space="preserve"> PAGE  \* MERGEFORMAT </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wE1IN8BAADBAwAADgAAAAAA&#10;AAABACAAAAAeAQAAZHJzL2Uyb0RvYy54bWxQSwUGAAAAAAYABgBZAQAAbwUAAAAA&#10;">
              <v:fill on="f" focussize="0,0"/>
              <v:stroke on="f"/>
              <v:imagedata o:title=""/>
              <o:lock v:ext="edit" aspectratio="f"/>
              <v:textbox inset="0mm,0mm,0mm,0mm" style="mso-fit-shape-to-text:t;">
                <w:txbxContent>
                  <w:p w14:paraId="26BAF108">
                    <w:pPr>
                      <w:pStyle w:val="29"/>
                    </w:pPr>
                    <w:r>
                      <w:fldChar w:fldCharType="begin"/>
                    </w:r>
                    <w:r>
                      <w:instrText xml:space="preserve"> PAGE  \* MERGEFORMAT </w:instrText>
                    </w:r>
                    <w:r>
                      <w:fldChar w:fldCharType="separate"/>
                    </w:r>
                    <w:r>
                      <w:t>49</w:t>
                    </w:r>
                    <w:r>
                      <w:fldChar w:fldCharType="end"/>
                    </w:r>
                  </w:p>
                </w:txbxContent>
              </v:textbox>
            </v:shape>
          </w:pict>
        </mc:Fallback>
      </mc:AlternateContent>
    </w:r>
  </w:p>
  <w:p w14:paraId="427AB066">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40E9">
    <w:pPr>
      <w:pStyle w:val="29"/>
      <w:framePr w:wrap="around" w:vAnchor="text" w:hAnchor="margin" w:xAlign="center" w:y="1"/>
      <w:rPr>
        <w:rStyle w:val="50"/>
      </w:rPr>
    </w:pPr>
    <w:r>
      <w:fldChar w:fldCharType="begin"/>
    </w:r>
    <w:r>
      <w:rPr>
        <w:rStyle w:val="50"/>
      </w:rPr>
      <w:instrText xml:space="preserve">PAGE  </w:instrText>
    </w:r>
    <w:r>
      <w:fldChar w:fldCharType="end"/>
    </w:r>
  </w:p>
  <w:p w14:paraId="35DE8F2B">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4E23">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0FCD">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1CA9">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FD376"/>
    <w:multiLevelType w:val="singleLevel"/>
    <w:tmpl w:val="9FBFD376"/>
    <w:lvl w:ilvl="0" w:tentative="0">
      <w:start w:val="1"/>
      <w:numFmt w:val="decimal"/>
      <w:suff w:val="nothing"/>
      <w:lvlText w:val="%1、"/>
      <w:lvlJc w:val="left"/>
    </w:lvl>
  </w:abstractNum>
  <w:abstractNum w:abstractNumId="1">
    <w:nsid w:val="A1AB09FC"/>
    <w:multiLevelType w:val="singleLevel"/>
    <w:tmpl w:val="A1AB09FC"/>
    <w:lvl w:ilvl="0" w:tentative="0">
      <w:start w:val="1"/>
      <w:numFmt w:val="decimal"/>
      <w:suff w:val="nothing"/>
      <w:lvlText w:val="%1、"/>
      <w:lvlJc w:val="left"/>
    </w:lvl>
  </w:abstractNum>
  <w:abstractNum w:abstractNumId="2">
    <w:nsid w:val="DAC6399B"/>
    <w:multiLevelType w:val="singleLevel"/>
    <w:tmpl w:val="DAC6399B"/>
    <w:lvl w:ilvl="0" w:tentative="0">
      <w:start w:val="1"/>
      <w:numFmt w:val="decimal"/>
      <w:lvlText w:val="%1."/>
      <w:lvlJc w:val="left"/>
      <w:pPr>
        <w:tabs>
          <w:tab w:val="left" w:pos="312"/>
        </w:tabs>
      </w:pPr>
    </w:lvl>
  </w:abstractNum>
  <w:abstractNum w:abstractNumId="3">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4">
    <w:nsid w:val="2A052C95"/>
    <w:multiLevelType w:val="singleLevel"/>
    <w:tmpl w:val="2A052C95"/>
    <w:lvl w:ilvl="0" w:tentative="0">
      <w:start w:val="2"/>
      <w:numFmt w:val="decimal"/>
      <w:suff w:val="nothing"/>
      <w:lvlText w:val="%1、"/>
      <w:lvlJc w:val="left"/>
    </w:lvl>
  </w:abstractNum>
  <w:abstractNum w:abstractNumId="5">
    <w:nsid w:val="2C115526"/>
    <w:multiLevelType w:val="singleLevel"/>
    <w:tmpl w:val="2C115526"/>
    <w:lvl w:ilvl="0" w:tentative="0">
      <w:start w:val="6"/>
      <w:numFmt w:val="decimal"/>
      <w:suff w:val="nothing"/>
      <w:lvlText w:val="%1、"/>
      <w:lvlJc w:val="left"/>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方正仿宋_GB2312" w:eastAsia="方正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7">
    <w:nsid w:val="4C601917"/>
    <w:multiLevelType w:val="singleLevel"/>
    <w:tmpl w:val="4C601917"/>
    <w:lvl w:ilvl="0" w:tentative="0">
      <w:start w:val="1"/>
      <w:numFmt w:val="decimal"/>
      <w:suff w:val="nothing"/>
      <w:lvlText w:val="（%1）"/>
      <w:lvlJc w:val="left"/>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6"/>
  </w:num>
  <w:num w:numId="2">
    <w:abstractNumId w:val="3"/>
  </w:num>
  <w:num w:numId="3">
    <w:abstractNumId w:val="4"/>
  </w:num>
  <w:num w:numId="4">
    <w:abstractNumId w:val="1"/>
  </w:num>
  <w:num w:numId="5">
    <w:abstractNumId w:val="9"/>
  </w:num>
  <w:num w:numId="6">
    <w:abstractNumId w:val="2"/>
  </w:num>
  <w:num w:numId="7">
    <w:abstractNumId w:val="7"/>
  </w:num>
  <w:num w:numId="8">
    <w:abstractNumId w:val="8"/>
  </w:num>
  <w:num w:numId="9">
    <w:abstractNumId w:val="0"/>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K2XWWtrPYhCbPDl3R5ZexYdQoIQ=" w:salt="QJT2cOL9V9teHDL+FLWa/A=="/>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ZjAxZTc4MDliMDEwNzRkOTljMjIwMDFlMDJiNTM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DBF"/>
    <w:rsid w:val="00002EC0"/>
    <w:rsid w:val="00003224"/>
    <w:rsid w:val="000033F5"/>
    <w:rsid w:val="000034EA"/>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EE"/>
    <w:rsid w:val="000121FF"/>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103A"/>
    <w:rsid w:val="000217E4"/>
    <w:rsid w:val="00021852"/>
    <w:rsid w:val="00021A12"/>
    <w:rsid w:val="00022622"/>
    <w:rsid w:val="00023363"/>
    <w:rsid w:val="000235F3"/>
    <w:rsid w:val="00023644"/>
    <w:rsid w:val="00023712"/>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F4A"/>
    <w:rsid w:val="00043BE5"/>
    <w:rsid w:val="00044003"/>
    <w:rsid w:val="00044527"/>
    <w:rsid w:val="0004469E"/>
    <w:rsid w:val="00044897"/>
    <w:rsid w:val="00044ACF"/>
    <w:rsid w:val="00044D83"/>
    <w:rsid w:val="000454F4"/>
    <w:rsid w:val="00045D1E"/>
    <w:rsid w:val="00045E69"/>
    <w:rsid w:val="00045EF4"/>
    <w:rsid w:val="00046547"/>
    <w:rsid w:val="000466D7"/>
    <w:rsid w:val="00046753"/>
    <w:rsid w:val="00047254"/>
    <w:rsid w:val="000472FD"/>
    <w:rsid w:val="0005022B"/>
    <w:rsid w:val="00050771"/>
    <w:rsid w:val="000513F3"/>
    <w:rsid w:val="00052287"/>
    <w:rsid w:val="000522E0"/>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288"/>
    <w:rsid w:val="000833BB"/>
    <w:rsid w:val="0008452D"/>
    <w:rsid w:val="0008467B"/>
    <w:rsid w:val="000846E2"/>
    <w:rsid w:val="000850FA"/>
    <w:rsid w:val="00085C12"/>
    <w:rsid w:val="00085DA0"/>
    <w:rsid w:val="00085F82"/>
    <w:rsid w:val="00086506"/>
    <w:rsid w:val="00086B6E"/>
    <w:rsid w:val="00086C64"/>
    <w:rsid w:val="00087703"/>
    <w:rsid w:val="0008781A"/>
    <w:rsid w:val="00090951"/>
    <w:rsid w:val="00090A61"/>
    <w:rsid w:val="000918F5"/>
    <w:rsid w:val="000919B5"/>
    <w:rsid w:val="00091C1D"/>
    <w:rsid w:val="00091E08"/>
    <w:rsid w:val="00091E29"/>
    <w:rsid w:val="000922D8"/>
    <w:rsid w:val="000932E7"/>
    <w:rsid w:val="0009333A"/>
    <w:rsid w:val="00093459"/>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B49"/>
    <w:rsid w:val="000A5FE5"/>
    <w:rsid w:val="000A688F"/>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71C"/>
    <w:rsid w:val="000C0BB4"/>
    <w:rsid w:val="000C0BEE"/>
    <w:rsid w:val="000C1CB9"/>
    <w:rsid w:val="000C2159"/>
    <w:rsid w:val="000C21BB"/>
    <w:rsid w:val="000C289B"/>
    <w:rsid w:val="000C34B8"/>
    <w:rsid w:val="000C3F01"/>
    <w:rsid w:val="000C420D"/>
    <w:rsid w:val="000C4773"/>
    <w:rsid w:val="000C4944"/>
    <w:rsid w:val="000C4E24"/>
    <w:rsid w:val="000C5C4A"/>
    <w:rsid w:val="000C5F01"/>
    <w:rsid w:val="000C63C4"/>
    <w:rsid w:val="000C66C1"/>
    <w:rsid w:val="000C6F0B"/>
    <w:rsid w:val="000C6F32"/>
    <w:rsid w:val="000C778C"/>
    <w:rsid w:val="000C7833"/>
    <w:rsid w:val="000C7DFB"/>
    <w:rsid w:val="000C7E1B"/>
    <w:rsid w:val="000C7E73"/>
    <w:rsid w:val="000D001B"/>
    <w:rsid w:val="000D0A45"/>
    <w:rsid w:val="000D136E"/>
    <w:rsid w:val="000D14AC"/>
    <w:rsid w:val="000D15BA"/>
    <w:rsid w:val="000D2365"/>
    <w:rsid w:val="000D2C9B"/>
    <w:rsid w:val="000D35FD"/>
    <w:rsid w:val="000D3D2D"/>
    <w:rsid w:val="000D3D99"/>
    <w:rsid w:val="000D4653"/>
    <w:rsid w:val="000D4696"/>
    <w:rsid w:val="000D4817"/>
    <w:rsid w:val="000D4FB9"/>
    <w:rsid w:val="000D54B4"/>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11FC"/>
    <w:rsid w:val="0010165F"/>
    <w:rsid w:val="001018C1"/>
    <w:rsid w:val="00101E7C"/>
    <w:rsid w:val="00102260"/>
    <w:rsid w:val="001023DC"/>
    <w:rsid w:val="0010256D"/>
    <w:rsid w:val="00102572"/>
    <w:rsid w:val="00102702"/>
    <w:rsid w:val="00102946"/>
    <w:rsid w:val="00102FBF"/>
    <w:rsid w:val="0010333D"/>
    <w:rsid w:val="0010372A"/>
    <w:rsid w:val="00103F41"/>
    <w:rsid w:val="00104E77"/>
    <w:rsid w:val="00104F34"/>
    <w:rsid w:val="001053C5"/>
    <w:rsid w:val="001055AD"/>
    <w:rsid w:val="00105C14"/>
    <w:rsid w:val="001065A3"/>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65CC"/>
    <w:rsid w:val="0011688E"/>
    <w:rsid w:val="00116ACD"/>
    <w:rsid w:val="00117B7D"/>
    <w:rsid w:val="001205A8"/>
    <w:rsid w:val="0012094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B62"/>
    <w:rsid w:val="00140D07"/>
    <w:rsid w:val="00141A3A"/>
    <w:rsid w:val="001422F4"/>
    <w:rsid w:val="001423FA"/>
    <w:rsid w:val="001427B5"/>
    <w:rsid w:val="001428CF"/>
    <w:rsid w:val="00142D0C"/>
    <w:rsid w:val="00142E3C"/>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D7"/>
    <w:rsid w:val="0016596E"/>
    <w:rsid w:val="00165A5F"/>
    <w:rsid w:val="00166223"/>
    <w:rsid w:val="00166492"/>
    <w:rsid w:val="001670D8"/>
    <w:rsid w:val="0016793E"/>
    <w:rsid w:val="00167D4D"/>
    <w:rsid w:val="00170635"/>
    <w:rsid w:val="0017070D"/>
    <w:rsid w:val="00170837"/>
    <w:rsid w:val="00171035"/>
    <w:rsid w:val="001713B7"/>
    <w:rsid w:val="00171ADB"/>
    <w:rsid w:val="00172029"/>
    <w:rsid w:val="00172516"/>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FE0"/>
    <w:rsid w:val="00183911"/>
    <w:rsid w:val="001845FB"/>
    <w:rsid w:val="00184CDD"/>
    <w:rsid w:val="00184DAB"/>
    <w:rsid w:val="00185490"/>
    <w:rsid w:val="00185DA6"/>
    <w:rsid w:val="00185F64"/>
    <w:rsid w:val="00186096"/>
    <w:rsid w:val="00186F7C"/>
    <w:rsid w:val="0018772E"/>
    <w:rsid w:val="00187A94"/>
    <w:rsid w:val="0019029E"/>
    <w:rsid w:val="00190804"/>
    <w:rsid w:val="0019088F"/>
    <w:rsid w:val="00190C51"/>
    <w:rsid w:val="00192FA5"/>
    <w:rsid w:val="0019336B"/>
    <w:rsid w:val="001939A6"/>
    <w:rsid w:val="00193ACC"/>
    <w:rsid w:val="00193BFE"/>
    <w:rsid w:val="00194E7E"/>
    <w:rsid w:val="00195322"/>
    <w:rsid w:val="0019560E"/>
    <w:rsid w:val="00195702"/>
    <w:rsid w:val="001958E3"/>
    <w:rsid w:val="0019601B"/>
    <w:rsid w:val="00196048"/>
    <w:rsid w:val="00196A82"/>
    <w:rsid w:val="0019769B"/>
    <w:rsid w:val="00197FFE"/>
    <w:rsid w:val="001A0D25"/>
    <w:rsid w:val="001A1570"/>
    <w:rsid w:val="001A1917"/>
    <w:rsid w:val="001A1C64"/>
    <w:rsid w:val="001A1E7F"/>
    <w:rsid w:val="001A228D"/>
    <w:rsid w:val="001A2918"/>
    <w:rsid w:val="001A2D02"/>
    <w:rsid w:val="001A2DFE"/>
    <w:rsid w:val="001A3076"/>
    <w:rsid w:val="001A3120"/>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F10"/>
    <w:rsid w:val="001B5026"/>
    <w:rsid w:val="001B5154"/>
    <w:rsid w:val="001B5B75"/>
    <w:rsid w:val="001B6326"/>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3D9"/>
    <w:rsid w:val="001D36F6"/>
    <w:rsid w:val="001D3D5F"/>
    <w:rsid w:val="001D4303"/>
    <w:rsid w:val="001D45E5"/>
    <w:rsid w:val="001D461A"/>
    <w:rsid w:val="001D4A9D"/>
    <w:rsid w:val="001D4AAD"/>
    <w:rsid w:val="001D5AFA"/>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8D"/>
    <w:rsid w:val="001F274F"/>
    <w:rsid w:val="001F289C"/>
    <w:rsid w:val="001F2BF9"/>
    <w:rsid w:val="001F3AF2"/>
    <w:rsid w:val="001F6008"/>
    <w:rsid w:val="001F641B"/>
    <w:rsid w:val="001F6C19"/>
    <w:rsid w:val="001F6D4D"/>
    <w:rsid w:val="001F7C00"/>
    <w:rsid w:val="0020042C"/>
    <w:rsid w:val="002009A3"/>
    <w:rsid w:val="00200F1A"/>
    <w:rsid w:val="0020130D"/>
    <w:rsid w:val="00201D06"/>
    <w:rsid w:val="00201E9F"/>
    <w:rsid w:val="00202F25"/>
    <w:rsid w:val="002035B3"/>
    <w:rsid w:val="00203929"/>
    <w:rsid w:val="00203CD6"/>
    <w:rsid w:val="00203F0A"/>
    <w:rsid w:val="00204460"/>
    <w:rsid w:val="002051EA"/>
    <w:rsid w:val="00205CBC"/>
    <w:rsid w:val="00205E9E"/>
    <w:rsid w:val="00206259"/>
    <w:rsid w:val="00206CE5"/>
    <w:rsid w:val="002074B7"/>
    <w:rsid w:val="0020758D"/>
    <w:rsid w:val="00207C7B"/>
    <w:rsid w:val="00211470"/>
    <w:rsid w:val="00211922"/>
    <w:rsid w:val="0021213A"/>
    <w:rsid w:val="0021265F"/>
    <w:rsid w:val="00213817"/>
    <w:rsid w:val="00214428"/>
    <w:rsid w:val="002145EB"/>
    <w:rsid w:val="00215834"/>
    <w:rsid w:val="00215CC2"/>
    <w:rsid w:val="00215ED8"/>
    <w:rsid w:val="00217700"/>
    <w:rsid w:val="002177E2"/>
    <w:rsid w:val="002205F3"/>
    <w:rsid w:val="0022085B"/>
    <w:rsid w:val="00220E53"/>
    <w:rsid w:val="0022176C"/>
    <w:rsid w:val="002225D1"/>
    <w:rsid w:val="002230FA"/>
    <w:rsid w:val="002235D9"/>
    <w:rsid w:val="00223DF2"/>
    <w:rsid w:val="00224737"/>
    <w:rsid w:val="00224C0C"/>
    <w:rsid w:val="00225323"/>
    <w:rsid w:val="002256C2"/>
    <w:rsid w:val="002256D0"/>
    <w:rsid w:val="00225C8E"/>
    <w:rsid w:val="00226428"/>
    <w:rsid w:val="002265A9"/>
    <w:rsid w:val="002266CB"/>
    <w:rsid w:val="0022701E"/>
    <w:rsid w:val="00227052"/>
    <w:rsid w:val="002272D5"/>
    <w:rsid w:val="0022738E"/>
    <w:rsid w:val="00227906"/>
    <w:rsid w:val="00227934"/>
    <w:rsid w:val="0022793D"/>
    <w:rsid w:val="00227E21"/>
    <w:rsid w:val="00230178"/>
    <w:rsid w:val="00231D05"/>
    <w:rsid w:val="002336E2"/>
    <w:rsid w:val="00233AC2"/>
    <w:rsid w:val="00233BAF"/>
    <w:rsid w:val="00235420"/>
    <w:rsid w:val="00235DAA"/>
    <w:rsid w:val="0024065B"/>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50100"/>
    <w:rsid w:val="00250A1F"/>
    <w:rsid w:val="00250ADA"/>
    <w:rsid w:val="00250F1D"/>
    <w:rsid w:val="0025194E"/>
    <w:rsid w:val="00251FF1"/>
    <w:rsid w:val="002520BA"/>
    <w:rsid w:val="00252234"/>
    <w:rsid w:val="0025228C"/>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615C"/>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3AE7"/>
    <w:rsid w:val="00263EC7"/>
    <w:rsid w:val="00264441"/>
    <w:rsid w:val="0026491B"/>
    <w:rsid w:val="00264A36"/>
    <w:rsid w:val="00264B06"/>
    <w:rsid w:val="00264C1B"/>
    <w:rsid w:val="00265E2E"/>
    <w:rsid w:val="002661AB"/>
    <w:rsid w:val="002668DB"/>
    <w:rsid w:val="0026742B"/>
    <w:rsid w:val="002674FE"/>
    <w:rsid w:val="00270748"/>
    <w:rsid w:val="0027105A"/>
    <w:rsid w:val="0027117F"/>
    <w:rsid w:val="00271283"/>
    <w:rsid w:val="002712DC"/>
    <w:rsid w:val="00271875"/>
    <w:rsid w:val="002718FF"/>
    <w:rsid w:val="00271955"/>
    <w:rsid w:val="00272278"/>
    <w:rsid w:val="00272432"/>
    <w:rsid w:val="00272633"/>
    <w:rsid w:val="00272FBF"/>
    <w:rsid w:val="00273A10"/>
    <w:rsid w:val="00273A58"/>
    <w:rsid w:val="00273FBB"/>
    <w:rsid w:val="00274CAB"/>
    <w:rsid w:val="00274E8A"/>
    <w:rsid w:val="0027507D"/>
    <w:rsid w:val="00275FCE"/>
    <w:rsid w:val="002766B8"/>
    <w:rsid w:val="0027680F"/>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3CE"/>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44F9"/>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AFB"/>
    <w:rsid w:val="002B5CDD"/>
    <w:rsid w:val="002B6320"/>
    <w:rsid w:val="002B66AC"/>
    <w:rsid w:val="002B6852"/>
    <w:rsid w:val="002B77E1"/>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5776"/>
    <w:rsid w:val="002C5EED"/>
    <w:rsid w:val="002C66DE"/>
    <w:rsid w:val="002C7193"/>
    <w:rsid w:val="002C7699"/>
    <w:rsid w:val="002C7A49"/>
    <w:rsid w:val="002C7B1A"/>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D51"/>
    <w:rsid w:val="00311B36"/>
    <w:rsid w:val="00311C92"/>
    <w:rsid w:val="003133AE"/>
    <w:rsid w:val="00313414"/>
    <w:rsid w:val="0031371B"/>
    <w:rsid w:val="00313F2D"/>
    <w:rsid w:val="00314156"/>
    <w:rsid w:val="00315081"/>
    <w:rsid w:val="0031535B"/>
    <w:rsid w:val="003170F4"/>
    <w:rsid w:val="0031750F"/>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40020"/>
    <w:rsid w:val="0034081A"/>
    <w:rsid w:val="00341162"/>
    <w:rsid w:val="00341866"/>
    <w:rsid w:val="00341DAF"/>
    <w:rsid w:val="00342181"/>
    <w:rsid w:val="0034339B"/>
    <w:rsid w:val="00343560"/>
    <w:rsid w:val="00343A20"/>
    <w:rsid w:val="0034402B"/>
    <w:rsid w:val="0034449E"/>
    <w:rsid w:val="00344D46"/>
    <w:rsid w:val="0034621B"/>
    <w:rsid w:val="003465A5"/>
    <w:rsid w:val="00346817"/>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84D"/>
    <w:rsid w:val="00353BF0"/>
    <w:rsid w:val="00353C0B"/>
    <w:rsid w:val="00354AE4"/>
    <w:rsid w:val="00354B0A"/>
    <w:rsid w:val="0035551B"/>
    <w:rsid w:val="003555ED"/>
    <w:rsid w:val="00355911"/>
    <w:rsid w:val="0035636B"/>
    <w:rsid w:val="00356714"/>
    <w:rsid w:val="00357424"/>
    <w:rsid w:val="00361789"/>
    <w:rsid w:val="0036196D"/>
    <w:rsid w:val="00361EEC"/>
    <w:rsid w:val="0036208F"/>
    <w:rsid w:val="003627BD"/>
    <w:rsid w:val="00362997"/>
    <w:rsid w:val="003629B5"/>
    <w:rsid w:val="00362C59"/>
    <w:rsid w:val="00363040"/>
    <w:rsid w:val="003630B7"/>
    <w:rsid w:val="00363275"/>
    <w:rsid w:val="00363786"/>
    <w:rsid w:val="003638A4"/>
    <w:rsid w:val="003639BF"/>
    <w:rsid w:val="00363DDC"/>
    <w:rsid w:val="00363E41"/>
    <w:rsid w:val="00363ED8"/>
    <w:rsid w:val="00363FD2"/>
    <w:rsid w:val="003644D0"/>
    <w:rsid w:val="003651F5"/>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E73"/>
    <w:rsid w:val="003844BF"/>
    <w:rsid w:val="003852BA"/>
    <w:rsid w:val="003854D5"/>
    <w:rsid w:val="0038552A"/>
    <w:rsid w:val="003859EA"/>
    <w:rsid w:val="0038709E"/>
    <w:rsid w:val="00387D30"/>
    <w:rsid w:val="00390A4D"/>
    <w:rsid w:val="00391753"/>
    <w:rsid w:val="00391C7F"/>
    <w:rsid w:val="00392454"/>
    <w:rsid w:val="00392A6C"/>
    <w:rsid w:val="00392C85"/>
    <w:rsid w:val="00392FD8"/>
    <w:rsid w:val="00393E11"/>
    <w:rsid w:val="00394475"/>
    <w:rsid w:val="00394C48"/>
    <w:rsid w:val="0039517A"/>
    <w:rsid w:val="00395B51"/>
    <w:rsid w:val="00396796"/>
    <w:rsid w:val="00396EC6"/>
    <w:rsid w:val="00396F3C"/>
    <w:rsid w:val="003970BA"/>
    <w:rsid w:val="0039746C"/>
    <w:rsid w:val="00397DC6"/>
    <w:rsid w:val="003A0E82"/>
    <w:rsid w:val="003A0FAC"/>
    <w:rsid w:val="003A184D"/>
    <w:rsid w:val="003A1FB7"/>
    <w:rsid w:val="003A2962"/>
    <w:rsid w:val="003A371E"/>
    <w:rsid w:val="003A462A"/>
    <w:rsid w:val="003A4CE8"/>
    <w:rsid w:val="003A595F"/>
    <w:rsid w:val="003A5EEC"/>
    <w:rsid w:val="003A79AE"/>
    <w:rsid w:val="003A7CA3"/>
    <w:rsid w:val="003B00B6"/>
    <w:rsid w:val="003B01C4"/>
    <w:rsid w:val="003B0BB0"/>
    <w:rsid w:val="003B11EE"/>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C87"/>
    <w:rsid w:val="003C2C85"/>
    <w:rsid w:val="003C2F61"/>
    <w:rsid w:val="003C345E"/>
    <w:rsid w:val="003C4409"/>
    <w:rsid w:val="003C4997"/>
    <w:rsid w:val="003C4DA5"/>
    <w:rsid w:val="003C5666"/>
    <w:rsid w:val="003C64F4"/>
    <w:rsid w:val="003C6DE1"/>
    <w:rsid w:val="003C724B"/>
    <w:rsid w:val="003C73DB"/>
    <w:rsid w:val="003D0185"/>
    <w:rsid w:val="003D02CB"/>
    <w:rsid w:val="003D0382"/>
    <w:rsid w:val="003D057A"/>
    <w:rsid w:val="003D069C"/>
    <w:rsid w:val="003D0BC2"/>
    <w:rsid w:val="003D191E"/>
    <w:rsid w:val="003D22A5"/>
    <w:rsid w:val="003D22C7"/>
    <w:rsid w:val="003D23A4"/>
    <w:rsid w:val="003D3414"/>
    <w:rsid w:val="003D3426"/>
    <w:rsid w:val="003D3721"/>
    <w:rsid w:val="003D46BA"/>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54A8"/>
    <w:rsid w:val="003E5833"/>
    <w:rsid w:val="003E5DA8"/>
    <w:rsid w:val="003E7109"/>
    <w:rsid w:val="003E77DC"/>
    <w:rsid w:val="003E7BC1"/>
    <w:rsid w:val="003F0453"/>
    <w:rsid w:val="003F097D"/>
    <w:rsid w:val="003F0C9F"/>
    <w:rsid w:val="003F144A"/>
    <w:rsid w:val="003F1B02"/>
    <w:rsid w:val="003F1EFE"/>
    <w:rsid w:val="003F2212"/>
    <w:rsid w:val="003F2240"/>
    <w:rsid w:val="003F2460"/>
    <w:rsid w:val="003F2BD1"/>
    <w:rsid w:val="003F2E7B"/>
    <w:rsid w:val="003F3932"/>
    <w:rsid w:val="003F3CD5"/>
    <w:rsid w:val="003F4473"/>
    <w:rsid w:val="003F4CF5"/>
    <w:rsid w:val="003F4E31"/>
    <w:rsid w:val="003F51EE"/>
    <w:rsid w:val="003F574E"/>
    <w:rsid w:val="003F60D6"/>
    <w:rsid w:val="003F68E9"/>
    <w:rsid w:val="003F73EA"/>
    <w:rsid w:val="003F7E15"/>
    <w:rsid w:val="003F7FDA"/>
    <w:rsid w:val="00400DE4"/>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1FB"/>
    <w:rsid w:val="00411237"/>
    <w:rsid w:val="00411557"/>
    <w:rsid w:val="004115DA"/>
    <w:rsid w:val="00411815"/>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B20"/>
    <w:rsid w:val="00430B6C"/>
    <w:rsid w:val="0043135D"/>
    <w:rsid w:val="0043227C"/>
    <w:rsid w:val="004335C0"/>
    <w:rsid w:val="00433AFC"/>
    <w:rsid w:val="00434193"/>
    <w:rsid w:val="00435068"/>
    <w:rsid w:val="00435715"/>
    <w:rsid w:val="0043571B"/>
    <w:rsid w:val="00435EE0"/>
    <w:rsid w:val="00435F29"/>
    <w:rsid w:val="0043610C"/>
    <w:rsid w:val="004366FF"/>
    <w:rsid w:val="004376D3"/>
    <w:rsid w:val="0043777D"/>
    <w:rsid w:val="00437D83"/>
    <w:rsid w:val="004401DD"/>
    <w:rsid w:val="00440344"/>
    <w:rsid w:val="00441264"/>
    <w:rsid w:val="00441B0F"/>
    <w:rsid w:val="004425C6"/>
    <w:rsid w:val="00443512"/>
    <w:rsid w:val="00443A55"/>
    <w:rsid w:val="00443CA6"/>
    <w:rsid w:val="00443D5D"/>
    <w:rsid w:val="00445CBA"/>
    <w:rsid w:val="004463CB"/>
    <w:rsid w:val="004466F7"/>
    <w:rsid w:val="00446858"/>
    <w:rsid w:val="00447304"/>
    <w:rsid w:val="00450127"/>
    <w:rsid w:val="0045075F"/>
    <w:rsid w:val="004516AD"/>
    <w:rsid w:val="00451E84"/>
    <w:rsid w:val="00451EA3"/>
    <w:rsid w:val="00451F01"/>
    <w:rsid w:val="00453349"/>
    <w:rsid w:val="004546A7"/>
    <w:rsid w:val="00454831"/>
    <w:rsid w:val="004548DF"/>
    <w:rsid w:val="00455B98"/>
    <w:rsid w:val="00455E25"/>
    <w:rsid w:val="00456CC0"/>
    <w:rsid w:val="00457933"/>
    <w:rsid w:val="00457C78"/>
    <w:rsid w:val="00460136"/>
    <w:rsid w:val="00460735"/>
    <w:rsid w:val="00460AD5"/>
    <w:rsid w:val="00460EB8"/>
    <w:rsid w:val="00461090"/>
    <w:rsid w:val="004611D5"/>
    <w:rsid w:val="00461991"/>
    <w:rsid w:val="00461A6B"/>
    <w:rsid w:val="00461C43"/>
    <w:rsid w:val="00462125"/>
    <w:rsid w:val="00463216"/>
    <w:rsid w:val="0046334D"/>
    <w:rsid w:val="00463848"/>
    <w:rsid w:val="00463BBF"/>
    <w:rsid w:val="00463C95"/>
    <w:rsid w:val="00463E1C"/>
    <w:rsid w:val="00464052"/>
    <w:rsid w:val="00465153"/>
    <w:rsid w:val="00465602"/>
    <w:rsid w:val="00466763"/>
    <w:rsid w:val="004669A6"/>
    <w:rsid w:val="00466AFD"/>
    <w:rsid w:val="00466E99"/>
    <w:rsid w:val="00470563"/>
    <w:rsid w:val="00470696"/>
    <w:rsid w:val="004724C9"/>
    <w:rsid w:val="00472585"/>
    <w:rsid w:val="00473045"/>
    <w:rsid w:val="00474130"/>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954"/>
    <w:rsid w:val="004921DC"/>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9D9"/>
    <w:rsid w:val="004A3C59"/>
    <w:rsid w:val="004A3FE2"/>
    <w:rsid w:val="004A480D"/>
    <w:rsid w:val="004A4D76"/>
    <w:rsid w:val="004A522F"/>
    <w:rsid w:val="004A5848"/>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1194"/>
    <w:rsid w:val="004C222E"/>
    <w:rsid w:val="004C2561"/>
    <w:rsid w:val="004C2806"/>
    <w:rsid w:val="004C3ADD"/>
    <w:rsid w:val="004C428E"/>
    <w:rsid w:val="004C4775"/>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15FD"/>
    <w:rsid w:val="004D2369"/>
    <w:rsid w:val="004D2485"/>
    <w:rsid w:val="004D3A57"/>
    <w:rsid w:val="004D3B2A"/>
    <w:rsid w:val="004D47FF"/>
    <w:rsid w:val="004D4D35"/>
    <w:rsid w:val="004D518F"/>
    <w:rsid w:val="004D54D7"/>
    <w:rsid w:val="004D5BB7"/>
    <w:rsid w:val="004D6053"/>
    <w:rsid w:val="004D61EF"/>
    <w:rsid w:val="004D6FA4"/>
    <w:rsid w:val="004D7C23"/>
    <w:rsid w:val="004D7EBE"/>
    <w:rsid w:val="004E01C6"/>
    <w:rsid w:val="004E0212"/>
    <w:rsid w:val="004E0ADC"/>
    <w:rsid w:val="004E0FB1"/>
    <w:rsid w:val="004E1043"/>
    <w:rsid w:val="004E1DCA"/>
    <w:rsid w:val="004E21B4"/>
    <w:rsid w:val="004E252B"/>
    <w:rsid w:val="004E2861"/>
    <w:rsid w:val="004E2A85"/>
    <w:rsid w:val="004E2C09"/>
    <w:rsid w:val="004E3F72"/>
    <w:rsid w:val="004E4A78"/>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2927"/>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569"/>
    <w:rsid w:val="00526726"/>
    <w:rsid w:val="00527256"/>
    <w:rsid w:val="00527B57"/>
    <w:rsid w:val="00527C8D"/>
    <w:rsid w:val="0053021B"/>
    <w:rsid w:val="00530AC4"/>
    <w:rsid w:val="00532115"/>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D55"/>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F94"/>
    <w:rsid w:val="00555161"/>
    <w:rsid w:val="00555DE6"/>
    <w:rsid w:val="00555EB3"/>
    <w:rsid w:val="005567F6"/>
    <w:rsid w:val="00556E29"/>
    <w:rsid w:val="00557474"/>
    <w:rsid w:val="00557DAA"/>
    <w:rsid w:val="00557DAD"/>
    <w:rsid w:val="00561138"/>
    <w:rsid w:val="00561699"/>
    <w:rsid w:val="0056194F"/>
    <w:rsid w:val="005619E1"/>
    <w:rsid w:val="00562629"/>
    <w:rsid w:val="005628FE"/>
    <w:rsid w:val="0056330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76EB8"/>
    <w:rsid w:val="0058000F"/>
    <w:rsid w:val="00580557"/>
    <w:rsid w:val="0058074F"/>
    <w:rsid w:val="005808F3"/>
    <w:rsid w:val="00580A76"/>
    <w:rsid w:val="00581042"/>
    <w:rsid w:val="00581703"/>
    <w:rsid w:val="00581B15"/>
    <w:rsid w:val="005821DD"/>
    <w:rsid w:val="00583908"/>
    <w:rsid w:val="00584757"/>
    <w:rsid w:val="00584E21"/>
    <w:rsid w:val="005856D5"/>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081"/>
    <w:rsid w:val="005A29B1"/>
    <w:rsid w:val="005A2EBF"/>
    <w:rsid w:val="005A380B"/>
    <w:rsid w:val="005A4890"/>
    <w:rsid w:val="005A49D4"/>
    <w:rsid w:val="005A4D7C"/>
    <w:rsid w:val="005A51C9"/>
    <w:rsid w:val="005A5DC0"/>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27D4"/>
    <w:rsid w:val="005B3EBD"/>
    <w:rsid w:val="005B48E8"/>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3C3"/>
    <w:rsid w:val="005D460F"/>
    <w:rsid w:val="005D4D7D"/>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3009"/>
    <w:rsid w:val="006132EA"/>
    <w:rsid w:val="0061401C"/>
    <w:rsid w:val="0061420B"/>
    <w:rsid w:val="00614931"/>
    <w:rsid w:val="00614D33"/>
    <w:rsid w:val="0061537D"/>
    <w:rsid w:val="0061537F"/>
    <w:rsid w:val="00615DEA"/>
    <w:rsid w:val="00616A60"/>
    <w:rsid w:val="00616EE6"/>
    <w:rsid w:val="006171FB"/>
    <w:rsid w:val="00617A2A"/>
    <w:rsid w:val="006207F4"/>
    <w:rsid w:val="00620C67"/>
    <w:rsid w:val="00621646"/>
    <w:rsid w:val="00621803"/>
    <w:rsid w:val="006220F1"/>
    <w:rsid w:val="00623C68"/>
    <w:rsid w:val="00623E46"/>
    <w:rsid w:val="00624604"/>
    <w:rsid w:val="00624D2C"/>
    <w:rsid w:val="00624EF1"/>
    <w:rsid w:val="00625145"/>
    <w:rsid w:val="00627402"/>
    <w:rsid w:val="00630480"/>
    <w:rsid w:val="0063058E"/>
    <w:rsid w:val="006305F8"/>
    <w:rsid w:val="00631DA7"/>
    <w:rsid w:val="00632B9C"/>
    <w:rsid w:val="00632F18"/>
    <w:rsid w:val="006332D7"/>
    <w:rsid w:val="0063333D"/>
    <w:rsid w:val="00634225"/>
    <w:rsid w:val="00635003"/>
    <w:rsid w:val="006351CE"/>
    <w:rsid w:val="006352FD"/>
    <w:rsid w:val="00635B15"/>
    <w:rsid w:val="006362E1"/>
    <w:rsid w:val="006367DA"/>
    <w:rsid w:val="00636FAD"/>
    <w:rsid w:val="006370E1"/>
    <w:rsid w:val="006375B2"/>
    <w:rsid w:val="006375BB"/>
    <w:rsid w:val="006407FE"/>
    <w:rsid w:val="006409EE"/>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CCC"/>
    <w:rsid w:val="00660162"/>
    <w:rsid w:val="0066036D"/>
    <w:rsid w:val="006604FA"/>
    <w:rsid w:val="00660879"/>
    <w:rsid w:val="00661639"/>
    <w:rsid w:val="0066174D"/>
    <w:rsid w:val="00661E36"/>
    <w:rsid w:val="00661F03"/>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F3E"/>
    <w:rsid w:val="00672482"/>
    <w:rsid w:val="00672A18"/>
    <w:rsid w:val="006735D0"/>
    <w:rsid w:val="006739E9"/>
    <w:rsid w:val="00674AF5"/>
    <w:rsid w:val="00674D52"/>
    <w:rsid w:val="00674F93"/>
    <w:rsid w:val="0067546F"/>
    <w:rsid w:val="00675A94"/>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4079"/>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E67"/>
    <w:rsid w:val="00693ACF"/>
    <w:rsid w:val="00693EE5"/>
    <w:rsid w:val="00693FBC"/>
    <w:rsid w:val="006944C5"/>
    <w:rsid w:val="00694A7E"/>
    <w:rsid w:val="00694B8D"/>
    <w:rsid w:val="0069561C"/>
    <w:rsid w:val="00695634"/>
    <w:rsid w:val="0069600D"/>
    <w:rsid w:val="00696143"/>
    <w:rsid w:val="006963AE"/>
    <w:rsid w:val="00696B07"/>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608E"/>
    <w:rsid w:val="006A6B7B"/>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E6E"/>
    <w:rsid w:val="006C3EEA"/>
    <w:rsid w:val="006C43A6"/>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EE5"/>
    <w:rsid w:val="006D4F86"/>
    <w:rsid w:val="006D5F98"/>
    <w:rsid w:val="006D6665"/>
    <w:rsid w:val="006D7098"/>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8C1"/>
    <w:rsid w:val="006F6CE2"/>
    <w:rsid w:val="006F6E1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E19"/>
    <w:rsid w:val="00710E52"/>
    <w:rsid w:val="0071154B"/>
    <w:rsid w:val="007116B6"/>
    <w:rsid w:val="0071174F"/>
    <w:rsid w:val="0071196A"/>
    <w:rsid w:val="0071227C"/>
    <w:rsid w:val="007131CF"/>
    <w:rsid w:val="007132CD"/>
    <w:rsid w:val="007133C0"/>
    <w:rsid w:val="00713613"/>
    <w:rsid w:val="007137C6"/>
    <w:rsid w:val="007138FC"/>
    <w:rsid w:val="0071393D"/>
    <w:rsid w:val="00713E79"/>
    <w:rsid w:val="00714245"/>
    <w:rsid w:val="00715441"/>
    <w:rsid w:val="00715739"/>
    <w:rsid w:val="0071576C"/>
    <w:rsid w:val="00715C94"/>
    <w:rsid w:val="00715EA7"/>
    <w:rsid w:val="00716A09"/>
    <w:rsid w:val="007170DB"/>
    <w:rsid w:val="00717880"/>
    <w:rsid w:val="00717CA8"/>
    <w:rsid w:val="007205E7"/>
    <w:rsid w:val="007209C4"/>
    <w:rsid w:val="00721ACB"/>
    <w:rsid w:val="00721E9E"/>
    <w:rsid w:val="007227FE"/>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11BA"/>
    <w:rsid w:val="00751452"/>
    <w:rsid w:val="00751D06"/>
    <w:rsid w:val="00751D74"/>
    <w:rsid w:val="007521A5"/>
    <w:rsid w:val="00752243"/>
    <w:rsid w:val="007531BA"/>
    <w:rsid w:val="00753959"/>
    <w:rsid w:val="00753DD6"/>
    <w:rsid w:val="00754A4A"/>
    <w:rsid w:val="007567A8"/>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914"/>
    <w:rsid w:val="0076614D"/>
    <w:rsid w:val="0076624C"/>
    <w:rsid w:val="0076627D"/>
    <w:rsid w:val="00766304"/>
    <w:rsid w:val="00767A28"/>
    <w:rsid w:val="00767DD2"/>
    <w:rsid w:val="0077082B"/>
    <w:rsid w:val="00770B12"/>
    <w:rsid w:val="00770E60"/>
    <w:rsid w:val="00771C8F"/>
    <w:rsid w:val="0077266E"/>
    <w:rsid w:val="0077292E"/>
    <w:rsid w:val="007737D8"/>
    <w:rsid w:val="0077391C"/>
    <w:rsid w:val="00773D24"/>
    <w:rsid w:val="00774576"/>
    <w:rsid w:val="00774C37"/>
    <w:rsid w:val="0077508A"/>
    <w:rsid w:val="00775567"/>
    <w:rsid w:val="00775E0D"/>
    <w:rsid w:val="00776343"/>
    <w:rsid w:val="00776416"/>
    <w:rsid w:val="00776C7B"/>
    <w:rsid w:val="00776CEF"/>
    <w:rsid w:val="00777173"/>
    <w:rsid w:val="0077790B"/>
    <w:rsid w:val="00777E7E"/>
    <w:rsid w:val="007804DD"/>
    <w:rsid w:val="0078095A"/>
    <w:rsid w:val="00780F3B"/>
    <w:rsid w:val="007816EE"/>
    <w:rsid w:val="00782071"/>
    <w:rsid w:val="00782946"/>
    <w:rsid w:val="00782AB1"/>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B8D"/>
    <w:rsid w:val="00795EB9"/>
    <w:rsid w:val="00795F0E"/>
    <w:rsid w:val="007960A9"/>
    <w:rsid w:val="00797D8F"/>
    <w:rsid w:val="007A0C00"/>
    <w:rsid w:val="007A0E15"/>
    <w:rsid w:val="007A176E"/>
    <w:rsid w:val="007A19BF"/>
    <w:rsid w:val="007A2A69"/>
    <w:rsid w:val="007A2CF1"/>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3A3"/>
    <w:rsid w:val="007C7975"/>
    <w:rsid w:val="007C7EF5"/>
    <w:rsid w:val="007D06AC"/>
    <w:rsid w:val="007D0741"/>
    <w:rsid w:val="007D0A53"/>
    <w:rsid w:val="007D0FFC"/>
    <w:rsid w:val="007D1013"/>
    <w:rsid w:val="007D19EC"/>
    <w:rsid w:val="007D2180"/>
    <w:rsid w:val="007D2608"/>
    <w:rsid w:val="007D30C3"/>
    <w:rsid w:val="007D35AC"/>
    <w:rsid w:val="007D36B1"/>
    <w:rsid w:val="007D36D7"/>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B9B"/>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220F"/>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2F"/>
    <w:rsid w:val="0080519C"/>
    <w:rsid w:val="00810BC2"/>
    <w:rsid w:val="00811683"/>
    <w:rsid w:val="00811AFF"/>
    <w:rsid w:val="00812373"/>
    <w:rsid w:val="00813F3A"/>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820"/>
    <w:rsid w:val="00834C82"/>
    <w:rsid w:val="00834DB6"/>
    <w:rsid w:val="00834F93"/>
    <w:rsid w:val="008354DB"/>
    <w:rsid w:val="00840C4A"/>
    <w:rsid w:val="008411B9"/>
    <w:rsid w:val="0084122F"/>
    <w:rsid w:val="00841573"/>
    <w:rsid w:val="00841D08"/>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4DF4"/>
    <w:rsid w:val="008554D1"/>
    <w:rsid w:val="008558E0"/>
    <w:rsid w:val="00857AF7"/>
    <w:rsid w:val="00860109"/>
    <w:rsid w:val="008601BD"/>
    <w:rsid w:val="00860359"/>
    <w:rsid w:val="00860700"/>
    <w:rsid w:val="00860DF2"/>
    <w:rsid w:val="00860E43"/>
    <w:rsid w:val="00860EE9"/>
    <w:rsid w:val="00861075"/>
    <w:rsid w:val="00861252"/>
    <w:rsid w:val="0086171A"/>
    <w:rsid w:val="00861B89"/>
    <w:rsid w:val="00861DB8"/>
    <w:rsid w:val="0086226C"/>
    <w:rsid w:val="00862C76"/>
    <w:rsid w:val="00863968"/>
    <w:rsid w:val="008644A4"/>
    <w:rsid w:val="00864A6C"/>
    <w:rsid w:val="00864BB1"/>
    <w:rsid w:val="00864DF7"/>
    <w:rsid w:val="00864FDB"/>
    <w:rsid w:val="00865278"/>
    <w:rsid w:val="008654F9"/>
    <w:rsid w:val="008657DA"/>
    <w:rsid w:val="008658C0"/>
    <w:rsid w:val="00866388"/>
    <w:rsid w:val="00866FE3"/>
    <w:rsid w:val="0086722D"/>
    <w:rsid w:val="00867D56"/>
    <w:rsid w:val="0087028A"/>
    <w:rsid w:val="00870BAA"/>
    <w:rsid w:val="00870D91"/>
    <w:rsid w:val="008716D1"/>
    <w:rsid w:val="008716ED"/>
    <w:rsid w:val="0087193F"/>
    <w:rsid w:val="008724E6"/>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8E9"/>
    <w:rsid w:val="00884FD8"/>
    <w:rsid w:val="00885244"/>
    <w:rsid w:val="008857C7"/>
    <w:rsid w:val="008858B3"/>
    <w:rsid w:val="008866CF"/>
    <w:rsid w:val="00886782"/>
    <w:rsid w:val="008869A1"/>
    <w:rsid w:val="00886B3F"/>
    <w:rsid w:val="0089015D"/>
    <w:rsid w:val="0089021A"/>
    <w:rsid w:val="0089022E"/>
    <w:rsid w:val="00890475"/>
    <w:rsid w:val="00890A7C"/>
    <w:rsid w:val="00890D11"/>
    <w:rsid w:val="008910EE"/>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7824"/>
    <w:rsid w:val="008979DB"/>
    <w:rsid w:val="00897BCB"/>
    <w:rsid w:val="00897C07"/>
    <w:rsid w:val="00897DBA"/>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4679"/>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F27"/>
    <w:rsid w:val="008D15A2"/>
    <w:rsid w:val="008D18CD"/>
    <w:rsid w:val="008D1F86"/>
    <w:rsid w:val="008D20E0"/>
    <w:rsid w:val="008D2796"/>
    <w:rsid w:val="008D2B6E"/>
    <w:rsid w:val="008D335C"/>
    <w:rsid w:val="008D35B7"/>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1592"/>
    <w:rsid w:val="008E211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6E66"/>
    <w:rsid w:val="008E7082"/>
    <w:rsid w:val="008E72AF"/>
    <w:rsid w:val="008F0952"/>
    <w:rsid w:val="008F1154"/>
    <w:rsid w:val="008F1B84"/>
    <w:rsid w:val="008F1B9D"/>
    <w:rsid w:val="008F1DB6"/>
    <w:rsid w:val="008F1DDC"/>
    <w:rsid w:val="008F39C0"/>
    <w:rsid w:val="008F57CD"/>
    <w:rsid w:val="008F5960"/>
    <w:rsid w:val="008F5CD0"/>
    <w:rsid w:val="008F6100"/>
    <w:rsid w:val="008F629A"/>
    <w:rsid w:val="008F6A9B"/>
    <w:rsid w:val="008F6F03"/>
    <w:rsid w:val="008F6F9D"/>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77"/>
    <w:rsid w:val="00911D1C"/>
    <w:rsid w:val="00912F38"/>
    <w:rsid w:val="00913C58"/>
    <w:rsid w:val="00913FCD"/>
    <w:rsid w:val="009140B4"/>
    <w:rsid w:val="00914174"/>
    <w:rsid w:val="0091428A"/>
    <w:rsid w:val="00914733"/>
    <w:rsid w:val="00914AA5"/>
    <w:rsid w:val="009162DD"/>
    <w:rsid w:val="009163E7"/>
    <w:rsid w:val="0091671A"/>
    <w:rsid w:val="009169F6"/>
    <w:rsid w:val="00916D5B"/>
    <w:rsid w:val="0091715C"/>
    <w:rsid w:val="0091719D"/>
    <w:rsid w:val="00917903"/>
    <w:rsid w:val="009200D3"/>
    <w:rsid w:val="00920997"/>
    <w:rsid w:val="00920B1E"/>
    <w:rsid w:val="00920DD5"/>
    <w:rsid w:val="00921161"/>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AF5"/>
    <w:rsid w:val="00925C76"/>
    <w:rsid w:val="00926268"/>
    <w:rsid w:val="009264A2"/>
    <w:rsid w:val="00926F3D"/>
    <w:rsid w:val="0092715D"/>
    <w:rsid w:val="00927206"/>
    <w:rsid w:val="00930632"/>
    <w:rsid w:val="009310BC"/>
    <w:rsid w:val="00931D3F"/>
    <w:rsid w:val="009324C4"/>
    <w:rsid w:val="00932671"/>
    <w:rsid w:val="00932A7A"/>
    <w:rsid w:val="009330BF"/>
    <w:rsid w:val="00933817"/>
    <w:rsid w:val="00933C07"/>
    <w:rsid w:val="00934172"/>
    <w:rsid w:val="00934510"/>
    <w:rsid w:val="0093476C"/>
    <w:rsid w:val="00935A1E"/>
    <w:rsid w:val="00935B7C"/>
    <w:rsid w:val="00935E3A"/>
    <w:rsid w:val="00936005"/>
    <w:rsid w:val="0093607C"/>
    <w:rsid w:val="00937A83"/>
    <w:rsid w:val="00937B51"/>
    <w:rsid w:val="00940008"/>
    <w:rsid w:val="00940FFA"/>
    <w:rsid w:val="00941503"/>
    <w:rsid w:val="00941543"/>
    <w:rsid w:val="0094187D"/>
    <w:rsid w:val="00942C90"/>
    <w:rsid w:val="00942F29"/>
    <w:rsid w:val="00942FB6"/>
    <w:rsid w:val="009434EB"/>
    <w:rsid w:val="00943EA6"/>
    <w:rsid w:val="00944400"/>
    <w:rsid w:val="009448F2"/>
    <w:rsid w:val="009448F3"/>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27F"/>
    <w:rsid w:val="009572AF"/>
    <w:rsid w:val="00957E41"/>
    <w:rsid w:val="0096023A"/>
    <w:rsid w:val="009607AB"/>
    <w:rsid w:val="00960A9A"/>
    <w:rsid w:val="009615DB"/>
    <w:rsid w:val="00962683"/>
    <w:rsid w:val="00962E23"/>
    <w:rsid w:val="00963149"/>
    <w:rsid w:val="0096456D"/>
    <w:rsid w:val="0096487C"/>
    <w:rsid w:val="00964BC2"/>
    <w:rsid w:val="00964D4A"/>
    <w:rsid w:val="00964EAE"/>
    <w:rsid w:val="00965023"/>
    <w:rsid w:val="009650B7"/>
    <w:rsid w:val="0096515D"/>
    <w:rsid w:val="00965841"/>
    <w:rsid w:val="00965EE1"/>
    <w:rsid w:val="00966623"/>
    <w:rsid w:val="00966D23"/>
    <w:rsid w:val="009678DB"/>
    <w:rsid w:val="00970728"/>
    <w:rsid w:val="009707C9"/>
    <w:rsid w:val="0097082A"/>
    <w:rsid w:val="00971E0B"/>
    <w:rsid w:val="00972101"/>
    <w:rsid w:val="00972D22"/>
    <w:rsid w:val="00972FB5"/>
    <w:rsid w:val="009736FE"/>
    <w:rsid w:val="00973B96"/>
    <w:rsid w:val="00973BAA"/>
    <w:rsid w:val="00973E3C"/>
    <w:rsid w:val="00974763"/>
    <w:rsid w:val="009757CA"/>
    <w:rsid w:val="00975C9D"/>
    <w:rsid w:val="00976E76"/>
    <w:rsid w:val="00977A14"/>
    <w:rsid w:val="00977E9B"/>
    <w:rsid w:val="009807BF"/>
    <w:rsid w:val="009809CE"/>
    <w:rsid w:val="00980D42"/>
    <w:rsid w:val="0098131F"/>
    <w:rsid w:val="00981479"/>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1202"/>
    <w:rsid w:val="0099177B"/>
    <w:rsid w:val="009917E0"/>
    <w:rsid w:val="0099367E"/>
    <w:rsid w:val="00993FE4"/>
    <w:rsid w:val="0099425E"/>
    <w:rsid w:val="0099482F"/>
    <w:rsid w:val="00994CDC"/>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D40"/>
    <w:rsid w:val="009A5E10"/>
    <w:rsid w:val="009A5E9E"/>
    <w:rsid w:val="009A6665"/>
    <w:rsid w:val="009A6785"/>
    <w:rsid w:val="009A743F"/>
    <w:rsid w:val="009A74F7"/>
    <w:rsid w:val="009A76B0"/>
    <w:rsid w:val="009A7FD7"/>
    <w:rsid w:val="009B00F2"/>
    <w:rsid w:val="009B0FB2"/>
    <w:rsid w:val="009B1113"/>
    <w:rsid w:val="009B1C34"/>
    <w:rsid w:val="009B1D22"/>
    <w:rsid w:val="009B1E86"/>
    <w:rsid w:val="009B27C4"/>
    <w:rsid w:val="009B2D92"/>
    <w:rsid w:val="009B3250"/>
    <w:rsid w:val="009B3344"/>
    <w:rsid w:val="009B42D2"/>
    <w:rsid w:val="009B4A06"/>
    <w:rsid w:val="009B5E9C"/>
    <w:rsid w:val="009B609E"/>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B03"/>
    <w:rsid w:val="009D6B3D"/>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A91"/>
    <w:rsid w:val="009F71A6"/>
    <w:rsid w:val="009F71AA"/>
    <w:rsid w:val="009F7326"/>
    <w:rsid w:val="009F754A"/>
    <w:rsid w:val="009F791F"/>
    <w:rsid w:val="009F7F86"/>
    <w:rsid w:val="00A0034D"/>
    <w:rsid w:val="00A00BFB"/>
    <w:rsid w:val="00A00DCF"/>
    <w:rsid w:val="00A0126C"/>
    <w:rsid w:val="00A012DA"/>
    <w:rsid w:val="00A0187E"/>
    <w:rsid w:val="00A02450"/>
    <w:rsid w:val="00A026F0"/>
    <w:rsid w:val="00A02F2D"/>
    <w:rsid w:val="00A02F61"/>
    <w:rsid w:val="00A03E0E"/>
    <w:rsid w:val="00A040D1"/>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C65"/>
    <w:rsid w:val="00A21767"/>
    <w:rsid w:val="00A21FD5"/>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FDB"/>
    <w:rsid w:val="00A26463"/>
    <w:rsid w:val="00A26608"/>
    <w:rsid w:val="00A2660E"/>
    <w:rsid w:val="00A26916"/>
    <w:rsid w:val="00A26B47"/>
    <w:rsid w:val="00A26FF1"/>
    <w:rsid w:val="00A27806"/>
    <w:rsid w:val="00A2791E"/>
    <w:rsid w:val="00A3068C"/>
    <w:rsid w:val="00A3127F"/>
    <w:rsid w:val="00A31922"/>
    <w:rsid w:val="00A31BCC"/>
    <w:rsid w:val="00A31C70"/>
    <w:rsid w:val="00A32382"/>
    <w:rsid w:val="00A325BB"/>
    <w:rsid w:val="00A3297A"/>
    <w:rsid w:val="00A32A58"/>
    <w:rsid w:val="00A32EEC"/>
    <w:rsid w:val="00A336C5"/>
    <w:rsid w:val="00A3510A"/>
    <w:rsid w:val="00A3515F"/>
    <w:rsid w:val="00A35751"/>
    <w:rsid w:val="00A35762"/>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DF0"/>
    <w:rsid w:val="00A56E99"/>
    <w:rsid w:val="00A57212"/>
    <w:rsid w:val="00A57E98"/>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3A64"/>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415E"/>
    <w:rsid w:val="00A9423F"/>
    <w:rsid w:val="00A94EBD"/>
    <w:rsid w:val="00A94FB4"/>
    <w:rsid w:val="00A9510D"/>
    <w:rsid w:val="00A956AC"/>
    <w:rsid w:val="00A95D2A"/>
    <w:rsid w:val="00A96214"/>
    <w:rsid w:val="00A967E8"/>
    <w:rsid w:val="00A97AF8"/>
    <w:rsid w:val="00A97D38"/>
    <w:rsid w:val="00A97F4B"/>
    <w:rsid w:val="00AA04C5"/>
    <w:rsid w:val="00AA1044"/>
    <w:rsid w:val="00AA10B1"/>
    <w:rsid w:val="00AA239B"/>
    <w:rsid w:val="00AA2803"/>
    <w:rsid w:val="00AA2BF2"/>
    <w:rsid w:val="00AA2D65"/>
    <w:rsid w:val="00AA2D68"/>
    <w:rsid w:val="00AA2D6F"/>
    <w:rsid w:val="00AA3987"/>
    <w:rsid w:val="00AA3B68"/>
    <w:rsid w:val="00AA3E79"/>
    <w:rsid w:val="00AA447C"/>
    <w:rsid w:val="00AA4FB4"/>
    <w:rsid w:val="00AA5C0B"/>
    <w:rsid w:val="00AA5E3B"/>
    <w:rsid w:val="00AA63AD"/>
    <w:rsid w:val="00AA65B4"/>
    <w:rsid w:val="00AA745E"/>
    <w:rsid w:val="00AA7E43"/>
    <w:rsid w:val="00AB0352"/>
    <w:rsid w:val="00AB047A"/>
    <w:rsid w:val="00AB04AB"/>
    <w:rsid w:val="00AB0733"/>
    <w:rsid w:val="00AB09D2"/>
    <w:rsid w:val="00AB0B64"/>
    <w:rsid w:val="00AB0C30"/>
    <w:rsid w:val="00AB176B"/>
    <w:rsid w:val="00AB37E6"/>
    <w:rsid w:val="00AB3DBA"/>
    <w:rsid w:val="00AB431C"/>
    <w:rsid w:val="00AB470E"/>
    <w:rsid w:val="00AB5A7E"/>
    <w:rsid w:val="00AB7538"/>
    <w:rsid w:val="00AB75A7"/>
    <w:rsid w:val="00AB77F3"/>
    <w:rsid w:val="00AC0AAD"/>
    <w:rsid w:val="00AC1231"/>
    <w:rsid w:val="00AC15D4"/>
    <w:rsid w:val="00AC1992"/>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DD"/>
    <w:rsid w:val="00AD0949"/>
    <w:rsid w:val="00AD0F1D"/>
    <w:rsid w:val="00AD1179"/>
    <w:rsid w:val="00AD1359"/>
    <w:rsid w:val="00AD194B"/>
    <w:rsid w:val="00AD19F0"/>
    <w:rsid w:val="00AD1FCE"/>
    <w:rsid w:val="00AD26E1"/>
    <w:rsid w:val="00AD29CC"/>
    <w:rsid w:val="00AD3268"/>
    <w:rsid w:val="00AD3DE2"/>
    <w:rsid w:val="00AD4261"/>
    <w:rsid w:val="00AD46F5"/>
    <w:rsid w:val="00AD51A3"/>
    <w:rsid w:val="00AD598B"/>
    <w:rsid w:val="00AD7154"/>
    <w:rsid w:val="00AD7844"/>
    <w:rsid w:val="00AD797D"/>
    <w:rsid w:val="00AD7E02"/>
    <w:rsid w:val="00AE0483"/>
    <w:rsid w:val="00AE08DD"/>
    <w:rsid w:val="00AE13BD"/>
    <w:rsid w:val="00AE1681"/>
    <w:rsid w:val="00AE1AF9"/>
    <w:rsid w:val="00AE1E60"/>
    <w:rsid w:val="00AE2068"/>
    <w:rsid w:val="00AE2258"/>
    <w:rsid w:val="00AE277E"/>
    <w:rsid w:val="00AE2A36"/>
    <w:rsid w:val="00AE2BC6"/>
    <w:rsid w:val="00AE3251"/>
    <w:rsid w:val="00AE3FE0"/>
    <w:rsid w:val="00AE44A2"/>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F3D"/>
    <w:rsid w:val="00B04384"/>
    <w:rsid w:val="00B04540"/>
    <w:rsid w:val="00B05116"/>
    <w:rsid w:val="00B051A7"/>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7A4E"/>
    <w:rsid w:val="00B17B30"/>
    <w:rsid w:val="00B17C2F"/>
    <w:rsid w:val="00B21175"/>
    <w:rsid w:val="00B2153E"/>
    <w:rsid w:val="00B21FA7"/>
    <w:rsid w:val="00B22022"/>
    <w:rsid w:val="00B225E4"/>
    <w:rsid w:val="00B23F7A"/>
    <w:rsid w:val="00B240B1"/>
    <w:rsid w:val="00B24208"/>
    <w:rsid w:val="00B24728"/>
    <w:rsid w:val="00B248A9"/>
    <w:rsid w:val="00B24D28"/>
    <w:rsid w:val="00B24F1C"/>
    <w:rsid w:val="00B25890"/>
    <w:rsid w:val="00B25D76"/>
    <w:rsid w:val="00B27032"/>
    <w:rsid w:val="00B30003"/>
    <w:rsid w:val="00B31201"/>
    <w:rsid w:val="00B3167E"/>
    <w:rsid w:val="00B319F7"/>
    <w:rsid w:val="00B31B4B"/>
    <w:rsid w:val="00B31CD5"/>
    <w:rsid w:val="00B31E36"/>
    <w:rsid w:val="00B32E26"/>
    <w:rsid w:val="00B338B7"/>
    <w:rsid w:val="00B34061"/>
    <w:rsid w:val="00B3440A"/>
    <w:rsid w:val="00B34441"/>
    <w:rsid w:val="00B35534"/>
    <w:rsid w:val="00B35A87"/>
    <w:rsid w:val="00B35AB6"/>
    <w:rsid w:val="00B35AFD"/>
    <w:rsid w:val="00B35F9A"/>
    <w:rsid w:val="00B36236"/>
    <w:rsid w:val="00B3662E"/>
    <w:rsid w:val="00B366D2"/>
    <w:rsid w:val="00B366FA"/>
    <w:rsid w:val="00B36E86"/>
    <w:rsid w:val="00B379BA"/>
    <w:rsid w:val="00B410E1"/>
    <w:rsid w:val="00B412FD"/>
    <w:rsid w:val="00B422BE"/>
    <w:rsid w:val="00B4241D"/>
    <w:rsid w:val="00B426BB"/>
    <w:rsid w:val="00B42EB9"/>
    <w:rsid w:val="00B434E9"/>
    <w:rsid w:val="00B441FE"/>
    <w:rsid w:val="00B44821"/>
    <w:rsid w:val="00B44AD3"/>
    <w:rsid w:val="00B44BDC"/>
    <w:rsid w:val="00B45152"/>
    <w:rsid w:val="00B45E54"/>
    <w:rsid w:val="00B464E4"/>
    <w:rsid w:val="00B4689A"/>
    <w:rsid w:val="00B46D5F"/>
    <w:rsid w:val="00B46E7B"/>
    <w:rsid w:val="00B47DC5"/>
    <w:rsid w:val="00B505B3"/>
    <w:rsid w:val="00B50A74"/>
    <w:rsid w:val="00B520A0"/>
    <w:rsid w:val="00B5257E"/>
    <w:rsid w:val="00B525CE"/>
    <w:rsid w:val="00B52CFD"/>
    <w:rsid w:val="00B545A8"/>
    <w:rsid w:val="00B548E8"/>
    <w:rsid w:val="00B560F2"/>
    <w:rsid w:val="00B56527"/>
    <w:rsid w:val="00B56918"/>
    <w:rsid w:val="00B576DA"/>
    <w:rsid w:val="00B57710"/>
    <w:rsid w:val="00B601C9"/>
    <w:rsid w:val="00B60D04"/>
    <w:rsid w:val="00B61EE8"/>
    <w:rsid w:val="00B62D9B"/>
    <w:rsid w:val="00B633A3"/>
    <w:rsid w:val="00B63533"/>
    <w:rsid w:val="00B63BDB"/>
    <w:rsid w:val="00B64A0E"/>
    <w:rsid w:val="00B64CC6"/>
    <w:rsid w:val="00B64DDF"/>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6D6C"/>
    <w:rsid w:val="00B86F47"/>
    <w:rsid w:val="00B874B4"/>
    <w:rsid w:val="00B875E9"/>
    <w:rsid w:val="00B8787A"/>
    <w:rsid w:val="00B87887"/>
    <w:rsid w:val="00B90123"/>
    <w:rsid w:val="00B90196"/>
    <w:rsid w:val="00B90FBE"/>
    <w:rsid w:val="00B911C1"/>
    <w:rsid w:val="00B92008"/>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8A5"/>
    <w:rsid w:val="00B972CD"/>
    <w:rsid w:val="00B9769B"/>
    <w:rsid w:val="00B97D02"/>
    <w:rsid w:val="00BA0304"/>
    <w:rsid w:val="00BA0557"/>
    <w:rsid w:val="00BA2A34"/>
    <w:rsid w:val="00BA3038"/>
    <w:rsid w:val="00BA370A"/>
    <w:rsid w:val="00BA48BC"/>
    <w:rsid w:val="00BA4A29"/>
    <w:rsid w:val="00BA4BE7"/>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707E"/>
    <w:rsid w:val="00BB7568"/>
    <w:rsid w:val="00BB7F82"/>
    <w:rsid w:val="00BC007C"/>
    <w:rsid w:val="00BC0AB2"/>
    <w:rsid w:val="00BC1308"/>
    <w:rsid w:val="00BC1BF4"/>
    <w:rsid w:val="00BC2600"/>
    <w:rsid w:val="00BC2F24"/>
    <w:rsid w:val="00BC33BE"/>
    <w:rsid w:val="00BC3A47"/>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EFB"/>
    <w:rsid w:val="00BD5076"/>
    <w:rsid w:val="00BD5551"/>
    <w:rsid w:val="00BD5AF1"/>
    <w:rsid w:val="00BD6D43"/>
    <w:rsid w:val="00BD7090"/>
    <w:rsid w:val="00BD7490"/>
    <w:rsid w:val="00BD767F"/>
    <w:rsid w:val="00BE09C3"/>
    <w:rsid w:val="00BE0C27"/>
    <w:rsid w:val="00BE15BB"/>
    <w:rsid w:val="00BE198F"/>
    <w:rsid w:val="00BE1A78"/>
    <w:rsid w:val="00BE3864"/>
    <w:rsid w:val="00BE473E"/>
    <w:rsid w:val="00BE5135"/>
    <w:rsid w:val="00BE5964"/>
    <w:rsid w:val="00BE5F2B"/>
    <w:rsid w:val="00BE660B"/>
    <w:rsid w:val="00BE6AFE"/>
    <w:rsid w:val="00BE6BBE"/>
    <w:rsid w:val="00BE6FDA"/>
    <w:rsid w:val="00BE7021"/>
    <w:rsid w:val="00BE7300"/>
    <w:rsid w:val="00BE784F"/>
    <w:rsid w:val="00BF0238"/>
    <w:rsid w:val="00BF0717"/>
    <w:rsid w:val="00BF071D"/>
    <w:rsid w:val="00BF1750"/>
    <w:rsid w:val="00BF178E"/>
    <w:rsid w:val="00BF189F"/>
    <w:rsid w:val="00BF1B44"/>
    <w:rsid w:val="00BF1F01"/>
    <w:rsid w:val="00BF21FF"/>
    <w:rsid w:val="00BF23CC"/>
    <w:rsid w:val="00BF243F"/>
    <w:rsid w:val="00BF284E"/>
    <w:rsid w:val="00BF2F93"/>
    <w:rsid w:val="00BF3ACF"/>
    <w:rsid w:val="00BF3FB6"/>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073E0"/>
    <w:rsid w:val="00C1001D"/>
    <w:rsid w:val="00C10B5A"/>
    <w:rsid w:val="00C11113"/>
    <w:rsid w:val="00C11687"/>
    <w:rsid w:val="00C11E28"/>
    <w:rsid w:val="00C1225B"/>
    <w:rsid w:val="00C122F9"/>
    <w:rsid w:val="00C124C3"/>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648"/>
    <w:rsid w:val="00C17DB7"/>
    <w:rsid w:val="00C17E48"/>
    <w:rsid w:val="00C17FF5"/>
    <w:rsid w:val="00C201E7"/>
    <w:rsid w:val="00C20AA2"/>
    <w:rsid w:val="00C20B91"/>
    <w:rsid w:val="00C20F78"/>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8DB"/>
    <w:rsid w:val="00C26170"/>
    <w:rsid w:val="00C26B5A"/>
    <w:rsid w:val="00C26D52"/>
    <w:rsid w:val="00C277DA"/>
    <w:rsid w:val="00C303E4"/>
    <w:rsid w:val="00C30775"/>
    <w:rsid w:val="00C30B8D"/>
    <w:rsid w:val="00C310BA"/>
    <w:rsid w:val="00C3134E"/>
    <w:rsid w:val="00C315D8"/>
    <w:rsid w:val="00C31C4A"/>
    <w:rsid w:val="00C31D2D"/>
    <w:rsid w:val="00C32639"/>
    <w:rsid w:val="00C32AD2"/>
    <w:rsid w:val="00C34193"/>
    <w:rsid w:val="00C347FD"/>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5F2"/>
    <w:rsid w:val="00C56C45"/>
    <w:rsid w:val="00C573CC"/>
    <w:rsid w:val="00C57B81"/>
    <w:rsid w:val="00C57FB9"/>
    <w:rsid w:val="00C60145"/>
    <w:rsid w:val="00C6077B"/>
    <w:rsid w:val="00C60950"/>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4F6"/>
    <w:rsid w:val="00C937CB"/>
    <w:rsid w:val="00C93874"/>
    <w:rsid w:val="00C93A4C"/>
    <w:rsid w:val="00C9448D"/>
    <w:rsid w:val="00C94FD2"/>
    <w:rsid w:val="00C9514C"/>
    <w:rsid w:val="00C95341"/>
    <w:rsid w:val="00C95B76"/>
    <w:rsid w:val="00C964C3"/>
    <w:rsid w:val="00C96635"/>
    <w:rsid w:val="00C966B7"/>
    <w:rsid w:val="00C969DB"/>
    <w:rsid w:val="00C97A4A"/>
    <w:rsid w:val="00C97DC9"/>
    <w:rsid w:val="00C97EE3"/>
    <w:rsid w:val="00CA12BA"/>
    <w:rsid w:val="00CA165C"/>
    <w:rsid w:val="00CA1C0D"/>
    <w:rsid w:val="00CA1DAE"/>
    <w:rsid w:val="00CA2267"/>
    <w:rsid w:val="00CA38AD"/>
    <w:rsid w:val="00CA413F"/>
    <w:rsid w:val="00CA5098"/>
    <w:rsid w:val="00CA5503"/>
    <w:rsid w:val="00CA55C3"/>
    <w:rsid w:val="00CA65B3"/>
    <w:rsid w:val="00CA66C3"/>
    <w:rsid w:val="00CA6CAD"/>
    <w:rsid w:val="00CA70A8"/>
    <w:rsid w:val="00CA70D0"/>
    <w:rsid w:val="00CA74A4"/>
    <w:rsid w:val="00CA7683"/>
    <w:rsid w:val="00CA7EA1"/>
    <w:rsid w:val="00CA7EEB"/>
    <w:rsid w:val="00CB009B"/>
    <w:rsid w:val="00CB0231"/>
    <w:rsid w:val="00CB0838"/>
    <w:rsid w:val="00CB1AFD"/>
    <w:rsid w:val="00CB1E7F"/>
    <w:rsid w:val="00CB1EB3"/>
    <w:rsid w:val="00CB2126"/>
    <w:rsid w:val="00CB24AD"/>
    <w:rsid w:val="00CB2C59"/>
    <w:rsid w:val="00CB2D9C"/>
    <w:rsid w:val="00CB34AB"/>
    <w:rsid w:val="00CB3529"/>
    <w:rsid w:val="00CB3562"/>
    <w:rsid w:val="00CB38A9"/>
    <w:rsid w:val="00CB4728"/>
    <w:rsid w:val="00CB4994"/>
    <w:rsid w:val="00CB59E7"/>
    <w:rsid w:val="00CB5E4A"/>
    <w:rsid w:val="00CB668A"/>
    <w:rsid w:val="00CB6976"/>
    <w:rsid w:val="00CB6FCA"/>
    <w:rsid w:val="00CB724D"/>
    <w:rsid w:val="00CB73EA"/>
    <w:rsid w:val="00CB7D4E"/>
    <w:rsid w:val="00CC002B"/>
    <w:rsid w:val="00CC07E5"/>
    <w:rsid w:val="00CC09F0"/>
    <w:rsid w:val="00CC0C11"/>
    <w:rsid w:val="00CC15B5"/>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89F"/>
    <w:rsid w:val="00CD60C9"/>
    <w:rsid w:val="00CD6345"/>
    <w:rsid w:val="00CD6BBB"/>
    <w:rsid w:val="00CD6C19"/>
    <w:rsid w:val="00CD6E47"/>
    <w:rsid w:val="00CD7482"/>
    <w:rsid w:val="00CE07C1"/>
    <w:rsid w:val="00CE1567"/>
    <w:rsid w:val="00CE186F"/>
    <w:rsid w:val="00CE1C09"/>
    <w:rsid w:val="00CE20E3"/>
    <w:rsid w:val="00CE24B7"/>
    <w:rsid w:val="00CE273A"/>
    <w:rsid w:val="00CE321C"/>
    <w:rsid w:val="00CE32E8"/>
    <w:rsid w:val="00CE3700"/>
    <w:rsid w:val="00CE3B69"/>
    <w:rsid w:val="00CE3B77"/>
    <w:rsid w:val="00CE4559"/>
    <w:rsid w:val="00CE5118"/>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65B4"/>
    <w:rsid w:val="00CF69B0"/>
    <w:rsid w:val="00CF6C05"/>
    <w:rsid w:val="00CF7485"/>
    <w:rsid w:val="00CF7E56"/>
    <w:rsid w:val="00D0139C"/>
    <w:rsid w:val="00D01744"/>
    <w:rsid w:val="00D025CE"/>
    <w:rsid w:val="00D02A0F"/>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9DF"/>
    <w:rsid w:val="00D3225E"/>
    <w:rsid w:val="00D324BC"/>
    <w:rsid w:val="00D33565"/>
    <w:rsid w:val="00D33762"/>
    <w:rsid w:val="00D34025"/>
    <w:rsid w:val="00D3413A"/>
    <w:rsid w:val="00D34BD1"/>
    <w:rsid w:val="00D35177"/>
    <w:rsid w:val="00D356E1"/>
    <w:rsid w:val="00D37006"/>
    <w:rsid w:val="00D40609"/>
    <w:rsid w:val="00D40983"/>
    <w:rsid w:val="00D41188"/>
    <w:rsid w:val="00D417D3"/>
    <w:rsid w:val="00D418D5"/>
    <w:rsid w:val="00D41A6B"/>
    <w:rsid w:val="00D41DB1"/>
    <w:rsid w:val="00D42045"/>
    <w:rsid w:val="00D4276D"/>
    <w:rsid w:val="00D42798"/>
    <w:rsid w:val="00D42970"/>
    <w:rsid w:val="00D43492"/>
    <w:rsid w:val="00D43AED"/>
    <w:rsid w:val="00D44916"/>
    <w:rsid w:val="00D45CA4"/>
    <w:rsid w:val="00D45EA7"/>
    <w:rsid w:val="00D45F22"/>
    <w:rsid w:val="00D46485"/>
    <w:rsid w:val="00D47178"/>
    <w:rsid w:val="00D4752E"/>
    <w:rsid w:val="00D47842"/>
    <w:rsid w:val="00D478A8"/>
    <w:rsid w:val="00D47BEF"/>
    <w:rsid w:val="00D50826"/>
    <w:rsid w:val="00D51675"/>
    <w:rsid w:val="00D51A75"/>
    <w:rsid w:val="00D51F73"/>
    <w:rsid w:val="00D52827"/>
    <w:rsid w:val="00D529BE"/>
    <w:rsid w:val="00D52CF6"/>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6BD9"/>
    <w:rsid w:val="00D66BFD"/>
    <w:rsid w:val="00D66C91"/>
    <w:rsid w:val="00D674EE"/>
    <w:rsid w:val="00D67535"/>
    <w:rsid w:val="00D67B2A"/>
    <w:rsid w:val="00D67BC9"/>
    <w:rsid w:val="00D67DBC"/>
    <w:rsid w:val="00D704D9"/>
    <w:rsid w:val="00D70BD2"/>
    <w:rsid w:val="00D713F2"/>
    <w:rsid w:val="00D72705"/>
    <w:rsid w:val="00D738BF"/>
    <w:rsid w:val="00D73B93"/>
    <w:rsid w:val="00D73C95"/>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526"/>
    <w:rsid w:val="00DA0639"/>
    <w:rsid w:val="00DA0CF7"/>
    <w:rsid w:val="00DA0E96"/>
    <w:rsid w:val="00DA1203"/>
    <w:rsid w:val="00DA18DA"/>
    <w:rsid w:val="00DA1F0C"/>
    <w:rsid w:val="00DA1F38"/>
    <w:rsid w:val="00DA2F0F"/>
    <w:rsid w:val="00DA3565"/>
    <w:rsid w:val="00DA3A5B"/>
    <w:rsid w:val="00DA3D0B"/>
    <w:rsid w:val="00DA3F51"/>
    <w:rsid w:val="00DA45DB"/>
    <w:rsid w:val="00DA48D9"/>
    <w:rsid w:val="00DA49F8"/>
    <w:rsid w:val="00DA4AAE"/>
    <w:rsid w:val="00DA5572"/>
    <w:rsid w:val="00DA6A15"/>
    <w:rsid w:val="00DA6CC2"/>
    <w:rsid w:val="00DA6E1C"/>
    <w:rsid w:val="00DA7029"/>
    <w:rsid w:val="00DA77A0"/>
    <w:rsid w:val="00DB09A2"/>
    <w:rsid w:val="00DB0C79"/>
    <w:rsid w:val="00DB103D"/>
    <w:rsid w:val="00DB1448"/>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B799D"/>
    <w:rsid w:val="00DB79C8"/>
    <w:rsid w:val="00DC0574"/>
    <w:rsid w:val="00DC0C65"/>
    <w:rsid w:val="00DC16BF"/>
    <w:rsid w:val="00DC16E1"/>
    <w:rsid w:val="00DC16FC"/>
    <w:rsid w:val="00DC1881"/>
    <w:rsid w:val="00DC1ED7"/>
    <w:rsid w:val="00DC3A6F"/>
    <w:rsid w:val="00DC3D1C"/>
    <w:rsid w:val="00DC43E1"/>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44"/>
    <w:rsid w:val="00DD7CB6"/>
    <w:rsid w:val="00DE0077"/>
    <w:rsid w:val="00DE0137"/>
    <w:rsid w:val="00DE01BA"/>
    <w:rsid w:val="00DE0DCF"/>
    <w:rsid w:val="00DE137B"/>
    <w:rsid w:val="00DE19D9"/>
    <w:rsid w:val="00DE1C18"/>
    <w:rsid w:val="00DE1DC6"/>
    <w:rsid w:val="00DE1F77"/>
    <w:rsid w:val="00DE21C6"/>
    <w:rsid w:val="00DE22AA"/>
    <w:rsid w:val="00DE288F"/>
    <w:rsid w:val="00DE2D49"/>
    <w:rsid w:val="00DE388A"/>
    <w:rsid w:val="00DE3E66"/>
    <w:rsid w:val="00DE3F75"/>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BD0"/>
    <w:rsid w:val="00DF7BDF"/>
    <w:rsid w:val="00E00303"/>
    <w:rsid w:val="00E00489"/>
    <w:rsid w:val="00E00A62"/>
    <w:rsid w:val="00E010A0"/>
    <w:rsid w:val="00E0125E"/>
    <w:rsid w:val="00E01668"/>
    <w:rsid w:val="00E0173A"/>
    <w:rsid w:val="00E01849"/>
    <w:rsid w:val="00E020D1"/>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6EC"/>
    <w:rsid w:val="00E2189A"/>
    <w:rsid w:val="00E22B5A"/>
    <w:rsid w:val="00E22B68"/>
    <w:rsid w:val="00E231C9"/>
    <w:rsid w:val="00E23379"/>
    <w:rsid w:val="00E23EBF"/>
    <w:rsid w:val="00E23FD5"/>
    <w:rsid w:val="00E24669"/>
    <w:rsid w:val="00E248B2"/>
    <w:rsid w:val="00E24C48"/>
    <w:rsid w:val="00E25981"/>
    <w:rsid w:val="00E25BC1"/>
    <w:rsid w:val="00E26141"/>
    <w:rsid w:val="00E266F5"/>
    <w:rsid w:val="00E26F90"/>
    <w:rsid w:val="00E270D3"/>
    <w:rsid w:val="00E27FC7"/>
    <w:rsid w:val="00E30700"/>
    <w:rsid w:val="00E30D87"/>
    <w:rsid w:val="00E30E57"/>
    <w:rsid w:val="00E31360"/>
    <w:rsid w:val="00E31D28"/>
    <w:rsid w:val="00E325FF"/>
    <w:rsid w:val="00E32CB8"/>
    <w:rsid w:val="00E3419B"/>
    <w:rsid w:val="00E3440F"/>
    <w:rsid w:val="00E34F3A"/>
    <w:rsid w:val="00E35030"/>
    <w:rsid w:val="00E35F99"/>
    <w:rsid w:val="00E35F9A"/>
    <w:rsid w:val="00E3637F"/>
    <w:rsid w:val="00E364B6"/>
    <w:rsid w:val="00E36723"/>
    <w:rsid w:val="00E3713C"/>
    <w:rsid w:val="00E3767B"/>
    <w:rsid w:val="00E37A3D"/>
    <w:rsid w:val="00E37E1C"/>
    <w:rsid w:val="00E40126"/>
    <w:rsid w:val="00E40CBF"/>
    <w:rsid w:val="00E40E7D"/>
    <w:rsid w:val="00E40EE4"/>
    <w:rsid w:val="00E413C6"/>
    <w:rsid w:val="00E41C4E"/>
    <w:rsid w:val="00E420D5"/>
    <w:rsid w:val="00E42517"/>
    <w:rsid w:val="00E42D55"/>
    <w:rsid w:val="00E42FFE"/>
    <w:rsid w:val="00E4316E"/>
    <w:rsid w:val="00E435AB"/>
    <w:rsid w:val="00E44275"/>
    <w:rsid w:val="00E44777"/>
    <w:rsid w:val="00E4535F"/>
    <w:rsid w:val="00E466BC"/>
    <w:rsid w:val="00E4686A"/>
    <w:rsid w:val="00E47538"/>
    <w:rsid w:val="00E479FD"/>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B37"/>
    <w:rsid w:val="00E55B28"/>
    <w:rsid w:val="00E56D4A"/>
    <w:rsid w:val="00E57119"/>
    <w:rsid w:val="00E5719E"/>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C96"/>
    <w:rsid w:val="00E6703E"/>
    <w:rsid w:val="00E70130"/>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3407"/>
    <w:rsid w:val="00E940A8"/>
    <w:rsid w:val="00E94759"/>
    <w:rsid w:val="00E947E8"/>
    <w:rsid w:val="00E94B0F"/>
    <w:rsid w:val="00E9503F"/>
    <w:rsid w:val="00E96726"/>
    <w:rsid w:val="00E96E68"/>
    <w:rsid w:val="00E973BA"/>
    <w:rsid w:val="00E97EA1"/>
    <w:rsid w:val="00EA0BBE"/>
    <w:rsid w:val="00EA1FBC"/>
    <w:rsid w:val="00EA20A1"/>
    <w:rsid w:val="00EA212B"/>
    <w:rsid w:val="00EA24FB"/>
    <w:rsid w:val="00EA2D44"/>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A1E"/>
    <w:rsid w:val="00EA75BD"/>
    <w:rsid w:val="00EA760C"/>
    <w:rsid w:val="00EA7C47"/>
    <w:rsid w:val="00EB0C01"/>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E78"/>
    <w:rsid w:val="00EC0301"/>
    <w:rsid w:val="00EC09C6"/>
    <w:rsid w:val="00EC0EA5"/>
    <w:rsid w:val="00EC1056"/>
    <w:rsid w:val="00EC1470"/>
    <w:rsid w:val="00EC222E"/>
    <w:rsid w:val="00EC25CD"/>
    <w:rsid w:val="00EC2716"/>
    <w:rsid w:val="00EC2DBB"/>
    <w:rsid w:val="00EC358E"/>
    <w:rsid w:val="00EC3F3F"/>
    <w:rsid w:val="00EC3FD2"/>
    <w:rsid w:val="00EC4095"/>
    <w:rsid w:val="00EC43B5"/>
    <w:rsid w:val="00EC4537"/>
    <w:rsid w:val="00EC4960"/>
    <w:rsid w:val="00EC4AE3"/>
    <w:rsid w:val="00EC54EE"/>
    <w:rsid w:val="00EC59B2"/>
    <w:rsid w:val="00EC5A3B"/>
    <w:rsid w:val="00EC6BCB"/>
    <w:rsid w:val="00EC786C"/>
    <w:rsid w:val="00EC7ADD"/>
    <w:rsid w:val="00ED04FE"/>
    <w:rsid w:val="00ED0DD0"/>
    <w:rsid w:val="00ED1989"/>
    <w:rsid w:val="00ED28F2"/>
    <w:rsid w:val="00ED3145"/>
    <w:rsid w:val="00ED3309"/>
    <w:rsid w:val="00ED356E"/>
    <w:rsid w:val="00ED3BDA"/>
    <w:rsid w:val="00ED3DA4"/>
    <w:rsid w:val="00ED4B67"/>
    <w:rsid w:val="00ED5A3B"/>
    <w:rsid w:val="00ED5C30"/>
    <w:rsid w:val="00ED5E02"/>
    <w:rsid w:val="00ED5EED"/>
    <w:rsid w:val="00ED6B1C"/>
    <w:rsid w:val="00ED6CF7"/>
    <w:rsid w:val="00ED6F33"/>
    <w:rsid w:val="00ED741E"/>
    <w:rsid w:val="00ED7716"/>
    <w:rsid w:val="00ED7737"/>
    <w:rsid w:val="00ED7747"/>
    <w:rsid w:val="00ED7CF4"/>
    <w:rsid w:val="00EE0EA8"/>
    <w:rsid w:val="00EE1B0E"/>
    <w:rsid w:val="00EE22FB"/>
    <w:rsid w:val="00EE2407"/>
    <w:rsid w:val="00EE26AE"/>
    <w:rsid w:val="00EE29C8"/>
    <w:rsid w:val="00EE2A54"/>
    <w:rsid w:val="00EE2FC2"/>
    <w:rsid w:val="00EE3B88"/>
    <w:rsid w:val="00EE4B75"/>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1BA"/>
    <w:rsid w:val="00F116DD"/>
    <w:rsid w:val="00F11D9F"/>
    <w:rsid w:val="00F11E31"/>
    <w:rsid w:val="00F13137"/>
    <w:rsid w:val="00F13AA1"/>
    <w:rsid w:val="00F13F2A"/>
    <w:rsid w:val="00F140EC"/>
    <w:rsid w:val="00F15097"/>
    <w:rsid w:val="00F15671"/>
    <w:rsid w:val="00F15DC7"/>
    <w:rsid w:val="00F16000"/>
    <w:rsid w:val="00F16695"/>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2B46"/>
    <w:rsid w:val="00F33825"/>
    <w:rsid w:val="00F33A8B"/>
    <w:rsid w:val="00F33D3B"/>
    <w:rsid w:val="00F341D4"/>
    <w:rsid w:val="00F34A96"/>
    <w:rsid w:val="00F34EBF"/>
    <w:rsid w:val="00F34F05"/>
    <w:rsid w:val="00F34F85"/>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C5F"/>
    <w:rsid w:val="00F44DB8"/>
    <w:rsid w:val="00F45760"/>
    <w:rsid w:val="00F45925"/>
    <w:rsid w:val="00F46BA6"/>
    <w:rsid w:val="00F46C97"/>
    <w:rsid w:val="00F4703E"/>
    <w:rsid w:val="00F47AE6"/>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9EE"/>
    <w:rsid w:val="00F61CF5"/>
    <w:rsid w:val="00F61FF9"/>
    <w:rsid w:val="00F62069"/>
    <w:rsid w:val="00F62159"/>
    <w:rsid w:val="00F62A7C"/>
    <w:rsid w:val="00F62B93"/>
    <w:rsid w:val="00F633E5"/>
    <w:rsid w:val="00F63A07"/>
    <w:rsid w:val="00F63C89"/>
    <w:rsid w:val="00F63FDE"/>
    <w:rsid w:val="00F643CA"/>
    <w:rsid w:val="00F647EC"/>
    <w:rsid w:val="00F64D57"/>
    <w:rsid w:val="00F64FAB"/>
    <w:rsid w:val="00F65329"/>
    <w:rsid w:val="00F6546A"/>
    <w:rsid w:val="00F65CEA"/>
    <w:rsid w:val="00F65F15"/>
    <w:rsid w:val="00F66443"/>
    <w:rsid w:val="00F675EA"/>
    <w:rsid w:val="00F7074A"/>
    <w:rsid w:val="00F711A0"/>
    <w:rsid w:val="00F71687"/>
    <w:rsid w:val="00F71708"/>
    <w:rsid w:val="00F717C1"/>
    <w:rsid w:val="00F71AB3"/>
    <w:rsid w:val="00F725D3"/>
    <w:rsid w:val="00F7281E"/>
    <w:rsid w:val="00F72C1A"/>
    <w:rsid w:val="00F72C3D"/>
    <w:rsid w:val="00F73269"/>
    <w:rsid w:val="00F737AB"/>
    <w:rsid w:val="00F74216"/>
    <w:rsid w:val="00F74F0F"/>
    <w:rsid w:val="00F75731"/>
    <w:rsid w:val="00F75841"/>
    <w:rsid w:val="00F76333"/>
    <w:rsid w:val="00F77100"/>
    <w:rsid w:val="00F77C84"/>
    <w:rsid w:val="00F8090F"/>
    <w:rsid w:val="00F8139A"/>
    <w:rsid w:val="00F82AAE"/>
    <w:rsid w:val="00F834BE"/>
    <w:rsid w:val="00F838A9"/>
    <w:rsid w:val="00F849E3"/>
    <w:rsid w:val="00F84B4E"/>
    <w:rsid w:val="00F84C44"/>
    <w:rsid w:val="00F851B7"/>
    <w:rsid w:val="00F8566C"/>
    <w:rsid w:val="00F858D4"/>
    <w:rsid w:val="00F85C65"/>
    <w:rsid w:val="00F860EB"/>
    <w:rsid w:val="00F86268"/>
    <w:rsid w:val="00F868B6"/>
    <w:rsid w:val="00F86968"/>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137"/>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CF7"/>
    <w:rsid w:val="00FE4071"/>
    <w:rsid w:val="00FE42E3"/>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65A"/>
    <w:rsid w:val="00FF1B72"/>
    <w:rsid w:val="00FF1CF1"/>
    <w:rsid w:val="00FF1F4C"/>
    <w:rsid w:val="00FF2654"/>
    <w:rsid w:val="00FF2FF4"/>
    <w:rsid w:val="00FF3361"/>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4D7"/>
    <w:rsid w:val="00FF6B6C"/>
    <w:rsid w:val="00FF773F"/>
    <w:rsid w:val="01156B77"/>
    <w:rsid w:val="0121670D"/>
    <w:rsid w:val="01420B2A"/>
    <w:rsid w:val="01A65FF8"/>
    <w:rsid w:val="01AA2C10"/>
    <w:rsid w:val="01BF37C7"/>
    <w:rsid w:val="024206FE"/>
    <w:rsid w:val="026D5C3B"/>
    <w:rsid w:val="027D312B"/>
    <w:rsid w:val="02D7201B"/>
    <w:rsid w:val="034026A7"/>
    <w:rsid w:val="037738D8"/>
    <w:rsid w:val="03EE579D"/>
    <w:rsid w:val="043232F0"/>
    <w:rsid w:val="05696BF0"/>
    <w:rsid w:val="058741CE"/>
    <w:rsid w:val="05A96137"/>
    <w:rsid w:val="05F17DCE"/>
    <w:rsid w:val="063C3D35"/>
    <w:rsid w:val="063D65BD"/>
    <w:rsid w:val="075F0692"/>
    <w:rsid w:val="07F936E8"/>
    <w:rsid w:val="088D4F9E"/>
    <w:rsid w:val="08F53034"/>
    <w:rsid w:val="08F53B23"/>
    <w:rsid w:val="097E445D"/>
    <w:rsid w:val="098D0B0A"/>
    <w:rsid w:val="0A070656"/>
    <w:rsid w:val="0A595D03"/>
    <w:rsid w:val="0A913ED8"/>
    <w:rsid w:val="0B0C4A56"/>
    <w:rsid w:val="0B24171E"/>
    <w:rsid w:val="0B2D4462"/>
    <w:rsid w:val="0B5D6D37"/>
    <w:rsid w:val="0B6D7317"/>
    <w:rsid w:val="0BB84817"/>
    <w:rsid w:val="0BBD3899"/>
    <w:rsid w:val="0C3D1EA8"/>
    <w:rsid w:val="0C474AE5"/>
    <w:rsid w:val="0C801DA5"/>
    <w:rsid w:val="0D081F34"/>
    <w:rsid w:val="0D584403"/>
    <w:rsid w:val="0F333B7C"/>
    <w:rsid w:val="0FB4569D"/>
    <w:rsid w:val="0FD70E2B"/>
    <w:rsid w:val="0FE96CDF"/>
    <w:rsid w:val="101C0A97"/>
    <w:rsid w:val="10421716"/>
    <w:rsid w:val="10F67974"/>
    <w:rsid w:val="116353E3"/>
    <w:rsid w:val="117C7228"/>
    <w:rsid w:val="11813387"/>
    <w:rsid w:val="126E501F"/>
    <w:rsid w:val="12BA37DE"/>
    <w:rsid w:val="12D6790A"/>
    <w:rsid w:val="12DE7681"/>
    <w:rsid w:val="13391E64"/>
    <w:rsid w:val="13977E74"/>
    <w:rsid w:val="13D64BCB"/>
    <w:rsid w:val="13FF330A"/>
    <w:rsid w:val="141B7F51"/>
    <w:rsid w:val="14233BF9"/>
    <w:rsid w:val="146F2C7A"/>
    <w:rsid w:val="149E4992"/>
    <w:rsid w:val="154A690E"/>
    <w:rsid w:val="154D1CD8"/>
    <w:rsid w:val="15A217AD"/>
    <w:rsid w:val="15FF4D0E"/>
    <w:rsid w:val="17064457"/>
    <w:rsid w:val="175646B2"/>
    <w:rsid w:val="17972809"/>
    <w:rsid w:val="17A07FB9"/>
    <w:rsid w:val="189439F5"/>
    <w:rsid w:val="18C643E3"/>
    <w:rsid w:val="18DC0B51"/>
    <w:rsid w:val="19B2593E"/>
    <w:rsid w:val="1A442DE9"/>
    <w:rsid w:val="1ABC669E"/>
    <w:rsid w:val="1CFF15CC"/>
    <w:rsid w:val="1D321E13"/>
    <w:rsid w:val="1D6F62C6"/>
    <w:rsid w:val="1EA57ED5"/>
    <w:rsid w:val="1F462152"/>
    <w:rsid w:val="1F75782B"/>
    <w:rsid w:val="20780ECB"/>
    <w:rsid w:val="21101946"/>
    <w:rsid w:val="21455F84"/>
    <w:rsid w:val="215A1135"/>
    <w:rsid w:val="224176AA"/>
    <w:rsid w:val="2261589E"/>
    <w:rsid w:val="228C1199"/>
    <w:rsid w:val="234378C3"/>
    <w:rsid w:val="23A2211E"/>
    <w:rsid w:val="24801EBF"/>
    <w:rsid w:val="24977600"/>
    <w:rsid w:val="24DB73A2"/>
    <w:rsid w:val="25261323"/>
    <w:rsid w:val="253A3315"/>
    <w:rsid w:val="257638ED"/>
    <w:rsid w:val="259646DF"/>
    <w:rsid w:val="26AA0F6E"/>
    <w:rsid w:val="272F1A96"/>
    <w:rsid w:val="27AB38A9"/>
    <w:rsid w:val="27AC0841"/>
    <w:rsid w:val="289E3886"/>
    <w:rsid w:val="28C84A31"/>
    <w:rsid w:val="297B0CF7"/>
    <w:rsid w:val="297F6375"/>
    <w:rsid w:val="2A51423E"/>
    <w:rsid w:val="2A6828A4"/>
    <w:rsid w:val="2A77033D"/>
    <w:rsid w:val="2B1E0D76"/>
    <w:rsid w:val="2B4B2864"/>
    <w:rsid w:val="2C175A59"/>
    <w:rsid w:val="2C1C4880"/>
    <w:rsid w:val="2CAA49A0"/>
    <w:rsid w:val="2D311675"/>
    <w:rsid w:val="2D3A4BC3"/>
    <w:rsid w:val="2D5C084D"/>
    <w:rsid w:val="2DE262D6"/>
    <w:rsid w:val="2E344345"/>
    <w:rsid w:val="2EDD2DD9"/>
    <w:rsid w:val="2EFA61AC"/>
    <w:rsid w:val="2F023A5C"/>
    <w:rsid w:val="2F723467"/>
    <w:rsid w:val="2FC130E0"/>
    <w:rsid w:val="2FD64AAF"/>
    <w:rsid w:val="311F2633"/>
    <w:rsid w:val="31961E90"/>
    <w:rsid w:val="319959F5"/>
    <w:rsid w:val="31C936BD"/>
    <w:rsid w:val="321C75CA"/>
    <w:rsid w:val="32285C55"/>
    <w:rsid w:val="32901DB4"/>
    <w:rsid w:val="32A02B99"/>
    <w:rsid w:val="32D06D32"/>
    <w:rsid w:val="331663BC"/>
    <w:rsid w:val="33D414D0"/>
    <w:rsid w:val="34842CBB"/>
    <w:rsid w:val="34CC56F1"/>
    <w:rsid w:val="34F7095C"/>
    <w:rsid w:val="35982C92"/>
    <w:rsid w:val="35CD358A"/>
    <w:rsid w:val="362A09EF"/>
    <w:rsid w:val="369C1105"/>
    <w:rsid w:val="37467D39"/>
    <w:rsid w:val="383C5B5A"/>
    <w:rsid w:val="38434DD4"/>
    <w:rsid w:val="385F359C"/>
    <w:rsid w:val="38F12C59"/>
    <w:rsid w:val="39151675"/>
    <w:rsid w:val="39B70FC5"/>
    <w:rsid w:val="3BA80B19"/>
    <w:rsid w:val="3C141945"/>
    <w:rsid w:val="3C4240EC"/>
    <w:rsid w:val="3C643A21"/>
    <w:rsid w:val="3E5A37BD"/>
    <w:rsid w:val="3E997760"/>
    <w:rsid w:val="3EE87677"/>
    <w:rsid w:val="3F3A1FEB"/>
    <w:rsid w:val="405F6B9A"/>
    <w:rsid w:val="40692863"/>
    <w:rsid w:val="40885740"/>
    <w:rsid w:val="411C4557"/>
    <w:rsid w:val="412D7418"/>
    <w:rsid w:val="41D823F7"/>
    <w:rsid w:val="42253D73"/>
    <w:rsid w:val="42D9011C"/>
    <w:rsid w:val="42DC0426"/>
    <w:rsid w:val="43C76649"/>
    <w:rsid w:val="452F03D4"/>
    <w:rsid w:val="4562749F"/>
    <w:rsid w:val="45E30A97"/>
    <w:rsid w:val="461A1F6D"/>
    <w:rsid w:val="47843179"/>
    <w:rsid w:val="48297597"/>
    <w:rsid w:val="48400C1E"/>
    <w:rsid w:val="492604C6"/>
    <w:rsid w:val="49D34E76"/>
    <w:rsid w:val="4A770517"/>
    <w:rsid w:val="4B120AB8"/>
    <w:rsid w:val="4B4A2BD1"/>
    <w:rsid w:val="4BB772C7"/>
    <w:rsid w:val="4C0B25D5"/>
    <w:rsid w:val="4C9A2106"/>
    <w:rsid w:val="4E4E5C86"/>
    <w:rsid w:val="4E6268C7"/>
    <w:rsid w:val="4EAC5711"/>
    <w:rsid w:val="4EDA0D8F"/>
    <w:rsid w:val="500D2764"/>
    <w:rsid w:val="505C7478"/>
    <w:rsid w:val="515D55FB"/>
    <w:rsid w:val="51B2004B"/>
    <w:rsid w:val="52197A42"/>
    <w:rsid w:val="527C2D46"/>
    <w:rsid w:val="53BE36AA"/>
    <w:rsid w:val="544C086E"/>
    <w:rsid w:val="54F221FC"/>
    <w:rsid w:val="55622629"/>
    <w:rsid w:val="557701D2"/>
    <w:rsid w:val="563263D1"/>
    <w:rsid w:val="565138B8"/>
    <w:rsid w:val="56881D03"/>
    <w:rsid w:val="57C537CF"/>
    <w:rsid w:val="581E2406"/>
    <w:rsid w:val="585C3A3A"/>
    <w:rsid w:val="58B75904"/>
    <w:rsid w:val="58CF5440"/>
    <w:rsid w:val="59213594"/>
    <w:rsid w:val="5A3A2DDD"/>
    <w:rsid w:val="5A66425D"/>
    <w:rsid w:val="5A7753FF"/>
    <w:rsid w:val="5AD9459C"/>
    <w:rsid w:val="5BB31E08"/>
    <w:rsid w:val="5C1D7E66"/>
    <w:rsid w:val="5C7153B6"/>
    <w:rsid w:val="5CE861E2"/>
    <w:rsid w:val="5DA31D4F"/>
    <w:rsid w:val="5DF76D59"/>
    <w:rsid w:val="5E1E68F7"/>
    <w:rsid w:val="5E2C2A9D"/>
    <w:rsid w:val="5E52535B"/>
    <w:rsid w:val="5EB73272"/>
    <w:rsid w:val="5F450DAB"/>
    <w:rsid w:val="5FF7109D"/>
    <w:rsid w:val="60170588"/>
    <w:rsid w:val="60447752"/>
    <w:rsid w:val="606C7440"/>
    <w:rsid w:val="61125D3B"/>
    <w:rsid w:val="61501C31"/>
    <w:rsid w:val="617C17FC"/>
    <w:rsid w:val="62E81C3F"/>
    <w:rsid w:val="631B7A45"/>
    <w:rsid w:val="63A14D89"/>
    <w:rsid w:val="64441196"/>
    <w:rsid w:val="646978EA"/>
    <w:rsid w:val="64D16EA4"/>
    <w:rsid w:val="65821697"/>
    <w:rsid w:val="65D817CC"/>
    <w:rsid w:val="65F303A9"/>
    <w:rsid w:val="66E13C36"/>
    <w:rsid w:val="66E4385D"/>
    <w:rsid w:val="673A5617"/>
    <w:rsid w:val="6793303F"/>
    <w:rsid w:val="67EE599B"/>
    <w:rsid w:val="68784A17"/>
    <w:rsid w:val="68A842FE"/>
    <w:rsid w:val="68B77E18"/>
    <w:rsid w:val="68C70FC8"/>
    <w:rsid w:val="6A06459E"/>
    <w:rsid w:val="6A523CFC"/>
    <w:rsid w:val="6A59321A"/>
    <w:rsid w:val="6ADE08A2"/>
    <w:rsid w:val="6B241A17"/>
    <w:rsid w:val="6B28556D"/>
    <w:rsid w:val="6C5B33EC"/>
    <w:rsid w:val="6D8F2035"/>
    <w:rsid w:val="6E9C0F6F"/>
    <w:rsid w:val="6F9006AE"/>
    <w:rsid w:val="6F983C7A"/>
    <w:rsid w:val="6FC13B19"/>
    <w:rsid w:val="6FD3399C"/>
    <w:rsid w:val="7103031A"/>
    <w:rsid w:val="710A284E"/>
    <w:rsid w:val="71121F70"/>
    <w:rsid w:val="71161C69"/>
    <w:rsid w:val="71AD7318"/>
    <w:rsid w:val="726D70E7"/>
    <w:rsid w:val="731B4DA3"/>
    <w:rsid w:val="732544C4"/>
    <w:rsid w:val="734170A4"/>
    <w:rsid w:val="744D5EC9"/>
    <w:rsid w:val="747B1508"/>
    <w:rsid w:val="75CA7744"/>
    <w:rsid w:val="76263C89"/>
    <w:rsid w:val="76275962"/>
    <w:rsid w:val="76532E7A"/>
    <w:rsid w:val="772A4F3B"/>
    <w:rsid w:val="77440722"/>
    <w:rsid w:val="77CC74DE"/>
    <w:rsid w:val="780B2079"/>
    <w:rsid w:val="78EC17AD"/>
    <w:rsid w:val="79CD2C51"/>
    <w:rsid w:val="79E65A52"/>
    <w:rsid w:val="7A3538A9"/>
    <w:rsid w:val="7A496659"/>
    <w:rsid w:val="7B0A7A8F"/>
    <w:rsid w:val="7B1403CC"/>
    <w:rsid w:val="7B787C1E"/>
    <w:rsid w:val="7BBE2911"/>
    <w:rsid w:val="7BC4039A"/>
    <w:rsid w:val="7C5F10C0"/>
    <w:rsid w:val="7C744EE5"/>
    <w:rsid w:val="7C9C4E59"/>
    <w:rsid w:val="7CF12070"/>
    <w:rsid w:val="7D136D0B"/>
    <w:rsid w:val="7D4771D6"/>
    <w:rsid w:val="7E477448"/>
    <w:rsid w:val="7ED2669B"/>
    <w:rsid w:val="7EE60311"/>
    <w:rsid w:val="7EF22716"/>
    <w:rsid w:val="7F5823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59"/>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1"/>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eastAsia="宋体" w:cs="Times New Roman"/>
      <w:szCs w:val="22"/>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4"/>
    <w:unhideWhenUsed/>
    <w:qFormat/>
    <w:uiPriority w:val="0"/>
    <w:pPr>
      <w:jc w:val="left"/>
    </w:pPr>
  </w:style>
  <w:style w:type="paragraph" w:styleId="16">
    <w:name w:val="Body Text 3"/>
    <w:basedOn w:val="1"/>
    <w:link w:val="65"/>
    <w:qFormat/>
    <w:uiPriority w:val="0"/>
    <w:pPr>
      <w:spacing w:line="500" w:lineRule="exact"/>
    </w:pPr>
    <w:rPr>
      <w:b/>
      <w:bCs/>
      <w:kern w:val="0"/>
      <w:sz w:val="24"/>
    </w:rPr>
  </w:style>
  <w:style w:type="paragraph" w:styleId="17">
    <w:name w:val="Body Text"/>
    <w:basedOn w:val="1"/>
    <w:link w:val="66"/>
    <w:qFormat/>
    <w:uiPriority w:val="99"/>
    <w:pPr>
      <w:spacing w:line="380" w:lineRule="exact"/>
    </w:pPr>
    <w:rPr>
      <w:kern w:val="0"/>
      <w:sz w:val="24"/>
    </w:rPr>
  </w:style>
  <w:style w:type="paragraph" w:styleId="18">
    <w:name w:val="Body Text Indent"/>
    <w:basedOn w:val="1"/>
    <w:link w:val="67"/>
    <w:qFormat/>
    <w:uiPriority w:val="0"/>
    <w:pPr>
      <w:ind w:firstLine="830" w:firstLineChars="352"/>
    </w:pPr>
    <w:rPr>
      <w:rFonts w:ascii="方正仿宋_GB2312" w:eastAsia="方正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eastAsia="宋体" w:cs="Times New Roman"/>
      <w:szCs w:val="22"/>
    </w:rPr>
  </w:style>
  <w:style w:type="paragraph" w:styleId="22">
    <w:name w:val="toc 3"/>
    <w:basedOn w:val="1"/>
    <w:next w:val="1"/>
    <w:unhideWhenUsed/>
    <w:qFormat/>
    <w:uiPriority w:val="39"/>
    <w:pPr>
      <w:ind w:left="840" w:leftChars="400"/>
    </w:pPr>
    <w:rPr>
      <w:rFonts w:ascii="Calibri" w:hAnsi="Calibri" w:eastAsia="宋体" w:cs="Times New Roman"/>
      <w:szCs w:val="22"/>
    </w:rPr>
  </w:style>
  <w:style w:type="paragraph" w:styleId="23">
    <w:name w:val="Plain Text"/>
    <w:basedOn w:val="1"/>
    <w:next w:val="12"/>
    <w:link w:val="68"/>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eastAsia="宋体" w:cs="Times New Roman"/>
      <w:szCs w:val="22"/>
    </w:rPr>
  </w:style>
  <w:style w:type="paragraph" w:styleId="25">
    <w:name w:val="Date"/>
    <w:basedOn w:val="1"/>
    <w:next w:val="1"/>
    <w:link w:val="69"/>
    <w:qFormat/>
    <w:uiPriority w:val="0"/>
    <w:pPr>
      <w:ind w:left="100" w:leftChars="2500"/>
    </w:pPr>
    <w:rPr>
      <w:rFonts w:ascii="宋体" w:hAnsi="Courier New"/>
      <w:kern w:val="0"/>
      <w:sz w:val="20"/>
      <w:szCs w:val="21"/>
    </w:rPr>
  </w:style>
  <w:style w:type="paragraph" w:styleId="26">
    <w:name w:val="Body Text Indent 2"/>
    <w:basedOn w:val="1"/>
    <w:link w:val="70"/>
    <w:qFormat/>
    <w:uiPriority w:val="0"/>
    <w:pPr>
      <w:ind w:firstLine="630"/>
    </w:pPr>
    <w:rPr>
      <w:kern w:val="0"/>
      <w:sz w:val="32"/>
      <w:szCs w:val="20"/>
    </w:rPr>
  </w:style>
  <w:style w:type="paragraph" w:styleId="27">
    <w:name w:val="endnote text"/>
    <w:basedOn w:val="1"/>
    <w:link w:val="71"/>
    <w:unhideWhenUsed/>
    <w:qFormat/>
    <w:uiPriority w:val="99"/>
    <w:pPr>
      <w:snapToGrid w:val="0"/>
      <w:jc w:val="left"/>
    </w:pPr>
  </w:style>
  <w:style w:type="paragraph" w:styleId="28">
    <w:name w:val="Balloon Text"/>
    <w:basedOn w:val="1"/>
    <w:link w:val="72"/>
    <w:semiHidden/>
    <w:qFormat/>
    <w:uiPriority w:val="0"/>
    <w:rPr>
      <w:kern w:val="0"/>
      <w:sz w:val="18"/>
      <w:szCs w:val="18"/>
    </w:rPr>
  </w:style>
  <w:style w:type="paragraph" w:styleId="29">
    <w:name w:val="footer"/>
    <w:basedOn w:val="1"/>
    <w:link w:val="73"/>
    <w:unhideWhenUsed/>
    <w:qFormat/>
    <w:uiPriority w:val="99"/>
    <w:pPr>
      <w:tabs>
        <w:tab w:val="center" w:pos="4153"/>
        <w:tab w:val="right" w:pos="8306"/>
      </w:tabs>
      <w:snapToGrid w:val="0"/>
      <w:jc w:val="left"/>
    </w:pPr>
    <w:rPr>
      <w:kern w:val="0"/>
      <w:sz w:val="18"/>
      <w:szCs w:val="18"/>
    </w:rPr>
  </w:style>
  <w:style w:type="paragraph" w:styleId="30">
    <w:name w:val="header"/>
    <w:basedOn w:val="1"/>
    <w:link w:val="74"/>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eastAsia="宋体" w:cs="Times New Roman"/>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5"/>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eastAsia="宋体" w:cs="Times New Roman"/>
      <w:szCs w:val="22"/>
    </w:rPr>
  </w:style>
  <w:style w:type="paragraph" w:styleId="36">
    <w:name w:val="Body Text Indent 3"/>
    <w:basedOn w:val="1"/>
    <w:link w:val="76"/>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eastAsia="宋体" w:cs="Times New Roman"/>
      <w:szCs w:val="22"/>
    </w:rPr>
  </w:style>
  <w:style w:type="paragraph" w:styleId="39">
    <w:name w:val="Body Text 2"/>
    <w:basedOn w:val="1"/>
    <w:link w:val="77"/>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8"/>
    <w:qFormat/>
    <w:uiPriority w:val="10"/>
    <w:pPr>
      <w:spacing w:before="240" w:after="60"/>
      <w:jc w:val="center"/>
      <w:outlineLvl w:val="0"/>
    </w:pPr>
    <w:rPr>
      <w:rFonts w:ascii="Cambria" w:hAnsi="Cambria"/>
      <w:b/>
      <w:bCs/>
      <w:sz w:val="32"/>
      <w:szCs w:val="32"/>
    </w:rPr>
  </w:style>
  <w:style w:type="paragraph" w:styleId="43">
    <w:name w:val="annotation subject"/>
    <w:basedOn w:val="15"/>
    <w:next w:val="15"/>
    <w:link w:val="79"/>
    <w:unhideWhenUsed/>
    <w:qFormat/>
    <w:uiPriority w:val="99"/>
    <w:rPr>
      <w:b/>
      <w:bCs/>
    </w:rPr>
  </w:style>
  <w:style w:type="paragraph" w:styleId="44">
    <w:name w:val="Body Text First Indent 2"/>
    <w:basedOn w:val="1"/>
    <w:next w:val="1"/>
    <w:unhideWhenUsed/>
    <w:qFormat/>
    <w:uiPriority w:val="99"/>
    <w:pPr>
      <w:spacing w:after="120"/>
      <w:ind w:left="420" w:leftChars="200" w:firstLine="420" w:firstLineChars="200"/>
    </w:pPr>
    <w:rPr>
      <w:rFonts w:ascii="Times New Roman" w:eastAsia="宋体"/>
      <w:kern w:val="2"/>
      <w:sz w:val="21"/>
      <w:szCs w:val="24"/>
    </w:rPr>
  </w:style>
  <w:style w:type="table" w:styleId="46">
    <w:name w:val="Table Grid"/>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r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styleId="55">
    <w:name w:val="HTML Sample"/>
    <w:basedOn w:val="47"/>
    <w:semiHidden/>
    <w:unhideWhenUsed/>
    <w:qFormat/>
    <w:uiPriority w:val="99"/>
    <w:rPr>
      <w:rFonts w:ascii="Courier New" w:hAnsi="Courier New"/>
    </w:rPr>
  </w:style>
  <w:style w:type="character" w:customStyle="1" w:styleId="56">
    <w:name w:val="标题 1 Char"/>
    <w:link w:val="2"/>
    <w:qFormat/>
    <w:uiPriority w:val="0"/>
    <w:rPr>
      <w:rFonts w:ascii="Times New Roman" w:hAnsi="Times New Roman" w:eastAsia="宋体" w:cs="Times New Roman"/>
      <w:b/>
      <w:bCs/>
      <w:kern w:val="44"/>
      <w:sz w:val="44"/>
      <w:szCs w:val="44"/>
    </w:rPr>
  </w:style>
  <w:style w:type="character" w:customStyle="1" w:styleId="57">
    <w:name w:val="标题 2 Char"/>
    <w:link w:val="3"/>
    <w:qFormat/>
    <w:uiPriority w:val="0"/>
    <w:rPr>
      <w:rFonts w:ascii="Arial" w:hAnsi="Arial" w:eastAsia="黑体" w:cs="Times New Roman"/>
      <w:b/>
      <w:bCs/>
      <w:sz w:val="32"/>
      <w:szCs w:val="32"/>
    </w:rPr>
  </w:style>
  <w:style w:type="character" w:customStyle="1" w:styleId="58">
    <w:name w:val="标题 3 Char"/>
    <w:link w:val="4"/>
    <w:qFormat/>
    <w:uiPriority w:val="0"/>
    <w:rPr>
      <w:rFonts w:ascii="Times New Roman" w:hAnsi="Times New Roman" w:eastAsia="宋体" w:cs="Times New Roman"/>
      <w:b/>
      <w:bCs/>
      <w:sz w:val="32"/>
      <w:szCs w:val="32"/>
    </w:rPr>
  </w:style>
  <w:style w:type="character" w:customStyle="1" w:styleId="59">
    <w:name w:val="标题 5 Char2"/>
    <w:link w:val="5"/>
    <w:qFormat/>
    <w:uiPriority w:val="0"/>
    <w:rPr>
      <w:b/>
      <w:kern w:val="2"/>
      <w:sz w:val="28"/>
      <w:szCs w:val="24"/>
    </w:rPr>
  </w:style>
  <w:style w:type="character" w:customStyle="1" w:styleId="60">
    <w:name w:val="标题 6 Char"/>
    <w:link w:val="7"/>
    <w:qFormat/>
    <w:uiPriority w:val="0"/>
    <w:rPr>
      <w:rFonts w:ascii="Arial" w:hAnsi="Arial" w:eastAsia="黑体"/>
      <w:b/>
      <w:kern w:val="2"/>
      <w:sz w:val="24"/>
      <w:szCs w:val="24"/>
    </w:rPr>
  </w:style>
  <w:style w:type="character" w:customStyle="1" w:styleId="61">
    <w:name w:val="标题 7 Char"/>
    <w:link w:val="8"/>
    <w:qFormat/>
    <w:uiPriority w:val="0"/>
    <w:rPr>
      <w:rFonts w:ascii="Times New Roman" w:hAnsi="Times New Roman"/>
      <w:b/>
      <w:kern w:val="2"/>
      <w:sz w:val="24"/>
      <w:szCs w:val="24"/>
    </w:rPr>
  </w:style>
  <w:style w:type="character" w:customStyle="1" w:styleId="62">
    <w:name w:val="标题 8 Char"/>
    <w:link w:val="9"/>
    <w:qFormat/>
    <w:uiPriority w:val="0"/>
    <w:rPr>
      <w:rFonts w:ascii="Arial" w:hAnsi="Arial" w:eastAsia="黑体"/>
      <w:kern w:val="2"/>
      <w:sz w:val="24"/>
      <w:szCs w:val="24"/>
    </w:rPr>
  </w:style>
  <w:style w:type="character" w:customStyle="1" w:styleId="63">
    <w:name w:val="标题 9 Char"/>
    <w:link w:val="10"/>
    <w:qFormat/>
    <w:uiPriority w:val="0"/>
    <w:rPr>
      <w:rFonts w:ascii="Arial" w:hAnsi="Arial" w:eastAsia="黑体"/>
      <w:kern w:val="2"/>
      <w:sz w:val="21"/>
      <w:szCs w:val="24"/>
    </w:rPr>
  </w:style>
  <w:style w:type="character" w:customStyle="1" w:styleId="64">
    <w:name w:val="批注文字 Char2"/>
    <w:link w:val="15"/>
    <w:qFormat/>
    <w:uiPriority w:val="0"/>
    <w:rPr>
      <w:rFonts w:ascii="Times New Roman" w:hAnsi="Times New Roman"/>
      <w:kern w:val="2"/>
      <w:sz w:val="21"/>
      <w:szCs w:val="24"/>
    </w:rPr>
  </w:style>
  <w:style w:type="character" w:customStyle="1" w:styleId="65">
    <w:name w:val="正文文本 3 Char"/>
    <w:link w:val="16"/>
    <w:qFormat/>
    <w:uiPriority w:val="0"/>
    <w:rPr>
      <w:rFonts w:ascii="Times New Roman" w:hAnsi="Times New Roman" w:eastAsia="宋体" w:cs="Times New Roman"/>
      <w:b/>
      <w:bCs/>
      <w:sz w:val="24"/>
      <w:szCs w:val="24"/>
    </w:rPr>
  </w:style>
  <w:style w:type="character" w:customStyle="1" w:styleId="66">
    <w:name w:val="正文文本 Char"/>
    <w:link w:val="17"/>
    <w:qFormat/>
    <w:uiPriority w:val="99"/>
    <w:rPr>
      <w:rFonts w:ascii="Times New Roman" w:hAnsi="Times New Roman" w:eastAsia="宋体" w:cs="Times New Roman"/>
      <w:sz w:val="24"/>
      <w:szCs w:val="24"/>
    </w:rPr>
  </w:style>
  <w:style w:type="character" w:customStyle="1" w:styleId="67">
    <w:name w:val="正文文本缩进 Char"/>
    <w:link w:val="18"/>
    <w:qFormat/>
    <w:uiPriority w:val="0"/>
    <w:rPr>
      <w:rFonts w:ascii="方正仿宋_GB2312" w:hAnsi="Times New Roman" w:eastAsia="方正仿宋_GB2312" w:cs="Times New Roman"/>
      <w:sz w:val="32"/>
      <w:szCs w:val="20"/>
    </w:rPr>
  </w:style>
  <w:style w:type="character" w:customStyle="1" w:styleId="68">
    <w:name w:val="纯文本 Char2"/>
    <w:link w:val="23"/>
    <w:qFormat/>
    <w:uiPriority w:val="0"/>
    <w:rPr>
      <w:rFonts w:ascii="宋体" w:hAnsi="Courier New" w:eastAsia="宋体" w:cs="Courier New"/>
      <w:szCs w:val="21"/>
    </w:rPr>
  </w:style>
  <w:style w:type="character" w:customStyle="1" w:styleId="69">
    <w:name w:val="日期 Char"/>
    <w:link w:val="25"/>
    <w:qFormat/>
    <w:uiPriority w:val="0"/>
    <w:rPr>
      <w:rFonts w:ascii="宋体" w:hAnsi="Courier New" w:eastAsia="宋体" w:cs="Courier New"/>
      <w:szCs w:val="21"/>
    </w:rPr>
  </w:style>
  <w:style w:type="character" w:customStyle="1" w:styleId="70">
    <w:name w:val="正文文本缩进 2 Char"/>
    <w:link w:val="26"/>
    <w:qFormat/>
    <w:uiPriority w:val="0"/>
    <w:rPr>
      <w:rFonts w:ascii="Times New Roman" w:hAnsi="Times New Roman" w:eastAsia="宋体" w:cs="Times New Roman"/>
      <w:sz w:val="32"/>
      <w:szCs w:val="20"/>
    </w:rPr>
  </w:style>
  <w:style w:type="character" w:customStyle="1" w:styleId="71">
    <w:name w:val="尾注文本 Char"/>
    <w:link w:val="27"/>
    <w:semiHidden/>
    <w:qFormat/>
    <w:uiPriority w:val="99"/>
    <w:rPr>
      <w:rFonts w:ascii="Times New Roman" w:hAnsi="Times New Roman"/>
      <w:kern w:val="2"/>
      <w:sz w:val="21"/>
      <w:szCs w:val="24"/>
    </w:rPr>
  </w:style>
  <w:style w:type="character" w:customStyle="1" w:styleId="72">
    <w:name w:val="批注框文本 Char"/>
    <w:link w:val="28"/>
    <w:semiHidden/>
    <w:qFormat/>
    <w:uiPriority w:val="0"/>
    <w:rPr>
      <w:rFonts w:ascii="Times New Roman" w:hAnsi="Times New Roman" w:eastAsia="宋体" w:cs="Times New Roman"/>
      <w:sz w:val="18"/>
      <w:szCs w:val="18"/>
    </w:rPr>
  </w:style>
  <w:style w:type="character" w:customStyle="1" w:styleId="73">
    <w:name w:val="页脚 Char"/>
    <w:link w:val="29"/>
    <w:qFormat/>
    <w:uiPriority w:val="99"/>
    <w:rPr>
      <w:sz w:val="18"/>
      <w:szCs w:val="18"/>
    </w:rPr>
  </w:style>
  <w:style w:type="character" w:customStyle="1" w:styleId="74">
    <w:name w:val="页眉 Char"/>
    <w:link w:val="30"/>
    <w:qFormat/>
    <w:uiPriority w:val="99"/>
    <w:rPr>
      <w:rFonts w:ascii="Times New Roman" w:hAnsi="Times New Roman"/>
      <w:kern w:val="2"/>
      <w:sz w:val="18"/>
      <w:szCs w:val="18"/>
    </w:rPr>
  </w:style>
  <w:style w:type="character" w:customStyle="1" w:styleId="75">
    <w:name w:val="脚注文本 Char"/>
    <w:link w:val="34"/>
    <w:semiHidden/>
    <w:qFormat/>
    <w:uiPriority w:val="99"/>
    <w:rPr>
      <w:rFonts w:ascii="Times New Roman" w:hAnsi="Times New Roman"/>
      <w:kern w:val="2"/>
      <w:sz w:val="18"/>
      <w:szCs w:val="18"/>
    </w:rPr>
  </w:style>
  <w:style w:type="character" w:customStyle="1" w:styleId="76">
    <w:name w:val="正文文本缩进 3 Char"/>
    <w:link w:val="36"/>
    <w:qFormat/>
    <w:uiPriority w:val="0"/>
    <w:rPr>
      <w:rFonts w:ascii="Times New Roman" w:hAnsi="Times New Roman" w:eastAsia="宋体" w:cs="Times New Roman"/>
      <w:sz w:val="16"/>
      <w:szCs w:val="16"/>
    </w:rPr>
  </w:style>
  <w:style w:type="character" w:customStyle="1" w:styleId="77">
    <w:name w:val="正文文本 2 Char"/>
    <w:link w:val="39"/>
    <w:qFormat/>
    <w:uiPriority w:val="0"/>
    <w:rPr>
      <w:rFonts w:ascii="Times New Roman" w:hAnsi="Times New Roman" w:eastAsia="宋体" w:cs="Times New Roman"/>
      <w:szCs w:val="24"/>
    </w:rPr>
  </w:style>
  <w:style w:type="character" w:customStyle="1" w:styleId="78">
    <w:name w:val="标题 Char"/>
    <w:link w:val="42"/>
    <w:qFormat/>
    <w:uiPriority w:val="10"/>
    <w:rPr>
      <w:rFonts w:ascii="Cambria" w:hAnsi="Cambria" w:cs="Times New Roman"/>
      <w:b/>
      <w:bCs/>
      <w:kern w:val="2"/>
      <w:sz w:val="32"/>
      <w:szCs w:val="32"/>
    </w:rPr>
  </w:style>
  <w:style w:type="character" w:customStyle="1" w:styleId="79">
    <w:name w:val="批注主题 Char"/>
    <w:link w:val="43"/>
    <w:semiHidden/>
    <w:qFormat/>
    <w:uiPriority w:val="99"/>
    <w:rPr>
      <w:rFonts w:ascii="Times New Roman" w:hAnsi="Times New Roman"/>
      <w:b/>
      <w:bCs/>
      <w:kern w:val="2"/>
      <w:sz w:val="21"/>
      <w:szCs w:val="24"/>
    </w:rPr>
  </w:style>
  <w:style w:type="paragraph" w:customStyle="1" w:styleId="8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81">
    <w:name w:val="纯文本 字符1"/>
    <w:qFormat/>
    <w:uiPriority w:val="0"/>
    <w:rPr>
      <w:rFonts w:ascii="宋体" w:hAnsi="Courier New"/>
    </w:rPr>
  </w:style>
  <w:style w:type="character" w:customStyle="1" w:styleId="82">
    <w:name w:val="批注文字 Char1"/>
    <w:semiHidden/>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0"/>
    <w:rPr>
      <w:rFonts w:ascii="Times New Roman" w:hAnsi="Times New Roman"/>
      <w:kern w:val="2"/>
      <w:sz w:val="21"/>
      <w:szCs w:val="24"/>
    </w:rPr>
  </w:style>
  <w:style w:type="character" w:customStyle="1" w:styleId="85">
    <w:name w:val="标题 5 Char"/>
    <w:qFormat/>
    <w:uiPriority w:val="0"/>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0"/>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方正仿宋_GB2312" w:hAnsi="Times New Roman" w:eastAsia="方正仿宋_GB2312" w:cs="Times New Roman"/>
      <w:sz w:val="32"/>
      <w:szCs w:val="20"/>
    </w:rPr>
  </w:style>
  <w:style w:type="character" w:customStyle="1" w:styleId="91">
    <w:name w:val="case31"/>
    <w:qFormat/>
    <w:uiPriority w:val="0"/>
    <w:rPr>
      <w:rFonts w:hint="default" w:ascii="仿宋" w:hAnsi="仿宋"/>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50"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方正仿宋_GB2312" w:hAnsi="宋体" w:eastAsia="方正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Wonder Arial" w:hAnsi="Wonder Arial" w:eastAsia="Wonder Arial" w:cs="Wonder Arial"/>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Plain Text"/>
    <w:basedOn w:val="1"/>
    <w:qFormat/>
    <w:uiPriority w:val="0"/>
    <w:rPr>
      <w:rFonts w:ascii="宋体" w:hAnsi="Courier New" w:cs="Candara"/>
      <w:szCs w:val="21"/>
    </w:rPr>
  </w:style>
  <w:style w:type="paragraph" w:customStyle="1" w:styleId="10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8">
    <w:name w:val="List Paragraph"/>
    <w:basedOn w:val="1"/>
    <w:qFormat/>
    <w:uiPriority w:val="34"/>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0"/>
    <w:rPr>
      <w:rFonts w:ascii="宋体" w:hAnsi="Courier New" w:eastAsia="宋体" w:cs="Courier New"/>
      <w:szCs w:val="21"/>
    </w:rPr>
  </w:style>
  <w:style w:type="paragraph" w:customStyle="1" w:styleId="11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18799</Words>
  <Characters>20042</Characters>
  <Lines>306</Lines>
  <Paragraphs>86</Paragraphs>
  <TotalTime>14</TotalTime>
  <ScaleCrop>false</ScaleCrop>
  <LinksUpToDate>false</LinksUpToDate>
  <CharactersWithSpaces>20693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2020-10-14T10:17:00Z</dcterms:created>
  <dc:creator>番茄花园</dc:creator>
  <cp:lastModifiedBy>泥鳅</cp:lastModifiedBy>
  <cp:lastPrinted>2023-11-24T02:39:00Z</cp:lastPrinted>
  <dcterms:modified xsi:type="dcterms:W3CDTF">2025-06-24T08:37:00Z</dcterms:modified>
  <dc:title>公开招标采购文件范本</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4FA1722C277B4AFFB2826DBE93DB770E_13</vt:lpwstr>
  </property>
  <property fmtid="{D5CDD505-2E9C-101B-9397-08002B2CF9AE}" pid="4" name="KSOTemplateDocerSaveRecord">
    <vt:lpwstr>eyJoZGlkIjoiMjFmZjAxZTc4MDliMDEwNzRkOTljMjIwMDFlMDJiNTMiLCJ1c2VySWQiOiI2MjExMDE1ODkifQ==</vt:lpwstr>
  </property>
</Properties>
</file>